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4F9938" w14:textId="77777777" w:rsidR="00851579" w:rsidRPr="00E47A42" w:rsidRDefault="00851579" w:rsidP="00F73ADC">
      <w:pPr>
        <w:snapToGrid w:val="0"/>
        <w:spacing w:after="0" w:line="360" w:lineRule="auto"/>
        <w:jc w:val="both"/>
        <w:rPr>
          <w:rFonts w:ascii="Book Antiqua" w:hAnsi="Book Antiqua" w:cs="Times New Roman"/>
          <w:b/>
          <w:sz w:val="24"/>
          <w:szCs w:val="24"/>
          <w:lang w:val="en-US"/>
        </w:rPr>
      </w:pPr>
      <w:r w:rsidRPr="00E47A42">
        <w:rPr>
          <w:rFonts w:ascii="Book Antiqua" w:hAnsi="Book Antiqua" w:cs="Times New Roman"/>
          <w:b/>
          <w:sz w:val="24"/>
          <w:szCs w:val="24"/>
          <w:lang w:val="en-US"/>
        </w:rPr>
        <w:t xml:space="preserve">Name of Journal: </w:t>
      </w:r>
      <w:r w:rsidRPr="00E47A42">
        <w:rPr>
          <w:rFonts w:ascii="Book Antiqua" w:hAnsi="Book Antiqua" w:cs="Times New Roman"/>
          <w:b/>
          <w:i/>
          <w:sz w:val="24"/>
          <w:szCs w:val="24"/>
          <w:lang w:val="en-US"/>
        </w:rPr>
        <w:t>World Journal of Gastroenterology</w:t>
      </w:r>
    </w:p>
    <w:p w14:paraId="15B5FFFE" w14:textId="58FE20FF" w:rsidR="00851579" w:rsidRPr="00E47A42" w:rsidRDefault="00851579" w:rsidP="00F73ADC">
      <w:pPr>
        <w:snapToGrid w:val="0"/>
        <w:spacing w:after="0" w:line="360" w:lineRule="auto"/>
        <w:jc w:val="both"/>
        <w:rPr>
          <w:rFonts w:ascii="Book Antiqua" w:hAnsi="Book Antiqua" w:cs="Times New Roman"/>
          <w:b/>
          <w:sz w:val="24"/>
          <w:szCs w:val="24"/>
          <w:lang w:val="en-US"/>
        </w:rPr>
      </w:pPr>
      <w:r w:rsidRPr="00E47A42">
        <w:rPr>
          <w:rFonts w:ascii="Book Antiqua" w:hAnsi="Book Antiqua" w:cs="Times New Roman"/>
          <w:b/>
          <w:sz w:val="24"/>
          <w:szCs w:val="24"/>
          <w:lang w:val="en-US"/>
        </w:rPr>
        <w:t>Manuscript NO: 41644</w:t>
      </w:r>
    </w:p>
    <w:p w14:paraId="13ED7AFE" w14:textId="0592678B" w:rsidR="0000726C" w:rsidRPr="00E47A42" w:rsidRDefault="00851579" w:rsidP="00F73ADC">
      <w:pPr>
        <w:snapToGrid w:val="0"/>
        <w:spacing w:after="0" w:line="360" w:lineRule="auto"/>
        <w:jc w:val="both"/>
        <w:rPr>
          <w:rFonts w:ascii="Book Antiqua" w:hAnsi="Book Antiqua" w:cs="Times New Roman"/>
          <w:b/>
          <w:sz w:val="24"/>
          <w:szCs w:val="24"/>
          <w:lang w:val="en-US"/>
        </w:rPr>
      </w:pPr>
      <w:r w:rsidRPr="00E47A42">
        <w:rPr>
          <w:rFonts w:ascii="Book Antiqua" w:hAnsi="Book Antiqua" w:cs="Times New Roman"/>
          <w:b/>
          <w:sz w:val="24"/>
          <w:szCs w:val="24"/>
          <w:lang w:val="en-US"/>
        </w:rPr>
        <w:t xml:space="preserve">Manuscript Type: </w:t>
      </w:r>
      <w:r w:rsidR="0000726C" w:rsidRPr="00E47A42">
        <w:rPr>
          <w:rFonts w:ascii="Book Antiqua" w:hAnsi="Book Antiqua" w:cs="Times New Roman"/>
          <w:b/>
          <w:caps/>
          <w:sz w:val="24"/>
          <w:szCs w:val="24"/>
          <w:lang w:val="en-US"/>
        </w:rPr>
        <w:t>Original Article</w:t>
      </w:r>
    </w:p>
    <w:p w14:paraId="12AD2CD2" w14:textId="77777777" w:rsidR="00E47A42" w:rsidRDefault="00E47A42" w:rsidP="00F73ADC">
      <w:pPr>
        <w:snapToGrid w:val="0"/>
        <w:spacing w:after="0" w:line="360" w:lineRule="auto"/>
        <w:jc w:val="both"/>
        <w:rPr>
          <w:rFonts w:ascii="Book Antiqua" w:hAnsi="Book Antiqua" w:cs="Times New Roman"/>
          <w:sz w:val="24"/>
          <w:szCs w:val="24"/>
          <w:lang w:val="en-US" w:eastAsia="zh-CN"/>
        </w:rPr>
      </w:pPr>
    </w:p>
    <w:p w14:paraId="7B4AFA72" w14:textId="25F06707" w:rsidR="00E47A42" w:rsidRPr="00E47A42" w:rsidRDefault="00851579" w:rsidP="00F73ADC">
      <w:pPr>
        <w:snapToGrid w:val="0"/>
        <w:spacing w:after="0" w:line="360" w:lineRule="auto"/>
        <w:jc w:val="both"/>
        <w:rPr>
          <w:rFonts w:ascii="Book Antiqua" w:hAnsi="Book Antiqua" w:cs="Times New Roman"/>
          <w:b/>
          <w:i/>
          <w:sz w:val="24"/>
          <w:szCs w:val="24"/>
          <w:lang w:val="en-US" w:eastAsia="zh-CN"/>
        </w:rPr>
      </w:pPr>
      <w:r w:rsidRPr="00E47A42">
        <w:rPr>
          <w:rFonts w:ascii="Book Antiqua" w:hAnsi="Book Antiqua" w:cs="Times New Roman"/>
          <w:b/>
          <w:i/>
          <w:sz w:val="24"/>
          <w:szCs w:val="24"/>
          <w:lang w:val="en-US"/>
        </w:rPr>
        <w:t>Basic Study</w:t>
      </w:r>
    </w:p>
    <w:p w14:paraId="1C27F9EF" w14:textId="56D671F6" w:rsidR="002410ED" w:rsidRPr="00E47A42" w:rsidRDefault="002410ED" w:rsidP="00F73ADC">
      <w:pPr>
        <w:snapToGrid w:val="0"/>
        <w:spacing w:after="0" w:line="360" w:lineRule="auto"/>
        <w:jc w:val="both"/>
        <w:rPr>
          <w:rFonts w:ascii="Book Antiqua" w:hAnsi="Book Antiqua" w:cs="Times New Roman"/>
          <w:b/>
          <w:sz w:val="24"/>
          <w:szCs w:val="24"/>
          <w:lang w:val="en-US"/>
        </w:rPr>
      </w:pPr>
      <w:r w:rsidRPr="00E47A42">
        <w:rPr>
          <w:rFonts w:ascii="Book Antiqua" w:hAnsi="Book Antiqua" w:cs="Times New Roman"/>
          <w:b/>
          <w:sz w:val="24"/>
          <w:szCs w:val="24"/>
          <w:lang w:val="en-US"/>
        </w:rPr>
        <w:t>Counteraction of perforated cecum lesions in rats:</w:t>
      </w:r>
      <w:r w:rsidR="0080664F" w:rsidRPr="00E47A42">
        <w:rPr>
          <w:rFonts w:ascii="Book Antiqua" w:hAnsi="Book Antiqua" w:cs="Times New Roman"/>
          <w:b/>
          <w:sz w:val="24"/>
          <w:szCs w:val="24"/>
          <w:lang w:val="en-US"/>
        </w:rPr>
        <w:t xml:space="preserve"> </w:t>
      </w:r>
      <w:r w:rsidR="0080664F" w:rsidRPr="00B6720D">
        <w:rPr>
          <w:rFonts w:ascii="Book Antiqua" w:hAnsi="Book Antiqua" w:cs="Times New Roman"/>
          <w:b/>
          <w:caps/>
          <w:sz w:val="24"/>
          <w:szCs w:val="24"/>
          <w:lang w:val="en-US"/>
        </w:rPr>
        <w:t>e</w:t>
      </w:r>
      <w:r w:rsidR="0080664F" w:rsidRPr="00E47A42">
        <w:rPr>
          <w:rFonts w:ascii="Book Antiqua" w:hAnsi="Book Antiqua" w:cs="Times New Roman"/>
          <w:b/>
          <w:sz w:val="24"/>
          <w:szCs w:val="24"/>
          <w:lang w:val="en-US"/>
        </w:rPr>
        <w:t>ffects of</w:t>
      </w:r>
      <w:r w:rsidRPr="00E47A42">
        <w:rPr>
          <w:rFonts w:ascii="Book Antiqua" w:hAnsi="Book Antiqua" w:cs="Times New Roman"/>
          <w:b/>
          <w:sz w:val="24"/>
          <w:szCs w:val="24"/>
          <w:lang w:val="en-US"/>
        </w:rPr>
        <w:t xml:space="preserve"> </w:t>
      </w:r>
      <w:proofErr w:type="spellStart"/>
      <w:r w:rsidRPr="00E47A42">
        <w:rPr>
          <w:rFonts w:ascii="Book Antiqua" w:hAnsi="Book Antiqua" w:cs="Times New Roman"/>
          <w:b/>
          <w:sz w:val="24"/>
          <w:szCs w:val="24"/>
          <w:lang w:val="en-US"/>
        </w:rPr>
        <w:t>pentadecapeptide</w:t>
      </w:r>
      <w:proofErr w:type="spellEnd"/>
      <w:r w:rsidRPr="00E47A42">
        <w:rPr>
          <w:rFonts w:ascii="Book Antiqua" w:hAnsi="Book Antiqua" w:cs="Times New Roman"/>
          <w:b/>
          <w:sz w:val="24"/>
          <w:szCs w:val="24"/>
          <w:lang w:val="en-US"/>
        </w:rPr>
        <w:t xml:space="preserve"> BPC 157, L-NAME and L-arginine </w:t>
      </w:r>
    </w:p>
    <w:p w14:paraId="0676E42C" w14:textId="77777777" w:rsidR="00E47A42" w:rsidRDefault="00E47A42" w:rsidP="00F73ADC">
      <w:pPr>
        <w:snapToGrid w:val="0"/>
        <w:spacing w:after="0" w:line="360" w:lineRule="auto"/>
        <w:jc w:val="both"/>
        <w:rPr>
          <w:rFonts w:ascii="Book Antiqua" w:hAnsi="Book Antiqua" w:cs="Times New Roman"/>
          <w:sz w:val="24"/>
          <w:szCs w:val="24"/>
          <w:lang w:val="en-US" w:eastAsia="zh-CN"/>
        </w:rPr>
      </w:pPr>
    </w:p>
    <w:p w14:paraId="538ABD1E" w14:textId="5A87C9CE" w:rsidR="005A5746" w:rsidRPr="00E47A42" w:rsidRDefault="00C23D37" w:rsidP="00F73ADC">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sz w:val="24"/>
          <w:szCs w:val="24"/>
          <w:lang w:val="en-US"/>
        </w:rPr>
        <w:t xml:space="preserve">Drmic D </w:t>
      </w:r>
      <w:r w:rsidRPr="00C23D37">
        <w:rPr>
          <w:rFonts w:ascii="Book Antiqua" w:hAnsi="Book Antiqua" w:cs="Times New Roman"/>
          <w:i/>
          <w:sz w:val="24"/>
          <w:szCs w:val="24"/>
          <w:lang w:val="en-US" w:eastAsia="zh-CN"/>
        </w:rPr>
        <w:t>et al</w:t>
      </w:r>
      <w:r>
        <w:rPr>
          <w:rFonts w:ascii="Book Antiqua" w:hAnsi="Book Antiqua" w:cs="Times New Roman" w:hint="eastAsia"/>
          <w:sz w:val="24"/>
          <w:szCs w:val="24"/>
          <w:lang w:val="en-US" w:eastAsia="zh-CN"/>
        </w:rPr>
        <w:t>.</w:t>
      </w:r>
      <w:r w:rsidR="007E1F13">
        <w:rPr>
          <w:rFonts w:ascii="Book Antiqua" w:hAnsi="Book Antiqua" w:cs="Times New Roman" w:hint="eastAsia"/>
          <w:sz w:val="24"/>
          <w:szCs w:val="24"/>
          <w:lang w:val="en-US" w:eastAsia="zh-CN"/>
        </w:rPr>
        <w:t xml:space="preserve"> </w:t>
      </w:r>
      <w:r w:rsidR="005A5746" w:rsidRPr="00E47A42">
        <w:rPr>
          <w:rFonts w:ascii="Book Antiqua" w:hAnsi="Book Antiqua" w:cs="Times New Roman"/>
          <w:sz w:val="24"/>
          <w:szCs w:val="24"/>
          <w:lang w:val="en-US"/>
        </w:rPr>
        <w:t>Perforated cecum, BPC 157 and the NO system</w:t>
      </w:r>
    </w:p>
    <w:p w14:paraId="1A1C3019" w14:textId="77777777" w:rsidR="00E47A42" w:rsidRPr="008369A6" w:rsidRDefault="00E47A42" w:rsidP="00F73ADC">
      <w:pPr>
        <w:snapToGrid w:val="0"/>
        <w:spacing w:after="0" w:line="360" w:lineRule="auto"/>
        <w:jc w:val="both"/>
        <w:rPr>
          <w:rFonts w:ascii="Book Antiqua" w:hAnsi="Book Antiqua" w:cs="Times New Roman"/>
          <w:sz w:val="24"/>
          <w:szCs w:val="24"/>
          <w:lang w:val="en-US" w:eastAsia="zh-CN"/>
        </w:rPr>
      </w:pPr>
    </w:p>
    <w:p w14:paraId="03C60F2C" w14:textId="77777777" w:rsidR="00E47A42" w:rsidRDefault="002410ED" w:rsidP="00F73ADC">
      <w:pPr>
        <w:snapToGrid w:val="0"/>
        <w:spacing w:after="0" w:line="360" w:lineRule="auto"/>
        <w:jc w:val="both"/>
        <w:rPr>
          <w:rFonts w:ascii="Book Antiqua" w:hAnsi="Book Antiqua" w:cs="Times New Roman"/>
          <w:sz w:val="24"/>
          <w:szCs w:val="24"/>
          <w:lang w:val="en-US" w:eastAsia="zh-CN"/>
        </w:rPr>
      </w:pPr>
      <w:proofErr w:type="spellStart"/>
      <w:r w:rsidRPr="00E47A42">
        <w:rPr>
          <w:rFonts w:ascii="Book Antiqua" w:hAnsi="Book Antiqua" w:cs="Times New Roman"/>
          <w:sz w:val="24"/>
          <w:szCs w:val="24"/>
          <w:lang w:val="en-US"/>
        </w:rPr>
        <w:t>Domagoj</w:t>
      </w:r>
      <w:proofErr w:type="spellEnd"/>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Drmic</w:t>
      </w:r>
      <w:proofErr w:type="spellEnd"/>
      <w:r w:rsidRPr="00E47A42">
        <w:rPr>
          <w:rFonts w:ascii="Book Antiqua" w:hAnsi="Book Antiqua" w:cs="Times New Roman"/>
          <w:sz w:val="24"/>
          <w:szCs w:val="24"/>
          <w:lang w:val="en-US"/>
        </w:rPr>
        <w:t xml:space="preserve">, Mariam Samara, </w:t>
      </w:r>
      <w:proofErr w:type="spellStart"/>
      <w:r w:rsidRPr="00E47A42">
        <w:rPr>
          <w:rFonts w:ascii="Book Antiqua" w:hAnsi="Book Antiqua" w:cs="Times New Roman"/>
          <w:sz w:val="24"/>
          <w:szCs w:val="24"/>
          <w:lang w:val="en-US"/>
        </w:rPr>
        <w:t>Tinka</w:t>
      </w:r>
      <w:proofErr w:type="spellEnd"/>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Vidovic</w:t>
      </w:r>
      <w:proofErr w:type="spellEnd"/>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Dominik</w:t>
      </w:r>
      <w:proofErr w:type="spellEnd"/>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Malekinusic</w:t>
      </w:r>
      <w:proofErr w:type="spellEnd"/>
      <w:r w:rsidRPr="00E47A42">
        <w:rPr>
          <w:rFonts w:ascii="Book Antiqua" w:hAnsi="Book Antiqua" w:cs="Times New Roman"/>
          <w:sz w:val="24"/>
          <w:szCs w:val="24"/>
          <w:lang w:val="en-US"/>
        </w:rPr>
        <w:t xml:space="preserve">, Marko </w:t>
      </w:r>
      <w:proofErr w:type="spellStart"/>
      <w:r w:rsidRPr="00E47A42">
        <w:rPr>
          <w:rFonts w:ascii="Book Antiqua" w:hAnsi="Book Antiqua" w:cs="Times New Roman"/>
          <w:sz w:val="24"/>
          <w:szCs w:val="24"/>
          <w:lang w:val="en-US"/>
        </w:rPr>
        <w:t>Antunovic</w:t>
      </w:r>
      <w:proofErr w:type="spellEnd"/>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Borna</w:t>
      </w:r>
      <w:proofErr w:type="spellEnd"/>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Vrdoljak</w:t>
      </w:r>
      <w:proofErr w:type="spellEnd"/>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Jelena</w:t>
      </w:r>
      <w:proofErr w:type="spellEnd"/>
      <w:r w:rsidRPr="00E47A42">
        <w:rPr>
          <w:rFonts w:ascii="Book Antiqua" w:hAnsi="Book Antiqua" w:cs="Times New Roman"/>
          <w:sz w:val="24"/>
          <w:szCs w:val="24"/>
          <w:lang w:val="en-US"/>
        </w:rPr>
        <w:t xml:space="preserve"> </w:t>
      </w:r>
      <w:r w:rsidRPr="00E47A42">
        <w:rPr>
          <w:rFonts w:ascii="Book Antiqua" w:hAnsi="Book Antiqua" w:cs="Times New Roman"/>
          <w:noProof/>
          <w:sz w:val="24"/>
          <w:szCs w:val="24"/>
          <w:lang w:val="en-US"/>
        </w:rPr>
        <w:t>Ruzman</w:t>
      </w:r>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Marija</w:t>
      </w:r>
      <w:proofErr w:type="spellEnd"/>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Milkovic</w:t>
      </w:r>
      <w:proofErr w:type="spellEnd"/>
      <w:r w:rsidRPr="00E47A42">
        <w:rPr>
          <w:rFonts w:ascii="Book Antiqua" w:hAnsi="Book Antiqua" w:cs="Times New Roman"/>
          <w:sz w:val="24"/>
          <w:szCs w:val="24"/>
          <w:lang w:val="en-US"/>
        </w:rPr>
        <w:t xml:space="preserve"> </w:t>
      </w:r>
      <w:r w:rsidRPr="00E47A42">
        <w:rPr>
          <w:rFonts w:ascii="Book Antiqua" w:hAnsi="Book Antiqua" w:cs="Times New Roman"/>
          <w:noProof/>
          <w:sz w:val="24"/>
          <w:szCs w:val="24"/>
          <w:lang w:val="en-US"/>
        </w:rPr>
        <w:t>Perisa</w:t>
      </w:r>
      <w:r w:rsidRPr="00E47A42">
        <w:rPr>
          <w:rFonts w:ascii="Book Antiqua" w:hAnsi="Book Antiqua" w:cs="Times New Roman"/>
          <w:sz w:val="24"/>
          <w:szCs w:val="24"/>
          <w:lang w:val="en-US"/>
        </w:rPr>
        <w:t xml:space="preserve">, </w:t>
      </w:r>
      <w:r w:rsidR="004C2F23" w:rsidRPr="00E47A42">
        <w:rPr>
          <w:rFonts w:ascii="Book Antiqua" w:hAnsi="Book Antiqua" w:cs="Times New Roman"/>
          <w:sz w:val="24"/>
          <w:szCs w:val="24"/>
          <w:lang w:val="en-US"/>
        </w:rPr>
        <w:t xml:space="preserve">Katarina </w:t>
      </w:r>
      <w:proofErr w:type="spellStart"/>
      <w:r w:rsidR="004C2F23" w:rsidRPr="00E47A42">
        <w:rPr>
          <w:rFonts w:ascii="Book Antiqua" w:hAnsi="Book Antiqua" w:cs="Times New Roman"/>
          <w:sz w:val="24"/>
          <w:szCs w:val="24"/>
          <w:lang w:val="en-US"/>
        </w:rPr>
        <w:t>Horvat</w:t>
      </w:r>
      <w:proofErr w:type="spellEnd"/>
      <w:r w:rsidR="004C2F23" w:rsidRPr="00E47A42">
        <w:rPr>
          <w:rFonts w:ascii="Book Antiqua" w:hAnsi="Book Antiqua" w:cs="Times New Roman"/>
          <w:sz w:val="24"/>
          <w:szCs w:val="24"/>
          <w:lang w:val="en-US"/>
        </w:rPr>
        <w:t xml:space="preserve"> Pavlov, </w:t>
      </w:r>
      <w:proofErr w:type="spellStart"/>
      <w:r w:rsidRPr="00E47A42">
        <w:rPr>
          <w:rFonts w:ascii="Book Antiqua" w:hAnsi="Book Antiqua" w:cs="Times New Roman"/>
          <w:sz w:val="24"/>
          <w:szCs w:val="24"/>
          <w:lang w:val="en-US"/>
        </w:rPr>
        <w:t>Jerusha</w:t>
      </w:r>
      <w:proofErr w:type="spellEnd"/>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Jeyakumar</w:t>
      </w:r>
      <w:proofErr w:type="spellEnd"/>
      <w:r w:rsidRPr="00E47A42">
        <w:rPr>
          <w:rFonts w:ascii="Book Antiqua" w:hAnsi="Book Antiqua" w:cs="Times New Roman"/>
          <w:sz w:val="24"/>
          <w:szCs w:val="24"/>
          <w:lang w:val="en-US"/>
        </w:rPr>
        <w:t xml:space="preserve">, Sven </w:t>
      </w:r>
      <w:proofErr w:type="spellStart"/>
      <w:r w:rsidRPr="00E47A42">
        <w:rPr>
          <w:rFonts w:ascii="Book Antiqua" w:hAnsi="Book Antiqua" w:cs="Times New Roman"/>
          <w:sz w:val="24"/>
          <w:szCs w:val="24"/>
          <w:lang w:val="en-US"/>
        </w:rPr>
        <w:t>Seiwerth</w:t>
      </w:r>
      <w:proofErr w:type="spellEnd"/>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Predrag</w:t>
      </w:r>
      <w:proofErr w:type="spellEnd"/>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Sikiric</w:t>
      </w:r>
      <w:proofErr w:type="spellEnd"/>
    </w:p>
    <w:p w14:paraId="2CCC5E14" w14:textId="77777777" w:rsidR="00E47A42" w:rsidRPr="00E47A42" w:rsidRDefault="00E47A42" w:rsidP="00F73ADC">
      <w:pPr>
        <w:snapToGrid w:val="0"/>
        <w:spacing w:after="0" w:line="360" w:lineRule="auto"/>
        <w:jc w:val="both"/>
        <w:rPr>
          <w:rFonts w:ascii="Book Antiqua" w:hAnsi="Book Antiqua" w:cs="Times New Roman"/>
          <w:b/>
          <w:sz w:val="24"/>
          <w:szCs w:val="24"/>
          <w:lang w:val="en-US" w:eastAsia="zh-CN"/>
        </w:rPr>
      </w:pPr>
    </w:p>
    <w:p w14:paraId="5D56522D" w14:textId="49710641" w:rsidR="005A5746" w:rsidRPr="00E47A42" w:rsidRDefault="00E47A42" w:rsidP="00F73ADC">
      <w:pPr>
        <w:snapToGrid w:val="0"/>
        <w:spacing w:after="0" w:line="360" w:lineRule="auto"/>
        <w:jc w:val="both"/>
        <w:rPr>
          <w:rFonts w:ascii="Book Antiqua" w:hAnsi="Book Antiqua" w:cs="Times New Roman"/>
          <w:sz w:val="24"/>
          <w:szCs w:val="24"/>
          <w:lang w:val="en-US" w:eastAsia="zh-CN"/>
        </w:rPr>
      </w:pPr>
      <w:proofErr w:type="spellStart"/>
      <w:r w:rsidRPr="00E47A42">
        <w:rPr>
          <w:rFonts w:ascii="Book Antiqua" w:hAnsi="Book Antiqua" w:cs="Times New Roman"/>
          <w:b/>
          <w:sz w:val="24"/>
          <w:szCs w:val="24"/>
          <w:lang w:val="en-US"/>
        </w:rPr>
        <w:t>Domagoj</w:t>
      </w:r>
      <w:proofErr w:type="spellEnd"/>
      <w:r w:rsidRPr="00E47A42">
        <w:rPr>
          <w:rFonts w:ascii="Book Antiqua" w:hAnsi="Book Antiqua" w:cs="Times New Roman"/>
          <w:b/>
          <w:sz w:val="24"/>
          <w:szCs w:val="24"/>
          <w:lang w:val="en-US"/>
        </w:rPr>
        <w:t xml:space="preserve"> </w:t>
      </w:r>
      <w:proofErr w:type="spellStart"/>
      <w:r w:rsidRPr="00E47A42">
        <w:rPr>
          <w:rFonts w:ascii="Book Antiqua" w:hAnsi="Book Antiqua" w:cs="Times New Roman"/>
          <w:b/>
          <w:sz w:val="24"/>
          <w:szCs w:val="24"/>
          <w:lang w:val="en-US"/>
        </w:rPr>
        <w:t>Drmic</w:t>
      </w:r>
      <w:proofErr w:type="spellEnd"/>
      <w:r w:rsidRPr="00E47A42">
        <w:rPr>
          <w:rFonts w:ascii="Book Antiqua" w:hAnsi="Book Antiqua" w:cs="Times New Roman"/>
          <w:b/>
          <w:sz w:val="24"/>
          <w:szCs w:val="24"/>
          <w:lang w:val="en-US"/>
        </w:rPr>
        <w:t xml:space="preserve">, Mariam Samara, </w:t>
      </w:r>
      <w:proofErr w:type="spellStart"/>
      <w:r w:rsidRPr="00E47A42">
        <w:rPr>
          <w:rFonts w:ascii="Book Antiqua" w:hAnsi="Book Antiqua" w:cs="Times New Roman"/>
          <w:b/>
          <w:sz w:val="24"/>
          <w:szCs w:val="24"/>
          <w:lang w:val="en-US"/>
        </w:rPr>
        <w:t>Tinka</w:t>
      </w:r>
      <w:proofErr w:type="spellEnd"/>
      <w:r w:rsidRPr="00E47A42">
        <w:rPr>
          <w:rFonts w:ascii="Book Antiqua" w:hAnsi="Book Antiqua" w:cs="Times New Roman"/>
          <w:b/>
          <w:sz w:val="24"/>
          <w:szCs w:val="24"/>
          <w:lang w:val="en-US"/>
        </w:rPr>
        <w:t xml:space="preserve"> </w:t>
      </w:r>
      <w:proofErr w:type="spellStart"/>
      <w:r w:rsidRPr="00E47A42">
        <w:rPr>
          <w:rFonts w:ascii="Book Antiqua" w:hAnsi="Book Antiqua" w:cs="Times New Roman"/>
          <w:b/>
          <w:sz w:val="24"/>
          <w:szCs w:val="24"/>
          <w:lang w:val="en-US"/>
        </w:rPr>
        <w:t>Vidovic</w:t>
      </w:r>
      <w:proofErr w:type="spellEnd"/>
      <w:r w:rsidRPr="00E47A42">
        <w:rPr>
          <w:rFonts w:ascii="Book Antiqua" w:hAnsi="Book Antiqua" w:cs="Times New Roman"/>
          <w:b/>
          <w:sz w:val="24"/>
          <w:szCs w:val="24"/>
          <w:lang w:val="en-US"/>
        </w:rPr>
        <w:t xml:space="preserve">, </w:t>
      </w:r>
      <w:proofErr w:type="spellStart"/>
      <w:r w:rsidRPr="00E47A42">
        <w:rPr>
          <w:rFonts w:ascii="Book Antiqua" w:hAnsi="Book Antiqua" w:cs="Times New Roman"/>
          <w:b/>
          <w:sz w:val="24"/>
          <w:szCs w:val="24"/>
          <w:lang w:val="en-US"/>
        </w:rPr>
        <w:t>Dominik</w:t>
      </w:r>
      <w:proofErr w:type="spellEnd"/>
      <w:r w:rsidRPr="00E47A42">
        <w:rPr>
          <w:rFonts w:ascii="Book Antiqua" w:hAnsi="Book Antiqua" w:cs="Times New Roman"/>
          <w:b/>
          <w:sz w:val="24"/>
          <w:szCs w:val="24"/>
          <w:lang w:val="en-US"/>
        </w:rPr>
        <w:t xml:space="preserve"> </w:t>
      </w:r>
      <w:proofErr w:type="spellStart"/>
      <w:r w:rsidRPr="00E47A42">
        <w:rPr>
          <w:rFonts w:ascii="Book Antiqua" w:hAnsi="Book Antiqua" w:cs="Times New Roman"/>
          <w:b/>
          <w:sz w:val="24"/>
          <w:szCs w:val="24"/>
          <w:lang w:val="en-US"/>
        </w:rPr>
        <w:t>Malekinusic</w:t>
      </w:r>
      <w:proofErr w:type="spellEnd"/>
      <w:r w:rsidRPr="00E47A42">
        <w:rPr>
          <w:rFonts w:ascii="Book Antiqua" w:hAnsi="Book Antiqua" w:cs="Times New Roman"/>
          <w:b/>
          <w:sz w:val="24"/>
          <w:szCs w:val="24"/>
          <w:lang w:val="en-US"/>
        </w:rPr>
        <w:t xml:space="preserve">, Marko </w:t>
      </w:r>
      <w:proofErr w:type="spellStart"/>
      <w:r w:rsidRPr="00E47A42">
        <w:rPr>
          <w:rFonts w:ascii="Book Antiqua" w:hAnsi="Book Antiqua" w:cs="Times New Roman"/>
          <w:b/>
          <w:sz w:val="24"/>
          <w:szCs w:val="24"/>
          <w:lang w:val="en-US"/>
        </w:rPr>
        <w:t>Antunovic</w:t>
      </w:r>
      <w:proofErr w:type="spellEnd"/>
      <w:r w:rsidRPr="00E47A42">
        <w:rPr>
          <w:rFonts w:ascii="Book Antiqua" w:hAnsi="Book Antiqua" w:cs="Times New Roman"/>
          <w:b/>
          <w:sz w:val="24"/>
          <w:szCs w:val="24"/>
          <w:lang w:val="en-US"/>
        </w:rPr>
        <w:t xml:space="preserve">, </w:t>
      </w:r>
      <w:proofErr w:type="spellStart"/>
      <w:r w:rsidRPr="00E47A42">
        <w:rPr>
          <w:rFonts w:ascii="Book Antiqua" w:hAnsi="Book Antiqua" w:cs="Times New Roman"/>
          <w:b/>
          <w:sz w:val="24"/>
          <w:szCs w:val="24"/>
          <w:lang w:val="en-US"/>
        </w:rPr>
        <w:t>Borna</w:t>
      </w:r>
      <w:proofErr w:type="spellEnd"/>
      <w:r w:rsidRPr="00E47A42">
        <w:rPr>
          <w:rFonts w:ascii="Book Antiqua" w:hAnsi="Book Antiqua" w:cs="Times New Roman"/>
          <w:b/>
          <w:sz w:val="24"/>
          <w:szCs w:val="24"/>
          <w:lang w:val="en-US"/>
        </w:rPr>
        <w:t xml:space="preserve"> </w:t>
      </w:r>
      <w:proofErr w:type="spellStart"/>
      <w:r w:rsidRPr="00E47A42">
        <w:rPr>
          <w:rFonts w:ascii="Book Antiqua" w:hAnsi="Book Antiqua" w:cs="Times New Roman"/>
          <w:b/>
          <w:sz w:val="24"/>
          <w:szCs w:val="24"/>
          <w:lang w:val="en-US"/>
        </w:rPr>
        <w:t>Vrdoljak</w:t>
      </w:r>
      <w:proofErr w:type="spellEnd"/>
      <w:r w:rsidRPr="00E47A42">
        <w:rPr>
          <w:rFonts w:ascii="Book Antiqua" w:hAnsi="Book Antiqua" w:cs="Times New Roman"/>
          <w:b/>
          <w:sz w:val="24"/>
          <w:szCs w:val="24"/>
          <w:lang w:val="en-US"/>
        </w:rPr>
        <w:t xml:space="preserve">, </w:t>
      </w:r>
      <w:proofErr w:type="spellStart"/>
      <w:r w:rsidRPr="00E47A42">
        <w:rPr>
          <w:rFonts w:ascii="Book Antiqua" w:hAnsi="Book Antiqua" w:cs="Times New Roman"/>
          <w:b/>
          <w:sz w:val="24"/>
          <w:szCs w:val="24"/>
          <w:lang w:val="en-US"/>
        </w:rPr>
        <w:t>Jelena</w:t>
      </w:r>
      <w:proofErr w:type="spellEnd"/>
      <w:r w:rsidRPr="00E47A42">
        <w:rPr>
          <w:rFonts w:ascii="Book Antiqua" w:hAnsi="Book Antiqua" w:cs="Times New Roman"/>
          <w:b/>
          <w:sz w:val="24"/>
          <w:szCs w:val="24"/>
          <w:lang w:val="en-US"/>
        </w:rPr>
        <w:t xml:space="preserve"> </w:t>
      </w:r>
      <w:r w:rsidRPr="00E47A42">
        <w:rPr>
          <w:rFonts w:ascii="Book Antiqua" w:hAnsi="Book Antiqua" w:cs="Times New Roman"/>
          <w:b/>
          <w:noProof/>
          <w:sz w:val="24"/>
          <w:szCs w:val="24"/>
          <w:lang w:val="en-US"/>
        </w:rPr>
        <w:t>Ruzman</w:t>
      </w:r>
      <w:r w:rsidRPr="00E47A42">
        <w:rPr>
          <w:rFonts w:ascii="Book Antiqua" w:hAnsi="Book Antiqua" w:cs="Times New Roman"/>
          <w:b/>
          <w:sz w:val="24"/>
          <w:szCs w:val="24"/>
          <w:lang w:val="en-US"/>
        </w:rPr>
        <w:t xml:space="preserve">, </w:t>
      </w:r>
      <w:proofErr w:type="spellStart"/>
      <w:r w:rsidRPr="00E47A42">
        <w:rPr>
          <w:rFonts w:ascii="Book Antiqua" w:hAnsi="Book Antiqua" w:cs="Times New Roman"/>
          <w:b/>
          <w:sz w:val="24"/>
          <w:szCs w:val="24"/>
          <w:lang w:val="en-US"/>
        </w:rPr>
        <w:t>Marija</w:t>
      </w:r>
      <w:proofErr w:type="spellEnd"/>
      <w:r w:rsidRPr="00E47A42">
        <w:rPr>
          <w:rFonts w:ascii="Book Antiqua" w:hAnsi="Book Antiqua" w:cs="Times New Roman"/>
          <w:b/>
          <w:sz w:val="24"/>
          <w:szCs w:val="24"/>
          <w:lang w:val="en-US"/>
        </w:rPr>
        <w:t xml:space="preserve"> </w:t>
      </w:r>
      <w:proofErr w:type="spellStart"/>
      <w:r w:rsidRPr="00E47A42">
        <w:rPr>
          <w:rFonts w:ascii="Book Antiqua" w:hAnsi="Book Antiqua" w:cs="Times New Roman"/>
          <w:b/>
          <w:sz w:val="24"/>
          <w:szCs w:val="24"/>
          <w:lang w:val="en-US"/>
        </w:rPr>
        <w:t>Milkovic</w:t>
      </w:r>
      <w:proofErr w:type="spellEnd"/>
      <w:r w:rsidRPr="00E47A42">
        <w:rPr>
          <w:rFonts w:ascii="Book Antiqua" w:hAnsi="Book Antiqua" w:cs="Times New Roman"/>
          <w:b/>
          <w:sz w:val="24"/>
          <w:szCs w:val="24"/>
          <w:lang w:val="en-US"/>
        </w:rPr>
        <w:t xml:space="preserve"> </w:t>
      </w:r>
      <w:r w:rsidRPr="00E47A42">
        <w:rPr>
          <w:rFonts w:ascii="Book Antiqua" w:hAnsi="Book Antiqua" w:cs="Times New Roman"/>
          <w:b/>
          <w:noProof/>
          <w:sz w:val="24"/>
          <w:szCs w:val="24"/>
          <w:lang w:val="en-US"/>
        </w:rPr>
        <w:t>Perisa</w:t>
      </w:r>
      <w:r w:rsidRPr="00E47A42">
        <w:rPr>
          <w:rFonts w:ascii="Book Antiqua" w:hAnsi="Book Antiqua" w:cs="Times New Roman"/>
          <w:b/>
          <w:sz w:val="24"/>
          <w:szCs w:val="24"/>
          <w:lang w:val="en-US"/>
        </w:rPr>
        <w:t xml:space="preserve">, Katarina </w:t>
      </w:r>
      <w:proofErr w:type="spellStart"/>
      <w:r w:rsidRPr="00E47A42">
        <w:rPr>
          <w:rFonts w:ascii="Book Antiqua" w:hAnsi="Book Antiqua" w:cs="Times New Roman"/>
          <w:b/>
          <w:sz w:val="24"/>
          <w:szCs w:val="24"/>
          <w:lang w:val="en-US"/>
        </w:rPr>
        <w:t>Horvat</w:t>
      </w:r>
      <w:proofErr w:type="spellEnd"/>
      <w:r w:rsidRPr="00E47A42">
        <w:rPr>
          <w:rFonts w:ascii="Book Antiqua" w:hAnsi="Book Antiqua" w:cs="Times New Roman"/>
          <w:b/>
          <w:sz w:val="24"/>
          <w:szCs w:val="24"/>
          <w:lang w:val="en-US"/>
        </w:rPr>
        <w:t xml:space="preserve"> Pavlov, </w:t>
      </w:r>
      <w:proofErr w:type="spellStart"/>
      <w:r w:rsidRPr="00E47A42">
        <w:rPr>
          <w:rFonts w:ascii="Book Antiqua" w:hAnsi="Book Antiqua" w:cs="Times New Roman"/>
          <w:b/>
          <w:sz w:val="24"/>
          <w:szCs w:val="24"/>
          <w:lang w:val="en-US"/>
        </w:rPr>
        <w:t>Jerusha</w:t>
      </w:r>
      <w:proofErr w:type="spellEnd"/>
      <w:r w:rsidRPr="00E47A42">
        <w:rPr>
          <w:rFonts w:ascii="Book Antiqua" w:hAnsi="Book Antiqua" w:cs="Times New Roman"/>
          <w:b/>
          <w:sz w:val="24"/>
          <w:szCs w:val="24"/>
          <w:lang w:val="en-US"/>
        </w:rPr>
        <w:t xml:space="preserve"> </w:t>
      </w:r>
      <w:proofErr w:type="spellStart"/>
      <w:r w:rsidRPr="00E47A42">
        <w:rPr>
          <w:rFonts w:ascii="Book Antiqua" w:hAnsi="Book Antiqua" w:cs="Times New Roman"/>
          <w:b/>
          <w:sz w:val="24"/>
          <w:szCs w:val="24"/>
          <w:lang w:val="en-US"/>
        </w:rPr>
        <w:t>Jeyakumar</w:t>
      </w:r>
      <w:proofErr w:type="spellEnd"/>
      <w:r w:rsidRPr="00E47A42">
        <w:rPr>
          <w:rFonts w:ascii="Book Antiqua" w:hAnsi="Book Antiqua" w:cs="Times New Roman"/>
          <w:b/>
          <w:sz w:val="24"/>
          <w:szCs w:val="24"/>
          <w:lang w:val="en-US"/>
        </w:rPr>
        <w:t xml:space="preserve">, Sven </w:t>
      </w:r>
      <w:proofErr w:type="spellStart"/>
      <w:r w:rsidRPr="00E47A42">
        <w:rPr>
          <w:rFonts w:ascii="Book Antiqua" w:hAnsi="Book Antiqua" w:cs="Times New Roman"/>
          <w:b/>
          <w:sz w:val="24"/>
          <w:szCs w:val="24"/>
          <w:lang w:val="en-US"/>
        </w:rPr>
        <w:t>Seiwerth</w:t>
      </w:r>
      <w:proofErr w:type="spellEnd"/>
      <w:r w:rsidRPr="00E47A42">
        <w:rPr>
          <w:rFonts w:ascii="Book Antiqua" w:hAnsi="Book Antiqua" w:cs="Times New Roman"/>
          <w:b/>
          <w:sz w:val="24"/>
          <w:szCs w:val="24"/>
          <w:lang w:val="en-US"/>
        </w:rPr>
        <w:t xml:space="preserve">, </w:t>
      </w:r>
      <w:proofErr w:type="spellStart"/>
      <w:r w:rsidRPr="00E47A42">
        <w:rPr>
          <w:rFonts w:ascii="Book Antiqua" w:hAnsi="Book Antiqua" w:cs="Times New Roman"/>
          <w:b/>
          <w:sz w:val="24"/>
          <w:szCs w:val="24"/>
          <w:lang w:val="en-US"/>
        </w:rPr>
        <w:t>Predrag</w:t>
      </w:r>
      <w:proofErr w:type="spellEnd"/>
      <w:r w:rsidRPr="00E47A42">
        <w:rPr>
          <w:rFonts w:ascii="Book Antiqua" w:hAnsi="Book Antiqua" w:cs="Times New Roman"/>
          <w:b/>
          <w:sz w:val="24"/>
          <w:szCs w:val="24"/>
          <w:lang w:val="en-US"/>
        </w:rPr>
        <w:t xml:space="preserve"> </w:t>
      </w:r>
      <w:proofErr w:type="spellStart"/>
      <w:r w:rsidRPr="00E47A42">
        <w:rPr>
          <w:rFonts w:ascii="Book Antiqua" w:hAnsi="Book Antiqua" w:cs="Times New Roman"/>
          <w:b/>
          <w:sz w:val="24"/>
          <w:szCs w:val="24"/>
          <w:lang w:val="en-US"/>
        </w:rPr>
        <w:t>Sikiric</w:t>
      </w:r>
      <w:proofErr w:type="spellEnd"/>
      <w:r w:rsidRPr="00E47A42">
        <w:rPr>
          <w:rFonts w:ascii="Book Antiqua" w:hAnsi="Book Antiqua" w:cs="Times New Roman" w:hint="eastAsia"/>
          <w:b/>
          <w:sz w:val="24"/>
          <w:szCs w:val="24"/>
          <w:lang w:val="en-US" w:eastAsia="zh-CN"/>
        </w:rPr>
        <w:t>,</w:t>
      </w:r>
      <w:r>
        <w:rPr>
          <w:rFonts w:ascii="Book Antiqua" w:hAnsi="Book Antiqua" w:cs="Times New Roman" w:hint="eastAsia"/>
          <w:sz w:val="24"/>
          <w:szCs w:val="24"/>
          <w:lang w:val="en-US" w:eastAsia="zh-CN"/>
        </w:rPr>
        <w:t xml:space="preserve"> </w:t>
      </w:r>
      <w:r w:rsidR="005A5746" w:rsidRPr="00E47A42">
        <w:rPr>
          <w:rFonts w:ascii="Book Antiqua" w:hAnsi="Book Antiqua" w:cs="Times New Roman"/>
          <w:sz w:val="24"/>
          <w:szCs w:val="24"/>
          <w:lang w:val="en-US"/>
        </w:rPr>
        <w:t>Departments of Pharmacology and Pathology, Medical Faculty University of Zagreb, Zagreb</w:t>
      </w:r>
      <w:r w:rsidR="00E467EB">
        <w:rPr>
          <w:rFonts w:ascii="Book Antiqua" w:hAnsi="Book Antiqua" w:cs="Times New Roman" w:hint="eastAsia"/>
          <w:sz w:val="24"/>
          <w:szCs w:val="24"/>
          <w:lang w:val="en-US" w:eastAsia="zh-CN"/>
        </w:rPr>
        <w:t xml:space="preserve"> </w:t>
      </w:r>
      <w:r w:rsidR="00E467EB" w:rsidRPr="00E47A42">
        <w:rPr>
          <w:rFonts w:ascii="Book Antiqua" w:hAnsi="Book Antiqua" w:cs="Times New Roman"/>
          <w:sz w:val="24"/>
          <w:szCs w:val="24"/>
          <w:lang w:val="en-US"/>
        </w:rPr>
        <w:t>10000</w:t>
      </w:r>
      <w:r w:rsidR="005A5746" w:rsidRPr="00E47A42">
        <w:rPr>
          <w:rFonts w:ascii="Book Antiqua" w:hAnsi="Book Antiqua" w:cs="Times New Roman"/>
          <w:sz w:val="24"/>
          <w:szCs w:val="24"/>
          <w:lang w:val="en-US"/>
        </w:rPr>
        <w:t>, Croatia</w:t>
      </w:r>
    </w:p>
    <w:p w14:paraId="466DE6D4" w14:textId="77777777" w:rsidR="00E47A42" w:rsidRPr="00616E28" w:rsidRDefault="00E47A42" w:rsidP="00F73ADC">
      <w:pPr>
        <w:snapToGrid w:val="0"/>
        <w:spacing w:after="0" w:line="360" w:lineRule="auto"/>
        <w:jc w:val="both"/>
        <w:rPr>
          <w:rFonts w:ascii="Book Antiqua" w:hAnsi="Book Antiqua" w:cs="Times New Roman"/>
          <w:sz w:val="24"/>
          <w:szCs w:val="24"/>
          <w:lang w:val="en-US" w:eastAsia="zh-CN"/>
        </w:rPr>
      </w:pPr>
    </w:p>
    <w:p w14:paraId="0B3ADB4D" w14:textId="3F68B5D9" w:rsidR="005A5746" w:rsidRPr="00E47A42" w:rsidRDefault="00851579" w:rsidP="00F73ADC">
      <w:pPr>
        <w:snapToGrid w:val="0"/>
        <w:spacing w:after="0" w:line="360" w:lineRule="auto"/>
        <w:jc w:val="both"/>
        <w:rPr>
          <w:rFonts w:ascii="Book Antiqua" w:hAnsi="Book Antiqua" w:cs="Times New Roman"/>
          <w:sz w:val="24"/>
          <w:szCs w:val="24"/>
          <w:lang w:val="en-US" w:eastAsia="zh-CN"/>
        </w:rPr>
      </w:pPr>
      <w:r w:rsidRPr="00E47A42">
        <w:rPr>
          <w:rFonts w:ascii="Book Antiqua" w:hAnsi="Book Antiqua" w:cs="Times New Roman"/>
          <w:b/>
          <w:sz w:val="24"/>
          <w:szCs w:val="24"/>
          <w:lang w:val="en-US"/>
        </w:rPr>
        <w:t>ORCID number:</w:t>
      </w:r>
      <w:r w:rsidR="00E47A42">
        <w:rPr>
          <w:rFonts w:ascii="Book Antiqua" w:hAnsi="Book Antiqua" w:cs="Times New Roman" w:hint="eastAsia"/>
          <w:sz w:val="24"/>
          <w:szCs w:val="24"/>
          <w:lang w:val="en-US" w:eastAsia="zh-CN"/>
        </w:rPr>
        <w:t xml:space="preserve"> </w:t>
      </w:r>
      <w:proofErr w:type="spellStart"/>
      <w:r w:rsidRPr="00E47A42">
        <w:rPr>
          <w:rFonts w:ascii="Book Antiqua" w:hAnsi="Book Antiqua" w:cs="Times New Roman"/>
          <w:sz w:val="24"/>
          <w:szCs w:val="24"/>
          <w:lang w:val="en-US"/>
        </w:rPr>
        <w:t>Domagoj</w:t>
      </w:r>
      <w:proofErr w:type="spellEnd"/>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Drmic</w:t>
      </w:r>
      <w:proofErr w:type="spellEnd"/>
      <w:r w:rsidRPr="00E47A42">
        <w:rPr>
          <w:rFonts w:ascii="Book Antiqua" w:hAnsi="Book Antiqua" w:cs="Times New Roman"/>
          <w:sz w:val="24"/>
          <w:szCs w:val="24"/>
          <w:lang w:val="en-US"/>
        </w:rPr>
        <w:t xml:space="preserve"> (0000-0002-1081-7175)</w:t>
      </w:r>
      <w:r w:rsidR="00B6720D">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 xml:space="preserve"> Mariam Samara (0000-0003-2384-273X)</w:t>
      </w:r>
      <w:r w:rsidR="00B6720D">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Tinka</w:t>
      </w:r>
      <w:proofErr w:type="spellEnd"/>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Vidovic</w:t>
      </w:r>
      <w:proofErr w:type="spellEnd"/>
      <w:r w:rsidRPr="00E47A42">
        <w:rPr>
          <w:rFonts w:ascii="Book Antiqua" w:hAnsi="Book Antiqua" w:cs="Times New Roman"/>
          <w:sz w:val="24"/>
          <w:szCs w:val="24"/>
          <w:lang w:val="en-US"/>
        </w:rPr>
        <w:t xml:space="preserve"> (0000-0003-0092-9365)</w:t>
      </w:r>
      <w:r w:rsidR="00B6720D">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Dominik</w:t>
      </w:r>
      <w:proofErr w:type="spellEnd"/>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Malekinusic</w:t>
      </w:r>
      <w:proofErr w:type="spellEnd"/>
      <w:r w:rsidRPr="00E47A42">
        <w:rPr>
          <w:rFonts w:ascii="Book Antiqua" w:hAnsi="Book Antiqua" w:cs="Times New Roman"/>
          <w:sz w:val="24"/>
          <w:szCs w:val="24"/>
          <w:lang w:val="en-US"/>
        </w:rPr>
        <w:t xml:space="preserve"> (</w:t>
      </w:r>
      <w:r w:rsidRPr="00E47A42">
        <w:rPr>
          <w:rFonts w:ascii="Book Antiqua" w:hAnsi="Book Antiqua" w:cs="Times New Roman"/>
          <w:sz w:val="24"/>
          <w:szCs w:val="24"/>
        </w:rPr>
        <w:t>0000-0001-6258-5647)</w:t>
      </w:r>
      <w:r w:rsidR="00B6720D">
        <w:rPr>
          <w:rFonts w:ascii="Book Antiqua" w:hAnsi="Book Antiqua" w:cs="Times New Roman" w:hint="eastAsia"/>
          <w:sz w:val="24"/>
          <w:szCs w:val="24"/>
          <w:lang w:eastAsia="zh-CN"/>
        </w:rPr>
        <w:t>;</w:t>
      </w:r>
      <w:r w:rsidRPr="00E47A42">
        <w:rPr>
          <w:rFonts w:ascii="Book Antiqua" w:hAnsi="Book Antiqua" w:cs="Times New Roman"/>
          <w:sz w:val="24"/>
          <w:szCs w:val="24"/>
        </w:rPr>
        <w:t xml:space="preserve"> Marko Antunovic (0000-0002-3801-5481)</w:t>
      </w:r>
      <w:r w:rsidR="00B6720D">
        <w:rPr>
          <w:rFonts w:ascii="Book Antiqua" w:hAnsi="Book Antiqua" w:cs="Times New Roman" w:hint="eastAsia"/>
          <w:sz w:val="24"/>
          <w:szCs w:val="24"/>
          <w:lang w:eastAsia="zh-CN"/>
        </w:rPr>
        <w:t>;</w:t>
      </w:r>
      <w:r w:rsidRPr="00E47A42">
        <w:rPr>
          <w:rFonts w:ascii="Book Antiqua" w:hAnsi="Book Antiqua" w:cs="Times New Roman"/>
          <w:sz w:val="24"/>
          <w:szCs w:val="24"/>
        </w:rPr>
        <w:t xml:space="preserve"> Borna Vrdoljak (0000-0003-2306-8799)</w:t>
      </w:r>
      <w:r w:rsidR="00B6720D">
        <w:rPr>
          <w:rFonts w:ascii="Book Antiqua" w:hAnsi="Book Antiqua" w:cs="Times New Roman" w:hint="eastAsia"/>
          <w:sz w:val="24"/>
          <w:szCs w:val="24"/>
          <w:lang w:eastAsia="zh-CN"/>
        </w:rPr>
        <w:t>;</w:t>
      </w:r>
      <w:r w:rsidRPr="00E47A42">
        <w:rPr>
          <w:rFonts w:ascii="Book Antiqua" w:hAnsi="Book Antiqua" w:cs="Times New Roman"/>
          <w:sz w:val="24"/>
          <w:szCs w:val="24"/>
        </w:rPr>
        <w:t xml:space="preserve"> Jelena </w:t>
      </w:r>
      <w:r w:rsidRPr="00E47A42">
        <w:rPr>
          <w:rFonts w:ascii="Book Antiqua" w:hAnsi="Book Antiqua" w:cs="Times New Roman"/>
          <w:noProof/>
          <w:sz w:val="24"/>
          <w:szCs w:val="24"/>
        </w:rPr>
        <w:t>Ruzman</w:t>
      </w:r>
      <w:r w:rsidRPr="00E47A42">
        <w:rPr>
          <w:rFonts w:ascii="Book Antiqua" w:hAnsi="Book Antiqua" w:cs="Times New Roman"/>
          <w:sz w:val="24"/>
          <w:szCs w:val="24"/>
        </w:rPr>
        <w:t xml:space="preserve"> (0000-0002-9807-7270)</w:t>
      </w:r>
      <w:r w:rsidR="00B6720D">
        <w:rPr>
          <w:rFonts w:ascii="Book Antiqua" w:hAnsi="Book Antiqua" w:cs="Times New Roman" w:hint="eastAsia"/>
          <w:sz w:val="24"/>
          <w:szCs w:val="24"/>
          <w:lang w:eastAsia="zh-CN"/>
        </w:rPr>
        <w:t>;</w:t>
      </w:r>
      <w:r w:rsidRPr="00E47A42">
        <w:rPr>
          <w:rFonts w:ascii="Book Antiqua" w:hAnsi="Book Antiqua" w:cs="Times New Roman"/>
          <w:sz w:val="24"/>
          <w:szCs w:val="24"/>
        </w:rPr>
        <w:t xml:space="preserve"> Marija Milkovic Perisa (0000-0002-9530-9208)</w:t>
      </w:r>
      <w:r w:rsidR="00B6720D">
        <w:rPr>
          <w:rFonts w:ascii="Book Antiqua" w:hAnsi="Book Antiqua" w:cs="Times New Roman" w:hint="eastAsia"/>
          <w:sz w:val="24"/>
          <w:szCs w:val="24"/>
          <w:lang w:eastAsia="zh-CN"/>
        </w:rPr>
        <w:t>;</w:t>
      </w:r>
      <w:r w:rsidRPr="00E47A42">
        <w:rPr>
          <w:rFonts w:ascii="Book Antiqua" w:hAnsi="Book Antiqua" w:cs="Times New Roman"/>
          <w:sz w:val="24"/>
          <w:szCs w:val="24"/>
        </w:rPr>
        <w:t xml:space="preserve"> Katarina Horvat Pavlov (0000-0002-2661-7346)</w:t>
      </w:r>
      <w:r w:rsidR="00B6720D">
        <w:rPr>
          <w:rFonts w:ascii="Book Antiqua" w:hAnsi="Book Antiqua" w:cs="Times New Roman" w:hint="eastAsia"/>
          <w:sz w:val="24"/>
          <w:szCs w:val="24"/>
          <w:lang w:eastAsia="zh-CN"/>
        </w:rPr>
        <w:t>;</w:t>
      </w:r>
      <w:r w:rsidRPr="00E47A42">
        <w:rPr>
          <w:rFonts w:ascii="Book Antiqua" w:hAnsi="Book Antiqua" w:cs="Times New Roman"/>
          <w:sz w:val="24"/>
          <w:szCs w:val="24"/>
        </w:rPr>
        <w:t xml:space="preserve"> Jerusha Jeyakumar (0000-0003-4883-3899)</w:t>
      </w:r>
      <w:r w:rsidR="00B6720D">
        <w:rPr>
          <w:rFonts w:ascii="Book Antiqua" w:hAnsi="Book Antiqua" w:cs="Times New Roman" w:hint="eastAsia"/>
          <w:sz w:val="24"/>
          <w:szCs w:val="24"/>
          <w:lang w:eastAsia="zh-CN"/>
        </w:rPr>
        <w:t>;</w:t>
      </w:r>
      <w:r w:rsidRPr="00E47A42">
        <w:rPr>
          <w:rFonts w:ascii="Book Antiqua" w:hAnsi="Book Antiqua" w:cs="Times New Roman"/>
          <w:sz w:val="24"/>
          <w:szCs w:val="24"/>
        </w:rPr>
        <w:t xml:space="preserve"> </w:t>
      </w:r>
      <w:r w:rsidRPr="00E47A42">
        <w:rPr>
          <w:rFonts w:ascii="Book Antiqua" w:hAnsi="Book Antiqua" w:cs="Times New Roman"/>
          <w:sz w:val="24"/>
          <w:szCs w:val="24"/>
          <w:lang w:val="en-US"/>
        </w:rPr>
        <w:t xml:space="preserve">Sven </w:t>
      </w:r>
      <w:proofErr w:type="spellStart"/>
      <w:r w:rsidRPr="00E47A42">
        <w:rPr>
          <w:rFonts w:ascii="Book Antiqua" w:hAnsi="Book Antiqua" w:cs="Times New Roman"/>
          <w:sz w:val="24"/>
          <w:szCs w:val="24"/>
          <w:lang w:val="en-US"/>
        </w:rPr>
        <w:t>Seiwerth</w:t>
      </w:r>
      <w:proofErr w:type="spellEnd"/>
      <w:r w:rsidRPr="00E47A42">
        <w:rPr>
          <w:rFonts w:ascii="Book Antiqua" w:hAnsi="Book Antiqua" w:cs="Times New Roman"/>
          <w:sz w:val="24"/>
          <w:szCs w:val="24"/>
          <w:lang w:val="en-US"/>
        </w:rPr>
        <w:t xml:space="preserve"> (0000-0002-5894-419X)</w:t>
      </w:r>
      <w:r w:rsidR="00B6720D">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Predrag</w:t>
      </w:r>
      <w:proofErr w:type="spellEnd"/>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Sikiric</w:t>
      </w:r>
      <w:proofErr w:type="spellEnd"/>
      <w:r w:rsidRPr="00E47A42">
        <w:rPr>
          <w:rFonts w:ascii="Book Antiqua" w:hAnsi="Book Antiqua" w:cs="Times New Roman"/>
          <w:sz w:val="24"/>
          <w:szCs w:val="24"/>
          <w:lang w:val="en-US"/>
        </w:rPr>
        <w:t xml:space="preserve"> (0000-0002-7952-2252)</w:t>
      </w:r>
      <w:r w:rsidR="00B6720D">
        <w:rPr>
          <w:rFonts w:ascii="Book Antiqua" w:hAnsi="Book Antiqua" w:cs="Times New Roman" w:hint="eastAsia"/>
          <w:sz w:val="24"/>
          <w:szCs w:val="24"/>
          <w:lang w:val="en-US" w:eastAsia="zh-CN"/>
        </w:rPr>
        <w:t>.</w:t>
      </w:r>
    </w:p>
    <w:p w14:paraId="01DACFC3" w14:textId="77777777" w:rsidR="005B46CC" w:rsidRPr="00E47A42" w:rsidRDefault="005B46CC" w:rsidP="00F73ADC">
      <w:pPr>
        <w:snapToGrid w:val="0"/>
        <w:spacing w:after="0" w:line="360" w:lineRule="auto"/>
        <w:jc w:val="both"/>
        <w:rPr>
          <w:rFonts w:ascii="Book Antiqua" w:hAnsi="Book Antiqua" w:cs="Times New Roman"/>
          <w:sz w:val="24"/>
          <w:szCs w:val="24"/>
          <w:lang w:val="en-US"/>
        </w:rPr>
      </w:pPr>
    </w:p>
    <w:p w14:paraId="217C8F0E" w14:textId="1F58BD8A" w:rsidR="005A5746" w:rsidRPr="00E47A42" w:rsidRDefault="005A5746" w:rsidP="00F73ADC">
      <w:pPr>
        <w:snapToGrid w:val="0"/>
        <w:spacing w:after="0" w:line="360" w:lineRule="auto"/>
        <w:jc w:val="both"/>
        <w:rPr>
          <w:rFonts w:ascii="Book Antiqua" w:hAnsi="Book Antiqua" w:cs="Times New Roman"/>
          <w:b/>
          <w:sz w:val="24"/>
          <w:szCs w:val="24"/>
          <w:lang w:val="en-US"/>
        </w:rPr>
      </w:pPr>
      <w:r w:rsidRPr="00E47A42">
        <w:rPr>
          <w:rFonts w:ascii="Book Antiqua" w:hAnsi="Book Antiqua" w:cs="Times New Roman"/>
          <w:b/>
          <w:sz w:val="24"/>
          <w:szCs w:val="24"/>
          <w:lang w:val="en-US"/>
        </w:rPr>
        <w:t>Author contributions:</w:t>
      </w:r>
      <w:r w:rsidR="00E47A42">
        <w:rPr>
          <w:rFonts w:ascii="Book Antiqua" w:hAnsi="Book Antiqua" w:cs="Times New Roman" w:hint="eastAsia"/>
          <w:b/>
          <w:sz w:val="24"/>
          <w:szCs w:val="24"/>
          <w:lang w:val="en-US" w:eastAsia="zh-CN"/>
        </w:rPr>
        <w:t xml:space="preserve"> </w:t>
      </w:r>
      <w:proofErr w:type="spellStart"/>
      <w:r w:rsidRPr="00E47A42">
        <w:rPr>
          <w:rFonts w:ascii="Book Antiqua" w:hAnsi="Book Antiqua" w:cs="Times New Roman"/>
          <w:sz w:val="24"/>
          <w:szCs w:val="24"/>
          <w:lang w:val="en-US"/>
        </w:rPr>
        <w:t>Drmic</w:t>
      </w:r>
      <w:proofErr w:type="spellEnd"/>
      <w:r w:rsidRPr="00E47A42">
        <w:rPr>
          <w:rFonts w:ascii="Book Antiqua" w:hAnsi="Book Antiqua" w:cs="Times New Roman"/>
          <w:sz w:val="24"/>
          <w:szCs w:val="24"/>
          <w:lang w:val="en-US"/>
        </w:rPr>
        <w:t xml:space="preserve"> D, </w:t>
      </w:r>
      <w:proofErr w:type="spellStart"/>
      <w:r w:rsidRPr="00E47A42">
        <w:rPr>
          <w:rFonts w:ascii="Book Antiqua" w:hAnsi="Book Antiqua" w:cs="Times New Roman"/>
          <w:sz w:val="24"/>
          <w:szCs w:val="24"/>
          <w:lang w:val="en-US"/>
        </w:rPr>
        <w:t>Seiwerth</w:t>
      </w:r>
      <w:proofErr w:type="spellEnd"/>
      <w:r w:rsidRPr="00E47A42">
        <w:rPr>
          <w:rFonts w:ascii="Book Antiqua" w:hAnsi="Book Antiqua" w:cs="Times New Roman"/>
          <w:sz w:val="24"/>
          <w:szCs w:val="24"/>
          <w:lang w:val="en-US"/>
        </w:rPr>
        <w:t xml:space="preserve"> S and </w:t>
      </w:r>
      <w:proofErr w:type="spellStart"/>
      <w:r w:rsidRPr="00E47A42">
        <w:rPr>
          <w:rFonts w:ascii="Book Antiqua" w:hAnsi="Book Antiqua" w:cs="Times New Roman"/>
          <w:sz w:val="24"/>
          <w:szCs w:val="24"/>
          <w:lang w:val="en-US"/>
        </w:rPr>
        <w:t>Sikiric</w:t>
      </w:r>
      <w:proofErr w:type="spellEnd"/>
      <w:r w:rsidRPr="00E47A42">
        <w:rPr>
          <w:rFonts w:ascii="Book Antiqua" w:hAnsi="Book Antiqua" w:cs="Times New Roman"/>
          <w:sz w:val="24"/>
          <w:szCs w:val="24"/>
          <w:lang w:val="en-US"/>
        </w:rPr>
        <w:t xml:space="preserve"> P designed the research.</w:t>
      </w:r>
      <w:r w:rsidR="00CB6D86">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Drmic D, Samara M, </w:t>
      </w:r>
      <w:proofErr w:type="spellStart"/>
      <w:r w:rsidRPr="00E47A42">
        <w:rPr>
          <w:rFonts w:ascii="Book Antiqua" w:hAnsi="Book Antiqua" w:cs="Times New Roman"/>
          <w:sz w:val="24"/>
          <w:szCs w:val="24"/>
          <w:lang w:val="en-US"/>
        </w:rPr>
        <w:t>Vidovic</w:t>
      </w:r>
      <w:proofErr w:type="spellEnd"/>
      <w:r w:rsidRPr="00E47A42">
        <w:rPr>
          <w:rFonts w:ascii="Book Antiqua" w:hAnsi="Book Antiqua" w:cs="Times New Roman"/>
          <w:sz w:val="24"/>
          <w:szCs w:val="24"/>
          <w:lang w:val="en-US"/>
        </w:rPr>
        <w:t xml:space="preserve"> T, </w:t>
      </w:r>
      <w:proofErr w:type="spellStart"/>
      <w:r w:rsidRPr="00E47A42">
        <w:rPr>
          <w:rFonts w:ascii="Book Antiqua" w:hAnsi="Book Antiqua" w:cs="Times New Roman"/>
          <w:sz w:val="24"/>
          <w:szCs w:val="24"/>
          <w:lang w:val="en-US"/>
        </w:rPr>
        <w:t>Malekinusic</w:t>
      </w:r>
      <w:proofErr w:type="spellEnd"/>
      <w:r w:rsidRPr="00E47A42">
        <w:rPr>
          <w:rFonts w:ascii="Book Antiqua" w:hAnsi="Book Antiqua" w:cs="Times New Roman"/>
          <w:sz w:val="24"/>
          <w:szCs w:val="24"/>
          <w:lang w:val="en-US"/>
        </w:rPr>
        <w:t xml:space="preserve"> D, </w:t>
      </w:r>
      <w:proofErr w:type="spellStart"/>
      <w:r w:rsidRPr="00E47A42">
        <w:rPr>
          <w:rFonts w:ascii="Book Antiqua" w:hAnsi="Book Antiqua" w:cs="Times New Roman"/>
          <w:sz w:val="24"/>
          <w:szCs w:val="24"/>
          <w:lang w:val="en-US"/>
        </w:rPr>
        <w:t>Antunovic</w:t>
      </w:r>
      <w:proofErr w:type="spellEnd"/>
      <w:r w:rsidRPr="00E47A42">
        <w:rPr>
          <w:rFonts w:ascii="Book Antiqua" w:hAnsi="Book Antiqua" w:cs="Times New Roman"/>
          <w:sz w:val="24"/>
          <w:szCs w:val="24"/>
          <w:lang w:val="en-US"/>
        </w:rPr>
        <w:t xml:space="preserve"> M, </w:t>
      </w:r>
      <w:proofErr w:type="spellStart"/>
      <w:r w:rsidRPr="00E47A42">
        <w:rPr>
          <w:rFonts w:ascii="Book Antiqua" w:hAnsi="Book Antiqua" w:cs="Times New Roman"/>
          <w:sz w:val="24"/>
          <w:szCs w:val="24"/>
          <w:lang w:val="en-US"/>
        </w:rPr>
        <w:t>Vrdoljak</w:t>
      </w:r>
      <w:proofErr w:type="spellEnd"/>
      <w:r w:rsidRPr="00E47A42">
        <w:rPr>
          <w:rFonts w:ascii="Book Antiqua" w:hAnsi="Book Antiqua" w:cs="Times New Roman"/>
          <w:sz w:val="24"/>
          <w:szCs w:val="24"/>
          <w:lang w:val="en-US"/>
        </w:rPr>
        <w:t xml:space="preserve"> B, </w:t>
      </w:r>
      <w:proofErr w:type="spellStart"/>
      <w:r w:rsidRPr="00E47A42">
        <w:rPr>
          <w:rFonts w:ascii="Book Antiqua" w:hAnsi="Book Antiqua" w:cs="Times New Roman"/>
          <w:sz w:val="24"/>
          <w:szCs w:val="24"/>
          <w:lang w:val="en-US"/>
        </w:rPr>
        <w:t>Ruzman</w:t>
      </w:r>
      <w:proofErr w:type="spellEnd"/>
      <w:r w:rsidRPr="00E47A42">
        <w:rPr>
          <w:rFonts w:ascii="Book Antiqua" w:hAnsi="Book Antiqua" w:cs="Times New Roman"/>
          <w:sz w:val="24"/>
          <w:szCs w:val="24"/>
          <w:lang w:val="en-US"/>
        </w:rPr>
        <w:t xml:space="preserve"> J,</w:t>
      </w:r>
      <w:r w:rsidR="00926D6D" w:rsidRPr="00E47A42">
        <w:rPr>
          <w:rFonts w:ascii="Book Antiqua" w:hAnsi="Book Antiqua" w:cs="Times New Roman"/>
          <w:sz w:val="24"/>
          <w:szCs w:val="24"/>
          <w:lang w:val="en-US"/>
        </w:rPr>
        <w:t xml:space="preserve"> </w:t>
      </w:r>
      <w:proofErr w:type="spellStart"/>
      <w:r w:rsidR="004C2F23" w:rsidRPr="00E47A42">
        <w:rPr>
          <w:rFonts w:ascii="Book Antiqua" w:hAnsi="Book Antiqua" w:cs="Times New Roman"/>
          <w:sz w:val="24"/>
          <w:szCs w:val="24"/>
          <w:lang w:val="en-US"/>
        </w:rPr>
        <w:t>Milkovic</w:t>
      </w:r>
      <w:proofErr w:type="spellEnd"/>
      <w:r w:rsidR="004C2F23" w:rsidRPr="00E47A42">
        <w:rPr>
          <w:rFonts w:ascii="Book Antiqua" w:hAnsi="Book Antiqua" w:cs="Times New Roman"/>
          <w:sz w:val="24"/>
          <w:szCs w:val="24"/>
          <w:lang w:val="en-US"/>
        </w:rPr>
        <w:t xml:space="preserve"> </w:t>
      </w:r>
      <w:proofErr w:type="spellStart"/>
      <w:r w:rsidR="004C2F23" w:rsidRPr="00E47A42">
        <w:rPr>
          <w:rFonts w:ascii="Book Antiqua" w:hAnsi="Book Antiqua" w:cs="Times New Roman"/>
          <w:sz w:val="24"/>
          <w:szCs w:val="24"/>
          <w:lang w:val="en-US"/>
        </w:rPr>
        <w:t>Perisa</w:t>
      </w:r>
      <w:proofErr w:type="spellEnd"/>
      <w:r w:rsidR="004C2F23" w:rsidRPr="00E47A42">
        <w:rPr>
          <w:rFonts w:ascii="Book Antiqua" w:hAnsi="Book Antiqua" w:cs="Times New Roman"/>
          <w:sz w:val="24"/>
          <w:szCs w:val="24"/>
          <w:lang w:val="en-US"/>
        </w:rPr>
        <w:t xml:space="preserve"> M, </w:t>
      </w:r>
      <w:proofErr w:type="spellStart"/>
      <w:r w:rsidR="00926D6D" w:rsidRPr="00E47A42">
        <w:rPr>
          <w:rFonts w:ascii="Book Antiqua" w:hAnsi="Book Antiqua" w:cs="Times New Roman"/>
          <w:sz w:val="24"/>
          <w:szCs w:val="24"/>
          <w:lang w:val="en-US"/>
        </w:rPr>
        <w:t>Horvat</w:t>
      </w:r>
      <w:proofErr w:type="spellEnd"/>
      <w:r w:rsidR="00926D6D" w:rsidRPr="00E47A42">
        <w:rPr>
          <w:rFonts w:ascii="Book Antiqua" w:hAnsi="Book Antiqua" w:cs="Times New Roman"/>
          <w:sz w:val="24"/>
          <w:szCs w:val="24"/>
          <w:lang w:val="en-US"/>
        </w:rPr>
        <w:t xml:space="preserve"> Pavlov K</w:t>
      </w:r>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Jeyakumar</w:t>
      </w:r>
      <w:proofErr w:type="spellEnd"/>
      <w:r w:rsidRPr="00E47A42">
        <w:rPr>
          <w:rFonts w:ascii="Book Antiqua" w:hAnsi="Book Antiqua" w:cs="Times New Roman"/>
          <w:sz w:val="24"/>
          <w:szCs w:val="24"/>
          <w:lang w:val="en-US"/>
        </w:rPr>
        <w:t xml:space="preserve"> J, </w:t>
      </w:r>
      <w:proofErr w:type="spellStart"/>
      <w:r w:rsidRPr="00E47A42">
        <w:rPr>
          <w:rFonts w:ascii="Book Antiqua" w:hAnsi="Book Antiqua" w:cs="Times New Roman"/>
          <w:sz w:val="24"/>
          <w:szCs w:val="24"/>
          <w:lang w:val="en-US"/>
        </w:rPr>
        <w:t>Seiwerth</w:t>
      </w:r>
      <w:proofErr w:type="spellEnd"/>
      <w:r w:rsidRPr="00E47A42">
        <w:rPr>
          <w:rFonts w:ascii="Book Antiqua" w:hAnsi="Book Antiqua" w:cs="Times New Roman"/>
          <w:sz w:val="24"/>
          <w:szCs w:val="24"/>
          <w:lang w:val="en-US"/>
        </w:rPr>
        <w:t xml:space="preserve"> S and </w:t>
      </w:r>
      <w:proofErr w:type="spellStart"/>
      <w:r w:rsidRPr="00E47A42">
        <w:rPr>
          <w:rFonts w:ascii="Book Antiqua" w:hAnsi="Book Antiqua" w:cs="Times New Roman"/>
          <w:sz w:val="24"/>
          <w:szCs w:val="24"/>
          <w:lang w:val="en-US"/>
        </w:rPr>
        <w:t>Sikiric</w:t>
      </w:r>
      <w:proofErr w:type="spellEnd"/>
      <w:r w:rsidRPr="00E47A42">
        <w:rPr>
          <w:rFonts w:ascii="Book Antiqua" w:hAnsi="Book Antiqua" w:cs="Times New Roman"/>
          <w:sz w:val="24"/>
          <w:szCs w:val="24"/>
          <w:lang w:val="en-US"/>
        </w:rPr>
        <w:t xml:space="preserve"> P </w:t>
      </w:r>
      <w:r w:rsidRPr="00E47A42">
        <w:rPr>
          <w:rFonts w:ascii="Book Antiqua" w:hAnsi="Book Antiqua" w:cs="Times New Roman"/>
          <w:sz w:val="24"/>
          <w:szCs w:val="24"/>
          <w:lang w:val="en-US"/>
        </w:rPr>
        <w:lastRenderedPageBreak/>
        <w:t xml:space="preserve">performed the research. </w:t>
      </w:r>
      <w:proofErr w:type="spellStart"/>
      <w:r w:rsidRPr="00E47A42">
        <w:rPr>
          <w:rFonts w:ascii="Book Antiqua" w:hAnsi="Book Antiqua" w:cs="Times New Roman"/>
          <w:sz w:val="24"/>
          <w:szCs w:val="24"/>
          <w:lang w:val="en-US"/>
        </w:rPr>
        <w:t>Seiwerth</w:t>
      </w:r>
      <w:proofErr w:type="spellEnd"/>
      <w:r w:rsidRPr="00E47A42">
        <w:rPr>
          <w:rFonts w:ascii="Book Antiqua" w:hAnsi="Book Antiqua" w:cs="Times New Roman"/>
          <w:sz w:val="24"/>
          <w:szCs w:val="24"/>
          <w:lang w:val="en-US"/>
        </w:rPr>
        <w:t xml:space="preserve"> S and </w:t>
      </w:r>
      <w:proofErr w:type="spellStart"/>
      <w:r w:rsidRPr="00E47A42">
        <w:rPr>
          <w:rFonts w:ascii="Book Antiqua" w:hAnsi="Book Antiqua" w:cs="Times New Roman"/>
          <w:sz w:val="24"/>
          <w:szCs w:val="24"/>
          <w:lang w:val="en-US"/>
        </w:rPr>
        <w:t>Sikiric</w:t>
      </w:r>
      <w:proofErr w:type="spellEnd"/>
      <w:r w:rsidRPr="00E47A42">
        <w:rPr>
          <w:rFonts w:ascii="Book Antiqua" w:hAnsi="Book Antiqua" w:cs="Times New Roman"/>
          <w:sz w:val="24"/>
          <w:szCs w:val="24"/>
          <w:lang w:val="en-US"/>
        </w:rPr>
        <w:t xml:space="preserve"> P contributed reagents and analytic tools. Drmic D, Samara M, </w:t>
      </w:r>
      <w:proofErr w:type="spellStart"/>
      <w:r w:rsidRPr="00E47A42">
        <w:rPr>
          <w:rFonts w:ascii="Book Antiqua" w:hAnsi="Book Antiqua" w:cs="Times New Roman"/>
          <w:sz w:val="24"/>
          <w:szCs w:val="24"/>
          <w:lang w:val="en-US"/>
        </w:rPr>
        <w:t>Vidovic</w:t>
      </w:r>
      <w:proofErr w:type="spellEnd"/>
      <w:r w:rsidRPr="00E47A42">
        <w:rPr>
          <w:rFonts w:ascii="Book Antiqua" w:hAnsi="Book Antiqua" w:cs="Times New Roman"/>
          <w:sz w:val="24"/>
          <w:szCs w:val="24"/>
          <w:lang w:val="en-US"/>
        </w:rPr>
        <w:t xml:space="preserve"> T, </w:t>
      </w:r>
      <w:proofErr w:type="spellStart"/>
      <w:r w:rsidRPr="00E47A42">
        <w:rPr>
          <w:rFonts w:ascii="Book Antiqua" w:hAnsi="Book Antiqua" w:cs="Times New Roman"/>
          <w:sz w:val="24"/>
          <w:szCs w:val="24"/>
          <w:lang w:val="en-US"/>
        </w:rPr>
        <w:t>Malekinusic</w:t>
      </w:r>
      <w:proofErr w:type="spellEnd"/>
      <w:r w:rsidRPr="00E47A42">
        <w:rPr>
          <w:rFonts w:ascii="Book Antiqua" w:hAnsi="Book Antiqua" w:cs="Times New Roman"/>
          <w:sz w:val="24"/>
          <w:szCs w:val="24"/>
          <w:lang w:val="en-US"/>
        </w:rPr>
        <w:t xml:space="preserve"> D, </w:t>
      </w:r>
      <w:proofErr w:type="spellStart"/>
      <w:r w:rsidRPr="00E47A42">
        <w:rPr>
          <w:rFonts w:ascii="Book Antiqua" w:hAnsi="Book Antiqua" w:cs="Times New Roman"/>
          <w:sz w:val="24"/>
          <w:szCs w:val="24"/>
          <w:lang w:val="en-US"/>
        </w:rPr>
        <w:t>Antunovic</w:t>
      </w:r>
      <w:proofErr w:type="spellEnd"/>
      <w:r w:rsidRPr="00E47A42">
        <w:rPr>
          <w:rFonts w:ascii="Book Antiqua" w:hAnsi="Book Antiqua" w:cs="Times New Roman"/>
          <w:sz w:val="24"/>
          <w:szCs w:val="24"/>
          <w:lang w:val="en-US"/>
        </w:rPr>
        <w:t xml:space="preserve"> M, </w:t>
      </w:r>
      <w:proofErr w:type="spellStart"/>
      <w:r w:rsidRPr="00E47A42">
        <w:rPr>
          <w:rFonts w:ascii="Book Antiqua" w:hAnsi="Book Antiqua" w:cs="Times New Roman"/>
          <w:sz w:val="24"/>
          <w:szCs w:val="24"/>
          <w:lang w:val="en-US"/>
        </w:rPr>
        <w:t>Vrdoljak</w:t>
      </w:r>
      <w:proofErr w:type="spellEnd"/>
      <w:r w:rsidRPr="00E47A42">
        <w:rPr>
          <w:rFonts w:ascii="Book Antiqua" w:hAnsi="Book Antiqua" w:cs="Times New Roman"/>
          <w:sz w:val="24"/>
          <w:szCs w:val="24"/>
          <w:lang w:val="en-US"/>
        </w:rPr>
        <w:t xml:space="preserve"> B, </w:t>
      </w:r>
      <w:r w:rsidRPr="00E47A42">
        <w:rPr>
          <w:rFonts w:ascii="Book Antiqua" w:hAnsi="Book Antiqua" w:cs="Times New Roman"/>
          <w:noProof/>
          <w:sz w:val="24"/>
          <w:szCs w:val="24"/>
          <w:lang w:val="en-US"/>
        </w:rPr>
        <w:t>Ruzman</w:t>
      </w:r>
      <w:r w:rsidRPr="00E47A42">
        <w:rPr>
          <w:rFonts w:ascii="Book Antiqua" w:hAnsi="Book Antiqua" w:cs="Times New Roman"/>
          <w:sz w:val="24"/>
          <w:szCs w:val="24"/>
          <w:lang w:val="en-US"/>
        </w:rPr>
        <w:t xml:space="preserve"> J, </w:t>
      </w:r>
      <w:proofErr w:type="spellStart"/>
      <w:r w:rsidR="004C2F23" w:rsidRPr="00E47A42">
        <w:rPr>
          <w:rFonts w:ascii="Book Antiqua" w:hAnsi="Book Antiqua" w:cs="Times New Roman"/>
          <w:sz w:val="24"/>
          <w:szCs w:val="24"/>
          <w:lang w:val="en-US"/>
        </w:rPr>
        <w:t>Milkovic</w:t>
      </w:r>
      <w:proofErr w:type="spellEnd"/>
      <w:r w:rsidR="004C2F23" w:rsidRPr="00E47A42">
        <w:rPr>
          <w:rFonts w:ascii="Book Antiqua" w:hAnsi="Book Antiqua" w:cs="Times New Roman"/>
          <w:sz w:val="24"/>
          <w:szCs w:val="24"/>
          <w:lang w:val="en-US"/>
        </w:rPr>
        <w:t xml:space="preserve"> </w:t>
      </w:r>
      <w:proofErr w:type="spellStart"/>
      <w:r w:rsidR="004C2F23" w:rsidRPr="00E47A42">
        <w:rPr>
          <w:rFonts w:ascii="Book Antiqua" w:hAnsi="Book Antiqua" w:cs="Times New Roman"/>
          <w:sz w:val="24"/>
          <w:szCs w:val="24"/>
          <w:lang w:val="en-US"/>
        </w:rPr>
        <w:t>Perisa</w:t>
      </w:r>
      <w:proofErr w:type="spellEnd"/>
      <w:r w:rsidR="004C2F23" w:rsidRPr="00E47A42">
        <w:rPr>
          <w:rFonts w:ascii="Book Antiqua" w:hAnsi="Book Antiqua" w:cs="Times New Roman"/>
          <w:sz w:val="24"/>
          <w:szCs w:val="24"/>
          <w:lang w:val="en-US"/>
        </w:rPr>
        <w:t xml:space="preserve"> M, </w:t>
      </w:r>
      <w:proofErr w:type="spellStart"/>
      <w:r w:rsidR="00926D6D" w:rsidRPr="00E47A42">
        <w:rPr>
          <w:rFonts w:ascii="Book Antiqua" w:hAnsi="Book Antiqua" w:cs="Times New Roman"/>
          <w:sz w:val="24"/>
          <w:szCs w:val="24"/>
          <w:lang w:val="en-US"/>
        </w:rPr>
        <w:t>Horvat</w:t>
      </w:r>
      <w:proofErr w:type="spellEnd"/>
      <w:r w:rsidR="00926D6D" w:rsidRPr="00E47A42">
        <w:rPr>
          <w:rFonts w:ascii="Book Antiqua" w:hAnsi="Book Antiqua" w:cs="Times New Roman"/>
          <w:sz w:val="24"/>
          <w:szCs w:val="24"/>
          <w:lang w:val="en-US"/>
        </w:rPr>
        <w:t xml:space="preserve"> Pavlov K</w:t>
      </w:r>
      <w:r w:rsidR="004C2F23"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Jeyakumar</w:t>
      </w:r>
      <w:proofErr w:type="spellEnd"/>
      <w:r w:rsidRPr="00E47A42">
        <w:rPr>
          <w:rFonts w:ascii="Book Antiqua" w:hAnsi="Book Antiqua" w:cs="Times New Roman"/>
          <w:sz w:val="24"/>
          <w:szCs w:val="24"/>
          <w:lang w:val="en-US"/>
        </w:rPr>
        <w:t xml:space="preserve"> J, </w:t>
      </w:r>
      <w:proofErr w:type="spellStart"/>
      <w:r w:rsidRPr="00E47A42">
        <w:rPr>
          <w:rFonts w:ascii="Book Antiqua" w:hAnsi="Book Antiqua" w:cs="Times New Roman"/>
          <w:sz w:val="24"/>
          <w:szCs w:val="24"/>
          <w:lang w:val="en-US"/>
        </w:rPr>
        <w:t>Seiwerth</w:t>
      </w:r>
      <w:proofErr w:type="spellEnd"/>
      <w:r w:rsidRPr="00E47A42">
        <w:rPr>
          <w:rFonts w:ascii="Book Antiqua" w:hAnsi="Book Antiqua" w:cs="Times New Roman"/>
          <w:sz w:val="24"/>
          <w:szCs w:val="24"/>
          <w:lang w:val="en-US"/>
        </w:rPr>
        <w:t xml:space="preserve"> S and </w:t>
      </w:r>
      <w:proofErr w:type="spellStart"/>
      <w:r w:rsidRPr="00E47A42">
        <w:rPr>
          <w:rFonts w:ascii="Book Antiqua" w:hAnsi="Book Antiqua" w:cs="Times New Roman"/>
          <w:sz w:val="24"/>
          <w:szCs w:val="24"/>
          <w:lang w:val="en-US"/>
        </w:rPr>
        <w:t>Sikiric</w:t>
      </w:r>
      <w:proofErr w:type="spellEnd"/>
      <w:r w:rsidRPr="00E47A42">
        <w:rPr>
          <w:rFonts w:ascii="Book Antiqua" w:hAnsi="Book Antiqua" w:cs="Times New Roman"/>
          <w:sz w:val="24"/>
          <w:szCs w:val="24"/>
          <w:lang w:val="en-US"/>
        </w:rPr>
        <w:t xml:space="preserve"> P analyzed the data. </w:t>
      </w:r>
      <w:proofErr w:type="spellStart"/>
      <w:r w:rsidRPr="00E47A42">
        <w:rPr>
          <w:rFonts w:ascii="Book Antiqua" w:hAnsi="Book Antiqua" w:cs="Times New Roman"/>
          <w:sz w:val="24"/>
          <w:szCs w:val="24"/>
          <w:lang w:val="en-US"/>
        </w:rPr>
        <w:t>Drmic</w:t>
      </w:r>
      <w:proofErr w:type="spellEnd"/>
      <w:r w:rsidRPr="00E47A42">
        <w:rPr>
          <w:rFonts w:ascii="Book Antiqua" w:hAnsi="Book Antiqua" w:cs="Times New Roman"/>
          <w:sz w:val="24"/>
          <w:szCs w:val="24"/>
          <w:lang w:val="en-US"/>
        </w:rPr>
        <w:t xml:space="preserve"> D, </w:t>
      </w:r>
      <w:proofErr w:type="spellStart"/>
      <w:r w:rsidRPr="00E47A42">
        <w:rPr>
          <w:rFonts w:ascii="Book Antiqua" w:hAnsi="Book Antiqua" w:cs="Times New Roman"/>
          <w:sz w:val="24"/>
          <w:szCs w:val="24"/>
          <w:lang w:val="en-US"/>
        </w:rPr>
        <w:t>Seiwerth</w:t>
      </w:r>
      <w:proofErr w:type="spellEnd"/>
      <w:r w:rsidRPr="00E47A42">
        <w:rPr>
          <w:rFonts w:ascii="Book Antiqua" w:hAnsi="Book Antiqua" w:cs="Times New Roman"/>
          <w:sz w:val="24"/>
          <w:szCs w:val="24"/>
          <w:lang w:val="en-US"/>
        </w:rPr>
        <w:t xml:space="preserve"> S and </w:t>
      </w:r>
      <w:proofErr w:type="spellStart"/>
      <w:r w:rsidRPr="00E47A42">
        <w:rPr>
          <w:rFonts w:ascii="Book Antiqua" w:hAnsi="Book Antiqua" w:cs="Times New Roman"/>
          <w:sz w:val="24"/>
          <w:szCs w:val="24"/>
          <w:lang w:val="en-US"/>
        </w:rPr>
        <w:t>Sikiric</w:t>
      </w:r>
      <w:proofErr w:type="spellEnd"/>
      <w:r w:rsidRPr="00E47A42">
        <w:rPr>
          <w:rFonts w:ascii="Book Antiqua" w:hAnsi="Book Antiqua" w:cs="Times New Roman"/>
          <w:sz w:val="24"/>
          <w:szCs w:val="24"/>
          <w:lang w:val="en-US"/>
        </w:rPr>
        <w:t xml:space="preserve"> P wrote the paper.</w:t>
      </w:r>
    </w:p>
    <w:p w14:paraId="0CF2F9E0" w14:textId="77777777" w:rsidR="00874396" w:rsidRDefault="00874396" w:rsidP="00F73ADC">
      <w:pPr>
        <w:snapToGrid w:val="0"/>
        <w:spacing w:after="0" w:line="360" w:lineRule="auto"/>
        <w:jc w:val="both"/>
        <w:rPr>
          <w:rFonts w:ascii="Book Antiqua" w:hAnsi="Book Antiqua" w:cs="Times New Roman"/>
          <w:b/>
          <w:sz w:val="24"/>
          <w:szCs w:val="24"/>
          <w:lang w:val="en-US" w:eastAsia="zh-CN"/>
        </w:rPr>
      </w:pPr>
    </w:p>
    <w:p w14:paraId="656095C8" w14:textId="7ADCFA0C" w:rsidR="005A5746" w:rsidRPr="00874396" w:rsidRDefault="005A5746" w:rsidP="00F73ADC">
      <w:pPr>
        <w:snapToGrid w:val="0"/>
        <w:spacing w:after="0" w:line="360" w:lineRule="auto"/>
        <w:jc w:val="both"/>
        <w:rPr>
          <w:rFonts w:ascii="Book Antiqua" w:hAnsi="Book Antiqua" w:cs="Times New Roman"/>
          <w:b/>
          <w:sz w:val="24"/>
          <w:szCs w:val="24"/>
          <w:lang w:val="en-US" w:eastAsia="zh-CN"/>
        </w:rPr>
      </w:pPr>
      <w:r w:rsidRPr="00E47A42">
        <w:rPr>
          <w:rFonts w:ascii="Book Antiqua" w:hAnsi="Book Antiqua" w:cs="Times New Roman"/>
          <w:b/>
          <w:sz w:val="24"/>
          <w:szCs w:val="24"/>
          <w:lang w:val="en-US"/>
        </w:rPr>
        <w:t>Institutional review board statement</w:t>
      </w:r>
      <w:r w:rsidR="00874396">
        <w:rPr>
          <w:rFonts w:ascii="Book Antiqua" w:hAnsi="Book Antiqua" w:cs="Times New Roman" w:hint="eastAsia"/>
          <w:b/>
          <w:sz w:val="24"/>
          <w:szCs w:val="24"/>
          <w:lang w:val="en-US" w:eastAsia="zh-CN"/>
        </w:rPr>
        <w:t xml:space="preserve">: </w:t>
      </w:r>
      <w:r w:rsidRPr="00E47A42">
        <w:rPr>
          <w:rFonts w:ascii="Book Antiqua" w:hAnsi="Book Antiqua" w:cs="Times New Roman"/>
          <w:sz w:val="24"/>
          <w:szCs w:val="24"/>
          <w:lang w:val="en-US"/>
        </w:rPr>
        <w:t>The study was reviewed and approved by the Department of Veterinary, Ministry of Agriculture, Republic of Croatia, No: UP/I 322-01/07-01/210</w:t>
      </w:r>
      <w:r w:rsidR="00B2287D">
        <w:rPr>
          <w:rFonts w:ascii="Book Antiqua" w:hAnsi="Book Antiqua" w:cs="Times New Roman" w:hint="eastAsia"/>
          <w:sz w:val="24"/>
          <w:szCs w:val="24"/>
          <w:lang w:val="en-US" w:eastAsia="zh-CN"/>
        </w:rPr>
        <w:t>.</w:t>
      </w:r>
    </w:p>
    <w:p w14:paraId="609486BA" w14:textId="77777777" w:rsidR="005A5746" w:rsidRPr="00E47A42" w:rsidRDefault="005A5746" w:rsidP="00F73ADC">
      <w:pPr>
        <w:snapToGrid w:val="0"/>
        <w:spacing w:after="0" w:line="360" w:lineRule="auto"/>
        <w:jc w:val="both"/>
        <w:rPr>
          <w:rFonts w:ascii="Book Antiqua" w:hAnsi="Book Antiqua" w:cs="Times New Roman"/>
          <w:sz w:val="24"/>
          <w:szCs w:val="24"/>
          <w:lang w:val="en-US" w:eastAsia="zh-CN"/>
        </w:rPr>
      </w:pPr>
    </w:p>
    <w:p w14:paraId="7EDF7FA7" w14:textId="11894E22" w:rsidR="005A5746" w:rsidRPr="00874396" w:rsidRDefault="005A5746" w:rsidP="00F73ADC">
      <w:pPr>
        <w:snapToGrid w:val="0"/>
        <w:spacing w:after="0" w:line="360" w:lineRule="auto"/>
        <w:jc w:val="both"/>
        <w:rPr>
          <w:rFonts w:ascii="Book Antiqua" w:hAnsi="Book Antiqua" w:cs="Times New Roman"/>
          <w:b/>
          <w:sz w:val="24"/>
          <w:szCs w:val="24"/>
          <w:lang w:val="en-US"/>
        </w:rPr>
      </w:pPr>
      <w:r w:rsidRPr="00E47A42">
        <w:rPr>
          <w:rFonts w:ascii="Book Antiqua" w:hAnsi="Book Antiqua" w:cs="Times New Roman"/>
          <w:b/>
          <w:sz w:val="24"/>
          <w:szCs w:val="24"/>
          <w:lang w:val="en-US"/>
        </w:rPr>
        <w:t>Conflict of interest statement</w:t>
      </w:r>
      <w:r w:rsidR="00874396">
        <w:rPr>
          <w:rFonts w:ascii="Book Antiqua" w:hAnsi="Book Antiqua" w:cs="Times New Roman" w:hint="eastAsia"/>
          <w:b/>
          <w:sz w:val="24"/>
          <w:szCs w:val="24"/>
          <w:lang w:val="en-US" w:eastAsia="zh-CN"/>
        </w:rPr>
        <w:t xml:space="preserve">: </w:t>
      </w:r>
      <w:r w:rsidRPr="00E47A42">
        <w:rPr>
          <w:rFonts w:ascii="Book Antiqua" w:hAnsi="Book Antiqua" w:cs="Times New Roman"/>
          <w:sz w:val="24"/>
          <w:szCs w:val="24"/>
          <w:lang w:val="en-US"/>
        </w:rPr>
        <w:t>The authors state that they have no conflicts of interest.</w:t>
      </w:r>
    </w:p>
    <w:p w14:paraId="5B872E6A" w14:textId="77777777" w:rsidR="00874396" w:rsidRDefault="00874396" w:rsidP="00F73ADC">
      <w:pPr>
        <w:snapToGrid w:val="0"/>
        <w:spacing w:after="0" w:line="360" w:lineRule="auto"/>
        <w:jc w:val="both"/>
        <w:rPr>
          <w:rFonts w:ascii="Book Antiqua" w:hAnsi="Book Antiqua" w:cs="Times New Roman"/>
          <w:b/>
          <w:sz w:val="24"/>
          <w:szCs w:val="24"/>
          <w:lang w:val="en-US" w:eastAsia="zh-CN"/>
        </w:rPr>
      </w:pPr>
    </w:p>
    <w:p w14:paraId="794BC258" w14:textId="2E0F26E2" w:rsidR="005A5746" w:rsidRPr="00874396" w:rsidRDefault="005A5746" w:rsidP="00F73ADC">
      <w:pPr>
        <w:snapToGrid w:val="0"/>
        <w:spacing w:after="0" w:line="360" w:lineRule="auto"/>
        <w:jc w:val="both"/>
        <w:rPr>
          <w:rFonts w:ascii="Book Antiqua" w:hAnsi="Book Antiqua" w:cs="Times New Roman"/>
          <w:b/>
          <w:sz w:val="24"/>
          <w:szCs w:val="24"/>
          <w:lang w:val="en-US"/>
        </w:rPr>
      </w:pPr>
      <w:r w:rsidRPr="00E47A42">
        <w:rPr>
          <w:rFonts w:ascii="Book Antiqua" w:hAnsi="Book Antiqua" w:cs="Times New Roman"/>
          <w:b/>
          <w:sz w:val="24"/>
          <w:szCs w:val="24"/>
          <w:lang w:val="en-US"/>
        </w:rPr>
        <w:t>Data sharing statement</w:t>
      </w:r>
      <w:r w:rsidR="00874396">
        <w:rPr>
          <w:rFonts w:ascii="Book Antiqua" w:hAnsi="Book Antiqua" w:cs="Times New Roman" w:hint="eastAsia"/>
          <w:b/>
          <w:sz w:val="24"/>
          <w:szCs w:val="24"/>
          <w:lang w:val="en-US" w:eastAsia="zh-CN"/>
        </w:rPr>
        <w:t xml:space="preserve">: </w:t>
      </w:r>
      <w:r w:rsidRPr="00E47A42">
        <w:rPr>
          <w:rFonts w:ascii="Book Antiqua" w:hAnsi="Book Antiqua" w:cs="Times New Roman"/>
          <w:sz w:val="24"/>
          <w:szCs w:val="24"/>
          <w:lang w:val="en-US"/>
        </w:rPr>
        <w:t>No additional data are available.</w:t>
      </w:r>
    </w:p>
    <w:p w14:paraId="16536EA4" w14:textId="77777777" w:rsidR="00874396" w:rsidRDefault="00874396" w:rsidP="00F73ADC">
      <w:pPr>
        <w:snapToGrid w:val="0"/>
        <w:spacing w:after="0" w:line="360" w:lineRule="auto"/>
        <w:jc w:val="both"/>
        <w:rPr>
          <w:rFonts w:ascii="Book Antiqua" w:hAnsi="Book Antiqua" w:cs="Times New Roman"/>
          <w:b/>
          <w:sz w:val="24"/>
          <w:szCs w:val="24"/>
          <w:lang w:val="en-US" w:eastAsia="zh-CN"/>
        </w:rPr>
      </w:pPr>
    </w:p>
    <w:p w14:paraId="2B8FBF08" w14:textId="77777777" w:rsidR="002D1D7A" w:rsidRPr="009951B5" w:rsidRDefault="002D1D7A" w:rsidP="00F73ADC">
      <w:pPr>
        <w:pStyle w:val="1"/>
        <w:snapToGrid w:val="0"/>
        <w:spacing w:line="360" w:lineRule="auto"/>
        <w:jc w:val="both"/>
        <w:rPr>
          <w:rFonts w:ascii="Book Antiqua" w:hAnsi="Book Antiqua" w:cs="Times New Roman"/>
          <w:bCs/>
          <w:color w:val="auto"/>
          <w:sz w:val="24"/>
          <w:szCs w:val="24"/>
          <w:highlight w:val="white"/>
          <w:lang w:val="en-US"/>
        </w:rPr>
      </w:pPr>
      <w:r w:rsidRPr="009951B5">
        <w:rPr>
          <w:rFonts w:ascii="Book Antiqua" w:hAnsi="Book Antiqua" w:cs="Times New Roman"/>
          <w:b/>
          <w:bCs/>
          <w:color w:val="auto"/>
          <w:sz w:val="24"/>
          <w:szCs w:val="24"/>
          <w:highlight w:val="white"/>
          <w:lang w:val="en-US"/>
        </w:rPr>
        <w:t>Open-Access:</w:t>
      </w:r>
      <w:r w:rsidRPr="009951B5">
        <w:rPr>
          <w:rFonts w:ascii="Book Antiqua" w:hAnsi="Book Antiqua" w:cs="Times New Roman"/>
          <w:bCs/>
          <w:color w:val="auto"/>
          <w:sz w:val="24"/>
          <w:szCs w:val="24"/>
          <w:highlight w:val="white"/>
          <w:lang w:val="en-US"/>
        </w:rPr>
        <w:t xml:space="preserve"> </w:t>
      </w:r>
      <w:bookmarkStart w:id="0" w:name="OLE_LINK479"/>
      <w:bookmarkStart w:id="1" w:name="OLE_LINK496"/>
      <w:bookmarkStart w:id="2" w:name="OLE_LINK506"/>
      <w:bookmarkStart w:id="3" w:name="OLE_LINK507"/>
      <w:r w:rsidRPr="009951B5">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in</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9951B5">
          <w:rPr>
            <w:rStyle w:val="ad"/>
            <w:rFonts w:ascii="Book Antiqua" w:hAnsi="Book Antiqua" w:cs="Times New Roman"/>
            <w:bCs/>
            <w:color w:val="auto"/>
            <w:sz w:val="24"/>
            <w:szCs w:val="24"/>
            <w:highlight w:val="white"/>
            <w:lang w:val="en-US"/>
          </w:rPr>
          <w:t>http://creativecommons.org/licenses/by-nc/4.0/</w:t>
        </w:r>
      </w:hyperlink>
      <w:bookmarkEnd w:id="0"/>
      <w:bookmarkEnd w:id="1"/>
      <w:bookmarkEnd w:id="2"/>
      <w:bookmarkEnd w:id="3"/>
    </w:p>
    <w:p w14:paraId="44A066E7" w14:textId="77777777" w:rsidR="002D1D7A" w:rsidRPr="009951B5" w:rsidRDefault="002D1D7A" w:rsidP="00F73ADC">
      <w:pPr>
        <w:pStyle w:val="1"/>
        <w:snapToGrid w:val="0"/>
        <w:spacing w:line="360" w:lineRule="auto"/>
        <w:jc w:val="both"/>
        <w:rPr>
          <w:rFonts w:ascii="Book Antiqua" w:hAnsi="Book Antiqua" w:cs="Times New Roman"/>
          <w:b/>
          <w:bCs/>
          <w:color w:val="FF0000"/>
          <w:sz w:val="24"/>
          <w:szCs w:val="24"/>
          <w:highlight w:val="white"/>
          <w:lang w:val="en-US" w:eastAsia="zh-CN"/>
        </w:rPr>
      </w:pPr>
    </w:p>
    <w:p w14:paraId="58989351" w14:textId="77777777" w:rsidR="002D1D7A" w:rsidRPr="009951B5" w:rsidRDefault="002D1D7A" w:rsidP="00F73ADC">
      <w:pPr>
        <w:pStyle w:val="1"/>
        <w:snapToGrid w:val="0"/>
        <w:spacing w:line="360" w:lineRule="auto"/>
        <w:jc w:val="both"/>
        <w:rPr>
          <w:rFonts w:ascii="Book Antiqua" w:hAnsi="Book Antiqua" w:cs="Times New Roman"/>
          <w:b/>
          <w:bCs/>
          <w:color w:val="auto"/>
          <w:sz w:val="24"/>
          <w:szCs w:val="24"/>
          <w:highlight w:val="white"/>
          <w:lang w:val="en-US" w:eastAsia="zh-CN"/>
        </w:rPr>
      </w:pPr>
      <w:r w:rsidRPr="009951B5">
        <w:rPr>
          <w:rFonts w:ascii="Book Antiqua" w:hAnsi="Book Antiqua" w:cs="Times New Roman"/>
          <w:b/>
          <w:bCs/>
          <w:color w:val="auto"/>
          <w:sz w:val="24"/>
          <w:szCs w:val="24"/>
          <w:highlight w:val="white"/>
          <w:lang w:val="en-US"/>
        </w:rPr>
        <w:t>Manuscript source:</w:t>
      </w:r>
      <w:r w:rsidRPr="009951B5">
        <w:rPr>
          <w:rFonts w:ascii="Book Antiqua" w:hAnsi="Book Antiqua" w:cs="Times New Roman"/>
          <w:b/>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Invited manuscript</w:t>
      </w:r>
    </w:p>
    <w:p w14:paraId="63B82C7E" w14:textId="77777777" w:rsidR="002D1D7A" w:rsidRPr="002D1D7A" w:rsidRDefault="002D1D7A" w:rsidP="00F73ADC">
      <w:pPr>
        <w:snapToGrid w:val="0"/>
        <w:spacing w:after="0" w:line="360" w:lineRule="auto"/>
        <w:jc w:val="both"/>
        <w:rPr>
          <w:rFonts w:ascii="Book Antiqua" w:hAnsi="Book Antiqua" w:cs="Times New Roman"/>
          <w:b/>
          <w:sz w:val="24"/>
          <w:szCs w:val="24"/>
          <w:lang w:val="en-US" w:eastAsia="zh-CN"/>
        </w:rPr>
      </w:pPr>
    </w:p>
    <w:p w14:paraId="6F287766" w14:textId="28101F76" w:rsidR="005A5746" w:rsidRPr="00E47A42" w:rsidRDefault="002D1D7A" w:rsidP="00F73ADC">
      <w:pPr>
        <w:snapToGrid w:val="0"/>
        <w:spacing w:after="0" w:line="360" w:lineRule="auto"/>
        <w:jc w:val="both"/>
        <w:rPr>
          <w:rFonts w:ascii="Book Antiqua" w:hAnsi="Book Antiqua" w:cs="Times New Roman"/>
          <w:sz w:val="24"/>
          <w:szCs w:val="24"/>
          <w:lang w:val="en-US" w:eastAsia="zh-CN"/>
        </w:rPr>
      </w:pPr>
      <w:r w:rsidRPr="002D1D7A">
        <w:rPr>
          <w:rFonts w:ascii="Book Antiqua" w:hAnsi="Book Antiqua" w:cs="Times New Roman"/>
          <w:b/>
          <w:sz w:val="24"/>
          <w:szCs w:val="24"/>
          <w:lang w:val="en-US"/>
        </w:rPr>
        <w:t>Corresponding author:</w:t>
      </w:r>
      <w:r>
        <w:rPr>
          <w:rFonts w:ascii="Book Antiqua" w:hAnsi="Book Antiqua" w:cs="Times New Roman" w:hint="eastAsia"/>
          <w:b/>
          <w:sz w:val="24"/>
          <w:szCs w:val="24"/>
          <w:lang w:val="en-US" w:eastAsia="zh-CN"/>
        </w:rPr>
        <w:t xml:space="preserve"> </w:t>
      </w:r>
      <w:proofErr w:type="spellStart"/>
      <w:r w:rsidR="005A5746" w:rsidRPr="00874396">
        <w:rPr>
          <w:rFonts w:ascii="Book Antiqua" w:hAnsi="Book Antiqua" w:cs="Times New Roman"/>
          <w:b/>
          <w:sz w:val="24"/>
          <w:szCs w:val="24"/>
          <w:lang w:val="en-US"/>
        </w:rPr>
        <w:t>Predrag</w:t>
      </w:r>
      <w:proofErr w:type="spellEnd"/>
      <w:r w:rsidR="005A5746" w:rsidRPr="00874396">
        <w:rPr>
          <w:rFonts w:ascii="Book Antiqua" w:hAnsi="Book Antiqua" w:cs="Times New Roman"/>
          <w:b/>
          <w:sz w:val="24"/>
          <w:szCs w:val="24"/>
          <w:lang w:val="en-US"/>
        </w:rPr>
        <w:t xml:space="preserve"> </w:t>
      </w:r>
      <w:proofErr w:type="spellStart"/>
      <w:r w:rsidR="005A5746" w:rsidRPr="00874396">
        <w:rPr>
          <w:rFonts w:ascii="Book Antiqua" w:hAnsi="Book Antiqua" w:cs="Times New Roman"/>
          <w:b/>
          <w:sz w:val="24"/>
          <w:szCs w:val="24"/>
          <w:lang w:val="en-US"/>
        </w:rPr>
        <w:t>Sikiric</w:t>
      </w:r>
      <w:proofErr w:type="spellEnd"/>
      <w:r w:rsidR="005A5746" w:rsidRPr="00874396">
        <w:rPr>
          <w:rFonts w:ascii="Book Antiqua" w:hAnsi="Book Antiqua" w:cs="Times New Roman"/>
          <w:b/>
          <w:sz w:val="24"/>
          <w:szCs w:val="24"/>
          <w:lang w:val="en-US"/>
        </w:rPr>
        <w:t xml:space="preserve">, MD, PhD, Professor, </w:t>
      </w:r>
      <w:r w:rsidR="005A5746" w:rsidRPr="00E47A42">
        <w:rPr>
          <w:rFonts w:ascii="Book Antiqua" w:hAnsi="Book Antiqua" w:cs="Times New Roman"/>
          <w:sz w:val="24"/>
          <w:szCs w:val="24"/>
          <w:lang w:val="en-US"/>
        </w:rPr>
        <w:t xml:space="preserve">Department of Pharmacology, School of Medicine, University of Zagreb, </w:t>
      </w:r>
      <w:proofErr w:type="spellStart"/>
      <w:r w:rsidR="005A5746" w:rsidRPr="00E47A42">
        <w:rPr>
          <w:rFonts w:ascii="Book Antiqua" w:hAnsi="Book Antiqua" w:cs="Times New Roman"/>
          <w:sz w:val="24"/>
          <w:szCs w:val="24"/>
          <w:lang w:val="en-US"/>
        </w:rPr>
        <w:t>Salata</w:t>
      </w:r>
      <w:proofErr w:type="spellEnd"/>
      <w:r w:rsidR="005A5746" w:rsidRPr="00E47A42">
        <w:rPr>
          <w:rFonts w:ascii="Book Antiqua" w:hAnsi="Book Antiqua" w:cs="Times New Roman"/>
          <w:sz w:val="24"/>
          <w:szCs w:val="24"/>
          <w:lang w:val="en-US"/>
        </w:rPr>
        <w:t xml:space="preserve"> 11, POB 916, Zagreb</w:t>
      </w:r>
      <w:r w:rsidR="00874396">
        <w:rPr>
          <w:rFonts w:ascii="Book Antiqua" w:hAnsi="Book Antiqua" w:cs="Times New Roman" w:hint="eastAsia"/>
          <w:sz w:val="24"/>
          <w:szCs w:val="24"/>
          <w:lang w:val="en-US" w:eastAsia="zh-CN"/>
        </w:rPr>
        <w:t xml:space="preserve"> </w:t>
      </w:r>
      <w:r w:rsidR="00874396" w:rsidRPr="00E47A42">
        <w:rPr>
          <w:rFonts w:ascii="Book Antiqua" w:hAnsi="Book Antiqua" w:cs="Times New Roman"/>
          <w:sz w:val="24"/>
          <w:szCs w:val="24"/>
          <w:lang w:val="en-US"/>
        </w:rPr>
        <w:t>10000</w:t>
      </w:r>
      <w:r w:rsidR="005A5746" w:rsidRPr="00E47A42">
        <w:rPr>
          <w:rFonts w:ascii="Book Antiqua" w:hAnsi="Book Antiqua" w:cs="Times New Roman"/>
          <w:sz w:val="24"/>
          <w:szCs w:val="24"/>
          <w:lang w:val="en-US"/>
        </w:rPr>
        <w:t xml:space="preserve">, </w:t>
      </w:r>
      <w:r w:rsidR="00874396">
        <w:rPr>
          <w:rFonts w:ascii="Book Antiqua" w:hAnsi="Book Antiqua" w:cs="Times New Roman"/>
          <w:sz w:val="24"/>
          <w:szCs w:val="24"/>
          <w:lang w:val="en-US"/>
        </w:rPr>
        <w:t>Croatia.</w:t>
      </w:r>
      <w:r w:rsidR="00CB6D86">
        <w:rPr>
          <w:rFonts w:ascii="Book Antiqua" w:hAnsi="Book Antiqua" w:cs="Times New Roman"/>
          <w:sz w:val="24"/>
          <w:szCs w:val="24"/>
          <w:lang w:val="en-US"/>
        </w:rPr>
        <w:t xml:space="preserve"> </w:t>
      </w:r>
      <w:r w:rsidR="00874396">
        <w:rPr>
          <w:rFonts w:ascii="Book Antiqua" w:hAnsi="Book Antiqua" w:cs="Times New Roman"/>
          <w:sz w:val="24"/>
          <w:szCs w:val="24"/>
          <w:lang w:val="en-US"/>
        </w:rPr>
        <w:t xml:space="preserve">sikiric@mef.hr </w:t>
      </w:r>
    </w:p>
    <w:p w14:paraId="4619D3E2" w14:textId="77777777" w:rsidR="00874396" w:rsidRDefault="005A5746" w:rsidP="00F73ADC">
      <w:pPr>
        <w:snapToGrid w:val="0"/>
        <w:spacing w:after="0" w:line="360" w:lineRule="auto"/>
        <w:jc w:val="both"/>
        <w:rPr>
          <w:rFonts w:ascii="Book Antiqua" w:hAnsi="Book Antiqua" w:cs="Times New Roman"/>
          <w:sz w:val="24"/>
          <w:szCs w:val="24"/>
          <w:lang w:val="en-US" w:eastAsia="zh-CN"/>
        </w:rPr>
      </w:pPr>
      <w:r w:rsidRPr="00874396">
        <w:rPr>
          <w:rFonts w:ascii="Book Antiqua" w:hAnsi="Book Antiqua" w:cs="Times New Roman"/>
          <w:b/>
          <w:sz w:val="24"/>
          <w:szCs w:val="24"/>
          <w:lang w:val="en-US"/>
        </w:rPr>
        <w:t>Telephone:</w:t>
      </w:r>
      <w:r w:rsidRPr="00E47A42">
        <w:rPr>
          <w:rFonts w:ascii="Book Antiqua" w:hAnsi="Book Antiqua" w:cs="Times New Roman"/>
          <w:sz w:val="24"/>
          <w:szCs w:val="24"/>
          <w:lang w:val="en-US"/>
        </w:rPr>
        <w:t xml:space="preserve"> +385-1-4566833</w:t>
      </w:r>
    </w:p>
    <w:p w14:paraId="78499430" w14:textId="67E25C51" w:rsidR="002410ED" w:rsidRPr="00E47A42" w:rsidRDefault="005A5746" w:rsidP="00F73ADC">
      <w:pPr>
        <w:snapToGrid w:val="0"/>
        <w:spacing w:after="0" w:line="360" w:lineRule="auto"/>
        <w:jc w:val="both"/>
        <w:rPr>
          <w:rFonts w:ascii="Book Antiqua" w:hAnsi="Book Antiqua" w:cs="Times New Roman"/>
          <w:sz w:val="24"/>
          <w:szCs w:val="24"/>
          <w:lang w:val="en-US"/>
        </w:rPr>
      </w:pPr>
      <w:r w:rsidRPr="00874396">
        <w:rPr>
          <w:rFonts w:ascii="Book Antiqua" w:hAnsi="Book Antiqua" w:cs="Times New Roman"/>
          <w:b/>
          <w:sz w:val="24"/>
          <w:szCs w:val="24"/>
          <w:lang w:val="en-US"/>
        </w:rPr>
        <w:t>Fax:</w:t>
      </w:r>
      <w:r w:rsidRPr="00E47A42">
        <w:rPr>
          <w:rFonts w:ascii="Book Antiqua" w:hAnsi="Book Antiqua" w:cs="Times New Roman"/>
          <w:sz w:val="24"/>
          <w:szCs w:val="24"/>
          <w:lang w:val="en-US"/>
        </w:rPr>
        <w:t xml:space="preserve"> +385-1-4920050</w:t>
      </w:r>
    </w:p>
    <w:p w14:paraId="66BAD6B4" w14:textId="77777777" w:rsidR="002D1D7A" w:rsidRDefault="002D1D7A" w:rsidP="00F73ADC">
      <w:pPr>
        <w:snapToGrid w:val="0"/>
        <w:spacing w:after="0" w:line="360" w:lineRule="auto"/>
        <w:rPr>
          <w:rFonts w:ascii="Book Antiqua" w:hAnsi="Book Antiqua" w:cs="Times New Roman"/>
          <w:sz w:val="24"/>
          <w:szCs w:val="24"/>
          <w:lang w:val="en-US" w:eastAsia="zh-CN"/>
        </w:rPr>
      </w:pPr>
    </w:p>
    <w:p w14:paraId="33CC2529" w14:textId="275EA166" w:rsidR="002D1D7A" w:rsidRPr="002D1D7A" w:rsidRDefault="002D1D7A" w:rsidP="00F73ADC">
      <w:pPr>
        <w:snapToGrid w:val="0"/>
        <w:spacing w:after="0" w:line="360" w:lineRule="auto"/>
        <w:rPr>
          <w:rFonts w:ascii="Book Antiqua" w:hAnsi="Book Antiqua" w:cs="Times New Roman"/>
          <w:b/>
          <w:sz w:val="24"/>
          <w:szCs w:val="24"/>
          <w:lang w:val="en-US" w:eastAsia="zh-CN"/>
        </w:rPr>
      </w:pPr>
      <w:r w:rsidRPr="002D1D7A">
        <w:rPr>
          <w:rFonts w:ascii="Book Antiqua" w:hAnsi="Book Antiqua" w:cs="Times New Roman"/>
          <w:b/>
          <w:sz w:val="24"/>
          <w:szCs w:val="24"/>
          <w:lang w:val="en-US" w:eastAsia="zh-CN"/>
        </w:rPr>
        <w:t>Received:</w:t>
      </w:r>
      <w:r>
        <w:rPr>
          <w:rFonts w:ascii="Book Antiqua" w:hAnsi="Book Antiqua" w:cs="Times New Roman" w:hint="eastAsia"/>
          <w:b/>
          <w:sz w:val="24"/>
          <w:szCs w:val="24"/>
          <w:lang w:val="en-US" w:eastAsia="zh-CN"/>
        </w:rPr>
        <w:t xml:space="preserve"> </w:t>
      </w:r>
      <w:r w:rsidR="001B503A" w:rsidRPr="001B503A">
        <w:rPr>
          <w:rFonts w:ascii="Book Antiqua" w:hAnsi="Book Antiqua" w:cs="Times New Roman" w:hint="eastAsia"/>
          <w:sz w:val="24"/>
          <w:szCs w:val="24"/>
          <w:lang w:val="en-US" w:eastAsia="zh-CN"/>
        </w:rPr>
        <w:t>August 20, 2018</w:t>
      </w:r>
    </w:p>
    <w:p w14:paraId="39BA780D" w14:textId="4F220D10" w:rsidR="002D1D7A" w:rsidRPr="002D1D7A" w:rsidRDefault="002D1D7A" w:rsidP="00F73ADC">
      <w:pPr>
        <w:snapToGrid w:val="0"/>
        <w:spacing w:after="0" w:line="360" w:lineRule="auto"/>
        <w:rPr>
          <w:rFonts w:ascii="Book Antiqua" w:hAnsi="Book Antiqua" w:cs="Times New Roman"/>
          <w:b/>
          <w:sz w:val="24"/>
          <w:szCs w:val="24"/>
          <w:lang w:val="en-US" w:eastAsia="zh-CN"/>
        </w:rPr>
      </w:pPr>
      <w:r w:rsidRPr="002D1D7A">
        <w:rPr>
          <w:rFonts w:ascii="Book Antiqua" w:hAnsi="Book Antiqua" w:cs="Times New Roman"/>
          <w:b/>
          <w:sz w:val="24"/>
          <w:szCs w:val="24"/>
          <w:lang w:val="en-US" w:eastAsia="zh-CN"/>
        </w:rPr>
        <w:lastRenderedPageBreak/>
        <w:t>Peer-review started:</w:t>
      </w:r>
      <w:r w:rsidR="001B503A">
        <w:rPr>
          <w:rFonts w:ascii="Book Antiqua" w:hAnsi="Book Antiqua" w:cs="Times New Roman" w:hint="eastAsia"/>
          <w:b/>
          <w:sz w:val="24"/>
          <w:szCs w:val="24"/>
          <w:lang w:val="en-US" w:eastAsia="zh-CN"/>
        </w:rPr>
        <w:t xml:space="preserve"> </w:t>
      </w:r>
      <w:r w:rsidR="001B503A" w:rsidRPr="001B503A">
        <w:rPr>
          <w:rFonts w:ascii="Book Antiqua" w:hAnsi="Book Antiqua" w:cs="Times New Roman" w:hint="eastAsia"/>
          <w:sz w:val="24"/>
          <w:szCs w:val="24"/>
          <w:lang w:val="en-US" w:eastAsia="zh-CN"/>
        </w:rPr>
        <w:t>August 20, 2018</w:t>
      </w:r>
    </w:p>
    <w:p w14:paraId="419C629D" w14:textId="685BFFD8" w:rsidR="002D1D7A" w:rsidRPr="002D1D7A" w:rsidRDefault="002D1D7A" w:rsidP="00F73ADC">
      <w:pPr>
        <w:snapToGrid w:val="0"/>
        <w:spacing w:after="0" w:line="360" w:lineRule="auto"/>
        <w:rPr>
          <w:rFonts w:ascii="Book Antiqua" w:hAnsi="Book Antiqua" w:cs="Times New Roman"/>
          <w:b/>
          <w:sz w:val="24"/>
          <w:szCs w:val="24"/>
          <w:lang w:val="en-US" w:eastAsia="zh-CN"/>
        </w:rPr>
      </w:pPr>
      <w:r w:rsidRPr="002D1D7A">
        <w:rPr>
          <w:rFonts w:ascii="Book Antiqua" w:hAnsi="Book Antiqua" w:cs="Times New Roman"/>
          <w:b/>
          <w:sz w:val="24"/>
          <w:szCs w:val="24"/>
          <w:lang w:val="en-US" w:eastAsia="zh-CN"/>
        </w:rPr>
        <w:t>First decision:</w:t>
      </w:r>
      <w:r w:rsidR="001B503A">
        <w:rPr>
          <w:rFonts w:ascii="Book Antiqua" w:hAnsi="Book Antiqua" w:cs="Times New Roman" w:hint="eastAsia"/>
          <w:b/>
          <w:sz w:val="24"/>
          <w:szCs w:val="24"/>
          <w:lang w:val="en-US" w:eastAsia="zh-CN"/>
        </w:rPr>
        <w:t xml:space="preserve"> </w:t>
      </w:r>
      <w:r w:rsidR="001B503A" w:rsidRPr="001B503A">
        <w:rPr>
          <w:rFonts w:ascii="Book Antiqua" w:hAnsi="Book Antiqua" w:cs="Times New Roman" w:hint="eastAsia"/>
          <w:sz w:val="24"/>
          <w:szCs w:val="24"/>
          <w:lang w:val="en-US" w:eastAsia="zh-CN"/>
        </w:rPr>
        <w:t>October 8, 2018</w:t>
      </w:r>
    </w:p>
    <w:p w14:paraId="277FFD59" w14:textId="3C7EA254" w:rsidR="002D1D7A" w:rsidRPr="002D1D7A" w:rsidRDefault="002D1D7A" w:rsidP="00F73ADC">
      <w:pPr>
        <w:snapToGrid w:val="0"/>
        <w:spacing w:after="0" w:line="360" w:lineRule="auto"/>
        <w:rPr>
          <w:rFonts w:ascii="Book Antiqua" w:hAnsi="Book Antiqua" w:cs="Times New Roman"/>
          <w:b/>
          <w:sz w:val="24"/>
          <w:szCs w:val="24"/>
          <w:lang w:val="en-US" w:eastAsia="zh-CN"/>
        </w:rPr>
      </w:pPr>
      <w:r w:rsidRPr="002D1D7A">
        <w:rPr>
          <w:rFonts w:ascii="Book Antiqua" w:hAnsi="Book Antiqua" w:cs="Times New Roman"/>
          <w:b/>
          <w:sz w:val="24"/>
          <w:szCs w:val="24"/>
          <w:lang w:val="en-US" w:eastAsia="zh-CN"/>
        </w:rPr>
        <w:t>Revised:</w:t>
      </w:r>
      <w:r w:rsidR="001B503A">
        <w:rPr>
          <w:rFonts w:ascii="Book Antiqua" w:hAnsi="Book Antiqua" w:cs="Times New Roman" w:hint="eastAsia"/>
          <w:b/>
          <w:sz w:val="24"/>
          <w:szCs w:val="24"/>
          <w:lang w:val="en-US" w:eastAsia="zh-CN"/>
        </w:rPr>
        <w:t xml:space="preserve"> </w:t>
      </w:r>
      <w:r w:rsidR="001B503A" w:rsidRPr="001B503A">
        <w:rPr>
          <w:rFonts w:ascii="Book Antiqua" w:hAnsi="Book Antiqua" w:cs="Times New Roman" w:hint="eastAsia"/>
          <w:sz w:val="24"/>
          <w:szCs w:val="24"/>
          <w:lang w:val="en-US" w:eastAsia="zh-CN"/>
        </w:rPr>
        <w:t>December 5, 2018</w:t>
      </w:r>
    </w:p>
    <w:p w14:paraId="742710C7" w14:textId="63997144" w:rsidR="002D1D7A" w:rsidRPr="002D1D7A" w:rsidRDefault="002D1D7A" w:rsidP="00F73ADC">
      <w:pPr>
        <w:snapToGrid w:val="0"/>
        <w:spacing w:after="0" w:line="360" w:lineRule="auto"/>
        <w:rPr>
          <w:rFonts w:ascii="Book Antiqua" w:hAnsi="Book Antiqua" w:cs="Times New Roman"/>
          <w:b/>
          <w:sz w:val="24"/>
          <w:szCs w:val="24"/>
          <w:lang w:val="en-US" w:eastAsia="zh-CN"/>
        </w:rPr>
      </w:pPr>
      <w:r w:rsidRPr="002D1D7A">
        <w:rPr>
          <w:rFonts w:ascii="Book Antiqua" w:hAnsi="Book Antiqua" w:cs="Times New Roman"/>
          <w:b/>
          <w:sz w:val="24"/>
          <w:szCs w:val="24"/>
          <w:lang w:val="en-US" w:eastAsia="zh-CN"/>
        </w:rPr>
        <w:t>Accepted:</w:t>
      </w:r>
      <w:r w:rsidR="005D20D2" w:rsidRPr="005D20D2">
        <w:t xml:space="preserve"> </w:t>
      </w:r>
      <w:r w:rsidR="005D20D2" w:rsidRPr="005D20D2">
        <w:rPr>
          <w:rFonts w:ascii="Book Antiqua" w:hAnsi="Book Antiqua" w:cs="Times New Roman"/>
          <w:sz w:val="24"/>
          <w:szCs w:val="24"/>
          <w:lang w:val="en-US" w:eastAsia="zh-CN"/>
        </w:rPr>
        <w:t>December 19, 2018</w:t>
      </w:r>
    </w:p>
    <w:p w14:paraId="19BB8D25" w14:textId="2F1620E9" w:rsidR="002D1D7A" w:rsidRPr="002D1D7A" w:rsidRDefault="002D1D7A" w:rsidP="00F73ADC">
      <w:pPr>
        <w:snapToGrid w:val="0"/>
        <w:spacing w:after="0" w:line="360" w:lineRule="auto"/>
        <w:rPr>
          <w:rFonts w:ascii="Book Antiqua" w:hAnsi="Book Antiqua" w:cs="Times New Roman"/>
          <w:b/>
          <w:sz w:val="24"/>
          <w:szCs w:val="24"/>
          <w:lang w:val="en-US" w:eastAsia="zh-CN"/>
        </w:rPr>
      </w:pPr>
      <w:r w:rsidRPr="002D1D7A">
        <w:rPr>
          <w:rFonts w:ascii="Book Antiqua" w:hAnsi="Book Antiqua" w:cs="Times New Roman"/>
          <w:b/>
          <w:sz w:val="24"/>
          <w:szCs w:val="24"/>
          <w:lang w:val="en-US" w:eastAsia="zh-CN"/>
        </w:rPr>
        <w:t>Article in press:</w:t>
      </w:r>
      <w:r w:rsidR="008369A6" w:rsidRPr="008369A6">
        <w:rPr>
          <w:rFonts w:ascii="Book Antiqua" w:hAnsi="Book Antiqua" w:cs="Times New Roman"/>
          <w:b/>
          <w:sz w:val="24"/>
          <w:szCs w:val="24"/>
          <w:lang w:val="en-US" w:eastAsia="zh-CN"/>
        </w:rPr>
        <w:t xml:space="preserve"> </w:t>
      </w:r>
      <w:r w:rsidR="008369A6" w:rsidRPr="008369A6">
        <w:rPr>
          <w:rFonts w:ascii="Book Antiqua" w:hAnsi="Book Antiqua" w:cs="Times New Roman"/>
          <w:sz w:val="24"/>
          <w:szCs w:val="24"/>
          <w:lang w:val="en-US" w:eastAsia="zh-CN"/>
        </w:rPr>
        <w:t>December 19, 2018</w:t>
      </w:r>
    </w:p>
    <w:p w14:paraId="4B2278AB" w14:textId="19DEF928" w:rsidR="002D1D7A" w:rsidRPr="002D1D7A" w:rsidRDefault="002D1D7A" w:rsidP="00F73ADC">
      <w:pPr>
        <w:snapToGrid w:val="0"/>
        <w:spacing w:after="0" w:line="360" w:lineRule="auto"/>
        <w:rPr>
          <w:rFonts w:ascii="Book Antiqua" w:hAnsi="Book Antiqua" w:cs="Times New Roman"/>
          <w:b/>
          <w:sz w:val="24"/>
          <w:szCs w:val="24"/>
          <w:lang w:val="pl-PL" w:eastAsia="zh-CN"/>
        </w:rPr>
      </w:pPr>
      <w:r w:rsidRPr="002D1D7A">
        <w:rPr>
          <w:rFonts w:ascii="Book Antiqua" w:hAnsi="Book Antiqua" w:cs="Times New Roman"/>
          <w:b/>
          <w:sz w:val="24"/>
          <w:szCs w:val="24"/>
          <w:lang w:val="pl-PL" w:eastAsia="zh-CN"/>
        </w:rPr>
        <w:t>Published online:</w:t>
      </w:r>
      <w:r w:rsidR="008369A6" w:rsidRPr="008369A6">
        <w:rPr>
          <w:rFonts w:ascii="Book Antiqua" w:hAnsi="Book Antiqua" w:cs="Times New Roman"/>
          <w:sz w:val="24"/>
          <w:szCs w:val="24"/>
          <w:lang w:val="en-US" w:eastAsia="zh-CN"/>
        </w:rPr>
        <w:t xml:space="preserve"> December </w:t>
      </w:r>
      <w:r w:rsidR="008369A6">
        <w:rPr>
          <w:rFonts w:ascii="Book Antiqua" w:hAnsi="Book Antiqua" w:cs="Times New Roman" w:hint="eastAsia"/>
          <w:sz w:val="24"/>
          <w:szCs w:val="24"/>
          <w:lang w:val="en-US" w:eastAsia="zh-CN"/>
        </w:rPr>
        <w:t>28</w:t>
      </w:r>
      <w:r w:rsidR="008369A6" w:rsidRPr="008369A6">
        <w:rPr>
          <w:rFonts w:ascii="Book Antiqua" w:hAnsi="Book Antiqua" w:cs="Times New Roman"/>
          <w:sz w:val="24"/>
          <w:szCs w:val="24"/>
          <w:lang w:val="en-US" w:eastAsia="zh-CN"/>
        </w:rPr>
        <w:t>, 2018</w:t>
      </w:r>
    </w:p>
    <w:p w14:paraId="28CB9F3E" w14:textId="77777777" w:rsidR="002D1D7A" w:rsidRDefault="002D1D7A" w:rsidP="00F73ADC">
      <w:pPr>
        <w:snapToGrid w:val="0"/>
        <w:spacing w:after="0" w:line="360" w:lineRule="auto"/>
        <w:rPr>
          <w:rFonts w:ascii="Book Antiqua" w:hAnsi="Book Antiqua" w:cs="Times New Roman"/>
          <w:sz w:val="24"/>
          <w:szCs w:val="24"/>
          <w:lang w:val="en-US" w:eastAsia="zh-CN"/>
        </w:rPr>
      </w:pPr>
    </w:p>
    <w:p w14:paraId="68ACF0B4" w14:textId="2E76954C" w:rsidR="00874396" w:rsidRDefault="00874396" w:rsidP="00F73ADC">
      <w:pPr>
        <w:snapToGrid w:val="0"/>
        <w:spacing w:after="0" w:line="360" w:lineRule="auto"/>
        <w:rPr>
          <w:rFonts w:ascii="Book Antiqua" w:hAnsi="Book Antiqua" w:cs="Times New Roman"/>
          <w:sz w:val="24"/>
          <w:szCs w:val="24"/>
          <w:lang w:val="en-US"/>
        </w:rPr>
      </w:pPr>
      <w:r>
        <w:rPr>
          <w:rFonts w:ascii="Book Antiqua" w:hAnsi="Book Antiqua" w:cs="Times New Roman"/>
          <w:sz w:val="24"/>
          <w:szCs w:val="24"/>
          <w:lang w:val="en-US"/>
        </w:rPr>
        <w:br w:type="page"/>
      </w:r>
    </w:p>
    <w:p w14:paraId="3C6FA676" w14:textId="77777777" w:rsidR="00874396" w:rsidRPr="00E47A42" w:rsidRDefault="00874396" w:rsidP="00F73ADC">
      <w:pPr>
        <w:snapToGrid w:val="0"/>
        <w:spacing w:after="0" w:line="360" w:lineRule="auto"/>
        <w:jc w:val="both"/>
        <w:rPr>
          <w:rFonts w:ascii="Book Antiqua" w:hAnsi="Book Antiqua" w:cs="Times New Roman"/>
          <w:b/>
          <w:sz w:val="24"/>
          <w:szCs w:val="24"/>
          <w:lang w:val="en-US"/>
        </w:rPr>
      </w:pPr>
      <w:r w:rsidRPr="00E47A42">
        <w:rPr>
          <w:rFonts w:ascii="Book Antiqua" w:hAnsi="Book Antiqua" w:cs="Times New Roman"/>
          <w:b/>
          <w:sz w:val="24"/>
          <w:szCs w:val="24"/>
          <w:lang w:val="en-US"/>
        </w:rPr>
        <w:lastRenderedPageBreak/>
        <w:t>Abstract</w:t>
      </w:r>
    </w:p>
    <w:p w14:paraId="35721D6F" w14:textId="77777777" w:rsidR="00874396" w:rsidRPr="00437990" w:rsidRDefault="00874396" w:rsidP="00F73ADC">
      <w:pPr>
        <w:snapToGrid w:val="0"/>
        <w:spacing w:after="0" w:line="360" w:lineRule="auto"/>
        <w:jc w:val="both"/>
        <w:rPr>
          <w:rFonts w:ascii="Book Antiqua" w:hAnsi="Book Antiqua" w:cs="Times New Roman"/>
          <w:b/>
          <w:i/>
          <w:sz w:val="24"/>
          <w:szCs w:val="24"/>
          <w:lang w:val="en-US" w:eastAsia="zh-CN"/>
        </w:rPr>
      </w:pPr>
      <w:r w:rsidRPr="00437990">
        <w:rPr>
          <w:rFonts w:ascii="Book Antiqua" w:hAnsi="Book Antiqua" w:cs="Times New Roman"/>
          <w:b/>
          <w:i/>
          <w:sz w:val="24"/>
          <w:szCs w:val="24"/>
          <w:lang w:val="en-US"/>
        </w:rPr>
        <w:t>AIM</w:t>
      </w:r>
    </w:p>
    <w:p w14:paraId="2251CE3E" w14:textId="2BC2CF75" w:rsidR="00874396" w:rsidRPr="00E47A42" w:rsidRDefault="00182D2A" w:rsidP="00F73ADC">
      <w:pPr>
        <w:snapToGrid w:val="0"/>
        <w:spacing w:after="0" w:line="360" w:lineRule="auto"/>
        <w:jc w:val="both"/>
        <w:rPr>
          <w:rFonts w:ascii="Book Antiqua" w:hAnsi="Book Antiqua" w:cs="Times New Roman"/>
          <w:sz w:val="24"/>
          <w:szCs w:val="24"/>
          <w:lang w:val="en-US"/>
        </w:rPr>
      </w:pPr>
      <w:r>
        <w:rPr>
          <w:rFonts w:ascii="Book Antiqua" w:hAnsi="Book Antiqua" w:cs="Times New Roman" w:hint="eastAsia"/>
          <w:sz w:val="24"/>
          <w:szCs w:val="24"/>
          <w:lang w:val="en-US" w:eastAsia="zh-CN"/>
        </w:rPr>
        <w:t xml:space="preserve">To study </w:t>
      </w:r>
      <w:r w:rsidR="000E47DF">
        <w:rPr>
          <w:rFonts w:ascii="Book Antiqua" w:hAnsi="Book Antiqua" w:cs="Times New Roman" w:hint="eastAsia"/>
          <w:sz w:val="24"/>
          <w:szCs w:val="24"/>
          <w:lang w:val="en-US" w:eastAsia="zh-CN"/>
        </w:rPr>
        <w:t xml:space="preserve">the </w:t>
      </w:r>
      <w:r w:rsidRPr="00E47A42">
        <w:rPr>
          <w:rFonts w:ascii="Book Antiqua" w:hAnsi="Book Antiqua" w:cs="Times New Roman"/>
          <w:sz w:val="24"/>
          <w:szCs w:val="24"/>
          <w:lang w:val="en-US"/>
        </w:rPr>
        <w:t>c</w:t>
      </w:r>
      <w:r w:rsidR="00874396" w:rsidRPr="00E47A42">
        <w:rPr>
          <w:rFonts w:ascii="Book Antiqua" w:hAnsi="Book Antiqua" w:cs="Times New Roman"/>
          <w:sz w:val="24"/>
          <w:szCs w:val="24"/>
          <w:lang w:val="en-US"/>
        </w:rPr>
        <w:t>ounteraction of perforated caecum lesion using BPC 157 and</w:t>
      </w:r>
      <w:r w:rsidR="008712DE">
        <w:rPr>
          <w:rFonts w:ascii="Book Antiqua" w:hAnsi="Book Antiqua" w:cs="Times New Roman" w:hint="eastAsia"/>
          <w:sz w:val="24"/>
          <w:szCs w:val="24"/>
          <w:lang w:val="en-US" w:eastAsia="zh-CN"/>
        </w:rPr>
        <w:t xml:space="preserve"> </w:t>
      </w:r>
      <w:r w:rsidR="00570524" w:rsidRPr="00E47A42">
        <w:rPr>
          <w:rFonts w:ascii="Book Antiqua" w:hAnsi="Book Antiqua" w:cs="Times New Roman"/>
          <w:sz w:val="24"/>
          <w:szCs w:val="24"/>
          <w:lang w:val="en-US"/>
        </w:rPr>
        <w:t>nitric oxide (NO)</w:t>
      </w:r>
      <w:r w:rsidR="008712DE">
        <w:rPr>
          <w:rFonts w:ascii="Book Antiqua" w:hAnsi="Book Antiqua" w:cs="Times New Roman" w:hint="eastAsia"/>
          <w:sz w:val="24"/>
          <w:szCs w:val="24"/>
          <w:lang w:val="en-US" w:eastAsia="zh-CN"/>
        </w:rPr>
        <w:t xml:space="preserve"> </w:t>
      </w:r>
      <w:r w:rsidR="00874396" w:rsidRPr="00E47A42">
        <w:rPr>
          <w:rFonts w:ascii="Book Antiqua" w:hAnsi="Book Antiqua" w:cs="Times New Roman"/>
          <w:sz w:val="24"/>
          <w:szCs w:val="24"/>
          <w:lang w:val="en-US"/>
        </w:rPr>
        <w:t>system agents.</w:t>
      </w:r>
    </w:p>
    <w:p w14:paraId="3761DE0A" w14:textId="77777777" w:rsidR="00874396" w:rsidRPr="008712DE" w:rsidRDefault="00874396" w:rsidP="00F73ADC">
      <w:pPr>
        <w:snapToGrid w:val="0"/>
        <w:spacing w:after="0" w:line="360" w:lineRule="auto"/>
        <w:jc w:val="both"/>
        <w:rPr>
          <w:rFonts w:ascii="Book Antiqua" w:hAnsi="Book Antiqua" w:cs="Times New Roman"/>
          <w:b/>
          <w:sz w:val="24"/>
          <w:szCs w:val="24"/>
          <w:lang w:val="en-US" w:eastAsia="zh-CN"/>
        </w:rPr>
      </w:pPr>
    </w:p>
    <w:p w14:paraId="5E016BF0" w14:textId="77777777" w:rsidR="00CB6D86" w:rsidRPr="00CB6D86" w:rsidRDefault="00874396" w:rsidP="00F73ADC">
      <w:pPr>
        <w:snapToGrid w:val="0"/>
        <w:spacing w:after="0" w:line="360" w:lineRule="auto"/>
        <w:jc w:val="both"/>
        <w:rPr>
          <w:rFonts w:ascii="Book Antiqua" w:hAnsi="Book Antiqua" w:cs="Times New Roman"/>
          <w:b/>
          <w:i/>
          <w:sz w:val="24"/>
          <w:szCs w:val="24"/>
          <w:lang w:val="en-US" w:eastAsia="zh-CN"/>
        </w:rPr>
      </w:pPr>
      <w:r w:rsidRPr="00CB6D86">
        <w:rPr>
          <w:rFonts w:ascii="Book Antiqua" w:hAnsi="Book Antiqua" w:cs="Times New Roman"/>
          <w:b/>
          <w:i/>
          <w:sz w:val="24"/>
          <w:szCs w:val="24"/>
          <w:lang w:val="en-US"/>
        </w:rPr>
        <w:t>METHODS</w:t>
      </w:r>
    </w:p>
    <w:p w14:paraId="40900458" w14:textId="120DD8DE" w:rsidR="00874396" w:rsidRPr="00E47A42" w:rsidRDefault="00874396" w:rsidP="00F73ADC">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sz w:val="24"/>
          <w:szCs w:val="24"/>
          <w:lang w:val="en-US"/>
        </w:rPr>
        <w:t>Alongside with the age</w:t>
      </w:r>
      <w:r w:rsidR="00CB6D86">
        <w:rPr>
          <w:rFonts w:ascii="Book Antiqua" w:hAnsi="Book Antiqua" w:cs="Times New Roman"/>
          <w:sz w:val="24"/>
          <w:szCs w:val="24"/>
          <w:lang w:val="en-US"/>
        </w:rPr>
        <w:t>nts’ application (after 1 min</w:t>
      </w:r>
      <w:r w:rsidRPr="00E47A42">
        <w:rPr>
          <w:rFonts w:ascii="Book Antiqua" w:hAnsi="Book Antiqua" w:cs="Times New Roman"/>
          <w:sz w:val="24"/>
          <w:szCs w:val="24"/>
          <w:lang w:val="en-US"/>
        </w:rPr>
        <w:t>, medication (/kg, 10</w:t>
      </w:r>
      <w:r w:rsidR="00C711A7">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m</w:t>
      </w:r>
      <w:r w:rsidRPr="00C711A7">
        <w:rPr>
          <w:rFonts w:ascii="Book Antiqua" w:hAnsi="Book Antiqua" w:cs="Times New Roman"/>
          <w:caps/>
          <w:sz w:val="24"/>
          <w:szCs w:val="24"/>
          <w:lang w:val="en-US"/>
        </w:rPr>
        <w:t>l</w:t>
      </w:r>
      <w:r w:rsidRPr="00E47A42">
        <w:rPr>
          <w:rFonts w:ascii="Book Antiqua" w:hAnsi="Book Antiqua" w:cs="Times New Roman"/>
          <w:sz w:val="24"/>
          <w:szCs w:val="24"/>
          <w:lang w:val="en-US"/>
        </w:rPr>
        <w:t>/2</w:t>
      </w:r>
      <w:r w:rsidR="00C711A7">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min bath/rat) includes: BPC 157 (10</w:t>
      </w:r>
      <w:r w:rsidR="00CB6D86">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µg), L-NAME (5</w:t>
      </w:r>
      <w:r w:rsidR="00C711A7">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 xml:space="preserve">mg), L-arginine (100mg) alone or combined, and saline baths (controls)) on the rat perforate caecum injury, we continuously assessed the gross reappearance of the vessels (USB </w:t>
      </w:r>
      <w:proofErr w:type="spellStart"/>
      <w:r w:rsidRPr="00E47A42">
        <w:rPr>
          <w:rFonts w:ascii="Book Antiqua" w:hAnsi="Book Antiqua" w:cs="Times New Roman"/>
          <w:sz w:val="24"/>
          <w:szCs w:val="24"/>
          <w:lang w:val="en-US"/>
        </w:rPr>
        <w:t>microcamera</w:t>
      </w:r>
      <w:proofErr w:type="spellEnd"/>
      <w:r w:rsidRPr="00E47A42">
        <w:rPr>
          <w:rFonts w:ascii="Book Antiqua" w:hAnsi="Book Antiqua" w:cs="Times New Roman"/>
          <w:sz w:val="24"/>
          <w:szCs w:val="24"/>
          <w:lang w:val="en-US"/>
        </w:rPr>
        <w:t>) quickly propagating toward the defect at the caecum surface, defect contraction, bleeding attenuation,</w:t>
      </w:r>
      <w:r w:rsidR="00CB6D86">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 xml:space="preserve">MDA- and NO-levels in colon tissue at 15 min, and severity of colon lesions and adhesions at 1 and 7 d. </w:t>
      </w:r>
    </w:p>
    <w:p w14:paraId="70036E38" w14:textId="77777777" w:rsidR="00874396" w:rsidRPr="00CB6D86" w:rsidRDefault="00874396" w:rsidP="00F73ADC">
      <w:pPr>
        <w:snapToGrid w:val="0"/>
        <w:spacing w:after="0" w:line="360" w:lineRule="auto"/>
        <w:jc w:val="both"/>
        <w:rPr>
          <w:rFonts w:ascii="Book Antiqua" w:hAnsi="Book Antiqua" w:cs="Times New Roman"/>
          <w:b/>
          <w:sz w:val="24"/>
          <w:szCs w:val="24"/>
          <w:lang w:val="en-US" w:eastAsia="zh-CN"/>
        </w:rPr>
      </w:pPr>
    </w:p>
    <w:p w14:paraId="65665598" w14:textId="77777777" w:rsidR="00CB6D86" w:rsidRPr="00CB6D86" w:rsidRDefault="00874396" w:rsidP="00F73ADC">
      <w:pPr>
        <w:snapToGrid w:val="0"/>
        <w:spacing w:after="0" w:line="360" w:lineRule="auto"/>
        <w:jc w:val="both"/>
        <w:rPr>
          <w:rFonts w:ascii="Book Antiqua" w:hAnsi="Book Antiqua" w:cs="Times New Roman"/>
          <w:b/>
          <w:i/>
          <w:sz w:val="24"/>
          <w:szCs w:val="24"/>
          <w:lang w:val="en-US" w:eastAsia="zh-CN"/>
        </w:rPr>
      </w:pPr>
      <w:r w:rsidRPr="00CB6D86">
        <w:rPr>
          <w:rFonts w:ascii="Book Antiqua" w:hAnsi="Book Antiqua" w:cs="Times New Roman"/>
          <w:b/>
          <w:i/>
          <w:sz w:val="24"/>
          <w:szCs w:val="24"/>
          <w:lang w:val="en-US"/>
        </w:rPr>
        <w:t>RESULTS</w:t>
      </w:r>
    </w:p>
    <w:p w14:paraId="4EA85AC5" w14:textId="16566F2C" w:rsidR="00874396" w:rsidRPr="00E47A42" w:rsidRDefault="00874396" w:rsidP="00F73ADC">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sz w:val="24"/>
          <w:szCs w:val="24"/>
          <w:lang w:val="en-US"/>
        </w:rPr>
        <w:t>Post-injury, during/after a saline bath, the number of vessels was significantly reduced, the defect was slightly narrowed, bleeding was significant and MDA-levels increased and NO-levels decreased. BPC 157 bath: the vessel presentation was markedly increased, the defect was noticeably narrowed, the bleeding time was shortened and MDA- and NO-levels remained normal. L-NAME: reduced vessel presentation but not more than the control, did not change defect and shortened bleeding. L-arginine: exhibited less vessel reduction, did not change the defect and prolonged bleeding. In combination, mutual counteraction occurred (L-NAME+L-arginine) or the presentation was similar to that of BPC 157 rats (BPC 157</w:t>
      </w:r>
      <w:r w:rsidR="00C711A7">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w:t>
      </w:r>
      <w:r w:rsidR="00C711A7">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L-NAME; BPC 157</w:t>
      </w:r>
      <w:r w:rsidR="00C711A7">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w:t>
      </w:r>
      <w:r w:rsidR="00C711A7">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L-arginine; BPC 157</w:t>
      </w:r>
      <w:r w:rsidR="00C711A7">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w:t>
      </w:r>
      <w:r w:rsidR="00C711A7">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L-NAME</w:t>
      </w:r>
      <w:r w:rsidR="00C711A7">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w:t>
      </w:r>
      <w:r w:rsidR="00C711A7">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L-arginine), except the defect did not change. Thereby at day 1 and 7, saline, L-NAME, L-arginine and L-NAME</w:t>
      </w:r>
      <w:r w:rsidR="00C711A7">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w:t>
      </w:r>
      <w:r w:rsidR="00C711A7">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 xml:space="preserve">L-arginine failed (defect was still open and large adhesions present). </w:t>
      </w:r>
    </w:p>
    <w:p w14:paraId="2BAF1E25" w14:textId="77777777" w:rsidR="00874396" w:rsidRDefault="00874396" w:rsidP="00F73ADC">
      <w:pPr>
        <w:snapToGrid w:val="0"/>
        <w:spacing w:after="0" w:line="360" w:lineRule="auto"/>
        <w:jc w:val="both"/>
        <w:rPr>
          <w:rFonts w:ascii="Book Antiqua" w:hAnsi="Book Antiqua" w:cs="Times New Roman"/>
          <w:b/>
          <w:sz w:val="24"/>
          <w:szCs w:val="24"/>
          <w:lang w:val="en-US" w:eastAsia="zh-CN"/>
        </w:rPr>
      </w:pPr>
    </w:p>
    <w:p w14:paraId="31B58449" w14:textId="77777777" w:rsidR="00CB6D86" w:rsidRPr="00CB6D86" w:rsidRDefault="00874396" w:rsidP="00F73ADC">
      <w:pPr>
        <w:snapToGrid w:val="0"/>
        <w:spacing w:after="0" w:line="360" w:lineRule="auto"/>
        <w:jc w:val="both"/>
        <w:rPr>
          <w:rFonts w:ascii="Book Antiqua" w:hAnsi="Book Antiqua" w:cs="Times New Roman"/>
          <w:b/>
          <w:i/>
          <w:sz w:val="24"/>
          <w:szCs w:val="24"/>
          <w:lang w:val="en-US" w:eastAsia="zh-CN"/>
        </w:rPr>
      </w:pPr>
      <w:r w:rsidRPr="00CB6D86">
        <w:rPr>
          <w:rFonts w:ascii="Book Antiqua" w:hAnsi="Book Antiqua" w:cs="Times New Roman"/>
          <w:b/>
          <w:i/>
          <w:sz w:val="24"/>
          <w:szCs w:val="24"/>
          <w:lang w:val="en-US"/>
        </w:rPr>
        <w:t>CONCLUSION</w:t>
      </w:r>
    </w:p>
    <w:p w14:paraId="78243E77" w14:textId="1BA0A3FD" w:rsidR="00874396" w:rsidRPr="00E47A42" w:rsidRDefault="00874396" w:rsidP="00F73ADC">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sz w:val="24"/>
          <w:szCs w:val="24"/>
          <w:lang w:val="en-US"/>
        </w:rPr>
        <w:lastRenderedPageBreak/>
        <w:t>The therapeutic effect was achieved with BPC 157 alone or in combination with L-NAME and L-arginine as it was able to consolidate the stimulating and inhibiting effects of the NO-system towards more effective healing recruiting vessels.</w:t>
      </w:r>
    </w:p>
    <w:p w14:paraId="217D50F2" w14:textId="77777777" w:rsidR="00874396" w:rsidRPr="00E47A42" w:rsidRDefault="00874396" w:rsidP="00F73ADC">
      <w:pPr>
        <w:snapToGrid w:val="0"/>
        <w:spacing w:after="0" w:line="360" w:lineRule="auto"/>
        <w:jc w:val="both"/>
        <w:rPr>
          <w:rFonts w:ascii="Book Antiqua" w:hAnsi="Book Antiqua" w:cs="Times New Roman"/>
          <w:sz w:val="24"/>
          <w:szCs w:val="24"/>
          <w:lang w:val="en-US" w:eastAsia="zh-CN"/>
        </w:rPr>
      </w:pPr>
    </w:p>
    <w:p w14:paraId="5F97152D" w14:textId="4C77E0A4" w:rsidR="00874396" w:rsidRPr="00E47A42" w:rsidRDefault="00874396" w:rsidP="00F73ADC">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b/>
          <w:sz w:val="24"/>
          <w:szCs w:val="24"/>
          <w:lang w:val="en-US"/>
        </w:rPr>
        <w:t>Key</w:t>
      </w:r>
      <w:r>
        <w:rPr>
          <w:rFonts w:ascii="Book Antiqua" w:hAnsi="Book Antiqua" w:cs="Times New Roman" w:hint="eastAsia"/>
          <w:b/>
          <w:sz w:val="24"/>
          <w:szCs w:val="24"/>
          <w:lang w:val="en-US" w:eastAsia="zh-CN"/>
        </w:rPr>
        <w:t xml:space="preserve"> </w:t>
      </w:r>
      <w:r w:rsidRPr="00E47A42">
        <w:rPr>
          <w:rFonts w:ascii="Book Antiqua" w:hAnsi="Book Antiqua" w:cs="Times New Roman"/>
          <w:b/>
          <w:sz w:val="24"/>
          <w:szCs w:val="24"/>
          <w:lang w:val="en-US"/>
        </w:rPr>
        <w:t>words:</w:t>
      </w:r>
      <w:r w:rsidRPr="00E47A42">
        <w:rPr>
          <w:rFonts w:ascii="Book Antiqua" w:hAnsi="Book Antiqua" w:cs="Times New Roman"/>
          <w:sz w:val="24"/>
          <w:szCs w:val="24"/>
          <w:lang w:val="en-US"/>
        </w:rPr>
        <w:t xml:space="preserve"> BPC 157</w:t>
      </w:r>
      <w:r w:rsidR="00CB6D86">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 xml:space="preserve"> </w:t>
      </w:r>
      <w:r w:rsidRPr="00CB6D86">
        <w:rPr>
          <w:rFonts w:ascii="Book Antiqua" w:hAnsi="Book Antiqua" w:cs="Times New Roman"/>
          <w:caps/>
          <w:sz w:val="24"/>
          <w:szCs w:val="24"/>
          <w:lang w:val="en-US"/>
        </w:rPr>
        <w:t>v</w:t>
      </w:r>
      <w:r w:rsidRPr="00E47A42">
        <w:rPr>
          <w:rFonts w:ascii="Book Antiqua" w:hAnsi="Book Antiqua" w:cs="Times New Roman"/>
          <w:sz w:val="24"/>
          <w:szCs w:val="24"/>
          <w:lang w:val="en-US"/>
        </w:rPr>
        <w:t>essels</w:t>
      </w:r>
      <w:r w:rsidR="00CB6D86">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 xml:space="preserve"> </w:t>
      </w:r>
      <w:r w:rsidRPr="00CB6D86">
        <w:rPr>
          <w:rFonts w:ascii="Book Antiqua" w:hAnsi="Book Antiqua" w:cs="Times New Roman"/>
          <w:caps/>
          <w:sz w:val="24"/>
          <w:szCs w:val="24"/>
          <w:lang w:val="en-US"/>
        </w:rPr>
        <w:t>p</w:t>
      </w:r>
      <w:r w:rsidRPr="00E47A42">
        <w:rPr>
          <w:rFonts w:ascii="Book Antiqua" w:hAnsi="Book Antiqua" w:cs="Times New Roman"/>
          <w:sz w:val="24"/>
          <w:szCs w:val="24"/>
          <w:lang w:val="en-US"/>
        </w:rPr>
        <w:t>erforated cecum</w:t>
      </w:r>
      <w:r w:rsidR="00CB6D86">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 xml:space="preserve"> L-arginine</w:t>
      </w:r>
      <w:r w:rsidR="00CB6D86">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 xml:space="preserve"> L-NAME</w:t>
      </w:r>
      <w:r w:rsidR="00CB6D86">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 xml:space="preserve"> </w:t>
      </w:r>
      <w:r w:rsidRPr="00CB6D86">
        <w:rPr>
          <w:rFonts w:ascii="Book Antiqua" w:hAnsi="Book Antiqua" w:cs="Times New Roman"/>
          <w:caps/>
          <w:sz w:val="24"/>
          <w:szCs w:val="24"/>
          <w:lang w:val="en-US"/>
        </w:rPr>
        <w:t>r</w:t>
      </w:r>
      <w:r w:rsidRPr="00E47A42">
        <w:rPr>
          <w:rFonts w:ascii="Book Antiqua" w:hAnsi="Book Antiqua" w:cs="Times New Roman"/>
          <w:sz w:val="24"/>
          <w:szCs w:val="24"/>
          <w:lang w:val="en-US"/>
        </w:rPr>
        <w:t>ats</w:t>
      </w:r>
    </w:p>
    <w:p w14:paraId="7DD78AEB" w14:textId="77777777" w:rsidR="0000726C" w:rsidRDefault="0000726C" w:rsidP="00F73ADC">
      <w:pPr>
        <w:snapToGrid w:val="0"/>
        <w:spacing w:after="0" w:line="360" w:lineRule="auto"/>
        <w:jc w:val="both"/>
        <w:rPr>
          <w:rFonts w:ascii="Book Antiqua" w:hAnsi="Book Antiqua" w:cs="Times New Roman"/>
          <w:b/>
          <w:sz w:val="24"/>
          <w:szCs w:val="24"/>
          <w:lang w:val="en-US" w:eastAsia="zh-CN"/>
        </w:rPr>
      </w:pPr>
    </w:p>
    <w:p w14:paraId="7FBB13F6" w14:textId="77777777" w:rsidR="004D23F3" w:rsidRPr="004D23F3" w:rsidRDefault="004D23F3" w:rsidP="00F73ADC">
      <w:pPr>
        <w:snapToGrid w:val="0"/>
        <w:spacing w:after="0" w:line="360" w:lineRule="auto"/>
        <w:jc w:val="both"/>
        <w:rPr>
          <w:rFonts w:ascii="Book Antiqua" w:hAnsi="Book Antiqua" w:cs="Times New Roman"/>
          <w:sz w:val="24"/>
          <w:szCs w:val="24"/>
          <w:lang w:val="en-US" w:eastAsia="zh-CN"/>
        </w:rPr>
      </w:pPr>
      <w:bookmarkStart w:id="4" w:name="OLE_LINK363"/>
      <w:bookmarkStart w:id="5" w:name="OLE_LINK364"/>
      <w:bookmarkStart w:id="6" w:name="OLE_LINK359"/>
      <w:bookmarkStart w:id="7" w:name="OLE_LINK1037"/>
      <w:bookmarkStart w:id="8" w:name="OLE_LINK1195"/>
      <w:bookmarkStart w:id="9" w:name="OLE_LINK1140"/>
      <w:bookmarkStart w:id="10" w:name="OLE_LINK1062"/>
      <w:bookmarkStart w:id="11" w:name="OLE_LINK500"/>
      <w:bookmarkStart w:id="12" w:name="OLE_LINK916"/>
      <w:bookmarkStart w:id="13" w:name="OLE_LINK956"/>
      <w:bookmarkStart w:id="14" w:name="OLE_LINK994"/>
      <w:r w:rsidRPr="004D23F3">
        <w:rPr>
          <w:rFonts w:ascii="Book Antiqua" w:hAnsi="Book Antiqua" w:cs="Times New Roman"/>
          <w:b/>
          <w:sz w:val="24"/>
          <w:szCs w:val="24"/>
          <w:lang w:val="en-US" w:eastAsia="zh-CN"/>
        </w:rPr>
        <w:t xml:space="preserve">© The Author(s) 2018. </w:t>
      </w:r>
      <w:r w:rsidRPr="004D23F3">
        <w:rPr>
          <w:rFonts w:ascii="Book Antiqua" w:hAnsi="Book Antiqua" w:cs="Times New Roman"/>
          <w:sz w:val="24"/>
          <w:szCs w:val="24"/>
          <w:lang w:val="en-US" w:eastAsia="zh-CN"/>
        </w:rPr>
        <w:t xml:space="preserve">Published by </w:t>
      </w:r>
      <w:proofErr w:type="spellStart"/>
      <w:r w:rsidRPr="004D23F3">
        <w:rPr>
          <w:rFonts w:ascii="Book Antiqua" w:hAnsi="Book Antiqua" w:cs="Times New Roman"/>
          <w:sz w:val="24"/>
          <w:szCs w:val="24"/>
          <w:lang w:val="en-US" w:eastAsia="zh-CN"/>
        </w:rPr>
        <w:t>Baishideng</w:t>
      </w:r>
      <w:proofErr w:type="spellEnd"/>
      <w:r w:rsidRPr="004D23F3">
        <w:rPr>
          <w:rFonts w:ascii="Book Antiqua" w:hAnsi="Book Antiqua" w:cs="Times New Roman"/>
          <w:sz w:val="24"/>
          <w:szCs w:val="24"/>
          <w:lang w:val="en-US" w:eastAsia="zh-CN"/>
        </w:rPr>
        <w:t xml:space="preserve"> Publishing Group Inc. All rights reserved.</w:t>
      </w:r>
    </w:p>
    <w:bookmarkEnd w:id="4"/>
    <w:bookmarkEnd w:id="5"/>
    <w:bookmarkEnd w:id="6"/>
    <w:bookmarkEnd w:id="7"/>
    <w:bookmarkEnd w:id="8"/>
    <w:bookmarkEnd w:id="9"/>
    <w:bookmarkEnd w:id="10"/>
    <w:bookmarkEnd w:id="11"/>
    <w:bookmarkEnd w:id="12"/>
    <w:bookmarkEnd w:id="13"/>
    <w:bookmarkEnd w:id="14"/>
    <w:p w14:paraId="5B71A835" w14:textId="77777777" w:rsidR="004D23F3" w:rsidRPr="00E47A42" w:rsidRDefault="004D23F3" w:rsidP="00F73ADC">
      <w:pPr>
        <w:snapToGrid w:val="0"/>
        <w:spacing w:after="0" w:line="360" w:lineRule="auto"/>
        <w:jc w:val="both"/>
        <w:rPr>
          <w:rFonts w:ascii="Book Antiqua" w:hAnsi="Book Antiqua" w:cs="Times New Roman"/>
          <w:b/>
          <w:sz w:val="24"/>
          <w:szCs w:val="24"/>
          <w:lang w:val="en-US" w:eastAsia="zh-CN"/>
        </w:rPr>
      </w:pPr>
    </w:p>
    <w:p w14:paraId="5517D85D" w14:textId="582C25DC" w:rsidR="009D5EFA" w:rsidRPr="00874396" w:rsidRDefault="00DE32EA" w:rsidP="00F73ADC">
      <w:pPr>
        <w:snapToGrid w:val="0"/>
        <w:spacing w:after="0" w:line="360" w:lineRule="auto"/>
        <w:jc w:val="both"/>
        <w:rPr>
          <w:rFonts w:ascii="Book Antiqua" w:hAnsi="Book Antiqua" w:cs="Times New Roman"/>
          <w:b/>
          <w:sz w:val="24"/>
          <w:szCs w:val="24"/>
          <w:lang w:val="en-US"/>
        </w:rPr>
      </w:pPr>
      <w:r w:rsidRPr="00E47A42">
        <w:rPr>
          <w:rFonts w:ascii="Book Antiqua" w:hAnsi="Book Antiqua" w:cs="Times New Roman"/>
          <w:b/>
          <w:sz w:val="24"/>
          <w:szCs w:val="24"/>
          <w:lang w:val="en-US"/>
        </w:rPr>
        <w:t>Core tip</w:t>
      </w:r>
      <w:r w:rsidR="00874396">
        <w:rPr>
          <w:rFonts w:ascii="Book Antiqua" w:hAnsi="Book Antiqua" w:cs="Times New Roman" w:hint="eastAsia"/>
          <w:b/>
          <w:sz w:val="24"/>
          <w:szCs w:val="24"/>
          <w:lang w:val="en-US" w:eastAsia="zh-CN"/>
        </w:rPr>
        <w:t xml:space="preserve">: </w:t>
      </w:r>
      <w:r w:rsidR="009D5EFA" w:rsidRPr="00874396">
        <w:rPr>
          <w:rFonts w:ascii="Book Antiqua" w:hAnsi="Book Antiqua" w:cs="Times New Roman"/>
          <w:sz w:val="24"/>
          <w:szCs w:val="24"/>
          <w:lang w:val="en-US"/>
        </w:rPr>
        <w:t>In rats</w:t>
      </w:r>
      <w:r w:rsidR="00283D1F" w:rsidRPr="00874396">
        <w:rPr>
          <w:rFonts w:ascii="Book Antiqua" w:hAnsi="Book Antiqua" w:cs="Times New Roman"/>
          <w:sz w:val="24"/>
          <w:szCs w:val="24"/>
          <w:lang w:val="en-US"/>
        </w:rPr>
        <w:t>,</w:t>
      </w:r>
      <w:r w:rsidR="009D5EFA" w:rsidRPr="00874396">
        <w:rPr>
          <w:rFonts w:ascii="Book Antiqua" w:hAnsi="Book Antiqua" w:cs="Times New Roman"/>
          <w:sz w:val="24"/>
          <w:szCs w:val="24"/>
          <w:lang w:val="en-US"/>
        </w:rPr>
        <w:t xml:space="preserve"> </w:t>
      </w:r>
      <w:r w:rsidR="00FF659B" w:rsidRPr="00874396">
        <w:rPr>
          <w:rFonts w:ascii="Book Antiqua" w:hAnsi="Book Antiqua" w:cs="Times New Roman"/>
          <w:sz w:val="24"/>
          <w:szCs w:val="24"/>
          <w:lang w:val="en-US"/>
        </w:rPr>
        <w:t xml:space="preserve">the </w:t>
      </w:r>
      <w:r w:rsidR="009D5EFA" w:rsidRPr="00874396">
        <w:rPr>
          <w:rFonts w:ascii="Book Antiqua" w:hAnsi="Book Antiqua" w:cs="Times New Roman"/>
          <w:sz w:val="24"/>
          <w:szCs w:val="24"/>
          <w:lang w:val="en-US"/>
        </w:rPr>
        <w:t>cecum was exposed, and a perforation (5-mm diameter) was made at the ventral face of the basal region of the cecum close to the largest curvature.</w:t>
      </w:r>
      <w:r w:rsidR="009D5EFA" w:rsidRPr="00874396">
        <w:rPr>
          <w:rFonts w:ascii="Book Antiqua" w:hAnsi="Book Antiqua"/>
          <w:sz w:val="24"/>
          <w:szCs w:val="24"/>
        </w:rPr>
        <w:t xml:space="preserve"> </w:t>
      </w:r>
      <w:r w:rsidR="009D5EFA" w:rsidRPr="00874396">
        <w:rPr>
          <w:rFonts w:ascii="Book Antiqua" w:hAnsi="Book Antiqua" w:cs="Times New Roman"/>
          <w:sz w:val="24"/>
          <w:szCs w:val="24"/>
          <w:lang w:val="en-US"/>
        </w:rPr>
        <w:t>After 1 min, a bath (1 m</w:t>
      </w:r>
      <w:r w:rsidR="009D5EFA" w:rsidRPr="00570524">
        <w:rPr>
          <w:rFonts w:ascii="Book Antiqua" w:hAnsi="Book Antiqua" w:cs="Times New Roman"/>
          <w:caps/>
          <w:sz w:val="24"/>
          <w:szCs w:val="24"/>
          <w:lang w:val="en-US"/>
        </w:rPr>
        <w:t>l</w:t>
      </w:r>
      <w:r w:rsidR="009D5EFA" w:rsidRPr="00874396">
        <w:rPr>
          <w:rFonts w:ascii="Book Antiqua" w:hAnsi="Book Antiqua" w:cs="Times New Roman"/>
          <w:sz w:val="24"/>
          <w:szCs w:val="24"/>
          <w:lang w:val="en-US"/>
        </w:rPr>
        <w:t>/rat) containing BPC 157</w:t>
      </w:r>
      <w:r w:rsidR="00283D1F" w:rsidRPr="00874396">
        <w:rPr>
          <w:rFonts w:ascii="Book Antiqua" w:hAnsi="Book Antiqua" w:cs="Times New Roman"/>
          <w:sz w:val="24"/>
          <w:szCs w:val="24"/>
          <w:lang w:val="en-US"/>
        </w:rPr>
        <w:t>,</w:t>
      </w:r>
      <w:r w:rsidR="009D5EFA" w:rsidRPr="00874396">
        <w:rPr>
          <w:rFonts w:ascii="Book Antiqua" w:hAnsi="Book Antiqua" w:cs="Times New Roman"/>
          <w:sz w:val="24"/>
          <w:szCs w:val="24"/>
          <w:lang w:val="en-US"/>
        </w:rPr>
        <w:t xml:space="preserve"> </w:t>
      </w:r>
      <w:r w:rsidR="00283D1F" w:rsidRPr="00874396">
        <w:rPr>
          <w:rFonts w:ascii="Book Antiqua" w:hAnsi="Book Antiqua" w:cs="Times New Roman"/>
          <w:sz w:val="24"/>
          <w:szCs w:val="24"/>
          <w:lang w:val="en-US"/>
        </w:rPr>
        <w:t xml:space="preserve">L-NAME, L-arginine, saline (controls) </w:t>
      </w:r>
      <w:r w:rsidR="009D5EFA" w:rsidRPr="00874396">
        <w:rPr>
          <w:rFonts w:ascii="Book Antiqua" w:hAnsi="Book Antiqua" w:cs="Times New Roman"/>
          <w:sz w:val="24"/>
          <w:szCs w:val="24"/>
          <w:lang w:val="en-US"/>
        </w:rPr>
        <w:t>was directly applied to the per</w:t>
      </w:r>
      <w:r w:rsidR="00FF659B" w:rsidRPr="00874396">
        <w:rPr>
          <w:rFonts w:ascii="Book Antiqua" w:hAnsi="Book Antiqua" w:cs="Times New Roman"/>
          <w:sz w:val="24"/>
          <w:szCs w:val="24"/>
          <w:lang w:val="en-US"/>
        </w:rPr>
        <w:t>forated cecum, alone or in combination</w:t>
      </w:r>
      <w:r w:rsidR="00283D1F" w:rsidRPr="00874396">
        <w:rPr>
          <w:rFonts w:ascii="Book Antiqua" w:hAnsi="Book Antiqua" w:cs="Times New Roman"/>
          <w:sz w:val="24"/>
          <w:szCs w:val="24"/>
          <w:lang w:val="en-US"/>
        </w:rPr>
        <w:t xml:space="preserve">. </w:t>
      </w:r>
      <w:r w:rsidR="00533419" w:rsidRPr="00874396">
        <w:rPr>
          <w:rFonts w:ascii="Book Antiqua" w:hAnsi="Book Antiqua" w:cs="Times New Roman"/>
          <w:sz w:val="24"/>
          <w:szCs w:val="24"/>
          <w:lang w:val="en-US"/>
        </w:rPr>
        <w:t xml:space="preserve">Previously, </w:t>
      </w:r>
      <w:r w:rsidR="009D5EFA" w:rsidRPr="00874396">
        <w:rPr>
          <w:rFonts w:ascii="Book Antiqua" w:hAnsi="Book Antiqua" w:cs="Times New Roman"/>
          <w:sz w:val="24"/>
          <w:szCs w:val="24"/>
          <w:lang w:val="en-US"/>
        </w:rPr>
        <w:t xml:space="preserve">BPC 157 rapidly activated the </w:t>
      </w:r>
      <w:r w:rsidR="00FF659B" w:rsidRPr="00874396">
        <w:rPr>
          <w:rFonts w:ascii="Book Antiqua" w:hAnsi="Book Antiqua" w:cs="Times New Roman"/>
          <w:sz w:val="24"/>
          <w:szCs w:val="24"/>
          <w:lang w:val="en-US"/>
        </w:rPr>
        <w:t xml:space="preserve">collateral circulation from </w:t>
      </w:r>
      <w:r w:rsidR="009D5EFA" w:rsidRPr="00874396">
        <w:rPr>
          <w:rFonts w:ascii="Book Antiqua" w:hAnsi="Book Antiqua" w:cs="Times New Roman"/>
          <w:sz w:val="24"/>
          <w:szCs w:val="24"/>
          <w:lang w:val="en-US"/>
        </w:rPr>
        <w:t xml:space="preserve">existing vessels in ischemic colitis or inferior </w:t>
      </w:r>
      <w:r w:rsidR="009D5EFA" w:rsidRPr="00874396">
        <w:rPr>
          <w:rFonts w:ascii="Book Antiqua" w:hAnsi="Book Antiqua" w:cs="Times New Roman"/>
          <w:noProof/>
          <w:sz w:val="24"/>
          <w:szCs w:val="24"/>
          <w:lang w:val="en-US"/>
        </w:rPr>
        <w:t>caval</w:t>
      </w:r>
      <w:r w:rsidR="009D5EFA" w:rsidRPr="00874396">
        <w:rPr>
          <w:rFonts w:ascii="Book Antiqua" w:hAnsi="Book Antiqua" w:cs="Times New Roman"/>
          <w:sz w:val="24"/>
          <w:szCs w:val="24"/>
          <w:lang w:val="en-US"/>
        </w:rPr>
        <w:t xml:space="preserve"> vein occlusion (by passing through </w:t>
      </w:r>
      <w:r w:rsidR="00FF659B" w:rsidRPr="00874396">
        <w:rPr>
          <w:rFonts w:ascii="Book Antiqua" w:hAnsi="Book Antiqua" w:cs="Times New Roman"/>
          <w:sz w:val="24"/>
          <w:szCs w:val="24"/>
          <w:lang w:val="en-US"/>
        </w:rPr>
        <w:t xml:space="preserve">the </w:t>
      </w:r>
      <w:r w:rsidR="009D5EFA" w:rsidRPr="00874396">
        <w:rPr>
          <w:rFonts w:ascii="Book Antiqua" w:hAnsi="Book Antiqua" w:cs="Times New Roman"/>
          <w:sz w:val="24"/>
          <w:szCs w:val="24"/>
          <w:lang w:val="en-US"/>
        </w:rPr>
        <w:t>arcade vessels or the left ovarian vein and other veins) to reestablish blood flow and exert its free radical scavenger effect in both ischemia and reperfusion.</w:t>
      </w:r>
      <w:r w:rsidR="00283D1F" w:rsidRPr="00874396">
        <w:rPr>
          <w:rFonts w:ascii="Book Antiqua" w:hAnsi="Book Antiqua" w:cs="Times New Roman"/>
          <w:sz w:val="24"/>
          <w:szCs w:val="24"/>
          <w:lang w:val="en-US"/>
        </w:rPr>
        <w:t xml:space="preserve"> </w:t>
      </w:r>
    </w:p>
    <w:p w14:paraId="65E9A6DB" w14:textId="77777777" w:rsidR="00DE32EA" w:rsidRPr="00E47A42" w:rsidRDefault="00DE32EA" w:rsidP="00F73ADC">
      <w:pPr>
        <w:snapToGrid w:val="0"/>
        <w:spacing w:after="0" w:line="360" w:lineRule="auto"/>
        <w:jc w:val="both"/>
        <w:rPr>
          <w:rFonts w:ascii="Book Antiqua" w:hAnsi="Book Antiqua" w:cs="Times New Roman"/>
          <w:b/>
          <w:sz w:val="24"/>
          <w:szCs w:val="24"/>
          <w:lang w:val="en-US"/>
        </w:rPr>
      </w:pPr>
    </w:p>
    <w:p w14:paraId="27DE5215" w14:textId="6300F258" w:rsidR="008369A6" w:rsidRPr="008369A6" w:rsidRDefault="008369A6" w:rsidP="008369A6">
      <w:pPr>
        <w:snapToGrid w:val="0"/>
        <w:spacing w:after="0" w:line="360" w:lineRule="auto"/>
        <w:jc w:val="both"/>
        <w:rPr>
          <w:rFonts w:ascii="Book Antiqua" w:hAnsi="Book Antiqua" w:cs="Times New Roman"/>
          <w:sz w:val="24"/>
          <w:szCs w:val="24"/>
          <w:lang w:val="en-US" w:eastAsia="zh-CN"/>
        </w:rPr>
      </w:pPr>
      <w:r w:rsidRPr="008369A6">
        <w:rPr>
          <w:rFonts w:ascii="Book Antiqua" w:hAnsi="Book Antiqua" w:cs="Times New Roman"/>
          <w:b/>
          <w:sz w:val="24"/>
          <w:szCs w:val="24"/>
          <w:lang w:val="en-US"/>
        </w:rPr>
        <w:t>Citation:</w:t>
      </w:r>
      <w:r>
        <w:rPr>
          <w:rFonts w:ascii="Book Antiqua" w:hAnsi="Book Antiqua" w:cs="Times New Roman" w:hint="eastAsia"/>
          <w:sz w:val="24"/>
          <w:szCs w:val="24"/>
          <w:lang w:val="en-US" w:eastAsia="zh-CN"/>
        </w:rPr>
        <w:t xml:space="preserve"> </w:t>
      </w:r>
      <w:proofErr w:type="spellStart"/>
      <w:r w:rsidR="00DE32EA" w:rsidRPr="00874396">
        <w:rPr>
          <w:rFonts w:ascii="Book Antiqua" w:hAnsi="Book Antiqua" w:cs="Times New Roman"/>
          <w:sz w:val="24"/>
          <w:szCs w:val="24"/>
          <w:lang w:val="en-US"/>
        </w:rPr>
        <w:t>Drmic</w:t>
      </w:r>
      <w:proofErr w:type="spellEnd"/>
      <w:r w:rsidR="00DE32EA" w:rsidRPr="00874396">
        <w:rPr>
          <w:rFonts w:ascii="Book Antiqua" w:hAnsi="Book Antiqua" w:cs="Times New Roman"/>
          <w:sz w:val="24"/>
          <w:szCs w:val="24"/>
          <w:lang w:val="en-US"/>
        </w:rPr>
        <w:t xml:space="preserve"> D,</w:t>
      </w:r>
      <w:r w:rsidR="00DE32EA" w:rsidRPr="00E47A42">
        <w:rPr>
          <w:rFonts w:ascii="Book Antiqua" w:hAnsi="Book Antiqua" w:cs="Times New Roman"/>
          <w:b/>
          <w:sz w:val="24"/>
          <w:szCs w:val="24"/>
          <w:lang w:val="en-US"/>
        </w:rPr>
        <w:t xml:space="preserve"> </w:t>
      </w:r>
      <w:r w:rsidR="00DE32EA" w:rsidRPr="00E47A42">
        <w:rPr>
          <w:rFonts w:ascii="Book Antiqua" w:hAnsi="Book Antiqua" w:cs="Times New Roman"/>
          <w:sz w:val="24"/>
          <w:szCs w:val="24"/>
          <w:lang w:val="en-US"/>
        </w:rPr>
        <w:t xml:space="preserve">Samara M, </w:t>
      </w:r>
      <w:proofErr w:type="spellStart"/>
      <w:r w:rsidR="00DE32EA" w:rsidRPr="00E47A42">
        <w:rPr>
          <w:rFonts w:ascii="Book Antiqua" w:hAnsi="Book Antiqua" w:cs="Times New Roman"/>
          <w:sz w:val="24"/>
          <w:szCs w:val="24"/>
          <w:lang w:val="en-US"/>
        </w:rPr>
        <w:t>Vidovic</w:t>
      </w:r>
      <w:proofErr w:type="spellEnd"/>
      <w:r w:rsidR="00DE32EA" w:rsidRPr="00E47A42">
        <w:rPr>
          <w:rFonts w:ascii="Book Antiqua" w:hAnsi="Book Antiqua" w:cs="Times New Roman"/>
          <w:sz w:val="24"/>
          <w:szCs w:val="24"/>
          <w:lang w:val="en-US"/>
        </w:rPr>
        <w:t xml:space="preserve"> T, </w:t>
      </w:r>
      <w:proofErr w:type="spellStart"/>
      <w:r w:rsidR="00DE32EA" w:rsidRPr="00E47A42">
        <w:rPr>
          <w:rFonts w:ascii="Book Antiqua" w:hAnsi="Book Antiqua" w:cs="Times New Roman"/>
          <w:sz w:val="24"/>
          <w:szCs w:val="24"/>
          <w:lang w:val="en-US"/>
        </w:rPr>
        <w:t>Malekinusic</w:t>
      </w:r>
      <w:proofErr w:type="spellEnd"/>
      <w:r w:rsidR="00DE32EA" w:rsidRPr="00E47A42">
        <w:rPr>
          <w:rFonts w:ascii="Book Antiqua" w:hAnsi="Book Antiqua" w:cs="Times New Roman"/>
          <w:sz w:val="24"/>
          <w:szCs w:val="24"/>
          <w:lang w:val="en-US"/>
        </w:rPr>
        <w:t xml:space="preserve"> D, </w:t>
      </w:r>
      <w:proofErr w:type="spellStart"/>
      <w:r w:rsidR="00DE32EA" w:rsidRPr="00E47A42">
        <w:rPr>
          <w:rFonts w:ascii="Book Antiqua" w:hAnsi="Book Antiqua" w:cs="Times New Roman"/>
          <w:sz w:val="24"/>
          <w:szCs w:val="24"/>
          <w:lang w:val="en-US"/>
        </w:rPr>
        <w:t>Antunovic</w:t>
      </w:r>
      <w:proofErr w:type="spellEnd"/>
      <w:r w:rsidR="00DE32EA" w:rsidRPr="00E47A42">
        <w:rPr>
          <w:rFonts w:ascii="Book Antiqua" w:hAnsi="Book Antiqua" w:cs="Times New Roman"/>
          <w:sz w:val="24"/>
          <w:szCs w:val="24"/>
          <w:lang w:val="en-US"/>
        </w:rPr>
        <w:t xml:space="preserve"> M, </w:t>
      </w:r>
      <w:proofErr w:type="spellStart"/>
      <w:r w:rsidR="00DE32EA" w:rsidRPr="00E47A42">
        <w:rPr>
          <w:rFonts w:ascii="Book Antiqua" w:hAnsi="Book Antiqua" w:cs="Times New Roman"/>
          <w:sz w:val="24"/>
          <w:szCs w:val="24"/>
          <w:lang w:val="en-US"/>
        </w:rPr>
        <w:t>Vrdoljak</w:t>
      </w:r>
      <w:proofErr w:type="spellEnd"/>
      <w:r w:rsidR="00DE32EA" w:rsidRPr="00E47A42">
        <w:rPr>
          <w:rFonts w:ascii="Book Antiqua" w:hAnsi="Book Antiqua" w:cs="Times New Roman"/>
          <w:sz w:val="24"/>
          <w:szCs w:val="24"/>
          <w:lang w:val="en-US"/>
        </w:rPr>
        <w:t xml:space="preserve"> B, </w:t>
      </w:r>
      <w:r w:rsidR="00DE32EA" w:rsidRPr="00E47A42">
        <w:rPr>
          <w:rFonts w:ascii="Book Antiqua" w:hAnsi="Book Antiqua" w:cs="Times New Roman"/>
          <w:noProof/>
          <w:sz w:val="24"/>
          <w:szCs w:val="24"/>
          <w:lang w:val="en-US"/>
        </w:rPr>
        <w:t>Ruzman</w:t>
      </w:r>
      <w:r w:rsidR="00DE32EA" w:rsidRPr="00E47A42">
        <w:rPr>
          <w:rFonts w:ascii="Book Antiqua" w:hAnsi="Book Antiqua" w:cs="Times New Roman"/>
          <w:sz w:val="24"/>
          <w:szCs w:val="24"/>
          <w:lang w:val="en-US"/>
        </w:rPr>
        <w:t xml:space="preserve"> J, </w:t>
      </w:r>
      <w:proofErr w:type="spellStart"/>
      <w:r w:rsidR="004C2F23" w:rsidRPr="00E47A42">
        <w:rPr>
          <w:rFonts w:ascii="Book Antiqua" w:hAnsi="Book Antiqua" w:cs="Times New Roman"/>
          <w:sz w:val="24"/>
          <w:szCs w:val="24"/>
          <w:lang w:val="en-US"/>
        </w:rPr>
        <w:t>Milkovic</w:t>
      </w:r>
      <w:proofErr w:type="spellEnd"/>
      <w:r w:rsidR="004C2F23" w:rsidRPr="00E47A42">
        <w:rPr>
          <w:rFonts w:ascii="Book Antiqua" w:hAnsi="Book Antiqua" w:cs="Times New Roman"/>
          <w:sz w:val="24"/>
          <w:szCs w:val="24"/>
          <w:lang w:val="en-US"/>
        </w:rPr>
        <w:t xml:space="preserve"> </w:t>
      </w:r>
      <w:proofErr w:type="spellStart"/>
      <w:r w:rsidR="004C2F23" w:rsidRPr="00E47A42">
        <w:rPr>
          <w:rFonts w:ascii="Book Antiqua" w:hAnsi="Book Antiqua" w:cs="Times New Roman"/>
          <w:sz w:val="24"/>
          <w:szCs w:val="24"/>
          <w:lang w:val="en-US"/>
        </w:rPr>
        <w:t>Perisa</w:t>
      </w:r>
      <w:proofErr w:type="spellEnd"/>
      <w:r w:rsidR="004C2F23" w:rsidRPr="00E47A42">
        <w:rPr>
          <w:rFonts w:ascii="Book Antiqua" w:hAnsi="Book Antiqua" w:cs="Times New Roman"/>
          <w:sz w:val="24"/>
          <w:szCs w:val="24"/>
          <w:lang w:val="en-US"/>
        </w:rPr>
        <w:t xml:space="preserve"> M, </w:t>
      </w:r>
      <w:proofErr w:type="spellStart"/>
      <w:r w:rsidR="00926D6D" w:rsidRPr="00E47A42">
        <w:rPr>
          <w:rFonts w:ascii="Book Antiqua" w:hAnsi="Book Antiqua" w:cs="Times New Roman"/>
          <w:sz w:val="24"/>
          <w:szCs w:val="24"/>
          <w:lang w:val="en-US"/>
        </w:rPr>
        <w:t>Horvat</w:t>
      </w:r>
      <w:proofErr w:type="spellEnd"/>
      <w:r w:rsidR="00926D6D" w:rsidRPr="00E47A42">
        <w:rPr>
          <w:rFonts w:ascii="Book Antiqua" w:hAnsi="Book Antiqua" w:cs="Times New Roman"/>
          <w:sz w:val="24"/>
          <w:szCs w:val="24"/>
          <w:lang w:val="en-US"/>
        </w:rPr>
        <w:t xml:space="preserve"> Pavlov K</w:t>
      </w:r>
      <w:r w:rsidR="00DE32EA" w:rsidRPr="00E47A42">
        <w:rPr>
          <w:rFonts w:ascii="Book Antiqua" w:hAnsi="Book Antiqua" w:cs="Times New Roman"/>
          <w:sz w:val="24"/>
          <w:szCs w:val="24"/>
          <w:lang w:val="en-US"/>
        </w:rPr>
        <w:t xml:space="preserve">, </w:t>
      </w:r>
      <w:proofErr w:type="spellStart"/>
      <w:r w:rsidR="00DE32EA" w:rsidRPr="00E47A42">
        <w:rPr>
          <w:rFonts w:ascii="Book Antiqua" w:hAnsi="Book Antiqua" w:cs="Times New Roman"/>
          <w:sz w:val="24"/>
          <w:szCs w:val="24"/>
          <w:lang w:val="en-US"/>
        </w:rPr>
        <w:t>Jeyakumar</w:t>
      </w:r>
      <w:proofErr w:type="spellEnd"/>
      <w:r w:rsidR="00DE32EA" w:rsidRPr="00E47A42">
        <w:rPr>
          <w:rFonts w:ascii="Book Antiqua" w:hAnsi="Book Antiqua" w:cs="Times New Roman"/>
          <w:sz w:val="24"/>
          <w:szCs w:val="24"/>
          <w:lang w:val="en-US"/>
        </w:rPr>
        <w:t xml:space="preserve"> J,</w:t>
      </w:r>
      <w:r w:rsidR="002D1D7A">
        <w:rPr>
          <w:rFonts w:ascii="Book Antiqua" w:hAnsi="Book Antiqua" w:cs="Times New Roman" w:hint="eastAsia"/>
          <w:sz w:val="24"/>
          <w:szCs w:val="24"/>
          <w:lang w:val="en-US" w:eastAsia="zh-CN"/>
        </w:rPr>
        <w:t xml:space="preserve"> </w:t>
      </w:r>
      <w:proofErr w:type="spellStart"/>
      <w:r w:rsidR="00DE32EA" w:rsidRPr="00E47A42">
        <w:rPr>
          <w:rFonts w:ascii="Book Antiqua" w:hAnsi="Book Antiqua" w:cs="Times New Roman"/>
          <w:sz w:val="24"/>
          <w:szCs w:val="24"/>
          <w:lang w:val="en-US"/>
        </w:rPr>
        <w:t>Seiwerth</w:t>
      </w:r>
      <w:proofErr w:type="spellEnd"/>
      <w:r w:rsidR="00DE32EA" w:rsidRPr="00E47A42">
        <w:rPr>
          <w:rFonts w:ascii="Book Antiqua" w:hAnsi="Book Antiqua" w:cs="Times New Roman"/>
          <w:sz w:val="24"/>
          <w:szCs w:val="24"/>
          <w:lang w:val="en-US"/>
        </w:rPr>
        <w:t xml:space="preserve"> S, </w:t>
      </w:r>
      <w:proofErr w:type="spellStart"/>
      <w:proofErr w:type="gramStart"/>
      <w:r w:rsidR="00DE32EA" w:rsidRPr="00E47A42">
        <w:rPr>
          <w:rFonts w:ascii="Book Antiqua" w:hAnsi="Book Antiqua" w:cs="Times New Roman"/>
          <w:sz w:val="24"/>
          <w:szCs w:val="24"/>
          <w:lang w:val="en-US"/>
        </w:rPr>
        <w:t>Sikiric</w:t>
      </w:r>
      <w:proofErr w:type="spellEnd"/>
      <w:proofErr w:type="gramEnd"/>
      <w:r w:rsidR="00DE32EA" w:rsidRPr="00E47A42">
        <w:rPr>
          <w:rFonts w:ascii="Book Antiqua" w:hAnsi="Book Antiqua" w:cs="Times New Roman"/>
          <w:sz w:val="24"/>
          <w:szCs w:val="24"/>
          <w:lang w:val="en-US"/>
        </w:rPr>
        <w:t xml:space="preserve"> P. Counteraction of perforated cecum lesions in rats: </w:t>
      </w:r>
      <w:r w:rsidR="00DE32EA" w:rsidRPr="00874396">
        <w:rPr>
          <w:rFonts w:ascii="Book Antiqua" w:hAnsi="Book Antiqua" w:cs="Times New Roman"/>
          <w:caps/>
          <w:sz w:val="24"/>
          <w:szCs w:val="24"/>
          <w:lang w:val="en-US"/>
        </w:rPr>
        <w:t>e</w:t>
      </w:r>
      <w:r w:rsidR="00DE32EA" w:rsidRPr="00E47A42">
        <w:rPr>
          <w:rFonts w:ascii="Book Antiqua" w:hAnsi="Book Antiqua" w:cs="Times New Roman"/>
          <w:sz w:val="24"/>
          <w:szCs w:val="24"/>
          <w:lang w:val="en-US"/>
        </w:rPr>
        <w:t xml:space="preserve">ffects of </w:t>
      </w:r>
      <w:proofErr w:type="spellStart"/>
      <w:r w:rsidR="00DE32EA" w:rsidRPr="00E47A42">
        <w:rPr>
          <w:rFonts w:ascii="Book Antiqua" w:hAnsi="Book Antiqua" w:cs="Times New Roman"/>
          <w:sz w:val="24"/>
          <w:szCs w:val="24"/>
          <w:lang w:val="en-US"/>
        </w:rPr>
        <w:t>pentadecapeptide</w:t>
      </w:r>
      <w:proofErr w:type="spellEnd"/>
      <w:r w:rsidR="00DE32EA" w:rsidRPr="00E47A42">
        <w:rPr>
          <w:rFonts w:ascii="Book Antiqua" w:hAnsi="Book Antiqua" w:cs="Times New Roman"/>
          <w:sz w:val="24"/>
          <w:szCs w:val="24"/>
          <w:lang w:val="en-US"/>
        </w:rPr>
        <w:t xml:space="preserve"> BPC 157, L-NAME and L-arginine</w:t>
      </w:r>
      <w:r w:rsidR="00874396">
        <w:rPr>
          <w:rFonts w:ascii="Book Antiqua" w:hAnsi="Book Antiqua" w:cs="Times New Roman" w:hint="eastAsia"/>
          <w:sz w:val="24"/>
          <w:szCs w:val="24"/>
          <w:lang w:val="en-US" w:eastAsia="zh-CN"/>
        </w:rPr>
        <w:t xml:space="preserve">. </w:t>
      </w:r>
      <w:r w:rsidRPr="008369A6">
        <w:rPr>
          <w:rFonts w:ascii="Book Antiqua" w:hAnsi="Book Antiqua" w:cs="Times New Roman"/>
          <w:i/>
          <w:sz w:val="24"/>
          <w:szCs w:val="24"/>
          <w:lang w:val="en-US" w:eastAsia="zh-CN"/>
        </w:rPr>
        <w:t xml:space="preserve">World J </w:t>
      </w:r>
      <w:proofErr w:type="spellStart"/>
      <w:r w:rsidRPr="008369A6">
        <w:rPr>
          <w:rFonts w:ascii="Book Antiqua" w:hAnsi="Book Antiqua" w:cs="Times New Roman"/>
          <w:i/>
          <w:sz w:val="24"/>
          <w:szCs w:val="24"/>
          <w:lang w:val="en-US" w:eastAsia="zh-CN"/>
        </w:rPr>
        <w:t>Gastroenterol</w:t>
      </w:r>
      <w:proofErr w:type="spellEnd"/>
      <w:r w:rsidRPr="008369A6">
        <w:rPr>
          <w:rFonts w:ascii="Book Antiqua" w:hAnsi="Book Antiqua" w:cs="Times New Roman"/>
          <w:i/>
          <w:sz w:val="24"/>
          <w:szCs w:val="24"/>
          <w:lang w:val="en-US" w:eastAsia="zh-CN"/>
        </w:rPr>
        <w:t xml:space="preserve"> 2018</w:t>
      </w:r>
      <w:r>
        <w:rPr>
          <w:rFonts w:ascii="Book Antiqua" w:hAnsi="Book Antiqua" w:cs="Times New Roman"/>
          <w:sz w:val="24"/>
          <w:szCs w:val="24"/>
          <w:lang w:val="en-US" w:eastAsia="zh-CN"/>
        </w:rPr>
        <w:t>; 24(48):</w:t>
      </w:r>
      <w:r>
        <w:rPr>
          <w:rFonts w:ascii="Book Antiqua" w:hAnsi="Book Antiqua" w:cs="Times New Roman" w:hint="eastAsia"/>
          <w:sz w:val="24"/>
          <w:szCs w:val="24"/>
          <w:lang w:val="en-US" w:eastAsia="zh-CN"/>
        </w:rPr>
        <w:t xml:space="preserve"> </w:t>
      </w:r>
      <w:r w:rsidRPr="008369A6">
        <w:rPr>
          <w:rFonts w:ascii="Book Antiqua" w:hAnsi="Book Antiqua" w:cs="Times New Roman"/>
          <w:sz w:val="24"/>
          <w:szCs w:val="24"/>
          <w:lang w:val="en-US" w:eastAsia="zh-CN"/>
        </w:rPr>
        <w:t>5462-5476</w:t>
      </w:r>
    </w:p>
    <w:p w14:paraId="16FFAC06" w14:textId="77777777" w:rsidR="008369A6" w:rsidRPr="008369A6" w:rsidRDefault="008369A6" w:rsidP="008369A6">
      <w:pPr>
        <w:snapToGrid w:val="0"/>
        <w:spacing w:after="0" w:line="360" w:lineRule="auto"/>
        <w:jc w:val="both"/>
        <w:rPr>
          <w:rFonts w:ascii="Book Antiqua" w:hAnsi="Book Antiqua" w:cs="Times New Roman"/>
          <w:sz w:val="24"/>
          <w:szCs w:val="24"/>
          <w:lang w:val="en-US" w:eastAsia="zh-CN"/>
        </w:rPr>
      </w:pPr>
      <w:r w:rsidRPr="0042524A">
        <w:rPr>
          <w:rFonts w:ascii="Book Antiqua" w:hAnsi="Book Antiqua" w:cs="Times New Roman"/>
          <w:b/>
          <w:sz w:val="24"/>
          <w:szCs w:val="24"/>
          <w:lang w:val="en-US" w:eastAsia="zh-CN"/>
        </w:rPr>
        <w:t>URL:</w:t>
      </w:r>
      <w:r w:rsidRPr="008369A6">
        <w:rPr>
          <w:rFonts w:ascii="Book Antiqua" w:hAnsi="Book Antiqua" w:cs="Times New Roman"/>
          <w:sz w:val="24"/>
          <w:szCs w:val="24"/>
          <w:lang w:val="en-US" w:eastAsia="zh-CN"/>
        </w:rPr>
        <w:t xml:space="preserve"> https://www.wjgnet.com/1007-9327/full/v24/i48/5462.htm</w:t>
      </w:r>
    </w:p>
    <w:p w14:paraId="1999E04C" w14:textId="69772517" w:rsidR="00DE32EA" w:rsidRPr="00E47A42" w:rsidRDefault="008369A6" w:rsidP="008369A6">
      <w:pPr>
        <w:snapToGrid w:val="0"/>
        <w:spacing w:after="0" w:line="360" w:lineRule="auto"/>
        <w:jc w:val="both"/>
        <w:rPr>
          <w:rFonts w:ascii="Book Antiqua" w:hAnsi="Book Antiqua" w:cs="Times New Roman"/>
          <w:sz w:val="24"/>
          <w:szCs w:val="24"/>
          <w:lang w:val="en-US" w:eastAsia="zh-CN"/>
        </w:rPr>
      </w:pPr>
      <w:bookmarkStart w:id="15" w:name="_GoBack"/>
      <w:r w:rsidRPr="0042524A">
        <w:rPr>
          <w:rFonts w:ascii="Book Antiqua" w:hAnsi="Book Antiqua" w:cs="Times New Roman"/>
          <w:b/>
          <w:sz w:val="24"/>
          <w:szCs w:val="24"/>
          <w:lang w:val="en-US" w:eastAsia="zh-CN"/>
        </w:rPr>
        <w:t>DOI:</w:t>
      </w:r>
      <w:bookmarkEnd w:id="15"/>
      <w:r w:rsidRPr="008369A6">
        <w:rPr>
          <w:rFonts w:ascii="Book Antiqua" w:hAnsi="Book Antiqua" w:cs="Times New Roman"/>
          <w:sz w:val="24"/>
          <w:szCs w:val="24"/>
          <w:lang w:val="en-US" w:eastAsia="zh-CN"/>
        </w:rPr>
        <w:t xml:space="preserve"> https://dx.doi.org/10.3748/wjg.v24.i48.5462</w:t>
      </w:r>
    </w:p>
    <w:p w14:paraId="2BFAFD15" w14:textId="77777777" w:rsidR="00FF659B" w:rsidRPr="00E47A42" w:rsidRDefault="00FF659B" w:rsidP="00F73ADC">
      <w:pPr>
        <w:pStyle w:val="a3"/>
        <w:snapToGrid w:val="0"/>
        <w:spacing w:line="360" w:lineRule="auto"/>
        <w:jc w:val="both"/>
        <w:rPr>
          <w:rFonts w:ascii="Book Antiqua" w:hAnsi="Book Antiqua" w:cs="Times New Roman"/>
          <w:b/>
          <w:sz w:val="24"/>
          <w:szCs w:val="24"/>
          <w:lang w:val="en-US" w:eastAsia="zh-CN"/>
        </w:rPr>
      </w:pPr>
    </w:p>
    <w:p w14:paraId="56CBE372" w14:textId="237A169F" w:rsidR="00874396" w:rsidRDefault="00874396" w:rsidP="00F73ADC">
      <w:pPr>
        <w:snapToGrid w:val="0"/>
        <w:spacing w:after="0" w:line="360" w:lineRule="auto"/>
        <w:rPr>
          <w:rFonts w:ascii="Book Antiqua" w:hAnsi="Book Antiqua" w:cs="Times New Roman"/>
          <w:b/>
          <w:sz w:val="24"/>
          <w:szCs w:val="24"/>
          <w:lang w:val="en-US"/>
        </w:rPr>
      </w:pPr>
      <w:r>
        <w:rPr>
          <w:rFonts w:ascii="Book Antiqua" w:hAnsi="Book Antiqua" w:cs="Times New Roman"/>
          <w:b/>
          <w:sz w:val="24"/>
          <w:szCs w:val="24"/>
          <w:lang w:val="en-US"/>
        </w:rPr>
        <w:br w:type="page"/>
      </w:r>
    </w:p>
    <w:p w14:paraId="364031A5" w14:textId="61843158" w:rsidR="00E05F1C" w:rsidRPr="00E47A42" w:rsidRDefault="00E05F1C" w:rsidP="00F73ADC">
      <w:pPr>
        <w:pStyle w:val="a3"/>
        <w:snapToGrid w:val="0"/>
        <w:spacing w:line="360" w:lineRule="auto"/>
        <w:jc w:val="both"/>
        <w:rPr>
          <w:rFonts w:ascii="Book Antiqua" w:hAnsi="Book Antiqua" w:cs="Times New Roman"/>
          <w:b/>
          <w:sz w:val="24"/>
          <w:szCs w:val="24"/>
          <w:lang w:val="en-US"/>
        </w:rPr>
      </w:pPr>
      <w:r w:rsidRPr="00E47A42">
        <w:rPr>
          <w:rFonts w:ascii="Book Antiqua" w:hAnsi="Book Antiqua" w:cs="Times New Roman"/>
          <w:b/>
          <w:sz w:val="24"/>
          <w:szCs w:val="24"/>
          <w:lang w:val="en-US"/>
        </w:rPr>
        <w:lastRenderedPageBreak/>
        <w:t>I</w:t>
      </w:r>
      <w:r w:rsidR="0022476E" w:rsidRPr="00E47A42">
        <w:rPr>
          <w:rFonts w:ascii="Book Antiqua" w:hAnsi="Book Antiqua" w:cs="Times New Roman"/>
          <w:b/>
          <w:sz w:val="24"/>
          <w:szCs w:val="24"/>
          <w:lang w:val="en-US"/>
        </w:rPr>
        <w:t>NTRODUCTION</w:t>
      </w:r>
    </w:p>
    <w:p w14:paraId="29322E66" w14:textId="717E7C16" w:rsidR="0024515D" w:rsidRPr="00E47A42" w:rsidRDefault="00E05F1C" w:rsidP="00F73ADC">
      <w:pPr>
        <w:pStyle w:val="a3"/>
        <w:snapToGrid w:val="0"/>
        <w:spacing w:line="360" w:lineRule="auto"/>
        <w:jc w:val="both"/>
        <w:rPr>
          <w:rFonts w:ascii="Book Antiqua" w:hAnsi="Book Antiqua" w:cs="Times New Roman"/>
          <w:sz w:val="24"/>
          <w:szCs w:val="24"/>
          <w:lang w:val="en-US"/>
        </w:rPr>
      </w:pPr>
      <w:r w:rsidRPr="00E47A42">
        <w:rPr>
          <w:rFonts w:ascii="Book Antiqua" w:hAnsi="Book Antiqua" w:cs="Times New Roman"/>
          <w:sz w:val="24"/>
          <w:szCs w:val="24"/>
          <w:lang w:val="en-US"/>
        </w:rPr>
        <w:t>I</w:t>
      </w:r>
      <w:r w:rsidR="002E7EFE" w:rsidRPr="00E47A42">
        <w:rPr>
          <w:rFonts w:ascii="Book Antiqua" w:hAnsi="Book Antiqua" w:cs="Times New Roman"/>
          <w:sz w:val="24"/>
          <w:szCs w:val="24"/>
          <w:lang w:val="en-US"/>
        </w:rPr>
        <w:t>n cecum perforation studies</w:t>
      </w:r>
      <w:r w:rsidR="002E7EFE"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{"citationItems":[{"id":"ITEM-1","itemData":{"DOI":"10.1016/j.jpedsurg.2012.06.024","ISSN":"00223468","PMID":"23163997","abstract":"AIM The omentum plays a crucial role in abdominal defense mechanism by adhering to sites of inflammation and absorbing bacteria and debris from the peritoneal cavity. An experimental study was conducted to evaluate the inflammatory response of omentum in different abdominal events with omental P-/E-selectin levels and histopathologic findings. MATERIALS AND METHODS Thirty Wistar rats were placed into 5 groups (n = 6), including a control group (CG), sham group (SG), bladder perforation (BP) group, splenic laceration (SL) group, and cecal ligation and puncture (CLP) group. Omental samples were obtained in CG after median laparotomy. In accordance with described models, BP, SL, and CLP were performed in experimental groups. Twenty-four hours after the first laparotomy, localization of the omental pad was noted, and omental samples were obtained for biochemical analysis of levels and histopathologic findings (no. of vessels in sections, polymorphic nuclear leukocytes [PMLs], lymphocytes). The mean P-/E-selectin levels and histopathologic findings of inflammation were compared between groups. RESULTS Although omentum was adhered to the cecum in all subjects after CLP, similar findings were not detected in other groups. P-selectin and E-selectin levels and number of PML were significantly increased in the CLP group when compared with other groups (P &lt; .05). The number of vessels in sections was significantly increased in CLP group when compared with SG and BP groups (P &lt; .05), and the BP group had a decreased number of vessels than CG (P &lt; .05). The number of PML was significantly increased in SG and SL and BP groups with respect to CG (P &lt; .05). CONCLUSION Among different experimental intraabdominal catastrophes, only CLP caused an inflammatory response and increased levels of adhesion molecules in the omentum. These findings suggest that the nature of the inflammation is the main determining factor for the omental function in intraabdominal events.","author":[{"dropping-particle":"","family":"Aslan","given":"Mustafa Kemal","non-dropping-particle":"","parse-names":false,"suffix":""},{"dropping-particle":"","family":"Boybeyi","given":"Özlem","non-dropping-particle":"","parse-names":false,"suffix":""},{"dropping-particle":"","family":"Soyer","given":"Tutku","non-dropping-particle":"","parse-names":false,"suffix":""},{"dropping-particle":"","family":"Şenyücel","given":"Mine Fedakar","non-dropping-particle":"","parse-names":false,"suffix":""},{"dropping-particle":"","family":"Ayva","given":"Şebnem","non-dropping-particle":"","parse-names":false,"suffix":""},{"dropping-particle":"","family":"Kısa","given":"Ucler","non-dropping-particle":"","parse-names":false,"suffix":""},{"dropping-particle":"","family":"Cesur","given":"Özkan","non-dropping-particle":"","parse-names":false,"suffix":""},{"dropping-particle":"","family":"Çakmak","given":"Murat","non-dropping-particle":"","parse-names":false,"suffix":""}],"container-title":"Journal of Pediatric Surgery","id":"ITEM-1","issue":"11","issued":{"date-parts":[["2012","11"]]},"page":"2050-2054","title":"Evaluation of omental inflammatory response with P-/E-selectin levels and histopathologic findings in experimental model","type":"article-journal","volume":"47"},"uris":["http://www.mendeley.com/documents/?uuid=95962475-9f42-400a-9237-d5ba8553a160"]},{"id":"ITEM-2","itemData":{"DOI":"10.1016/j.biopha.2016.12.026","ISSN":"07533322","PMID":"28038428","abstract":"BACKGROUND Sepsis causes nutritional substrate malabsorption; hence, preventing gut barrier problems and improving the nutritional status in sepsis is a compelling issue. AIMS We tested whether ghrelin administration affects peptide transporter 1 (PepT1) activity in the intestinal epithelium of rats with sepsis. METHODS Sixty male Sprague-Dawley rats were randomly divided into sham-operated, sepsis, and ghrelin-treated groups. The cecum of sham-operated rats was separated after laparotomy without ligation and perforation. Sepsis group rats underwent cecal ligation and puncture (CLP). Mucosal specimens were used for immunohistochemstry, real-time PCR, and western blotting to detect PepT1 distribution, and mRNA and protein expression levels, respectively. TNF-α, IL-1β, and ghrelin levels were estimated in serum and intestinal mucosal tissue by ELISA. High-performance liquid chromatography was used to measure PepT1 uptake by the epithelial cells. Moreover, survival, body weight, and food intake of the rats were recorded during the 7-day treatment period. RESULTS All rats in the sham-operated group survived, and 80% of rats in the sepsis group died within 7d of CLP. Treatment with ghrelin attenuated the CLP-induced body weight loss, intestine mucosa damage, and the survival rate was better. In addition, ghrelin attenuated increases in TNF-α and IL-1β production. The expressions of PepT1 mRNA and protein were higher in ghrelin-treated group rats than in sepsis rats. Moreover, the uptake function of PepT1 was better in ghrelin-treated group rats. CONCLUSION Ghrelin treatment can reduce the inflammatory response and greatly upregulate the physiological function of PepT1 in intestinal epithelial cells of rats with sepsis.","author":[{"dropping-particle":"","family":"Liu","given":"Jingquan","non-dropping-particle":"","parse-names":false,"suffix":""},{"dropping-particle":"","family":"Shi","given":"Bin","non-dropping-particle":"","parse-names":false,"suffix":""},{"dropping-particle":"","family":"Shi","given":"Kai","non-dropping-particle":"","parse-names":false,"suffix":""},{"dropping-particle":"","family":"Ma","given":"Guoguang","non-dropping-particle":"","parse-names":false,"suffix":""},{"dropping-particle":"","family":"Zhang","given":"Hongze","non-dropping-particle":"","parse-names":false,"suffix":""},{"dropping-particle":"","family":"Lou","given":"Xiaoli","non-dropping-particle":"","parse-names":false,"suffix":""},{"dropping-particle":"","family":"Liu","given":"Hongxiang","non-dropping-particle":"","parse-names":false,"suffix":""},{"dropping-particle":"","family":"Wan","given":"Shengxia","non-dropping-particle":"","parse-names":false,"suffix":""},{"dropping-particle":"","family":"Liang","given":"Dongyu","non-dropping-particle":"","parse-names":false,"suffix":""}],"container-title":"Biomedicine &amp; Pharmacotherapy","id":"ITEM-2","issued":{"date-parts":[["2017","2"]]},"page":"669-676","title":"Ghrelin upregulates PepT1 activity in the small intestine epithelium of rats with sepsis","type":"article-journal","volume":"86"},"uris":["http://www.mendeley.com/documents/?uuid=e34669a6-060a-4439-8eb9-e48f7e57279f"]},{"id":"ITEM-3","itemData":{"DOI":"10.1139/cjpp-2013-0219","ISSN":"0008-4212","PMID":"24289082","abstract":"In this study, we sought to determine the effects produced by cecal ligation and perforation (CLP) on the autonomic responses to the activation of peripheral chemoreflexes in conscious rats. The peripheral chemoreflex was activated with potassium cyanide (KCN; 40 μg·(0.1 mL)(-1); intravenous injection (i.v.)) in male Wistar rats 3, 6, 12, and 24 h after CLP or sham surgery. The mean arterial pressure (MAP), heart rate (HR), and respiratory frequency (fR) were recorded simultaneously. CLP surgery reduced the baseline MAP when compared with the sham animals. In the animals of the sham group, the autonomic responses to KCN produced increases in MAP and fR as well as a decrease in HR. However, 12 and 24 h after CLP surgery, the autonomic responses to KCN were attenuated. The restoration of MAP by i.v. injected l-NAME or phenylephrine did not restore the autonomic response to KCN in rats subjected to CLP. These data show that septic shock induced by CLP compromised the autonomic responses to peripheral chemoreflex activation in conscious rats, suggesting that an important regulatory mechanism is impaired during the course of this condition.","author":[{"dropping-particle":"","family":"Santiago","given":"Michael B","non-dropping-particle":"","parse-names":false,"suffix":""},{"dropping-particle":"","family":"Vieira","given":"Alexandre A","non-dropping-particle":"","parse-names":false,"suffix":""},{"dropping-particle":"","family":"Giusti-Paiva","given":"Alexandre","non-dropping-particle":"","parse-names":false,"suffix":""}],"container-title":"Canadian Journal of Physiology and Pharmacology","id":"ITEM-3","issue":"12","issued":{"date-parts":[["2013","12"]]},"page":"1107-1111","title":"Impaired chemoreflex sensitivity during septic shock induced by cecal ligation and perforation","type":"article-journal","volume":"91"},"uris":["http://www.mendeley.com/documents/?uuid=a24772d5-8399-416e-be7e-ebc0a7cb0ad4"]}],"mendeley":{"formattedCitation":"&lt;sup&gt;[1–3]&lt;/sup&gt;","plainTextFormattedCitation":"[1–3]","previouslyFormattedCitation":"&lt;sup&gt;[1–3]&lt;/sup&gt;"},"properties":{"noteIndex":0},"schema":"https://github.com/citation-style-language/schema/raw/master/csl-citation.json"}</w:instrText>
      </w:r>
      <w:r w:rsidR="002E7EFE"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[1–3]</w:t>
      </w:r>
      <w:r w:rsidR="002E7EFE"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the immediate post-perforation threat is rarely studied, particularly </w:t>
      </w:r>
      <w:r w:rsidR="002F1EC6" w:rsidRPr="00E47A42">
        <w:rPr>
          <w:rFonts w:ascii="Book Antiqua" w:hAnsi="Book Antiqua" w:cs="Times New Roman"/>
          <w:sz w:val="24"/>
          <w:szCs w:val="24"/>
          <w:lang w:val="en-US"/>
        </w:rPr>
        <w:t>regarding</w:t>
      </w:r>
      <w:r w:rsidR="00FF659B"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w:t>
      </w:r>
      <w:r w:rsidR="002F1EC6"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 xml:space="preserve">rapid disappearance of blood vessels </w:t>
      </w:r>
      <w:r w:rsidR="002F1EC6" w:rsidRPr="00E47A42">
        <w:rPr>
          <w:rFonts w:ascii="Book Antiqua" w:hAnsi="Book Antiqua" w:cs="Times New Roman"/>
          <w:sz w:val="24"/>
          <w:szCs w:val="24"/>
          <w:lang w:val="en-US"/>
        </w:rPr>
        <w:t>in</w:t>
      </w:r>
      <w:r w:rsidRPr="00E47A42">
        <w:rPr>
          <w:rFonts w:ascii="Book Antiqua" w:hAnsi="Book Antiqua" w:cs="Times New Roman"/>
          <w:sz w:val="24"/>
          <w:szCs w:val="24"/>
          <w:lang w:val="en-US"/>
        </w:rPr>
        <w:t xml:space="preserve"> the cecum serosa that </w:t>
      </w:r>
      <w:r w:rsidRPr="00E47A42">
        <w:rPr>
          <w:rFonts w:ascii="Book Antiqua" w:hAnsi="Book Antiqua" w:cs="Times New Roman"/>
          <w:noProof/>
          <w:sz w:val="24"/>
          <w:szCs w:val="24"/>
          <w:lang w:val="en-US"/>
        </w:rPr>
        <w:t>are</w:t>
      </w:r>
      <w:r w:rsidRPr="00E47A42">
        <w:rPr>
          <w:rFonts w:ascii="Book Antiqua" w:hAnsi="Book Antiqua" w:cs="Times New Roman"/>
          <w:sz w:val="24"/>
          <w:szCs w:val="24"/>
          <w:lang w:val="en-US"/>
        </w:rPr>
        <w:t xml:space="preserve"> instantly emptied and thereby </w:t>
      </w:r>
      <w:r w:rsidR="002F1EC6" w:rsidRPr="00E47A42">
        <w:rPr>
          <w:rFonts w:ascii="Book Antiqua" w:hAnsi="Book Antiqua" w:cs="Times New Roman"/>
          <w:sz w:val="24"/>
          <w:szCs w:val="24"/>
          <w:lang w:val="en-US"/>
        </w:rPr>
        <w:t>“</w:t>
      </w:r>
      <w:r w:rsidR="00FF659B" w:rsidRPr="00E47A42">
        <w:rPr>
          <w:rFonts w:ascii="Book Antiqua" w:hAnsi="Book Antiqua" w:cs="Times New Roman"/>
          <w:sz w:val="24"/>
          <w:szCs w:val="24"/>
          <w:lang w:val="en-US"/>
        </w:rPr>
        <w:t>disappear</w:t>
      </w:r>
      <w:r w:rsidR="002F1EC6"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perforation defect enlargement</w:t>
      </w:r>
      <w:r w:rsidR="002F1EC6"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bleeding and fluid leak</w:t>
      </w:r>
      <w:r w:rsidR="002F1EC6" w:rsidRPr="00E47A42">
        <w:rPr>
          <w:rFonts w:ascii="Book Antiqua" w:hAnsi="Book Antiqua" w:cs="Times New Roman"/>
          <w:sz w:val="24"/>
          <w:szCs w:val="24"/>
          <w:lang w:val="en-US"/>
        </w:rPr>
        <w:t>age,</w:t>
      </w:r>
      <w:r w:rsidRPr="00E47A42">
        <w:rPr>
          <w:rFonts w:ascii="Book Antiqua" w:hAnsi="Book Antiqua" w:cs="Times New Roman"/>
          <w:sz w:val="24"/>
          <w:szCs w:val="24"/>
          <w:lang w:val="en-US"/>
        </w:rPr>
        <w:t xml:space="preserve"> increased oxidative stress and disturbed </w:t>
      </w:r>
      <w:r w:rsidR="00253E13" w:rsidRPr="00E47A42">
        <w:rPr>
          <w:rFonts w:ascii="Book Antiqua" w:hAnsi="Book Antiqua" w:cs="Times New Roman"/>
          <w:sz w:val="24"/>
          <w:szCs w:val="24"/>
          <w:lang w:val="en-US"/>
        </w:rPr>
        <w:t>nitric oxide (NO)</w:t>
      </w:r>
      <w:r w:rsidRPr="00E47A42">
        <w:rPr>
          <w:rFonts w:ascii="Book Antiqua" w:hAnsi="Book Antiqua" w:cs="Times New Roman"/>
          <w:sz w:val="24"/>
          <w:szCs w:val="24"/>
          <w:lang w:val="en-US"/>
        </w:rPr>
        <w:t xml:space="preserve"> level</w:t>
      </w:r>
      <w:r w:rsidR="002F1EC6" w:rsidRPr="00E47A42">
        <w:rPr>
          <w:rFonts w:ascii="Book Antiqua" w:hAnsi="Book Antiqua" w:cs="Times New Roman"/>
          <w:sz w:val="24"/>
          <w:szCs w:val="24"/>
          <w:lang w:val="en-US"/>
        </w:rPr>
        <w:t>s</w:t>
      </w:r>
      <w:r w:rsidRPr="00E47A42">
        <w:rPr>
          <w:rFonts w:ascii="Book Antiqua" w:hAnsi="Book Antiqua" w:cs="Times New Roman"/>
          <w:sz w:val="24"/>
          <w:szCs w:val="24"/>
          <w:lang w:val="en-US"/>
        </w:rPr>
        <w:t xml:space="preserve"> in cecum tissue. Likewise, the possible effect of cytoprotective agents, known to act as a class on endothelium maintenance in</w:t>
      </w:r>
      <w:r w:rsidR="002F1EC6" w:rsidRPr="00E47A42">
        <w:rPr>
          <w:rFonts w:ascii="Book Antiqua" w:hAnsi="Book Antiqua" w:cs="Times New Roman"/>
          <w:sz w:val="24"/>
          <w:szCs w:val="24"/>
          <w:lang w:val="en-US"/>
        </w:rPr>
        <w:t xml:space="preserve"> the</w:t>
      </w:r>
      <w:r w:rsidRPr="00E47A42">
        <w:rPr>
          <w:rFonts w:ascii="Book Antiqua" w:hAnsi="Book Antiqua" w:cs="Times New Roman"/>
          <w:sz w:val="24"/>
          <w:szCs w:val="24"/>
          <w:lang w:val="en-US"/>
        </w:rPr>
        <w:t xml:space="preserve"> gastrointestinal tract (and</w:t>
      </w:r>
      <w:r w:rsidR="00CE5B80"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thereby, mucosal maintenance)</w:t>
      </w:r>
      <w:r w:rsidR="00E80744"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{"citationItems":[{"id":"ITEM-1","itemData":{"ISSN":"0016-5085","PMID":"38173","author":[{"dropping-particle":"","family":"Robert","given":"A","non-dropping-particle":"","parse-names":false,"suffix":""}],"container-title":"Gastroenterology","id":"ITEM-1","issue":"4 Pt 1","issued":{"date-parts":[["1979","10"]]},"page":"761-7","title":"Cytoprotection by prostaglandins.","type":"article-journal","volume":"77"},"uris":["http://www.mendeley.com/documents/?uuid=49342c62-22fb-4e9e-8e1d-0c66f6f8fd98"]},{"id":"ITEM-2","itemData":{"DOI":"10.1016/0024-3205(94)00796-9","ISSN":"00243205","abstract":"The protection of stomach and duodenum in conjecture with anti-inflammatory effect was demonstrated for a novel 15 amino acid peptide, coded BPC 157, a fragment of the recently discovered gastric juice peptide BPC. BPC 157 (i.p./i.g.) was investigated in rats in comparison with several reference standards in three experimental ulcer models (48 h-restriant stress, subcutaneous cysteamine, intragastrical 96% ethanol ulcer tests) (pre-/co-/post-treatment). Only BPC 157 regimes were consistently effective in all of the tested models. On the other hand, bromocriptine, amantadine, famotidine, cimetidine and somatostatin were in effective (restraint stress). A dose-dependent protection (cysteamine) and/or partial positive effect (related to treatment conditions) (ethanol), was obtained with glucagon, NPY and secretin whereas CCK/26- 30/ was not effective. Based on Monastral blue studies BPC 157 beneficial effect appears to be related to a strong endothelial protection. © 1993.","author":[{"dropping-particle":"","family":"Sikiric","given":"P.","non-dropping-particle":"","parse-names":false,"suffix":""},{"dropping-particle":"","family":"Seiwerth","given":"S.","non-dropping-particle":"","parse-names":false,"suffix":""},{"dropping-particle":"","family":"Grabarevic","given":"Z.","non-dropping-particle":"","parse-names":false,"suffix":""},{"dropping-particle":"","family":"Petek","given":"M.","non-dropping-particle":"","parse-names":false,"suffix":""},{"dropping-particle":"","family":"Rucman","given":"R.","non-dropping-particle":"","parse-names":false,"suffix":""},{"dropping-particle":"","family":"Turkovic","given":"B.","non-dropping-particle":"","parse-names":false,"suffix":""},{"dropping-particle":"","family":"Rotkvic","given":"I.","non-dropping-particle":"","parse-names":false,"suffix":""},{"dropping-particle":"","family":"Jagic","given":"V.","non-dropping-particle":"","parse-names":false,"suffix":""},{"dropping-particle":"","family":"Duvnjak","given":"M.","non-dropping-particle":"","parse-names":false,"suffix":""},{"dropping-particle":"","family":"Mise","given":"S.","non-dropping-particle":"","parse-names":false,"suffix":""},{"dropping-particle":"","family":"Djacic","given":"S.","non-dropping-particle":"","parse-names":false,"suffix":""},{"dropping-particle":"","family":"Separovic","given":"J.","non-dropping-particle":"","parse-names":false,"suffix":""},{"dropping-particle":"","family":"Veljaca","given":"M.","non-dropping-particle":"","parse-names":false,"suffix":""},{"dropping-particle":"","family":"Sallmani","given":"A.","non-dropping-particle":"","parse-names":false,"suffix":""},{"dropping-particle":"","family":"Banic","given":"M.","non-dropping-particle":"","parse-names":false,"suffix":""},{"dropping-particle":"","family":"Brkic","given":"T.","non-dropping-particle":"","parse-names":false,"suffix":""}],"container-title":"Life Sciences","id":"ITEM-2","issue":"5","issued":{"date-parts":[["1994"]]},"title":"The beneficial effect of BPC 157, a 15 amino acid peptide BPC fragment, on gastric and duodenal lesions induced by restraint stress, cysteamine and 96% ethanol in rats. A comparative study with H&lt;inf&gt;2&lt;/inf&gt; receptor antagonists, dopamine promotors and gu","type":"article-journal","volume":"54"},"uris":["http://www.mendeley.com/documents/?uuid=72c1326c-4932-3348-bdfb-2924965ab9c5"]},{"id":"ITEM-3","itemData":{"DOI":"10.1007/978-1-4684-5697-4","ISBN":"978-1-4684-5699-8","author":[{"dropping-particle":"","family":"Szabo","given":"Sandor","non-dropping-particle":"","parse-names":false,"suffix":""}],"container-title":"Gastric cytoprotection. A clinician's guide","edition":"1. st","editor":[{"dropping-particle":"","family":"Hollander","given":"Daniel","non-dropping-particle":"","parse-names":false,"suffix":""},{"dropping-particle":"","family":"Tarnawski","given":"Andrzej S.","non-dropping-particle":"","parse-names":false,"suffix":""}],"id":"ITEM-3","issued":{"date-parts":[["1989"]]},"number-of-pages":"49-90","publisher":"Springer US","publisher-place":"Boston, MA","title":"Gastric Cytoprotection","type":"book"},"uris":["http://www.mendeley.com/documents/?uuid=b6143da9-cfd4-4cc4-9ba5-11dff6b9ff7e"]},{"id":"ITEM-4","itemData":{"ISSN":"0016-5085","PMID":"3871087","abstract":"The hypothesis that vascular injury contributes to the development of hemorrhagic erosions after intragastric administration of ethanol has been examined in the rat using vascular tracers. Extravasation of intravenously injected Evans blue into the gastric wall and into gastric contents was used as an indicator of vascular permeability. India ink and monastral blue, which label damaged blood vessels, were used to demonstrate vascular injury morphologically. Intragastric instillation of 75% and 100% ethanol induced increased vascular permeability within 1-3 min and resulted in monastral blue labeling of vessels in 13% and 17%, respectively, of the glandular mucosa within 1 min. After 1 h of 100% ethanol exposure, the areal density of monastral blue-stained blood vessels did not increase compared with that seen at 1 min, but the areal density of grossly visible hemorrhagic lesions increased strikingly and approximated that of vessel staining. The hemorrhagic erosions consistently occurred in regions of glandular mucosa where vessels were stained with monastral blue. Pretreatment with prostaglandin F2 beta or cysteamine reduced ethanol-induced Evans blue extravasation and monastral blue staining of mucosal blood vessels but did not reduce histologic evidence of gastric surface cell damage in the glandular mucosa. As increased vascular permeability and morphologically detectable vascular lesions consistently preceded the development of grossly visible hemorrhagic erosions in the glandular mucosa, we suggest that vascular injury is an early pathogenetic factor in the development of ethanol-induced gastric hemorrhagic erosions. The data also indicate that the degree of vascular damage, unlike the injury to surface epithelial cells, is reduced by pretreatment with prostaglandin F2 beta or the sulfhydryl cysteamine.","author":[{"dropping-particle":"","family":"Szabo","given":"S","non-dropping-particle":"","parse-names":false,"suffix":""},{"dropping-particle":"","family":"Trier","given":"J S","non-dropping-particle":"","parse-names":false,"suffix":""},{"dropping-particle":"","family":"Brown","given":"A","non-dropping-particle":"","parse-names":false,"suffix":""},{"dropping-particle":"","family":"Schnoor","given":"J","non-dropping-particle":"","parse-names":false,"suffix":""}],"container-title":"Gastroenterology","id":"ITEM-4","issue":"1 Pt 2","issued":{"date-parts":[["1985","1"]]},"page":"228-36","title":"Early vascular injury and increased vascular permeability in gastric mucosal injury caused by ethanol in the rat.","type":"article-journal","volume":"88"},"uris":["http://www.mendeley.com/documents/?uuid=a3272911-ef25-495c-85d1-1b71d1d7f12e"]},{"id":"ITEM-5","itemData":{"author":[{"dropping-particle":"","family":"Szabo","given":"Sandor","non-dropping-particle":"","parse-names":false,"suffix":""},{"dropping-particle":"","family":"Trier","given":"JS","non-dropping-particle":"","parse-names":false,"suffix":""}],"container-title":"Mechanism of mucosal protection in the upper gastrointestinal tract","editor":[{"dropping-particle":"","family":"Allen","given":"A","non-dropping-particle":"","parse-names":false,"suffix":""},{"dropping-particle":"","family":"Flemstrom","given":"G","non-dropping-particle":"","parse-names":false,"suffix":""},{"dropping-particle":"","family":"Garner","given":"A","non-dropping-particle":"","parse-names":false,"suffix":""},{"dropping-particle":"","family":"Silen","given":"W","non-dropping-particle":"","parse-names":false,"suffix":""},{"dropping-particle":"","family":"Turnberg","given":"LA","non-dropping-particle":"","parse-names":false,"suffix":""}],"id":"ITEM-5","issued":{"date-parts":[["1984"]]},"page":"387-393","publisher":"Raven","publisher-place":"New York","title":"Pathogenesis of acute gastric mucosal injury: Sulfhydrils as a protector, adrenal cortex as a modulator, and vascular endothelium as a target","type":"chapter"},"uris":["http://www.mendeley.com/documents/?uuid=21df94ec-a5e2-4420-85db-5334a540ef21"]},{"id":"ITEM-6","itemData":{"ISSN":"0016-5085","PMID":"3781180","abstract":"Impairment of the mucosal microcirculation may contribute to ethanol-induced gastric mucosal damage. In this report, we describe diffuse and severe ultrastructural damage to the capillaries of the gastric glandular mucosa of the rat that occurred within 1 min after intragastric instillation of 100% ethanol. There was a gradient of damage in that endothelial cell structure was most severely disrupted in profiles of capillaries located close to the luminal surface but some morphologic evidence of damage was evident in the wall of capillary profiles to a mean depth of 256 micron. Capillary structure was generally normal in the deeper regions of the mucosa. Pretreatment with intragastric cysteamine, 30 mg/100 g, or intragastric prostaglandin F2 beta, 0.5 mg/100 g, significantly reduced the depth in the mucosa to which damage to capillaries extended. Pretreatment with intragastric prostaglandin F2 beta, 0.2 mg/100 g, afforded no significant protection. We conclude that a 1-min exposure to 100% ethanol induces striking damage to the microcirculation of glandular mucosa of the rat stomach with severe damage to capillary profiles near the lumen and sparing of capillary profiles near the muscularis mucosa, and pretreatment with the sulfhydryl agent, cysteamine, or with a large dose of prostaglandin F2 beta reduces the extent of but does not abolish ethanol-induced damage to gastric mucosal capillaries.","author":[{"dropping-particle":"","family":"Trier","given":"JS","non-dropping-particle":"","parse-names":false,"suffix":""},{"dropping-particle":"","family":"Szabo","given":"S","non-dropping-particle":"","parse-names":false,"suffix":""},{"dropping-particle":"","family":"Allan","given":"CH","non-dropping-particle":"","parse-names":false,"suffix":""}],"container-title":"Gastroenterology","id":"ITEM-6","issue":"1","issued":{"date-parts":[["1987","1"]]},"page":"13-22","title":"Ethanol-induced damage to mucosal capillaries of rat stomach. Ultrastructural features and effects of prostaglandin F2 beta and cysteamine.","type":"article-journal","volume":"92"},"uris":["http://www.mendeley.com/documents/?uuid=c3f098f1-f060-4c67-9911-5ab2b4c90217"]}],"mendeley":{"formattedCitation":"&lt;sup&gt;[4–9]&lt;/sup&gt;","plainTextFormattedCitation":"[4–9]","previouslyFormattedCitation":"&lt;sup&gt;[4–9]&lt;/sup&gt;"},"properties":{"noteIndex":0},"schema":"https://github.com/citation-style-language/schema/raw/master/csl-citation.json"}</w:instrText>
      </w:r>
      <w:r w:rsidR="00E80744"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[4–9]</w:t>
      </w:r>
      <w:r w:rsidR="00E80744"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especially </w:t>
      </w:r>
      <w:r w:rsidR="00FF659B"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 xml:space="preserve">stable gastric </w:t>
      </w:r>
      <w:proofErr w:type="spellStart"/>
      <w:r w:rsidRPr="00E47A42">
        <w:rPr>
          <w:rFonts w:ascii="Book Antiqua" w:hAnsi="Book Antiqua" w:cs="Times New Roman"/>
          <w:sz w:val="24"/>
          <w:szCs w:val="24"/>
          <w:lang w:val="en-US"/>
        </w:rPr>
        <w:t>pentadecapeptide</w:t>
      </w:r>
      <w:proofErr w:type="spellEnd"/>
      <w:r w:rsidRPr="00E47A42">
        <w:rPr>
          <w:rFonts w:ascii="Book Antiqua" w:hAnsi="Book Antiqua" w:cs="Times New Roman"/>
          <w:sz w:val="24"/>
          <w:szCs w:val="24"/>
          <w:lang w:val="en-US"/>
        </w:rPr>
        <w:t xml:space="preserve"> BPC 157 as a cytoprotective agent rapidly acting on endothelium integrity maintenance</w:t>
      </w:r>
      <w:r w:rsidR="006B0CC4"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10.2174/1381612823666170220163219","ISSN":"13816128","author":[{"dropping-particle":"","family":"Sikiric","given":"Predrag","non-dropping-particle":"","parse-names":false,"suffix":""},{"dropping-particle":"","family":"Seiwerth","given":"Sven","non-dropping-particle":"","parse-names":false,"suffix":""},{"dropping-particle":"","family":"Rucman","given":"Rudolf","non-dropping-particle":"","parse-names":false,"suffix":""},{"dropping-particle":"","family":"Drmic","given":"Domagoj","non-dropping-particle":"","parse-names":false,"suffix":""},{"dropping-particle":"","family":"Stupnisek","given":"Mirjana","non-dropping-particle":"","parse-names":false,"suffix":""},{"dropping-particle":"","family":"Kokot","given":"Antonio","non-dropping-particle":"","parse-names":false,"suffix":""},{"dropping-particle":"","family":"Sever","given":"Marko","non-dropping-particle":"","parse-names":false,"suffix":""},{"dropping-particle":"","family":"Zoricic","given":"Ivan","non-dropping-particle":"","parse-names":false,"suffix":""},{"dropping-particle":"","family":"Zoricic","given":"Zoran","non-dropping-particle":"","parse-names":false,"suffix":""},{"dropping-particle":"","family":"Batelja","given":"Lovorka","non-dropping-particle":"","parse-names":false,"suffix":""},{"dropping-particle":"","family":"Ziger","given":"Tihomil","non-dropping-particle":"","parse-names":false,"suffix":""},{"dropping-particle":"","family":"Luetic","given":"Kresimir","non-dropping-particle":"","parse-names":false,"suffix":""},{"dropping-particle":"","family":"Vlainic","given":"Josipa","non-dropping-particle":"","parse-names":false,"suffix":""},{"dropping-particle":"","family":"Rasic","given":"Zarko","non-dropping-particle":"","parse-names":false,"suffix":""},{"dropping-particle":"","family":"Bencic","given":"Martina Lovric","non-dropping-particle":"","parse-names":false,"suffix":""}],"container-title":"Current Pharmaceutical Design","id":"ITEM-1","issue":"27","issued":{"date-parts":[["2017","10","30"]]},"page":"4012-4028","title":"Stress in Gastrointestinal Tract and Stable Gastric Pentadecapeptide BPC 157. Finally, do we have a Solution?","type":"article-journal","volume":"23"},"uris":["http://www.mendeley.com/documents/?uuid=bb09abfa-dd18-4e07-99e3-5e0c5e908cc9"]},{"id":"ITEM-2","itemData":{"ISSN":"1875-6190","PMID":"27138887","abstract":"BACKGROUND Brain-gut interaction involves, among others, peptidergic growth factors which are native in GI tract and have strong antiulcer potency and thus could from periphery beneficially affect CNS-disorders. We focused on the stable gastric pentadecapeptide BPC 157, an antiulcer peptidergic agent, safe in inflammatory bowel disease trials and now in multiple sclerosis trial, native and stable in human gastric juice. METHODS Review of our research on BPC 157 in terms of brain-gut axis. RESULTS BPC 157 may serve as a novel mediator of Robert's cytoprotection, involved in maintaining of GI mucosa integrity, with no toxic effect. BPC 157 was successful in the therapy of GI tract, periodontitis, liver and pancreas lesions, and in the healing of various tissues and wounds. Stimulated Egr-1 gene, NAB2, FAK-paxillin and JAK-2 pathways are hitherto implicated. Initially corresponding beneficial central influence was seen when BPC 157 was given peripherally and a serotonin release in particular brain areas, mostly nigrostriatal, was changed. BPC 157 modulates serotonergic and dopaminergic systems, beneficially affects various behavioral disturbances that otherwise appeared due to specifically (over)stimulated/damaged neurotransmitters systems. Besides, BPC 157 has neuroprotective effects: protects somatosensory neurons; peripheral nerve regeneration appearent after transection; after traumatic brain injury counteracts the otherwise progressing course, in rat spinal cord compression with tail paralysis, axonal and neuronal necrosis, demyelination, cyst formation and rescues tail function in both short-terms and long-terms; after NSAIDs or insulin overdose or cuprizone encephalopathies were attenuated along with GI, liver and vascular injuries. CONCLUSION BPC 157, a gastric peptide, may serve as remedy in various CNS-disorders.","author":[{"dropping-particle":"","family":"Sikiric","given":"Predrag","non-dropping-particle":"","parse-names":false,"suffix":""},{"dropping-particle":"","family":"Seiwerth","given":"Sven","non-dropping-particle":"","parse-names":false,"suffix":""},{"dropping-particle":"","family":"Rucman","given":"Rudolf","non-dropping-particle":"","parse-names":false,"suffix":""},{"dropping-particle":"","family":"Kolenc","given":"Danijela","non-dropping-particle":"","parse-names":false,"suffix":""},{"dropping-particle":"","family":"Vuletic","given":"Lovorka Batelja","non-dropping-particle":"","parse-names":false,"suffix":""},{"dropping-particle":"","family":"Drmic","given":"Domagoj","non-dropping-particle":"","parse-names":false,"suffix":""},{"dropping-particle":"","family":"Grgic","given":"Tihomir","non-dropping-particle":"","parse-names":false,"suffix":""},{"dropping-particle":"","family":"Strbe","given":"Sanja","non-dropping-particle":"","parse-names":false,"suffix":""},{"dropping-particle":"","family":"Zukanovic","given":"Goran","non-dropping-particle":"","parse-names":false,"suffix":""},{"dropping-particle":"","family":"Crvenkovic","given":"Dalibor","non-dropping-particle":"","parse-names":false,"suffix":""},{"dropping-particle":"","family":"Madzarac","given":"Goran","non-dropping-particle":"","parse-names":false,"suffix":""},{"dropping-particle":"","family":"Rukavina","given":"Iva","non-dropping-particle":"","parse-names":false,"suffix":""},{"dropping-particle":"","family":"Sucic","given":"Mario","non-dropping-particle":"","parse-names":false,"suffix":""},{"dropping-particle":"","family":"Baric","given":"Marko","non-dropping-particle":"","parse-names":false,"suffix":""},{"dropping-particle":"","family":"Starcevic","given":"Neven","non-dropping-particle":"","parse-names":false,"suffix":""},{"dropping-particle":"","family":"Krstonijevic","given":"Zoran","non-dropping-particle":"","parse-names":false,"suffix":""},{"dropping-particle":"","family":"Bencic","given":"Martina Lovric","non-dropping-particle":"","parse-names":false,"suffix":""},{"dropping-particle":"","family":"Filipcic","given":"Igor","non-dropping-particle":"","parse-names":false,"suffix":""},{"dropping-particle":"","family":"Rokotov","given":"Dinko Stancic","non-dropping-particle":"","parse-names":false,"suffix":""},{"dropping-particle":"","family":"Vlainic","given":"Josipa","non-dropping-particle":"","parse-names":false,"suffix":""}],"container-title":"Current neuropharmacology","id":"ITEM-2","issue":"8","issued":{"date-parts":[["2016"]]},"page":"857-865","title":"Brain-gut Axis and Pentadecapeptide BPC 157: Theoretical and Practical Implications.","type":"article-journal","volume":"14"},"uris":["http://www.mendeley.com/documents/?uuid=b275ba93-1b42-319f-8107-0555cf4884b9"]},{"id":"ITEM-3","itemData":{"DOI":"10.2174/13816128113199990421","ISBN":"1873-4286 (Electronic)\\r1381-6128 (Linking)","ISSN":"1873-4286","PMID":"23782145","abstract":"This review focuses on the described effects of BPC 157 on blood vessels after different types of damage, and elucidate by investigating different aspects of vascular response to injury (endothelium damage, clotting, thrombosis, vasoconstriction, vasodilatation, vasculoneogenesis and edema formation) especially in connection to the healing processes. In this respect, BPC 157 was concluded to be the most potent angiomodulatory agent, acting through different vasoactive pathways and systems (e.g. NO, VEGF, FAK) and leading to optimization of the vascular response followed, as it has to be expected, by optimization of the healing process. Formation of new blood vessels involves two main, partly overlapping mechanisms, angiogenesis and vasculogenesis. The additional mechanism of arteriogenesis is involved in the formation of collaterals. In conjunction with blood vessel function, we at least have to consider leakage of fluid/proteins/plasma, resulting in edema/exudate formation as well as thrombogenesis. Blood vessels are also strongly involved in tumor biology. In this aspect, we have neoangiogenesis resulting in pathological vascularization, vascular invasion resulting in release of metastatic cells and the phenomenon of homing resulting in formation of secondary tumors--metastases.","author":[{"dropping-particle":"","family":"Seiwerth","given":"Sven","non-dropping-particle":"","parse-names":false,"suffix":""},{"dropping-particle":"","family":"Brcic","given":"Luka","non-dropping-particle":"","parse-names":false,"suffix":""},{"dropping-particle":"","family":"Vuletic","given":"Lovorka Batelja","non-dropping-particle":"","parse-names":false,"suffix":""},{"dropping-particle":"","family":"Kolenc","given":"Danijela","non-dropping-particle":"","parse-names":false,"suffix":""},{"dropping-particle":"","family":"Aralica","given":"Gorana","non-dropping-particle":"","parse-names":false,"suffix":""},{"dropping-particle":"","family":"Misic","given":"Marija","non-dropping-particle":"","parse-names":false,"suffix":""},{"dropping-particle":"","family":"Zenko","given":"Anita","non-dropping-particle":"","parse-names":false,"suffix":""},{"dropping-particle":"","family":"Drmic","given":"Domagoj","non-dropping-particle":"","parse-names":false,"suffix":""},{"dropping-particle":"","family":"Rucman","given":"Rudolf","non-dropping-particle":"","parse-names":false,"suffix":""},{"dropping-particle":"","family":"Sikiric","given":"Predrag","non-dropping-particle":"","parse-names":false,"suffix":""}],"container-title":"Current pharmaceutical design","id":"ITEM-3","issue":"7","issued":{"date-parts":[["2014"]]},"page":"1121-5","title":"BPC 157 and blood vessels.","type":"article-journal","volume":"20"},"uris":["http://www.mendeley.com/documents/?uuid=58f78828-3983-4cbc-86f3-3b54e9721a52"]},{"id":"ITEM-4","itemData":{"ISSN":"1873-4286","PMID":"23755725","abstract":"We reviewed stable gastric pentadecapeptide BPC 157-NO-system-relation, its close participation in Moncada's (maintained vascular integrity, platelets control) homeostatic healing response of NO-system to injury. Namely, BPC 157's particular healing effect also affects all events after vascular integrity loss (dependent on circumstances, it reduces either thrombosis (abdominal aorta anastomosis) or bleeding/thrombocytopenia (amputation, heparin, warfarin, aspirin)) and in a series of different injurious models, acute and chronic, BPC 157 consistently advances healing after severe injuries in various tissues spontaneously unable to heal; stimulates egr-1 and naB2 genes; exhibits high safety (LD1 not achieved)). Hypothesis, that BPC 157 (since formed constitutively in the gastric mucosa, stable in human gastric juice, along with significance of NO-synthase and the basal formation of NO in stomach mucosa, greater than that seen in other tissues) exhibits a general, effective competing both with L-arginine analogues (i. e., L-NAME) and L-arginine, and that this has some physiologic importance (NO-generation), later, practically supports its beneficial effects illustrating BPC 157 and NOsystem mutual (with L-NAME/L-arginine; alone and together) relations in (i) gastric mucosa and mucosal protection, following alcohol lesions, in cytoprotection course, NO-generation, and blood pressure regulation; (ii) alcohol acute/chronic intoxication, and withdrawal; (iii) cardiovascular disturbances, chronic heart failure, pulmonary hypertension, and arrhythmias; (iv) disturbances after hypokalemia and hyperkalemia, and potassium-cell membrane dysfunction; and finally, in (v) complex healing failure, proved by the fistulas healing, colocutaneous and esophagocutaneous. However, how this advantage of modulating NO-system (i. e., particular effect on eNOS gene), may be practically translated into an enhanced clinical performance remains to be determined.","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tupnisek","given":"Mirjana","non-dropping-particle":"","parse-names":false,"suffix":""},{"dropping-particle":"","family":"Suran","given":"Jelena","non-dropping-particle":"","parse-names":false,"suffix":""},{"dropping-particle":"","family":"Barisic","given":"Ivan","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design","id":"ITEM-4","issue":"7","issued":{"date-parts":[["2014"]]},"page":"1126-35","title":"Stable gastric pentadecapeptide BPC 157-NO-system relation.","type":"article-journal","volume":"20"},"uris":["http://www.mendeley.com/documents/?uuid=74ead48f-0c75-446a-a19b-49bb02b31992"]},{"id":"ITEM-5","itemData":{"ISSN":"1873-4286","PMID":"22950504","abstract":"Stable gastric pentadecapeptide BPC 157 is an anti-ulcer peptidergic agent, proven in clinical trials to be both safe in inflammatory bowel disease (PL-10, PLD-116, PL 14736) and wound healing, stable in human gastric juice, with no toxicity being reported. Recently, we claim that BPC 157 may be used as an antidote against NSAIDs. We focused on BPC 157 beneficial effects on stomach, duodenum, intestine, liver and brain injuries, adjuvant arthritis, pain, hyper/hypothermia, obstructive thrombus formation and thrombolysis, blood vessel function, counteraction of prolonged bleeding and thrombocytopenia after application of various anticoagulants and antiplatelet agents and wound healing improvement. The arguments for BPC 157 antidote activity (i.e., the role of BPC 157 in cytoprotection, being a novel mediator of Robert's cytoprotection and BPC 157 beneficial effects on NSAIDs mediated lesions in the gastrointestinal tract, liver and brain and finally, counteraction of aspirin-induced prolonged bleeding and thrombocytopenia) obviously have a counteracting effect on several established side-effects of NSAIDs use. The mentioned variety of the beneficial effects portrayed by BPC 157 may well be a foundation for establishing BPC 157 as a NSAIDs antidote since no other single agent has portrayed a similar array of effects. Unlike NSAIDs, a very high safety (no reported toxicity (LD1 could be not achieved)) profile is reported for BPC 157. Also, unlike the different dosage levels of aspirin, as a NSAIDs prototype, which differ by a factor of about ten, all these beneficial and counteracting effects of BPC 157 were obtained using the equipotent dosage (μg, ng/kg) in parenteral or peroral regimens.","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afic","given":"Hana","non-dropping-particle":"","parse-names":false,"suffix":""},{"dropping-particle":"","family":"Suran","given":"Jelena","non-dropping-particle":"","parse-names":false,"suffix":""},{"dropping-particle":"","family":"Rak","given":"Davor","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design","id":"ITEM-5","issue":"1","issued":{"date-parts":[["2013"]]},"page":"76-83","title":"Toxicity by NSAIDs. Counteraction by stable gastric pentadecapeptide BPC 157.","type":"article-journal","volume":"19"},"uris":["http://www.mendeley.com/documents/?uuid=b4d81bb8-a391-4622-abb3-23195e4a65ff"]},{"id":"ITEM-6","itemData":{"DOI":"CMC-19-1-126 [pii]","ISBN":"0929-8673\\r1875-533X","ISSN":"09298673","PMID":"2012120682","abstract":"Stable gastric pentadecapeptide BPC 157 (GEPPPGKPADDAGLV, M.W. 1419) may be the new drug stable in human gastric juice, effective both in the upper and lower GI tract, and free of side effects. BPC 157, in addition to an antiulcer effect efficient in therapy of inflammatory bowel disease (IBD) (PL 14736) so far only tested in clinical phase II, has a very safe profile, and exhibited a particular wound healing effect. It also has shown to interact with the NO-system, providing endothelium protection and angiogenic effect, even in severely impaired conditions (i.e., it stimulated expression of early growth response 1 gene responsible for cytokine and growth factor generation and early extracellular matrix (collagen) formation (but also its repressor nerve growth factor 1- A binding protein-2)), important to counteract severe complications of advanced and poorly controlled IBD. Hopefully, the lessons from animal studies, particularly advanced intestinal anastomosis healing, reversed short bowel syndrome and fistula healing indicate BPC 157's high significance in further IBD therapy. Also, this supportive evidence (i.e., no toxic effect, limit test negative, LD1 not achieved, no side effect in trials) may counteract the problems commonly exercised in the use of peptidergic agents, particularly those used on a long-term basis. © 2012 Bentham Science Publishers.","author":[{"dropping-particle":"","family":"Sikiric","given":"P","non-dropping-particle":"","parse-names":false,"suffix":""},{"dropping-particle":"","family":"Seiwerth","given":"S","non-dropping-particle":"","parse-names":false,"suffix":""},{"dropping-particle":"","family":"Rucman","given":"R","non-dropping-particle":"","parse-names":false,"suffix":""},{"dropping-particle":"","family":"Turkovic","given":"B","non-dropping-particle":"","parse-names":false,"suffix":""},{"dropping-particle":"","family":"D","given":"S Rokotov","non-dropping-particle":"","parse-names":false,"suffix":""},{"dropping-particle":"","family":"Brcic","given":"L","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Drmic","given":"D","non-dropping-particle":"","parse-names":false,"suffix":""},{"dropping-particle":"","family":"Ilic","given":"S","non-dropping-particle":"","parse-names":false,"suffix":""},{"dropping-particle":"","family":"Kolenc","given":"D","non-dropping-particle":"","parse-names":false,"suffix":""},{"dropping-particle":"","family":"Stambolija","given":"V","non-dropping-particle":"","parse-names":false,"suffix":""},{"dropping-particle":"","family":"Zoricic","given":"Z","non-dropping-particle":"","parse-names":false,"suffix":""},{"dropping-particle":"","family":"Vrcic","given":"H","non-dropping-particle":"","parse-names":false,"suffix":""},{"dropping-particle":"","family":"Sebecic","given":"B","non-dropping-particle":"","parse-names":false,"suffix":""}],"container-title":"Current Medicinal Chemistry","id":"ITEM-6","issue":"1","issued":{"date-parts":[["2012"]]},"page":"126-132","title":"Focus on ulcerative colitis: Stable gastric pentadecapeptide BPC 157","type":"article-journal","volume":"19"},"uris":["http://www.mendeley.com/documents/?uuid=7b0917ea-0d35-4426-b536-aa3cf6522fbf"]},{"id":"ITEM-7","itemData":{"DOI":"10.2174/138161211796196954","ISBN":"1873-4286 (Electronic)\\n1381-6128 (Linking)","ISSN":"1873-4286","PMID":"21548867","abstract":"Stable gastric pentadecapeptide BPC 157 is an anti-ulcer peptidergic agent, safe in inflammatory bowel disease clinical trials (GEPPPGKPADDAGLV, M.W. 1419, PL 14736) and wound healing, stable in human gastric juice and has no reported toxicity. We focused on BPC 157 as a therapy in peridontitis, esophagus, stomach, duodenum, intestine, liver and pancreas lesions. Particularly, it has a prominent effect on alcohol-lesions (i.e., acute, chronic) and NSAIDs-lesions (interestingly, BPC 157 both prevents and reverses adjuvant arthritis). In rat esophagitis and failed function of both lower esophageal sphincter (LES) and pyloric sphincters (PS), BPC 157 increased pressure in both sphincters till normal and reduced esophagitis. However, in healthy rats, it may decrease (PS) or increase (LES) the pressure in sphincters. It has strong angiogenic potential, it acts protectively on endothelium, prevents and reverses thrombus formation after abdominal aorta anastomosis, affects many central disturbances (i.e., dopamine and 5-HT system), the NO-system (either L-arginine and L-NAME effects), endothelin, acts as a free radical scavenger (counteracting CCl4-, paracetamol-, diclofenac-injuries) and exhibits neuroprotective properties. BPC 157 successfully heals the intestinal anastomosis, gastrocutaneous, duodenocutaneous and colocutaneous fistulas in rats, as well as interacting with the NO-system. Interestingly, the fistula closure was achieved even when the BPC 157 therapy was postponed for one month. In short-bowel syndrome escalating throughout 4 weeks, the constant weight gain above preoperative values started immediately with peroral and parental BPC 157 therapy and the villus height, crypth depth and muscle thickness (inner (circular) muscular layer) additionally increased. Thus, BPC 157 may improve gastrointestinal tract therapy.","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Vrcic","given":"Hrvoje","non-dropping-particle":"","parse-names":false,"suffix":""},{"dropping-particle":"","family":"Sebecic","given":"Bozidar","non-dropping-particle":"","parse-names":false,"suffix":""}],"container-title":"Current pharmaceutical design","id":"ITEM-7","issue":"16","issued":{"date-parts":[["2011"]]},"page":"1612-32","title":"Stable gastric pentadecapeptide BPC 157: novel therapy in gastrointestinal tract.","type":"article-journal","volume":"17"},"uris":["http://www.mendeley.com/documents/?uuid=899df84f-aa5b-428d-b746-b746c53bb74c"]},{"id":"ITEM-8","itemData":{"ISSN":"1873-4286","PMID":"20166993","abstract":"The significance of cytoprotection and adaptive cytoprotection and the peptides importance remained to be not completely determined. BPC 157 is an anti-ulcer peptidergic agent, proven in clinical trials to be both safe in inflammatory bowel disease (PL-10, PLD-116, PL 14736) and wound healing, and stable in human gastric juice, with no toxicity being reported. It has a prominent effect on alcohol- lesions (i.e., induced acutely and chronically) and non-steroidal anti-inflammatory drugs-lesions (while interestingly BPC 157 may both prevent and reverse adjuvant arthritis). To review the importance of BPC 157, this review focused on Robert's cytoprotection concept described in rat stomach, reviewing our evidence that may resolve whether the cytoprotection and adaptive cytoprotection is an uniform phenomenon or not; whether the phenomenon or phenomena are endogenous or not, depending on nature of the irritants (mild or strong); whether this may contribute to stomach mucosa defense either when threaten by various ulcerogens or afforded by various antiulcer agents; whether these phenomena are uniform in whole gastrointestinal tract or not; whether they are interrelated or not. Finally, the importance of the cytoprotection phenomena and cytoprotection activity for skin wound healing, and wound healing in general was challenged. Thereby, this review focused on BPC 157 role in cytoprotection and adaptative cytoprotection suggesting that it may be the essential endogenous mediator able to mediate both cytoprotective and adaptive cytoprotective response in stomach and the whole gastrointestinal tract with significant importance in wound healing as well.","author":[{"dropping-particle":"","family":"Sikiric","given":"Predrag","non-dropping-particle":"","parse-names":false,"suffix":""},{"dropping-particle":"","family":"Seiwerth","given":"Sven","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container-title":"Current pharmaceutical design","id":"ITEM-8","issue":"10","issued":{"date-parts":[["2010"]]},"page":"1224-34","title":"Revised Robert's cytoprotection and adaptive cytoprotection and stable gastric pentadecapeptide BPC 157. Possible significance and implications for novel mediator.","type":"article-journal","volume":"16"},"uris":["http://www.mendeley.com/documents/?uuid=6164415b-2518-453f-82c4-4562e66e7572"]},{"id":"ITEM-9","itemData":{"DOI":"10.1007/s10787-006-1531-7","ISSN":"0925-4692","PMID":"17186181","abstract":"Gastric pentadecapeptide BPC 157 (GEPPPGKPADDAGLV, M.W. 1419, safe in clinical trials for inflammatory bowel disease (PL 10, PLD 116, PLD 14736, Pliva, Croatia)) has a particular cytoprotective/adaptive cytoprotective activity. The cytoprotective/adaptive cytoprotection researches largely neglect that stomach distension could per se jeopardize the mucosal integrity, with constantly stretched mucosa and blood vessels, and sphincters more prone for reflux induction. After absolute alcohol instillation in fully distended rat stomach, gastric, esophageal and duodenal lesions occur. Throughout next 3 min, left gastric artery blood vessels clearly disappear at the serosal site, indicative for loss of vessels both integrity and function. Contrary, constant vessels presentation could predict the beneficial effect of applied agent. After pentadecapeptide BPC 157 instillation into the stomach the vessels presentation remains constant, and lesions of stomach, esophagus, and duodenum are inhibited. Standards (atropine, ranitidine, omeprazole) could only slightly improve the vessels presentation compared to control values, and they have only a partial effect on the lesions. In this review we emphasize BPC 157 unusual stability, and some of its important effects: effectiveness against various lesions in gastrointestinal tract, on nitric oxide (NO)-system, and NO-agents effects, on somatosensory neurons, salivary glands function, recovery of AMP-ADP-ATP system, endothelium protection, effect on endothelin, and on angiogenesis promotion. It also antagonizes other alcohol effects, including acute and chronic intoxication. Given peripherally, it counteracts the consequence of central dopamine system disturbances (receptor blockade), and induces serotonin release in substantia nigra. Therapeutic potential of BPC 157 as a cytoprotective agent is also seen in its capability to heal various wounds. Given directly into the stomach, BPC 157 instantly recovers disturbed lower esophageal and pyloric sphincter pressure in rats after 12-20 months of untreated esophagitis. All these could be suggestive for its role as a natural protectant in gastric juice with particular function throughout stomach distension.","author":[{"dropping-particle":"","family":"Sikiric","given":"P","non-dropping-particle":"","parse-names":false,"suffix":""},{"dropping-particle":"","family":"Seiwerth","given":"S","non-dropping-particle":"","parse-names":false,"suffix":""},{"dropping-particle":"","family":"Brcic","given":"L","non-dropping-particle":"","parse-names":false,"suffix":""},{"dropping-particle":"","family":"Blagaic","given":"A B","non-dropping-particle":"","parse-names":false,"suffix":""},{"dropping-particle":"","family":"Zoricic","given":"I","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Keller","given":"N","non-dropping-particle":"","parse-names":false,"suffix":""},{"dropping-particle":"","family":"Sipos","given":"K","non-dropping-particle":"","parse-names":false,"suffix":""},{"dropping-particle":"","family":"Jakir","given":"A","non-dropping-particle":"","parse-names":false,"suffix":""},{"dropping-particle":"","family":"Udovicic","given":"M","non-dropping-particle":"","parse-names":false,"suffix":""},{"dropping-particle":"","family":"Tonkic","given":"A","non-dropping-particle":"","parse-names":false,"suffix":""},{"dropping-particle":"","family":"Kokic","given":"N","non-dropping-particle":"","parse-names":false,"suffix":""},{"dropping-particle":"","family":"Turkovic","given":"B","non-dropping-particle":"","parse-names":false,"suffix":""},{"dropping-particle":"","family":"Mise","given":"S","non-dropping-particle":"","parse-names":false,"suffix":""},{"dropping-particle":"","family":"Anic","given":"T","non-dropping-particle":"","parse-names":false,"suffix":""}],"container-title":"Inflammopharmacology","id":"ITEM-9","issue":"5-6","issued":{"date-parts":[["2006","12"]]},"page":"214-21","title":"Stable gastric pentadecapeptide BPC 157 in trials for inflammatory bowel disease (PL-10, PLD-116, PL 14736, Pliva, Croatia). Full and distended stomach, and vascular response.","type":"article-journal","volume":"14"},"uris":["http://www.mendeley.com/documents/?uuid=42aef3b5-c994-4583-beee-f11cd4b7859a"]},{"id":"ITEM-10","itemData":{"DOI":"10.1016/0928-4257(93)90038-U","ISSN":"0928-4257","PMID":"8298609","abstract":"The possibility that the stomach, affected by general stress, might initiate a counter-response has not until recently been considered in theories of stress. We suggest that the stomach, as the most sensitive part of the gastrointestinal tract and the largest neuroendocrine organ in the body, is crucial for the initiation of a full stress response against all noxious stress pathology. The end result would be a strong protection of all organs invaded by 'stress'. Consistent with this assumption, this coping response is best explained in terms of 'organoprotection'. Endogenous organoprotectors (eg prostaglandins, somatostatin, dopamine) are proposed as mediators. Such an endogenous counteraction could even be afforded by their suitable application. A new gastric juice peptide, M(r) 40,000, named BPC, was recently isolated. Herein, a 15 amino acid fragment (BPC 157), thought to be essential for its activity, has been fully characterized and investigated. As has been demonstrated for many organoprotective agents using different models of various tissue lesions, despite the poorly understood final mechanism, practically all organ systems appear to benefit from BPC activity. These effects have been achieved in many species using very low dosages (mostly microgram and ng/kg range) after ip, ig, and intramucosal (local) application. The effect was apparent already after one application. Long lasting activity was also demonstrated. BPC was highly effective when applied simultaneously with noxious agents or in already pathological, as well as chronical, conditions. Therefore, it seems that BPC treatment does not share any of the so far known limitations for 'conventional organoprotectors'. No influence on different basal parameters and no toxicity were observed. These findings provide a breakthrough in stress theory. BPC, as a possible endogenous free radical scavenger and organoprotection mediator, could be a useful prototype of a new class of drugs, organoprotective agents.","author":[{"dropping-particle":"","family":"Sikirić","given":"P.","non-dropping-particle":"","parse-names":false,"suffix":""},{"dropping-particle":"","family":"Petek","given":"M.","non-dropping-particle":"","parse-names":false,"suffix":""},{"dropping-particle":"","family":"Rucman","given":"R","non-dropping-particle":"","parse-names":false,"suffix":""},{"dropping-particle":"","family":"Seiwerth","given":"S.","non-dropping-particle":"","parse-names":false,"suffix":""},{"dropping-particle":"","family":"Grabarević","given":"Z.","non-dropping-particle":"","parse-names":false,"suffix":""},{"dropping-particle":"","family":"Rotkvić","given":"I.","non-dropping-particle":"","parse-names":false,"suffix":""},{"dropping-particle":"","family":"Turković","given":"B.","non-dropping-particle":"","parse-names":false,"suffix":""},{"dropping-particle":"","family":"Jagić","given":"V.","non-dropping-particle":"","parse-names":false,"suffix":""},{"dropping-particle":"","family":"Mildner","given":"B.","non-dropping-particle":"","parse-names":false,"suffix":""},{"dropping-particle":"","family":"Duvnjak","given":"M.","non-dropping-particle":"","parse-names":false,"suffix":""}],"container-title":"Journal of physiology, Paris","id":"ITEM-10","issue":"5","issued":{"date-parts":[["1993"]]},"page":"313-27","title":"A new gastric juice peptide, BPC. An overview of the stomach-stress-organoprotection hypothesis and beneficial effects of BPC.","type":"article-journal","volume":"87"},"uris":["http://www.mendeley.com/documents/?uuid=f738bbb1-8d16-31eb-a5d7-6f273100aa96"]}],"mendeley":{"formattedCitation":"&lt;sup&gt;[10–19]&lt;/sup&gt;","plainTextFormattedCitation":"[10–19]","previouslyFormattedCitation":"&lt;sup&gt;[10–19]&lt;/sup&gt;"},"properties":{"noteIndex":0},"schema":"https://github.com/citation-style-language/schema/raw/master/csl-citation.json"}</w:instrText>
      </w:r>
      <w:r w:rsidR="006B0CC4"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[10–19]</w:t>
      </w:r>
      <w:r w:rsidR="006B0CC4"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w:t>
      </w:r>
      <w:r w:rsidR="00CC5028" w:rsidRPr="00E47A42">
        <w:rPr>
          <w:rFonts w:ascii="Book Antiqua" w:hAnsi="Book Antiqua" w:cs="Times New Roman"/>
          <w:sz w:val="24"/>
          <w:szCs w:val="24"/>
          <w:lang w:val="en-US"/>
        </w:rPr>
        <w:t xml:space="preserve">has been </w:t>
      </w:r>
      <w:r w:rsidRPr="00E47A42">
        <w:rPr>
          <w:rFonts w:ascii="Book Antiqua" w:hAnsi="Book Antiqua" w:cs="Times New Roman"/>
          <w:sz w:val="24"/>
          <w:szCs w:val="24"/>
          <w:lang w:val="en-US"/>
        </w:rPr>
        <w:t xml:space="preserve">not investigated. </w:t>
      </w:r>
    </w:p>
    <w:p w14:paraId="57BD535E" w14:textId="65033567" w:rsidR="00E05F1C" w:rsidRPr="00E47A42" w:rsidRDefault="00E05F1C" w:rsidP="00F73ADC">
      <w:pPr>
        <w:pStyle w:val="a3"/>
        <w:snapToGrid w:val="0"/>
        <w:spacing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 xml:space="preserve">We focused on </w:t>
      </w:r>
      <w:r w:rsidR="00FF659B" w:rsidRPr="00E47A42">
        <w:rPr>
          <w:rFonts w:ascii="Book Antiqua" w:hAnsi="Book Antiqua" w:cs="Times New Roman"/>
          <w:sz w:val="24"/>
          <w:szCs w:val="24"/>
          <w:lang w:val="en-US"/>
        </w:rPr>
        <w:t xml:space="preserve">a </w:t>
      </w:r>
      <w:r w:rsidRPr="00E47A42">
        <w:rPr>
          <w:rFonts w:ascii="Book Antiqua" w:hAnsi="Book Antiqua" w:cs="Times New Roman"/>
          <w:sz w:val="24"/>
          <w:szCs w:val="24"/>
          <w:lang w:val="en-US"/>
        </w:rPr>
        <w:t xml:space="preserve">perforated cecum, </w:t>
      </w:r>
      <w:r w:rsidR="00796A99"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 xml:space="preserve">stable gastric </w:t>
      </w:r>
      <w:proofErr w:type="spellStart"/>
      <w:r w:rsidRPr="00E47A42">
        <w:rPr>
          <w:rFonts w:ascii="Book Antiqua" w:hAnsi="Book Antiqua" w:cs="Times New Roman"/>
          <w:sz w:val="24"/>
          <w:szCs w:val="24"/>
          <w:lang w:val="en-US"/>
        </w:rPr>
        <w:t>pentadecapeptide</w:t>
      </w:r>
      <w:proofErr w:type="spellEnd"/>
      <w:r w:rsidRPr="00E47A42">
        <w:rPr>
          <w:rFonts w:ascii="Book Antiqua" w:hAnsi="Book Antiqua" w:cs="Times New Roman"/>
          <w:sz w:val="24"/>
          <w:szCs w:val="24"/>
          <w:lang w:val="en-US"/>
        </w:rPr>
        <w:t xml:space="preserve"> BPC 157, </w:t>
      </w:r>
      <w:r w:rsidR="00796A99"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NOS-blocker L-NAME, and</w:t>
      </w:r>
      <w:r w:rsidR="00796A99" w:rsidRPr="00E47A42">
        <w:rPr>
          <w:rFonts w:ascii="Book Antiqua" w:hAnsi="Book Antiqua" w:cs="Times New Roman"/>
          <w:sz w:val="24"/>
          <w:szCs w:val="24"/>
          <w:lang w:val="en-US"/>
        </w:rPr>
        <w:t xml:space="preserve"> the</w:t>
      </w:r>
      <w:r w:rsidRPr="00E47A42">
        <w:rPr>
          <w:rFonts w:ascii="Book Antiqua" w:hAnsi="Book Antiqua" w:cs="Times New Roman"/>
          <w:sz w:val="24"/>
          <w:szCs w:val="24"/>
          <w:lang w:val="en-US"/>
        </w:rPr>
        <w:t xml:space="preserve"> NOS-substrate L-arginine, </w:t>
      </w:r>
      <w:r w:rsidR="00CE5B80" w:rsidRPr="00E47A42">
        <w:rPr>
          <w:rFonts w:ascii="Book Antiqua" w:hAnsi="Book Antiqua" w:cs="Times New Roman"/>
          <w:sz w:val="24"/>
          <w:szCs w:val="24"/>
          <w:lang w:val="en-US"/>
        </w:rPr>
        <w:t xml:space="preserve">as well as </w:t>
      </w:r>
      <w:r w:rsidR="00C83B6C" w:rsidRPr="00E47A42">
        <w:rPr>
          <w:rFonts w:ascii="Book Antiqua" w:hAnsi="Book Antiqua" w:cs="Times New Roman"/>
          <w:sz w:val="24"/>
          <w:szCs w:val="24"/>
          <w:lang w:val="en-US"/>
        </w:rPr>
        <w:t xml:space="preserve">on </w:t>
      </w:r>
      <w:r w:rsidR="002F1EC6"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initial post-perforation period, rapid disappearance of blood vessels at the cecum serosa (emptied</w:t>
      </w:r>
      <w:r w:rsidR="002F1EC6" w:rsidRPr="00E47A42">
        <w:rPr>
          <w:rFonts w:ascii="Book Antiqua" w:hAnsi="Book Antiqua" w:cs="Times New Roman"/>
          <w:sz w:val="24"/>
          <w:szCs w:val="24"/>
          <w:lang w:val="en-US"/>
        </w:rPr>
        <w:t>/</w:t>
      </w:r>
      <w:r w:rsidRPr="00E47A42">
        <w:rPr>
          <w:rFonts w:ascii="Book Antiqua" w:hAnsi="Book Antiqua" w:cs="Times New Roman"/>
          <w:sz w:val="24"/>
          <w:szCs w:val="24"/>
          <w:lang w:val="en-US"/>
        </w:rPr>
        <w:t>disappeared), a large immediate defect, bleeding, leak</w:t>
      </w:r>
      <w:r w:rsidR="00CE5B80" w:rsidRPr="00E47A42">
        <w:rPr>
          <w:rFonts w:ascii="Book Antiqua" w:hAnsi="Book Antiqua" w:cs="Times New Roman"/>
          <w:sz w:val="24"/>
          <w:szCs w:val="24"/>
          <w:lang w:val="en-US"/>
        </w:rPr>
        <w:t>age of</w:t>
      </w:r>
      <w:r w:rsidRPr="00E47A42">
        <w:rPr>
          <w:rFonts w:ascii="Book Antiqua" w:hAnsi="Book Antiqua" w:cs="Times New Roman"/>
          <w:sz w:val="24"/>
          <w:szCs w:val="24"/>
          <w:lang w:val="en-US"/>
        </w:rPr>
        <w:t xml:space="preserve"> fluid, increased oxidative stress and disturbed NO level</w:t>
      </w:r>
      <w:r w:rsidR="002F1EC6" w:rsidRPr="00E47A42">
        <w:rPr>
          <w:rFonts w:ascii="Book Antiqua" w:hAnsi="Book Antiqua" w:cs="Times New Roman"/>
          <w:sz w:val="24"/>
          <w:szCs w:val="24"/>
          <w:lang w:val="en-US"/>
        </w:rPr>
        <w:t>s</w:t>
      </w:r>
      <w:r w:rsidRPr="00E47A42">
        <w:rPr>
          <w:rFonts w:ascii="Book Antiqua" w:hAnsi="Book Antiqua" w:cs="Times New Roman"/>
          <w:sz w:val="24"/>
          <w:szCs w:val="24"/>
          <w:lang w:val="en-US"/>
        </w:rPr>
        <w:t xml:space="preserve"> in cecum tissue. The rationale was </w:t>
      </w:r>
      <w:r w:rsidR="00C77680" w:rsidRPr="00E47A42">
        <w:rPr>
          <w:rFonts w:ascii="Book Antiqua" w:hAnsi="Book Antiqua" w:cs="Times New Roman"/>
          <w:sz w:val="24"/>
          <w:szCs w:val="24"/>
          <w:lang w:val="en-US"/>
        </w:rPr>
        <w:t>the beneficial effects in</w:t>
      </w:r>
      <w:r w:rsidR="0001192B" w:rsidRPr="00E47A42">
        <w:rPr>
          <w:rFonts w:ascii="Book Antiqua" w:hAnsi="Book Antiqua" w:cs="Times New Roman"/>
          <w:sz w:val="24"/>
          <w:szCs w:val="24"/>
          <w:lang w:val="en-US"/>
        </w:rPr>
        <w:t xml:space="preserve"> rat</w:t>
      </w:r>
      <w:r w:rsidR="00C77680" w:rsidRPr="00E47A42">
        <w:rPr>
          <w:rFonts w:ascii="Book Antiqua" w:hAnsi="Book Antiqua" w:cs="Times New Roman"/>
          <w:sz w:val="24"/>
          <w:szCs w:val="24"/>
          <w:lang w:val="en-US"/>
        </w:rPr>
        <w:t>s with</w:t>
      </w:r>
      <w:r w:rsidR="0001192B" w:rsidRPr="00E47A42">
        <w:rPr>
          <w:rFonts w:ascii="Book Antiqua" w:hAnsi="Book Antiqua" w:cs="Times New Roman"/>
          <w:sz w:val="24"/>
          <w:szCs w:val="24"/>
          <w:lang w:val="en-US"/>
        </w:rPr>
        <w:t xml:space="preserve"> ischemic colitis and inferior </w:t>
      </w:r>
      <w:r w:rsidR="0001192B" w:rsidRPr="00E47A42">
        <w:rPr>
          <w:rFonts w:ascii="Book Antiqua" w:hAnsi="Book Antiqua" w:cs="Times New Roman"/>
          <w:noProof/>
          <w:sz w:val="24"/>
          <w:szCs w:val="24"/>
          <w:lang w:val="en-US"/>
        </w:rPr>
        <w:t>caval</w:t>
      </w:r>
      <w:r w:rsidR="0001192B" w:rsidRPr="00E47A42">
        <w:rPr>
          <w:rFonts w:ascii="Book Antiqua" w:hAnsi="Book Antiqua" w:cs="Times New Roman"/>
          <w:sz w:val="24"/>
          <w:szCs w:val="24"/>
          <w:lang w:val="en-US"/>
        </w:rPr>
        <w:t xml:space="preserve"> vein occlusion syndrome</w:t>
      </w:r>
      <w:r w:rsidR="006B0CC4"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6B0CC4"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6B0CC4" w:rsidRPr="00E47A42">
        <w:rPr>
          <w:rFonts w:ascii="Book Antiqua" w:hAnsi="Book Antiqua" w:cs="Times New Roman"/>
          <w:sz w:val="24"/>
          <w:szCs w:val="24"/>
          <w:lang w:val="en-US"/>
        </w:rPr>
        <w:fldChar w:fldCharType="end"/>
      </w:r>
      <w:r w:rsidR="0001192B" w:rsidRPr="00E47A42">
        <w:rPr>
          <w:rFonts w:ascii="Book Antiqua" w:hAnsi="Book Antiqua" w:cs="Times New Roman"/>
          <w:sz w:val="24"/>
          <w:szCs w:val="24"/>
          <w:lang w:val="en-US"/>
        </w:rPr>
        <w:t xml:space="preserve"> and </w:t>
      </w:r>
      <w:r w:rsidRPr="00E47A42">
        <w:rPr>
          <w:rFonts w:ascii="Book Antiqua" w:hAnsi="Book Antiqua" w:cs="Times New Roman"/>
          <w:sz w:val="24"/>
          <w:szCs w:val="24"/>
          <w:lang w:val="en-US"/>
        </w:rPr>
        <w:t>the particular effect of BPC 157 on blood vessels</w:t>
      </w:r>
      <w:r w:rsidR="00C77B4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C77B4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C77B48" w:rsidRPr="00E47A42">
        <w:rPr>
          <w:rFonts w:ascii="Book Antiqua" w:hAnsi="Book Antiqua" w:cs="Times New Roman"/>
          <w:sz w:val="24"/>
          <w:szCs w:val="24"/>
          <w:lang w:val="en-US"/>
        </w:rPr>
        <w:fldChar w:fldCharType="end"/>
      </w:r>
      <w:r w:rsidR="009433C5" w:rsidRPr="00E47A42">
        <w:rPr>
          <w:rFonts w:ascii="Book Antiqua" w:hAnsi="Book Antiqua" w:cs="Times New Roman"/>
          <w:sz w:val="24"/>
          <w:szCs w:val="24"/>
          <w:lang w:val="en-US"/>
        </w:rPr>
        <w:t xml:space="preserve">. Namely, we </w:t>
      </w:r>
      <w:r w:rsidR="009A3C66" w:rsidRPr="00E47A42">
        <w:rPr>
          <w:rFonts w:ascii="Book Antiqua" w:hAnsi="Book Antiqua" w:cs="Times New Roman"/>
          <w:sz w:val="24"/>
          <w:szCs w:val="24"/>
          <w:lang w:val="en-US"/>
        </w:rPr>
        <w:t>r</w:t>
      </w:r>
      <w:r w:rsidRPr="00E47A42">
        <w:rPr>
          <w:rFonts w:ascii="Book Antiqua" w:hAnsi="Book Antiqua" w:cs="Times New Roman"/>
          <w:sz w:val="24"/>
          <w:szCs w:val="24"/>
          <w:lang w:val="en-US"/>
        </w:rPr>
        <w:t>ecent</w:t>
      </w:r>
      <w:r w:rsidR="009433C5" w:rsidRPr="00E47A42">
        <w:rPr>
          <w:rFonts w:ascii="Book Antiqua" w:hAnsi="Book Antiqua" w:cs="Times New Roman"/>
          <w:sz w:val="24"/>
          <w:szCs w:val="24"/>
          <w:lang w:val="en-US"/>
        </w:rPr>
        <w:t>ly</w:t>
      </w:r>
      <w:r w:rsidRPr="00E47A42">
        <w:rPr>
          <w:rFonts w:ascii="Book Antiqua" w:hAnsi="Book Antiqua" w:cs="Times New Roman"/>
          <w:sz w:val="24"/>
          <w:szCs w:val="24"/>
          <w:lang w:val="en-US"/>
        </w:rPr>
        <w:t xml:space="preserve"> </w:t>
      </w:r>
      <w:r w:rsidR="009433C5" w:rsidRPr="00E47A42">
        <w:rPr>
          <w:rFonts w:ascii="Book Antiqua" w:hAnsi="Book Antiqua" w:cs="Times New Roman"/>
          <w:sz w:val="24"/>
          <w:szCs w:val="24"/>
          <w:lang w:val="en-US"/>
        </w:rPr>
        <w:t xml:space="preserve">demonstrated </w:t>
      </w:r>
      <w:r w:rsidRPr="00E47A42">
        <w:rPr>
          <w:rFonts w:ascii="Book Antiqua" w:hAnsi="Book Antiqua" w:cs="Times New Roman"/>
          <w:sz w:val="24"/>
          <w:szCs w:val="24"/>
          <w:lang w:val="en-US"/>
        </w:rPr>
        <w:t>that BPC 157</w:t>
      </w:r>
      <w:r w:rsidR="002F1EC6"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rapidly </w:t>
      </w:r>
      <w:r w:rsidR="002F1EC6" w:rsidRPr="00E47A42">
        <w:rPr>
          <w:rFonts w:ascii="Book Antiqua" w:hAnsi="Book Antiqua" w:cs="Times New Roman"/>
          <w:sz w:val="24"/>
          <w:szCs w:val="24"/>
          <w:lang w:val="en-US"/>
        </w:rPr>
        <w:t xml:space="preserve">activated </w:t>
      </w:r>
      <w:r w:rsidR="009433C5" w:rsidRPr="00E47A42">
        <w:rPr>
          <w:rFonts w:ascii="Book Antiqua" w:hAnsi="Book Antiqua" w:cs="Times New Roman"/>
          <w:sz w:val="24"/>
          <w:szCs w:val="24"/>
          <w:lang w:val="en-US"/>
        </w:rPr>
        <w:t xml:space="preserve">the collateral circulation </w:t>
      </w:r>
      <w:r w:rsidR="00C77680" w:rsidRPr="00E47A42">
        <w:rPr>
          <w:rFonts w:ascii="Book Antiqua" w:hAnsi="Book Antiqua" w:cs="Times New Roman"/>
          <w:sz w:val="24"/>
          <w:szCs w:val="24"/>
          <w:lang w:val="en-US"/>
        </w:rPr>
        <w:t xml:space="preserve">from </w:t>
      </w:r>
      <w:r w:rsidRPr="00E47A42">
        <w:rPr>
          <w:rFonts w:ascii="Book Antiqua" w:hAnsi="Book Antiqua" w:cs="Times New Roman"/>
          <w:sz w:val="24"/>
          <w:szCs w:val="24"/>
          <w:lang w:val="en-US"/>
        </w:rPr>
        <w:t>existing vessels</w:t>
      </w:r>
      <w:r w:rsidR="002F1EC6"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in rats with ischemic colitis</w:t>
      </w:r>
      <w:r w:rsidR="0085192A" w:rsidRPr="00E47A42">
        <w:rPr>
          <w:rFonts w:ascii="Book Antiqua" w:hAnsi="Book Antiqua" w:cs="Times New Roman"/>
          <w:sz w:val="24"/>
          <w:szCs w:val="24"/>
          <w:lang w:val="en-US"/>
        </w:rPr>
        <w:t xml:space="preserve"> or inferior </w:t>
      </w:r>
      <w:r w:rsidR="0085192A" w:rsidRPr="00E47A42">
        <w:rPr>
          <w:rFonts w:ascii="Book Antiqua" w:hAnsi="Book Antiqua" w:cs="Times New Roman"/>
          <w:noProof/>
          <w:sz w:val="24"/>
          <w:szCs w:val="24"/>
          <w:lang w:val="en-US"/>
        </w:rPr>
        <w:t>caval</w:t>
      </w:r>
      <w:r w:rsidR="0085192A" w:rsidRPr="00E47A42">
        <w:rPr>
          <w:rFonts w:ascii="Book Antiqua" w:hAnsi="Book Antiqua" w:cs="Times New Roman"/>
          <w:sz w:val="24"/>
          <w:szCs w:val="24"/>
          <w:lang w:val="en-US"/>
        </w:rPr>
        <w:t xml:space="preserve"> vein occlusion</w:t>
      </w:r>
      <w:r w:rsidR="00C77B4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C77B4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C77B48" w:rsidRPr="00E47A42">
        <w:rPr>
          <w:rFonts w:ascii="Book Antiqua" w:hAnsi="Book Antiqua" w:cs="Times New Roman"/>
          <w:sz w:val="24"/>
          <w:szCs w:val="24"/>
          <w:lang w:val="en-US"/>
        </w:rPr>
        <w:fldChar w:fldCharType="end"/>
      </w:r>
      <w:r w:rsidR="0085192A" w:rsidRPr="00E47A42">
        <w:rPr>
          <w:rFonts w:ascii="Book Antiqua" w:hAnsi="Book Antiqua" w:cs="Times New Roman"/>
          <w:sz w:val="24"/>
          <w:szCs w:val="24"/>
          <w:lang w:val="en-US"/>
        </w:rPr>
        <w:t>. In</w:t>
      </w:r>
      <w:r w:rsidRPr="00E47A42">
        <w:rPr>
          <w:rFonts w:ascii="Book Antiqua" w:hAnsi="Book Antiqua" w:cs="Times New Roman"/>
          <w:sz w:val="24"/>
          <w:szCs w:val="24"/>
          <w:lang w:val="en-US"/>
        </w:rPr>
        <w:t xml:space="preserve"> </w:t>
      </w:r>
      <w:r w:rsidR="0085192A" w:rsidRPr="00E47A42">
        <w:rPr>
          <w:rFonts w:ascii="Book Antiqua" w:hAnsi="Book Antiqua" w:cs="Times New Roman"/>
          <w:sz w:val="24"/>
          <w:szCs w:val="24"/>
          <w:lang w:val="en-US"/>
        </w:rPr>
        <w:t>ischemic colitis (</w:t>
      </w:r>
      <w:r w:rsidR="0085192A" w:rsidRPr="00E47A42">
        <w:rPr>
          <w:rFonts w:ascii="Book Antiqua" w:hAnsi="Book Antiqua" w:cs="Times New Roman"/>
          <w:i/>
          <w:sz w:val="24"/>
          <w:szCs w:val="24"/>
          <w:lang w:val="en-US"/>
        </w:rPr>
        <w:t>i.e</w:t>
      </w:r>
      <w:r w:rsidR="0085192A" w:rsidRPr="00E47A42">
        <w:rPr>
          <w:rFonts w:ascii="Book Antiqua" w:hAnsi="Book Antiqua" w:cs="Times New Roman"/>
          <w:sz w:val="24"/>
          <w:szCs w:val="24"/>
          <w:lang w:val="en-US"/>
        </w:rPr>
        <w:t xml:space="preserve">., </w:t>
      </w:r>
      <w:r w:rsidR="0085192A" w:rsidRPr="00E47A42">
        <w:rPr>
          <w:rFonts w:ascii="Book Antiqua" w:hAnsi="Book Antiqua" w:cs="Times New Roman"/>
          <w:noProof/>
          <w:sz w:val="24"/>
          <w:szCs w:val="24"/>
          <w:lang w:val="en-US"/>
        </w:rPr>
        <w:t>segment</w:t>
      </w:r>
      <w:r w:rsidR="0085192A" w:rsidRPr="00E47A42">
        <w:rPr>
          <w:rFonts w:ascii="Book Antiqua" w:hAnsi="Book Antiqua" w:cs="Times New Roman"/>
          <w:sz w:val="24"/>
          <w:szCs w:val="24"/>
          <w:lang w:val="en-US"/>
        </w:rPr>
        <w:t xml:space="preserve"> of the left colic artery and vein exclude</w:t>
      </w:r>
      <w:r w:rsidR="00C77680" w:rsidRPr="00E47A42">
        <w:rPr>
          <w:rFonts w:ascii="Book Antiqua" w:hAnsi="Book Antiqua" w:cs="Times New Roman"/>
          <w:sz w:val="24"/>
          <w:szCs w:val="24"/>
          <w:lang w:val="en-US"/>
        </w:rPr>
        <w:t>d by two ligations) we proved effectiveness</w:t>
      </w:r>
      <w:r w:rsidR="0085192A" w:rsidRPr="00E47A42">
        <w:rPr>
          <w:rFonts w:ascii="Book Antiqua" w:hAnsi="Book Antiqua" w:cs="Times New Roman"/>
          <w:sz w:val="24"/>
          <w:szCs w:val="24"/>
          <w:lang w:val="en-US"/>
        </w:rPr>
        <w:t xml:space="preserve"> b</w:t>
      </w:r>
      <w:r w:rsidRPr="00E47A42">
        <w:rPr>
          <w:rFonts w:ascii="Book Antiqua" w:hAnsi="Book Antiqua" w:cs="Times New Roman"/>
          <w:sz w:val="24"/>
          <w:szCs w:val="24"/>
          <w:lang w:val="en-US"/>
        </w:rPr>
        <w:t>y</w:t>
      </w:r>
      <w:r w:rsidR="00482FFB"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passing</w:t>
      </w:r>
      <w:r w:rsidR="00482FFB"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through arcade vessels</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mendeley":{"formattedCitation":"&lt;sup&gt;[20]&lt;/sup&gt;","plainTextFormattedCitation":"[20]","previouslyFormattedCitation":"&lt;sup&gt;[20]&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w:t>
      </w:r>
      <w:r w:rsidR="00A13458" w:rsidRPr="00E47A42">
        <w:rPr>
          <w:rFonts w:ascii="Book Antiqua" w:hAnsi="Book Antiqua" w:cs="Times New Roman"/>
          <w:sz w:val="24"/>
          <w:szCs w:val="24"/>
          <w:lang w:val="en-US"/>
        </w:rPr>
        <w:fldChar w:fldCharType="end"/>
      </w:r>
      <w:r w:rsidR="0085192A" w:rsidRPr="00E47A42">
        <w:rPr>
          <w:rFonts w:ascii="Book Antiqua" w:hAnsi="Book Antiqua" w:cs="Times New Roman"/>
          <w:sz w:val="24"/>
          <w:szCs w:val="24"/>
          <w:lang w:val="en-US"/>
        </w:rPr>
        <w:t xml:space="preserve">. </w:t>
      </w:r>
      <w:r w:rsidR="0001192B" w:rsidRPr="00E47A42">
        <w:rPr>
          <w:rFonts w:ascii="Book Antiqua" w:hAnsi="Book Antiqua" w:cs="Times New Roman"/>
          <w:sz w:val="24"/>
          <w:szCs w:val="24"/>
          <w:lang w:val="en-US"/>
        </w:rPr>
        <w:t>Antagonizing the syndrome of</w:t>
      </w:r>
      <w:r w:rsidR="0085192A"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inferior </w:t>
      </w:r>
      <w:r w:rsidRPr="00E47A42">
        <w:rPr>
          <w:rFonts w:ascii="Book Antiqua" w:hAnsi="Book Antiqua" w:cs="Times New Roman"/>
          <w:noProof/>
          <w:sz w:val="24"/>
          <w:szCs w:val="24"/>
          <w:lang w:val="en-US"/>
        </w:rPr>
        <w:t>caval</w:t>
      </w:r>
      <w:r w:rsidRPr="00E47A42">
        <w:rPr>
          <w:rFonts w:ascii="Book Antiqua" w:hAnsi="Book Antiqua" w:cs="Times New Roman"/>
          <w:sz w:val="24"/>
          <w:szCs w:val="24"/>
          <w:lang w:val="en-US"/>
        </w:rPr>
        <w:t xml:space="preserve"> vein </w:t>
      </w:r>
      <w:r w:rsidR="0085192A" w:rsidRPr="00E47A42">
        <w:rPr>
          <w:rFonts w:ascii="Book Antiqua" w:hAnsi="Book Antiqua" w:cs="Times New Roman"/>
          <w:sz w:val="24"/>
          <w:szCs w:val="24"/>
          <w:lang w:val="en-US"/>
        </w:rPr>
        <w:t>infrarenal occlusion,</w:t>
      </w:r>
      <w:r w:rsidRPr="00E47A42">
        <w:rPr>
          <w:rFonts w:ascii="Book Antiqua" w:hAnsi="Book Antiqua" w:cs="Times New Roman"/>
          <w:sz w:val="24"/>
          <w:szCs w:val="24"/>
          <w:lang w:val="en-US"/>
        </w:rPr>
        <w:t xml:space="preserve"> </w:t>
      </w:r>
      <w:r w:rsidR="00590D76" w:rsidRPr="00E47A42">
        <w:rPr>
          <w:rFonts w:ascii="Book Antiqua" w:hAnsi="Book Antiqua" w:cs="Times New Roman"/>
          <w:sz w:val="24"/>
          <w:szCs w:val="24"/>
          <w:lang w:val="en-US"/>
        </w:rPr>
        <w:t xml:space="preserve">we evidenced </w:t>
      </w:r>
      <w:r w:rsidRPr="00E47A42">
        <w:rPr>
          <w:rFonts w:ascii="Book Antiqua" w:hAnsi="Book Antiqua" w:cs="Times New Roman"/>
          <w:sz w:val="24"/>
          <w:szCs w:val="24"/>
          <w:lang w:val="en-US"/>
        </w:rPr>
        <w:t>by</w:t>
      </w:r>
      <w:r w:rsidR="00482FFB"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passing</w:t>
      </w:r>
      <w:r w:rsidR="002F1EC6"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through </w:t>
      </w:r>
      <w:r w:rsidR="002F1EC6"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left ovarian vein and other veins</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Pharmacology","id":"ITEM-1","issued":{"date-parts":[["2018"]]},"page":"54-66","title":"Rat inferior caval vein (ICV) ligature and particular new insights with the stable gastric pentadecapeptide BPC 157","type":"article-journal","volume":"106"},"uris":["http://www.mendeley.com/documents/?uuid=0d4e894c-6fc1-3bed-bb8f-4b56e696ff06"]}],"mendeley":{"formattedCitation":"&lt;sup&gt;[21]&lt;/sup&gt;","plainTextFormattedCitation":"[21]","previouslyFormattedCitation":"&lt;sup&gt;[21]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[21]</w:t>
      </w:r>
      <w:r w:rsidR="00A13458" w:rsidRPr="00E47A42">
        <w:rPr>
          <w:rFonts w:ascii="Book Antiqua" w:hAnsi="Book Antiqua" w:cs="Times New Roman"/>
          <w:sz w:val="24"/>
          <w:szCs w:val="24"/>
          <w:lang w:val="en-US"/>
        </w:rPr>
        <w:fldChar w:fldCharType="end"/>
      </w:r>
      <w:r w:rsidR="0085192A" w:rsidRPr="00E47A42">
        <w:rPr>
          <w:rFonts w:ascii="Book Antiqua" w:hAnsi="Book Antiqua" w:cs="Times New Roman"/>
          <w:sz w:val="24"/>
          <w:szCs w:val="24"/>
          <w:lang w:val="en-US"/>
        </w:rPr>
        <w:t xml:space="preserve">. </w:t>
      </w:r>
      <w:r w:rsidR="00C77680" w:rsidRPr="00E47A42">
        <w:rPr>
          <w:rFonts w:ascii="Book Antiqua" w:hAnsi="Book Antiqua" w:cs="Times New Roman"/>
          <w:sz w:val="24"/>
          <w:szCs w:val="24"/>
          <w:lang w:val="en-US"/>
        </w:rPr>
        <w:t xml:space="preserve">These </w:t>
      </w:r>
      <w:r w:rsidR="00CA7B8A" w:rsidRPr="00E47A42">
        <w:rPr>
          <w:rFonts w:ascii="Book Antiqua" w:hAnsi="Book Antiqua" w:cs="Times New Roman"/>
          <w:sz w:val="24"/>
          <w:szCs w:val="24"/>
          <w:lang w:val="en-US"/>
        </w:rPr>
        <w:t xml:space="preserve">accentuated </w:t>
      </w:r>
      <w:r w:rsidR="00C77680" w:rsidRPr="00E47A42">
        <w:rPr>
          <w:rFonts w:ascii="Book Antiqua" w:hAnsi="Book Antiqua" w:cs="Times New Roman"/>
          <w:sz w:val="24"/>
          <w:szCs w:val="24"/>
          <w:lang w:val="en-US"/>
        </w:rPr>
        <w:t>the specific action of BPC 157</w:t>
      </w:r>
      <w:r w:rsidR="00CA7B8A" w:rsidRPr="00E47A42">
        <w:rPr>
          <w:rFonts w:ascii="Book Antiqua" w:hAnsi="Book Antiqua" w:cs="Times New Roman"/>
          <w:sz w:val="24"/>
          <w:szCs w:val="24"/>
          <w:lang w:val="en-US"/>
        </w:rPr>
        <w:t xml:space="preserve"> </w:t>
      </w:r>
      <w:r w:rsidR="00395747" w:rsidRPr="00E47A42">
        <w:rPr>
          <w:rFonts w:ascii="Book Antiqua" w:hAnsi="Book Antiqua" w:cs="Times New Roman"/>
          <w:sz w:val="24"/>
          <w:szCs w:val="24"/>
          <w:lang w:val="en-US"/>
        </w:rPr>
        <w:t xml:space="preserve">to </w:t>
      </w:r>
      <w:r w:rsidRPr="00E47A42">
        <w:rPr>
          <w:rFonts w:ascii="Book Antiqua" w:hAnsi="Book Antiqua" w:cs="Times New Roman"/>
          <w:sz w:val="24"/>
          <w:szCs w:val="24"/>
          <w:lang w:val="en-US"/>
        </w:rPr>
        <w:t>reestablish blood flow</w:t>
      </w:r>
      <w:r w:rsidR="00C77680" w:rsidRPr="00E47A42">
        <w:rPr>
          <w:rFonts w:ascii="Book Antiqua" w:hAnsi="Book Antiqua" w:cs="Times New Roman"/>
          <w:sz w:val="24"/>
          <w:szCs w:val="24"/>
          <w:lang w:val="en-US"/>
        </w:rPr>
        <w:t>,</w:t>
      </w:r>
      <w:r w:rsidR="00395747" w:rsidRPr="00E47A42">
        <w:rPr>
          <w:rFonts w:ascii="Book Antiqua" w:hAnsi="Book Antiqua" w:cs="Times New Roman"/>
          <w:sz w:val="24"/>
          <w:szCs w:val="24"/>
          <w:lang w:val="en-US"/>
        </w:rPr>
        <w:t xml:space="preserve"> and exert </w:t>
      </w:r>
      <w:r w:rsidRPr="00E47A42">
        <w:rPr>
          <w:rFonts w:ascii="Book Antiqua" w:hAnsi="Book Antiqua" w:cs="Times New Roman"/>
          <w:sz w:val="24"/>
          <w:szCs w:val="24"/>
          <w:lang w:val="en-US"/>
        </w:rPr>
        <w:t>its free radical scavenger effect in both ischemia and reperfusio</w:t>
      </w:r>
      <w:r w:rsidR="00A13458" w:rsidRPr="00E47A42">
        <w:rPr>
          <w:rFonts w:ascii="Book Antiqua" w:hAnsi="Book Antiqua" w:cs="Times New Roman"/>
          <w:sz w:val="24"/>
          <w:szCs w:val="24"/>
          <w:lang w:val="en-US"/>
        </w:rPr>
        <w:t>n</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w:t>
      </w:r>
    </w:p>
    <w:p w14:paraId="1534217B" w14:textId="26E542A1" w:rsidR="00E05F1C" w:rsidRPr="00E47A42" w:rsidRDefault="00E05F1C" w:rsidP="00F73ADC">
      <w:pPr>
        <w:autoSpaceDE w:val="0"/>
        <w:adjustRightInd w:val="0"/>
        <w:snapToGrid w:val="0"/>
        <w:spacing w:after="0"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In addition, BPC 157</w:t>
      </w:r>
      <w:r w:rsidR="00395747"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as a novel mediator of Robert’s </w:t>
      </w:r>
      <w:proofErr w:type="spellStart"/>
      <w:r w:rsidRPr="00E47A42">
        <w:rPr>
          <w:rFonts w:ascii="Book Antiqua" w:hAnsi="Book Antiqua" w:cs="Times New Roman"/>
          <w:sz w:val="24"/>
          <w:szCs w:val="24"/>
          <w:lang w:val="en-US"/>
        </w:rPr>
        <w:t>cytoprotection</w:t>
      </w:r>
      <w:proofErr w:type="spellEnd"/>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10.2174/1381612823666170220163219","ISSN":"13816128","author":[{"dropping-particle":"","family":"Sikiric","given":"Predrag","non-dropping-particle":"","parse-names":false,"suffix":""},{"dropping-particle":"","family":"Seiwerth","given":"Sven","non-dropping-particle":"","parse-names":false,"suffix":""},{"dropping-particle":"","family":"Rucman","given":"Rudolf","non-dropping-particle":"","parse-names":false,"suffix":""},{"dropping-particle":"","family":"Drmic","given":"Domagoj","non-dropping-particle":"","parse-names":false,"suffix":""},{"dropping-particle":"","family":"Stupnisek","given":"Mirjana","non-dropping-particle":"","parse-names":false,"suffix":""},{"dropping-particle":"","family":"Kokot","given":"Antonio","non-dropping-particle":"","parse-names":false,"suffix":""},{"dropping-particle":"","family":"Sever","given":"Marko","non-dropping-particle":"","parse-names":false,"suffix":""},{"dropping-particle":"","family":"Zoricic","given":"Ivan","non-dropping-particle":"","parse-names":false,"suffix":""},{"dropping-particle":"","family":"Zoricic","given":"Zoran","non-dropping-particle":"","parse-names":false,"suffix":""},{"dropping-particle":"","family":"Batelja","given":"Lovorka","non-dropping-particle":"","parse-names":false,"suffix":""},{"dropping-particle":"","family":"Ziger","given":"Tihomil","non-dropping-particle":"","parse-names":false,"suffix":""},{"dropping-particle":"","family":"Luetic","given":"Kresimir","non-dropping-particle":"","parse-names":false,"suffix":""},{"dropping-particle":"","family":"Vlainic","given":"Josipa","non-dropping-particle":"","parse-names":false,"suffix":""},{"dropping-particle":"","family":"Rasic","given":"Zarko","non-dropping-particle":"","parse-names":false,"suffix":""},{"dropping-particle":"","family":"Bencic","given":"Martina Lovric","non-dropping-particle":"","parse-names":false,"suffix":""}],"container-title":"Current Pharmaceutical Design","id":"ITEM-1","issue":"27","issued":{"date-parts":[["2017","10","30"]]},"page":"4012-4028","title":"Stress in Gastrointestinal Tract and Stable Gastric Pentadecapeptide BPC 157. Finally, do we have a Solution?","type":"article-journal","volume":"23"},"uris":["http://www.mendeley.com/documents/?uuid=bb09abfa-dd18-4e07-99e3-5e0c5e908cc9"]},{"id":"ITEM-2","itemData":{"ISSN":"1875-6190","PMID":"27138887","abstract":"BACKGROUND Brain-gut interaction involves, among others, peptidergic growth factors which are native in GI tract and have strong antiulcer potency and thus could from periphery beneficially affect CNS-disorders. We focused on the stable gastric pentadecapeptide BPC 157, an antiulcer peptidergic agent, safe in inflammatory bowel disease trials and now in multiple sclerosis trial, native and stable in human gastric juice. METHODS Review of our research on BPC 157 in terms of brain-gut axis. RESULTS BPC 157 may serve as a novel mediator of Robert's cytoprotection, involved in maintaining of GI mucosa integrity, with no toxic effect. BPC 157 was successful in the therapy of GI tract, periodontitis, liver and pancreas lesions, and in the healing of various tissues and wounds. Stimulated Egr-1 gene, NAB2, FAK-paxillin and JAK-2 pathways are hitherto implicated. Initially corresponding beneficial central influence was seen when BPC 157 was given peripherally and a serotonin release in particular brain areas, mostly nigrostriatal, was changed. BPC 157 modulates serotonergic and dopaminergic systems, beneficially affects various behavioral disturbances that otherwise appeared due to specifically (over)stimulated/damaged neurotransmitters systems. Besides, BPC 157 has neuroprotective effects: protects somatosensory neurons; peripheral nerve regeneration appearent after transection; after traumatic brain injury counteracts the otherwise progressing course, in rat spinal cord compression with tail paralysis, axonal and neuronal necrosis, demyelination, cyst formation and rescues tail function in both short-terms and long-terms; after NSAIDs or insulin overdose or cuprizone encephalopathies were attenuated along with GI, liver and vascular injuries. CONCLUSION BPC 157, a gastric peptide, may serve as remedy in various CNS-disorders.","author":[{"dropping-particle":"","family":"Sikiric","given":"Predrag","non-dropping-particle":"","parse-names":false,"suffix":""},{"dropping-particle":"","family":"Seiwerth","given":"Sven","non-dropping-particle":"","parse-names":false,"suffix":""},{"dropping-particle":"","family":"Rucman","given":"Rudolf","non-dropping-particle":"","parse-names":false,"suffix":""},{"dropping-particle":"","family":"Kolenc","given":"Danijela","non-dropping-particle":"","parse-names":false,"suffix":""},{"dropping-particle":"","family":"Vuletic","given":"Lovorka Batelja","non-dropping-particle":"","parse-names":false,"suffix":""},{"dropping-particle":"","family":"Drmic","given":"Domagoj","non-dropping-particle":"","parse-names":false,"suffix":""},{"dropping-particle":"","family":"Grgic","given":"Tihomir","non-dropping-particle":"","parse-names":false,"suffix":""},{"dropping-particle":"","family":"Strbe","given":"Sanja","non-dropping-particle":"","parse-names":false,"suffix":""},{"dropping-particle":"","family":"Zukanovic","given":"Goran","non-dropping-particle":"","parse-names":false,"suffix":""},{"dropping-particle":"","family":"Crvenkovic","given":"Dalibor","non-dropping-particle":"","parse-names":false,"suffix":""},{"dropping-particle":"","family":"Madzarac","given":"Goran","non-dropping-particle":"","parse-names":false,"suffix":""},{"dropping-particle":"","family":"Rukavina","given":"Iva","non-dropping-particle":"","parse-names":false,"suffix":""},{"dropping-particle":"","family":"Sucic","given":"Mario","non-dropping-particle":"","parse-names":false,"suffix":""},{"dropping-particle":"","family":"Baric","given":"Marko","non-dropping-particle":"","parse-names":false,"suffix":""},{"dropping-particle":"","family":"Starcevic","given":"Neven","non-dropping-particle":"","parse-names":false,"suffix":""},{"dropping-particle":"","family":"Krstonijevic","given":"Zoran","non-dropping-particle":"","parse-names":false,"suffix":""},{"dropping-particle":"","family":"Bencic","given":"Martina Lovric","non-dropping-particle":"","parse-names":false,"suffix":""},{"dropping-particle":"","family":"Filipcic","given":"Igor","non-dropping-particle":"","parse-names":false,"suffix":""},{"dropping-particle":"","family":"Rokotov","given":"Dinko Stancic","non-dropping-particle":"","parse-names":false,"suffix":""},{"dropping-particle":"","family":"Vlainic","given":"Josipa","non-dropping-particle":"","parse-names":false,"suffix":""}],"container-title":"Current neuropharmacology","id":"ITEM-2","issue":"8","issued":{"date-parts":[["2016"]]},"page":"857-865","title":"Brain-gut Axis and Pentadecapeptide BPC 157: Theoretical and Practical Implications.","type":"article-journal","volume":"14"},"uris":["http://www.mendeley.com/documents/?uuid=b275ba93-1b42-319f-8107-0555cf4884b9"]},{"id":"ITEM-3","itemData":{"DOI":"10.2174/13816128113199990421","ISBN":"1873-4286 (Electronic)\\r1381-6128 (Linking)","ISSN":"1873-4286","PMID":"23782145","abstract":"This review focuses on the described effects of BPC 157 on blood vessels after different types of damage, and elucidate by investigating different aspects of vascular response to injury (endothelium damage, clotting, thrombosis, vasoconstriction, vasodilatation, vasculoneogenesis and edema formation) especially in connection to the healing processes. In this respect, BPC 157 was concluded to be the most potent angiomodulatory agent, acting through different vasoactive pathways and systems (e.g. NO, VEGF, FAK) and leading to optimization of the vascular response followed, as it has to be expected, by optimization of the healing process. Formation of new blood vessels involves two main, partly overlapping mechanisms, angiogenesis and vasculogenesis. The additional mechanism of arteriogenesis is involved in the formation of collaterals. In conjunction with blood vessel function, we at least have to consider leakage of fluid/proteins/plasma, resulting in edema/exudate formation as well as thrombogenesis. Blood vessels are also strongly involved in tumor biology. In this aspect, we have neoangiogenesis resulting in pathological vascularization, vascular invasion resulting in release of metastatic cells and the phenomenon of homing resulting in formation of secondary tumors--metastases.","author":[{"dropping-particle":"","family":"Seiwerth","given":"Sven","non-dropping-particle":"","parse-names":false,"suffix":""},{"dropping-particle":"","family":"Brcic","given":"Luka","non-dropping-particle":"","parse-names":false,"suffix":""},{"dropping-particle":"","family":"Vuletic","given":"Lovorka Batelja","non-dropping-particle":"","parse-names":false,"suffix":""},{"dropping-particle":"","family":"Kolenc","given":"Danijela","non-dropping-particle":"","parse-names":false,"suffix":""},{"dropping-particle":"","family":"Aralica","given":"Gorana","non-dropping-particle":"","parse-names":false,"suffix":""},{"dropping-particle":"","family":"Misic","given":"Marija","non-dropping-particle":"","parse-names":false,"suffix":""},{"dropping-particle":"","family":"Zenko","given":"Anita","non-dropping-particle":"","parse-names":false,"suffix":""},{"dropping-particle":"","family":"Drmic","given":"Domagoj","non-dropping-particle":"","parse-names":false,"suffix":""},{"dropping-particle":"","family":"Rucman","given":"Rudolf","non-dropping-particle":"","parse-names":false,"suffix":""},{"dropping-particle":"","family":"Sikiric","given":"Predrag","non-dropping-particle":"","parse-names":false,"suffix":""}],"container-title":"Current pharmaceutical design","id":"ITEM-3","issue":"7","issued":{"date-parts":[["2014"]]},"page":"1121-5","title":"BPC 157 and blood vessels.","type":"article-journal","volume":"20"},"uris":["http://www.mendeley.com/documents/?uuid=58f78828-3983-4cbc-86f3-3b54e9721a52"]},{"id":"ITEM-4","itemData":{"ISSN":"1873-4286","PMID":"23755725","abstract":"We reviewed stable gastric pentadecapeptide BPC 157-NO-system-relation, its close participation in Moncada's (maintained vascular integrity, platelets control) homeostatic healing response of NO-system to injury. Namely, BPC 157's particular healing effect also affects all events after vascular integrity loss (dependent on circumstances, it reduces either thrombosis (abdominal aorta anastomosis) or bleeding/thrombocytopenia (amputation, heparin, warfarin, aspirin)) and in a series of different injurious models, acute and chronic, BPC 157 consistently advances healing after severe injuries in various tissues spontaneously unable to heal; stimulates egr-1 and naB2 genes; exhibits high safety (LD1 not achieved)). Hypothesis, that BPC 157 (since formed constitutively in the gastric mucosa, stable in human gastric juice, along with significance of NO-synthase and the basal formation of NO in stomach mucosa, greater than that seen in other tissues) exhibits a general, effective competing both with L-arginine analogues (i. e., L-NAME) and L-arginine, and that this has some physiologic importance (NO-generation), later, practically supports its beneficial effects illustrating BPC 157 and NOsystem mutual (with L-NAME/L-arginine; alone and together) relations in (i) gastric mucosa and mucosal protection, following alcohol lesions, in cytoprotection course, NO-generation, and blood pressure regulation; (ii) alcohol acute/chronic intoxication, and withdrawal; (iii) cardiovascular disturbances, chronic heart failure, pulmonary hypertension, and arrhythmias; (iv) disturbances after hypokalemia and hyperkalemia, and potassium-cell membrane dysfunction; and finally, in (v) complex healing failure, proved by the fistulas healing, colocutaneous and esophagocutaneous. However, how this advantage of modulating NO-system (i. e., particular effect on eNOS gene), may be practically translated into an enhanced clinical performance remains to be determined.","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tupnisek","given":"Mirjana","non-dropping-particle":"","parse-names":false,"suffix":""},{"dropping-particle":"","family":"Suran","given":"Jelena","non-dropping-particle":"","parse-names":false,"suffix":""},{"dropping-particle":"","family":"Barisic","given":"Ivan","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design","id":"ITEM-4","issue":"7","issued":{"date-parts":[["2014"]]},"page":"1126-35","title":"Stable gastric pentadecapeptide BPC 157-NO-system relation.","type":"article-journal","volume":"20"},"uris":["http://www.mendeley.com/documents/?uuid=74ead48f-0c75-446a-a19b-49bb02b31992"]},{"id":"ITEM-5","itemData":{"ISSN":"1873-4286","PMID":"22950504","abstract":"Stable gastric pentadecapeptide BPC 157 is an anti-ulcer peptidergic agent, proven in clinical trials to be both safe in inflammatory bowel disease (PL-10, PLD-116, PL 14736) and wound healing, stable in human gastric juice, with no toxicity being reported. Recently, we claim that BPC 157 may be used as an antidote against NSAIDs. We focused on BPC 157 beneficial effects on stomach, duodenum, intestine, liver and brain injuries, adjuvant arthritis, pain, hyper/hypothermia, obstructive thrombus formation and thrombolysis, blood vessel function, counteraction of prolonged bleeding and thrombocytopenia after application of various anticoagulants and antiplatelet agents and wound healing improvement. The arguments for BPC 157 antidote activity (i.e., the role of BPC 157 in cytoprotection, being a novel mediator of Robert's cytoprotection and BPC 157 beneficial effects on NSAIDs mediated lesions in the gastrointestinal tract, liver and brain and finally, counteraction of aspirin-induced prolonged bleeding and thrombocytopenia) obviously have a counteracting effect on several established side-effects of NSAIDs use. The mentioned variety of the beneficial effects portrayed by BPC 157 may well be a foundation for establishing BPC 157 as a NSAIDs antidote since no other single agent has portrayed a similar array of effects. Unlike NSAIDs, a very high safety (no reported toxicity (LD1 could be not achieved)) profile is reported for BPC 157. Also, unlike the different dosage levels of aspirin, as a NSAIDs prototype, which differ by a factor of about ten, all these beneficial and counteracting effects of BPC 157 were obtained using the equipotent dosage (μg, ng/kg) in parenteral or peroral regimens.","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afic","given":"Hana","non-dropping-particle":"","parse-names":false,"suffix":""},{"dropping-particle":"","family":"Suran","given":"Jelena","non-dropping-particle":"","parse-names":false,"suffix":""},{"dropping-particle":"","family":"Rak","given":"Davor","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design","id":"ITEM-5","issue":"1","issued":{"date-parts":[["2013"]]},"page":"76-83","title":"Toxicity by NSAIDs. Counteraction by stable gastric pentadecapeptide BPC 157.","type":"article-journal","volume":"19"},"uris":["http://www.mendeley.com/documents/?uuid=b4d81bb8-a391-4622-abb3-23195e4a65ff"]},{"id":"ITEM-6","itemData":{"DOI":"CMC-19-1-126 [pii]","ISBN":"0929-8673\\r1875-533X","ISSN":"09298673","PMID":"2012120682","abstract":"Stable gastric pentadecapeptide BPC 157 (GEPPPGKPADDAGLV, M.W. 1419) may be the new drug stable in human gastric juice, effective both in the upper and lower GI tract, and free of side effects. BPC 157, in addition to an antiulcer effect efficient in therapy of inflammatory bowel disease (IBD) (PL 14736) so far only tested in clinical phase II, has a very safe profile, and exhibited a particular wound healing effect. It also has shown to interact with the NO-system, providing endothelium protection and angiogenic effect, even in severely impaired conditions (i.e., it stimulated expression of early growth response 1 gene responsible for cytokine and growth factor generation and early extracellular matrix (collagen) formation (but also its repressor nerve growth factor 1- A binding protein-2)), important to counteract severe complications of advanced and poorly controlled IBD. Hopefully, the lessons from animal studies, particularly advanced intestinal anastomosis healing, reversed short bowel syndrome and fistula healing indicate BPC 157's high significance in further IBD therapy. Also, this supportive evidence (i.e., no toxic effect, limit test negative, LD1 not achieved, no side effect in trials) may counteract the problems commonly exercised in the use of peptidergic agents, particularly those used on a long-term basis. © 2012 Bentham Science Publishers.","author":[{"dropping-particle":"","family":"Sikiric","given":"P","non-dropping-particle":"","parse-names":false,"suffix":""},{"dropping-particle":"","family":"Seiwerth","given":"S","non-dropping-particle":"","parse-names":false,"suffix":""},{"dropping-particle":"","family":"Rucman","given":"R","non-dropping-particle":"","parse-names":false,"suffix":""},{"dropping-particle":"","family":"Turkovic","given":"B","non-dropping-particle":"","parse-names":false,"suffix":""},{"dropping-particle":"","family":"D","given":"S Rokotov","non-dropping-particle":"","parse-names":false,"suffix":""},{"dropping-particle":"","family":"Brcic","given":"L","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Drmic","given":"D","non-dropping-particle":"","parse-names":false,"suffix":""},{"dropping-particle":"","family":"Ilic","given":"S","non-dropping-particle":"","parse-names":false,"suffix":""},{"dropping-particle":"","family":"Kolenc","given":"D","non-dropping-particle":"","parse-names":false,"suffix":""},{"dropping-particle":"","family":"Stambolija","given":"V","non-dropping-particle":"","parse-names":false,"suffix":""},{"dropping-particle":"","family":"Zoricic","given":"Z","non-dropping-particle":"","parse-names":false,"suffix":""},{"dropping-particle":"","family":"Vrcic","given":"H","non-dropping-particle":"","parse-names":false,"suffix":""},{"dropping-particle":"","family":"Sebecic","given":"B","non-dropping-particle":"","parse-names":false,"suffix":""}],"container-title":"Current Medicinal Chemistry","id":"ITEM-6","issue":"1","issued":{"date-parts":[["2012"]]},"page":"126-132","title":"Focus on ulcerative colitis: Stable gastric pentadecapeptide BPC 157","type":"article-journal","volume":"19"},"uris":["http://www.mendeley.com/documents/?uuid=7b0917ea-0d35-4426-b536-aa3cf6522fbf"]},{"id":"ITEM-7","itemData":{"DOI":"10.2174/138161211796196954","ISBN":"1873-4286 (Electronic)\\n1381-6128 (Linking)","ISSN":"1873-4286","PMID":"21548867","abstract":"Stable gastric pentadecapeptide BPC 157 is an anti-ulcer peptidergic agent, safe in inflammatory bowel disease clinical trials (GEPPPGKPADDAGLV, M.W. 1419, PL 14736) and wound healing, stable in human gastric juice and has no reported toxicity. We focused on BPC 157 as a therapy in peridontitis, esophagus, stomach, duodenum, intestine, liver and pancreas lesions. Particularly, it has a prominent effect on alcohol-lesions (i.e., acute, chronic) and NSAIDs-lesions (interestingly, BPC 157 both prevents and reverses adjuvant arthritis). In rat esophagitis and failed function of both lower esophageal sphincter (LES) and pyloric sphincters (PS), BPC 157 increased pressure in both sphincters till normal and reduced esophagitis. However, in healthy rats, it may decrease (PS) or increase (LES) the pressure in sphincters. It has strong angiogenic potential, it acts protectively on endothelium, prevents and reverses thrombus formation after abdominal aorta anastomosis, affects many central disturbances (i.e., dopamine and 5-HT system), the NO-system (either L-arginine and L-NAME effects), endothelin, acts as a free radical scavenger (counteracting CCl4-, paracetamol-, diclofenac-injuries) and exhibits neuroprotective properties. BPC 157 successfully heals the intestinal anastomosis, gastrocutaneous, duodenocutaneous and colocutaneous fistulas in rats, as well as interacting with the NO-system. Interestingly, the fistula closure was achieved even when the BPC 157 therapy was postponed for one month. In short-bowel syndrome escalating throughout 4 weeks, the constant weight gain above preoperative values started immediately with peroral and parental BPC 157 therapy and the villus height, crypth depth and muscle thickness (inner (circular) muscular layer) additionally increased. Thus, BPC 157 may improve gastrointestinal tract therapy.","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Vrcic","given":"Hrvoje","non-dropping-particle":"","parse-names":false,"suffix":""},{"dropping-particle":"","family":"Sebecic","given":"Bozidar","non-dropping-particle":"","parse-names":false,"suffix":""}],"container-title":"Current pharmaceutical design","id":"ITEM-7","issue":"16","issued":{"date-parts":[["2011"]]},"page":"1612-32","title":"Stable gastric pentadecapeptide BPC 157: novel therapy in gastrointestinal tract.","type":"article-journal","volume":"17"},"uris":["http://www.mendeley.com/documents/?uuid=899df84f-aa5b-428d-b746-b746c53bb74c"]},{"id":"ITEM-8","itemData":{"ISSN":"1873-4286","PMID":"20166993","abstract":"The significance of cytoprotection and adaptive cytoprotection and the peptides importance remained to be not completely determined. BPC 157 is an anti-ulcer peptidergic agent, proven in clinical trials to be both safe in inflammatory bowel disease (PL-10, PLD-116, PL 14736) and wound healing, and stable in human gastric juice, with no toxicity being reported. It has a prominent effect on alcohol- lesions (i.e., induced acutely and chronically) and non-steroidal anti-inflammatory drugs-lesions (while interestingly BPC 157 may both prevent and reverse adjuvant arthritis). To review the importance of BPC 157, this review focused on Robert's cytoprotection concept described in rat stomach, reviewing our evidence that may resolve whether the cytoprotection and adaptive cytoprotection is an uniform phenomenon or not; whether the phenomenon or phenomena are endogenous or not, depending on nature of the irritants (mild or strong); whether this may contribute to stomach mucosa defense either when threaten by various ulcerogens or afforded by various antiulcer agents; whether these phenomena are uniform in whole gastrointestinal tract or not; whether they are interrelated or not. Finally, the importance of the cytoprotection phenomena and cytoprotection activity for skin wound healing, and wound healing in general was challenged. Thereby, this review focused on BPC 157 role in cytoprotection and adaptative cytoprotection suggesting that it may be the essential endogenous mediator able to mediate both cytoprotective and adaptive cytoprotective response in stomach and the whole gastrointestinal tract with significant importance in wound healing as well.","author":[{"dropping-particle":"","family":"Sikiric","given":"Predrag","non-dropping-particle":"","parse-names":false,"suffix":""},{"dropping-particle":"","family":"Seiwerth","given":"Sven","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container-title":"Current pharmaceutical design","id":"ITEM-8","issue":"10","issued":{"date-parts":[["2010"]]},"page":"1224-34","title":"Revised Robert's cytoprotection and adaptive cytoprotection and stable gastric pentadecapeptide BPC 157. Possible significance and implications for novel mediator.","type":"article-journal","volume":"16"},"uris":["http://www.mendeley.com/documents/?uuid=6164415b-2518-453f-82c4-4562e66e7572"]},{"id":"ITEM-9","itemData":{"DOI":"10.1007/s10787-006-1531-7","ISSN":"0925-4692","PMID":"17186181","abstract":"Gastric pentadecapeptide BPC 157 (GEPPPGKPADDAGLV, M.W. 1419, safe in clinical trials for inflammatory bowel disease (PL 10, PLD 116, PLD 14736, Pliva, Croatia)) has a particular cytoprotective/adaptive cytoprotective activity. The cytoprotective/adaptive cytoprotection researches largely neglect that stomach distension could per se jeopardize the mucosal integrity, with constantly stretched mucosa and blood vessels, and sphincters more prone for reflux induction. After absolute alcohol instillation in fully distended rat stomach, gastric, esophageal and duodenal lesions occur. Throughout next 3 min, left gastric artery blood vessels clearly disappear at the serosal site, indicative for loss of vessels both integrity and function. Contrary, constant vessels presentation could predict the beneficial effect of applied agent. After pentadecapeptide BPC 157 instillation into the stomach the vessels presentation remains constant, and lesions of stomach, esophagus, and duodenum are inhibited. Standards (atropine, ranitidine, omeprazole) could only slightly improve the vessels presentation compared to control values, and they have only a partial effect on the lesions. In this review we emphasize BPC 157 unusual stability, and some of its important effects: effectiveness against various lesions in gastrointestinal tract, on nitric oxide (NO)-system, and NO-agents effects, on somatosensory neurons, salivary glands function, recovery of AMP-ADP-ATP system, endothelium protection, effect on endothelin, and on angiogenesis promotion. It also antagonizes other alcohol effects, including acute and chronic intoxication. Given peripherally, it counteracts the consequence of central dopamine system disturbances (receptor blockade), and induces serotonin release in substantia nigra. Therapeutic potential of BPC 157 as a cytoprotective agent is also seen in its capability to heal various wounds. Given directly into the stomach, BPC 157 instantly recovers disturbed lower esophageal and pyloric sphincter pressure in rats after 12-20 months of untreated esophagitis. All these could be suggestive for its role as a natural protectant in gastric juice with particular function throughout stomach distension.","author":[{"dropping-particle":"","family":"Sikiric","given":"P","non-dropping-particle":"","parse-names":false,"suffix":""},{"dropping-particle":"","family":"Seiwerth","given":"S","non-dropping-particle":"","parse-names":false,"suffix":""},{"dropping-particle":"","family":"Brcic","given":"L","non-dropping-particle":"","parse-names":false,"suffix":""},{"dropping-particle":"","family":"Blagaic","given":"A B","non-dropping-particle":"","parse-names":false,"suffix":""},{"dropping-particle":"","family":"Zoricic","given":"I","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Keller","given":"N","non-dropping-particle":"","parse-names":false,"suffix":""},{"dropping-particle":"","family":"Sipos","given":"K","non-dropping-particle":"","parse-names":false,"suffix":""},{"dropping-particle":"","family":"Jakir","given":"A","non-dropping-particle":"","parse-names":false,"suffix":""},{"dropping-particle":"","family":"Udovicic","given":"M","non-dropping-particle":"","parse-names":false,"suffix":""},{"dropping-particle":"","family":"Tonkic","given":"A","non-dropping-particle":"","parse-names":false,"suffix":""},{"dropping-particle":"","family":"Kokic","given":"N","non-dropping-particle":"","parse-names":false,"suffix":""},{"dropping-particle":"","family":"Turkovic","given":"B","non-dropping-particle":"","parse-names":false,"suffix":""},{"dropping-particle":"","family":"Mise","given":"S","non-dropping-particle":"","parse-names":false,"suffix":""},{"dropping-particle":"","family":"Anic","given":"T","non-dropping-particle":"","parse-names":false,"suffix":""}],"container-title":"Inflammopharmacology","id":"ITEM-9","issue":"5-6","issued":{"date-parts":[["2006","12"]]},"page":"214-21","title":"Stable gastric pentadecapeptide BPC 157 in trials for inflammatory bowel disease (PL-10, PLD-116, PL 14736, Pliva, Croatia). Full and distended stomach, and vascular response.","type":"article-journal","volume":"14"},"uris":["http://www.mendeley.com/documents/?uuid=42aef3b5-c994-4583-beee-f11cd4b7859a"]},{"id":"ITEM-10","itemData":{"DOI":"10.1016/0928-4257(93)90038-U","ISSN":"0928-4257","PMID":"8298609","abstract":"The possibility that the stomach, affected by general stress, might initiate a counter-response has not until recently been considered in theories of stress. We suggest that the stomach, as the most sensitive part of the gastrointestinal tract and the largest neuroendocrine organ in the body, is crucial for the initiation of a full stress response against all noxious stress pathology. The end result would be a strong protection of all organs invaded by 'stress'. Consistent with this assumption, this coping response is best explained in terms of 'organoprotection'. Endogenous organoprotectors (eg prostaglandins, somatostatin, dopamine) are proposed as mediators. Such an endogenous counteraction could even be afforded by their suitable application. A new gastric juice peptide, M(r) 40,000, named BPC, was recently isolated. Herein, a 15 amino acid fragment (BPC 157), thought to be essential for its activity, has been fully characterized and investigated. As has been demonstrated for many organoprotective agents using different models of various tissue lesions, despite the poorly understood final mechanism, practically all organ systems appear to benefit from BPC activity. These effects have been achieved in many species using very low dosages (mostly microgram and ng/kg range) after ip, ig, and intramucosal (local) application. The effect was apparent already after one application. Long lasting activity was also demonstrated. BPC was highly effective when applied simultaneously with noxious agents or in already pathological, as well as chronical, conditions. Therefore, it seems that BPC treatment does not share any of the so far known limitations for 'conventional organoprotectors'. No influence on different basal parameters and no toxicity were observed. These findings provide a breakthrough in stress theory. BPC, as a possible endogenous free radical scavenger and organoprotection mediator, could be a useful prototype of a new class of drugs, organoprotective agents.","author":[{"dropping-particle":"","family":"Sikirić","given":"P.","non-dropping-particle":"","parse-names":false,"suffix":""},{"dropping-particle":"","family":"Petek","given":"M.","non-dropping-particle":"","parse-names":false,"suffix":""},{"dropping-particle":"","family":"Rucman","given":"R","non-dropping-particle":"","parse-names":false,"suffix":""},{"dropping-particle":"","family":"Seiwerth","given":"S.","non-dropping-particle":"","parse-names":false,"suffix":""},{"dropping-particle":"","family":"Grabarević","given":"Z.","non-dropping-particle":"","parse-names":false,"suffix":""},{"dropping-particle":"","family":"Rotkvić","given":"I.","non-dropping-particle":"","parse-names":false,"suffix":""},{"dropping-particle":"","family":"Turković","given":"B.","non-dropping-particle":"","parse-names":false,"suffix":""},{"dropping-particle":"","family":"Jagić","given":"V.","non-dropping-particle":"","parse-names":false,"suffix":""},{"dropping-particle":"","family":"Mildner","given":"B.","non-dropping-particle":"","parse-names":false,"suffix":""},{"dropping-particle":"","family":"Duvnjak","given":"M.","non-dropping-particle":"","parse-names":false,"suffix":""}],"container-title":"Journal of physiology, Paris","id":"ITEM-10","issue":"5","issued":{"date-parts":[["1993"]]},"page":"313-27","title":"A new gastric juice peptide, BPC. An overview of the stomach-stress-organoprotection hypothesis and beneficial effects of BPC.","type":"article-journal","volume":"87"},"uris":["http://www.mendeley.com/documents/?uuid=f738bbb1-8d16-31eb-a5d7-6f273100aa96"]},{"id":"ITEM-11","itemData":{"ISSN":"0016-5085","PMID":"38173","author":[{"dropping-particle":"","family":"Robert","given":"A","non-dropping-particle":"","parse-names":false,"suffix":""}],"container-title":"Gastroenterology","id":"ITEM-11","issue":"4 Pt 1","issued":{"date-parts":[["1979","10"]]},"page":"761-7","title":"Cytoprotection by prostaglandins.","type":"article-journal","volume":"77"},"uris":["http://www.mendeley.com/documents/?uuid=49342c62-22fb-4e9e-8e1d-0c66f6f8fd98"]}],"mendeley":{"formattedCitation":"&lt;sup&gt;[4,10,19,11–18]&lt;/sup&gt;","plainTextFormattedCitation":"[4,10,19,11–18]","previouslyFormattedCitation":"&lt;sup&gt;[4,10,19,11–18]&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[4,10</w:t>
      </w:r>
      <w:r w:rsidR="004416D7">
        <w:rPr>
          <w:rFonts w:ascii="Book Antiqua" w:hAnsi="Book Antiqua" w:cs="Times New Roman"/>
          <w:noProof/>
          <w:sz w:val="24"/>
          <w:szCs w:val="24"/>
          <w:vertAlign w:val="superscript"/>
          <w:lang w:val="en-US"/>
        </w:rPr>
        <w:t>–1</w:t>
      </w:r>
      <w:r w:rsidR="004416D7">
        <w:rPr>
          <w:rFonts w:ascii="Book Antiqua" w:hAnsi="Book Antiqua" w:cs="Times New Roman" w:hint="eastAsia"/>
          <w:noProof/>
          <w:sz w:val="24"/>
          <w:szCs w:val="24"/>
          <w:vertAlign w:val="superscript"/>
          <w:lang w:val="en-US" w:eastAsia="zh-CN"/>
        </w:rPr>
        <w:t>9</w:t>
      </w:r>
      <w:r w:rsidR="00AB3269" w:rsidRPr="00E47A42">
        <w:rPr>
          <w:rFonts w:ascii="Book Antiqua" w:hAnsi="Book Antiqua" w:cs="Times New Roman"/>
          <w:noProof/>
          <w:sz w:val="24"/>
          <w:szCs w:val="24"/>
          <w:vertAlign w:val="superscript"/>
          <w:lang w:val="en-US"/>
        </w:rPr>
        <w:t>]</w:t>
      </w:r>
      <w:r w:rsidR="00A13458" w:rsidRPr="00E47A42">
        <w:rPr>
          <w:rFonts w:ascii="Book Antiqua" w:hAnsi="Book Antiqua" w:cs="Times New Roman"/>
          <w:sz w:val="24"/>
          <w:szCs w:val="24"/>
          <w:lang w:val="en-US"/>
        </w:rPr>
        <w:fldChar w:fldCharType="end"/>
      </w:r>
      <w:r w:rsidR="00395747"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also affects several other molecular pathways</w:t>
      </w:r>
      <w:r w:rsidR="003A6A7D"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Pharmacology","id":"ITEM-1","issued":{"date-parts":[["2018"]]},"page":"54-66","title":"Rat inferior caval vein (ICV) ligature and particular new insights with the stable gastric pentadecapeptide BPC 157","type":"article-journal","volume":"106"},"uris":["http://www.mendeley.com/documents/?uuid=0d4e894c-6fc1-3bed-bb8f-4b56e696ff06"]},{"id":"ITEM-2","itemData":{"DOI":"10.1016/j.ejphar.2012.11.055","ISBN":"1879-0712 (Electronic)\\r0014-2999 (Linking)","ISSN":"00142999","PMID":"23220707","abstract":"Esophagocutaneous fistulas are a failure of the NO-system, due to NO-synthase blockage by the NOS-blocker L-NAME consequently counteracted by l-arginine and gastric pentadecapeptide BPC 157 (l-arginine &lt;BPC 157), precipitating a therapeutic benefit. Previously, there was an established BPC 157 - NO-system interaction. BPC 157 GEPPPGKPADDAGLV, MW 1419 (LD1 not achieved), is a safe and stable anti-ulcer peptide, successful in inflammatory bowel disease trials, counteracting esophagitis, sphincter failure, gastrointestinal and skin ulcers, gastrocutaneous or colocutaneous fistulas. We treated rats with established cervical esophagocutaneous fistulas throughout four days (both open skin and esophageal defects, with significant leakage) with BPC 157 (parenterally and perorally) and L-NAME (blocking NO genesis) and l-arginine (NO-substrate) alone or in combination. RT-PCR investigated eNOS, iNOS, COX-2 mRNA levels in the fistulas. We evidenced a closely inter-related process of unhealed skin, esophageal defects, unhealed fistulas (up regulated eNOS, iNOS and COX2 mRNA levels), usually lethal, particularly NO-system related and therapy dependent. Generally, the course of fistula healing was accelerated either to a greater extent (with BPC 157 (in particular, less eNOS gene expression) completely counteracting L-NAME effects, in L-NAME+BPC 157 and L-NAME+l-arginine+BPC 157 groups), or to a lesser extent (with l-arginine). Conversely, the process was aggravated, rapidly and prominently (with L-NAME). In particular, BPC 157 was effective either given per-orally/intraperitoneally, in μg- and ng-regimens. Shortly, defects started to heal, with less fistula leakage and no mortality at day 4. Failure of pyloric and lower esophageal sphincter pressure was restored, with practically no esophagitis. © 2012 Elsevier B.V. All rights reserved.","author":[{"dropping-particle":"","family":"Cesarec","given":"Vedran","non-dropping-particle":"","parse-names":false,"suffix":""},{"dropping-particle":"","family":"Becejac","given":"Tomislav","non-dropping-particle":"","parse-names":false,"suffix":""},{"dropping-particle":"","family":"Misic","given":"Marija","non-dropping-particle":"","parse-names":false,"suffix":""},{"dropping-particle":"","family":"Djakovic","given":"Zeljko","non-dropping-particle":"","parse-names":false,"suffix":""},{"dropping-particle":"","family":"Olujic","given":"Danijela","non-dropping-particle":"","parse-names":false,"suffix":""},{"dropping-particle":"","family":"Drmic","given":"Domagoj","non-dropping-particle":"","parse-names":false,"suffix":""},{"dropping-particle":"","family":"Brcic","given":"Luka","non-dropping-particle":"","parse-names":false,"suffix":""},{"dropping-particle":"","family":"Rokotov","given":"Dinko Stancic","non-dropping-particle":"","parse-names":false,"suffix":""},{"dropping-particle":"","family":"Seiwerth","given":"Sven","non-dropping-particle":"","parse-names":false,"suffix":""},{"dropping-particle":"","family":"Sikiric","given":"Predrag","non-dropping-particle":"","parse-names":false,"suffix":""}],"container-title":"European Journal of Pharmacology","id":"ITEM-2","issue":"1-3","issued":{"date-parts":[["2013"]]},"page":"203-212","publisher":"Elsevier","title":"Pentadecapeptide BPC 157 and the esophagocutaneous fistula healing therapy","type":"article-journal","volume":"701"},"uris":["http://www.mendeley.com/documents/?uuid=41a5ff22-e5c0-4417-b310-4125e014ffdd"]},{"id":"ITEM-3","itemData":{"DOI":"10.1152/japplphysiol.00945.2010","ISSN":"1522-1601","PMID":"21030672","abstract":"Pentadecapeptide BPC 157, composed of 15 amino acids, is a partial sequence of body protection compound (BPC) that is discovered in and isolated from human gastric juice. Experimentally it has been demonstrated to accelerate the healing of many different wounds, including transected rat Achilles tendon. This study was designed to investigate the potential mechanism of BPC 157 to enhance healing of injured tendon. The outgrowth of tendon fibroblasts from tendon explants cultured with or without BPC 157 was examined. Results showed that BPC 157 significantly accelerated the outgrowth of tendon explants. Cell proliferation of cultured tendon fibroblasts derived from rat Achilles tendon was not directly affected by BPC 157 as evaluated by MTT assay. However, the survival of BPC 157-treated cells was significantly increased under the H(2)O(2) stress. BPC 157 markedly increased the in vitro migration of tendon fibroblasts in a dose-dependent manner as revealed by transwell filter migration assay. BPC 157 also dose dependently accelerated the spreading of tendon fibroblasts on culture dishes. The F-actin formation as detected by FITC-phalloidin staining was induced in BPC 157-treated fibroblasts. The protein expression and activation of FAK and paxillin were determined by Western blot analysis, and the phosphorylation levels of both FAK and paxillin were dose dependently increased by BPC 157 while the total amounts of protein was unaltered. In conclusion, BPC 157 promotes the ex vivo outgrowth of tendon fibroblasts from tendon explants, cell survival under stress, and the in vitro migration of tendon fibroblasts, which is likely mediated by the activation of the FAK-paxillin pathway.","author":[{"dropping-particle":"","family":"Chang","given":"Chung-Hsun","non-dropping-particle":"","parse-names":false,"suffix":""},{"dropping-particle":"","family":"Tsai","given":"Wen-Chung","non-dropping-particle":"","parse-names":false,"suffix":""},{"dropping-particle":"","family":"Lin","given":"Miao-Sui","non-dropping-particle":"","parse-names":false,"suffix":""},{"dropping-particle":"","family":"Hsu","given":"Ya-Hui","non-dropping-particle":"","parse-names":false,"suffix":""},{"dropping-particle":"","family":"Pang","given":"Jong-Hwei Su","non-dropping-particle":"","parse-names":false,"suffix":""}],"container-title":"Journal of applied physiology (Bethesda, Md. : 1985)","id":"ITEM-3","issue":"3","issued":{"date-parts":[["2011","3"]]},"page":"774-80","title":"The promoting effect of pentadecapeptide BPC 157 on tendon healing involves tendon outgrowth, cell survival, and cell migration.","type":"article-journal","volume":"110"},"uris":["http://www.mendeley.com/documents/?uuid=6729f5a4-ea79-4adb-aac1-570591ef479a"]},{"id":"ITEM-4","itemData":{"DOI":"10.3390/molecules191119066","ISSN":"1420-3049","PMID":"25415472","abstract":"BPC 157, a pentadecapeptide derived from human gastric juice, has been demonstrated to promote the healing of different tissues, including skin, muscle, bone, ligament and tendon in many animal studies. However, the underlying mechanism has not been fully clarified. The present study aimed to explore the effect of BPC 157 on tendon fibroblasts isolated from Achilles tendon of male Sprague-Dawley rat. From the result of cDNA microarray analysis, growth hormone receptor was revealed as one of the most abundantly up-regulated genes in tendon fibroblasts by BPC 157. BPC 157 dose- and time-dependently increased the expression of growth hormone receptor in tendon fibroblasts at both the mRNA and protein levels as measured by RT/real-time PCR and Western blot, respectively. The addition of growth hormone to BPC 157-treated tendon fibroblasts dose- and time-dependently increased the cell proliferation as determined by MTT assay and PCNA expression by RT/real-time PCR. Janus kinase 2, the downstream signal pathway of growth hormone receptor, was activated time-dependently by stimulating the BPC 157-treated tendon fibroblasts with growth hormone. In conclusion, the BPC 157-induced increase of growth hormone receptor in tendon fibroblasts may potentiate the proliferation-promoting effect of growth hormone and contribute to the healing of tendon.","author":[{"dropping-particle":"","family":"Chang","given":"Chung-Hsun","non-dropping-particle":"","parse-names":false,"suffix":""},{"dropping-particle":"","family":"Tsai","given":"Wen-Chung","non-dropping-particle":"","parse-names":false,"suffix":""},{"dropping-particle":"","family":"Hsu","given":"Ya-Hui","non-dropping-particle":"","parse-names":false,"suffix":""},{"dropping-particle":"","family":"Pang","given":"Jong-Hwei Su","non-dropping-particle":"","parse-names":false,"suffix":""}],"container-title":"Molecules (Basel, Switzerland)","id":"ITEM-4","issue":"11","issued":{"date-parts":[["2014","11","19"]]},"page":"19066-77","title":"Pentadecapeptide BPC 157 enhances the growth hormone receptor expression in tendon fibroblasts.","type":"article-journal","volume":"19"},"uris":["http://www.mendeley.com/documents/?uuid=f3f7100e-ea85-4e6c-a171-398e2a6cd3e4"]},{"id":"ITEM-5","itemData":{"DOI":"10.1007/s00109-016-1488-y","ISSN":"0946-2716","author":[{"dropping-particle":"","family":"Hsieh","given":"Ming-Jer","non-dropping-particle":"","parse-names":false,"suffix":""},{"dropping-particle":"","family":"Liu","given":"Hsien-Ta","non-dropping-particle":"","parse-names":false,"suffix":""},{"dropping-particle":"","family":"Wang","given":"Chao-Nin","non-dropping-particle":"","parse-names":false,"suffix":""},{"dropping-particle":"","family":"Huang","given":"Hsiu-Yun","non-dropping-particle":"","parse-names":false,"suffix":""},{"dropping-particle":"","family":"Lin","given":"Yuling","non-dropping-particle":"","parse-names":false,"suffix":""},{"dropping-particle":"","family":"Ko","given":"Yu-Shien","non-dropping-particle":"","parse-names":false,"suffix":""},{"dropping-particle":"","family":"Wang","given":"Jong-Shyan","non-dropping-particle":"","parse-names":false,"suffix":""},{"dropping-particle":"","family":"Chang","given":"Vincent Hung-Shu","non-dropping-particle":"","parse-names":false,"suffix":""},{"dropping-particle":"","family":"Pang","given":"Jong-Hwei S.","non-dropping-particle":"","parse-names":false,"suffix":""}],"container-title":"Journal of Molecular Medicine","id":"ITEM-5","issue":"3","issued":{"date-parts":[["2017","3","15"]]},"page":"323-333","title":"Therapeutic potential of pro-angiogenic BPC157 is associated with VEGFR2 activation and up-regulation","type":"article-journal","volume":"95"},"uris":["http://www.mendeley.com/documents/?uuid=d0162b37-24df-4fed-8888-a128d80ca9cc"]},{"id":"ITEM-6","itemData":{"DOI":"10.2147/DDDT.S82030","ISBN":"1177-8881 (Electronic)\\r1177-8881 (Linking)","ISSN":"11778881","PMID":"25995620","abstract":"Chemical burns take up a high proportion of burns admissions and can penetrate deep into tissues. Various reagents have been applied in the treatment of skin chemical burns; however, no optimal reagent for skin chemical burns currently exists. The present study investigated the effect of topical body protective compound (BPC)-157 treatment on skin wound healing, using an alkali burn rat model. Topical treatment with BPC-157 was shown to accelerate wound closure following an alkali burn. Histological examination of skin sections with hematoxylin–eosin and Masson staining showed better granulation tissue formation, reepithelialization, dermal remodeling, and a higher extent of collagen deposition when compared to the model control group on the 18th day postwounding. BPC-157 could promote vascular endothelial growth factor expression in wounded skin tissues. Furthermore, 3-(4,5-dimethylthiazol-2-yl)-2,5-diphenyltetrazolium bromide and cell cycle analysis demonstrated that BPC-157 enhanced the proliferation of human umbilical vein endothelial cells (HUVECs). Transwell assay and wound healing assay showed that BPC-157 significantly promoted migration of HUVECs. We also observed that BPC-157 upregulated the expression of VEGF-a and accelerated vascular tube formation in vitro. Moreover, further studies suggested that BPC-157 regulated the phosphorylation level of extracellular signal-regulated kinases 1 and 2 (ERK1/2) as well as its downstream targets, including c-Fos, c-Jun, and Egr-1, which are key molecules involved in cell growth, migration, and angiogenesis. Altogether, our results indicated that BPC-157 treatment may accelerate wound healing in a model of alkali burn-induced skin injury. The therapeutic mechanism may be associated with accelerated granulation tissue formation, reepithelialization, dermal remodeling, and collagen deposition through ERK1/2 signaling pathway.","author":[{"dropping-particle":"","family":"Huang","given":"Tonglie","non-dropping-particle":"","parse-names":false,"suffix":""},{"dropping-particle":"","family":"Zhang","given":"Kuo","non-dropping-particle":"","parse-names":false,"suffix":""},{"dropping-particle":"","family":"Sun","given":"Lijuan","non-dropping-particle":"","parse-names":false,"suffix":""},{"dropping-particle":"","family":"Xue","given":"Xiaochang","non-dropping-particle":"","parse-names":false,"suffix":""},{"dropping-particle":"","family":"Zhang","given":"Cun","non-dropping-particle":"","parse-names":false,"suffix":""},{"dropping-particle":"","family":"Shu","given":"Zhen","non-dropping-particle":"","parse-names":false,"suffix":""},{"dropping-particle":"","family":"Mu","given":"Nan","non-dropping-particle":"","parse-names":false,"suffix":""},{"dropping-particle":"","family":"Gu","given":"Jintao","non-dropping-particle":"","parse-names":false,"suffix":""},{"dropping-particle":"","family":"Zhang","given":"Wangqian","non-dropping-particle":"","parse-names":false,"suffix":""},{"dropping-particle":"","family":"Wang","given":"Yukun","non-dropping-particle":"","parse-names":false,"suffix":""},{"dropping-particle":"","family":"Zhang","given":"Yingqi","non-dropping-particle":"","parse-names":false,"suffix":""},{"dropping-particle":"","family":"Zhang","given":"Wei","non-dropping-particle":"","parse-names":false,"suffix":""}],"container-title":"Drug Design, Development and Therapy","id":"ITEM-6","issued":{"date-parts":[["2015"]]},"page":"2485-2499","title":"Body protective compound-157 enhances alkali-burn wound healing in vivo and promotes proliferation, migration, and angiogenesis in vitro","type":"article-journal","volume":"9"},"uris":["http://www.mendeley.com/documents/?uuid=26d2fbb4-3df9-4f39-9e6c-53a37fe7bcce"]},{"id":"ITEM-7","itemData":{"DOI":"10.1016/j.ejphar.2007.05.072","ISSN":"00142999","author":[{"dropping-particle":"","family":"Tkalčević","given":"Vanesa Ivetić","non-dropping-particle":"","parse-names":false,"suffix":""},{"dropping-particle":"","family":"Čužić","given":"Snježana","non-dropping-particle":"","parse-names":false,"suffix":""},{"dropping-particle":"","family":"Brajša","given":"Karmen","non-dropping-particle":"","parse-names":false,"suffix":""},{"dropping-particle":"","family":"Mildner","given":"Boris","non-dropping-particle":"","parse-names":false,"suffix":""},{"dropping-particle":"","family":"Bokulić","given":"Ana","non-dropping-particle":"","parse-names":false,"suffix":""},{"dropping-particle":"","family":"Šitum","given":"Kristina","non-dropping-particle":"","parse-names":false,"suffix":""},{"dropping-particle":"","family":"Perović","given":"Daniela","non-dropping-particle":"","parse-names":false,"suffix":""},{"dropping-particle":"","family":"Glojnarić","given":"Ines","non-dropping-particle":"","parse-names":false,"suffix":""},{"dropping-particle":"","family":"Parnham","given":"Michael J.","non-dropping-particle":"","parse-names":false,"suffix":""}],"container-title":"European Journal of Pharmacology","id":"ITEM-7","issue":"1-3","issued":{"date-parts":[["2007","9"]]},"page":"212-221","title":"Enhancement by PL 14736 of granulation and collagen organization in healing wounds and the potential role of egr-1 expression","type":"article-journal","volume":"570"},"uris":["http://www.mendeley.com/documents/?uuid=d6bef086-cfda-49af-8cf8-b62dc1ddbbd0"]}],"mendeley":{"formattedCitation":"&lt;sup&gt;[21–27]&lt;/sup&gt;","plainTextFormattedCitation":"[21–27]","previouslyFormattedCitation":"&lt;sup&gt;[21–27]&lt;/sup&gt;"},"properties":{"noteIndex":0},"schema":"https://github.com/citation-style-language/schema/raw/master/csl-citation.json"}</w:instrText>
      </w:r>
      <w:r w:rsidR="003A6A7D"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[21–27]</w:t>
      </w:r>
      <w:r w:rsidR="003A6A7D" w:rsidRPr="00E47A42">
        <w:rPr>
          <w:rFonts w:ascii="Book Antiqua" w:hAnsi="Book Antiqua" w:cs="Times New Roman"/>
          <w:sz w:val="24"/>
          <w:szCs w:val="24"/>
          <w:lang w:val="en-US"/>
        </w:rPr>
        <w:fldChar w:fldCharType="end"/>
      </w:r>
      <w:r w:rsidR="002D483D" w:rsidRPr="00E47A42">
        <w:rPr>
          <w:rFonts w:ascii="Book Antiqua" w:hAnsi="Book Antiqua" w:cs="Times New Roman"/>
          <w:sz w:val="24"/>
          <w:szCs w:val="24"/>
          <w:lang w:val="en-US"/>
        </w:rPr>
        <w:t>. I</w:t>
      </w:r>
      <w:r w:rsidRPr="00E47A42">
        <w:rPr>
          <w:rFonts w:ascii="Book Antiqua" w:hAnsi="Book Antiqua" w:cs="Times New Roman"/>
          <w:sz w:val="24"/>
          <w:szCs w:val="24"/>
          <w:lang w:val="en-US"/>
        </w:rPr>
        <w:t>t is native and stable in human gastric juice and maintains gastrointestinal mucosal integrit</w:t>
      </w:r>
      <w:r w:rsidR="009A3C66" w:rsidRPr="00E47A42">
        <w:rPr>
          <w:rFonts w:ascii="Book Antiqua" w:hAnsi="Book Antiqua" w:cs="Times New Roman"/>
          <w:sz w:val="24"/>
          <w:szCs w:val="24"/>
          <w:lang w:val="en-US"/>
        </w:rPr>
        <w:t>y</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10.2174/1381612823666170220163219","ISSN":"13816128","author":[{"dropping-particle":"","family":"Sikiric","given":"Predrag","non-dropping-particle":"","parse-names":false,"suffix":""},{"dropping-particle":"","family":"Seiwerth","given":"Sven","non-dropping-particle":"","parse-names":false,"suffix":""},{"dropping-particle":"","family":"Rucman","given":"Rudolf","non-dropping-particle":"","parse-names":false,"suffix":""},{"dropping-particle":"","family":"Drmic","given":"Domagoj","non-dropping-particle":"","parse-names":false,"suffix":""},{"dropping-particle":"","family":"Stupnisek","given":"Mirjana","non-dropping-particle":"","parse-names":false,"suffix":""},{"dropping-particle":"","family":"Kokot","given":"Antonio","non-dropping-particle":"","parse-names":false,"suffix":""},{"dropping-particle":"","family":"Sever","given":"Marko","non-dropping-particle":"","parse-names":false,"suffix":""},{"dropping-particle":"","family":"Zoricic","given":"Ivan","non-dropping-particle":"","parse-names":false,"suffix":""},{"dropping-particle":"","family":"Zoricic","given":"Zoran","non-dropping-particle":"","parse-names":false,"suffix":""},{"dropping-particle":"","family":"Batelja","given":"Lovorka","non-dropping-particle":"","parse-names":false,"suffix":""},{"dropping-particle":"","family":"Ziger","given":"Tihomil","non-dropping-particle":"","parse-names":false,"suffix":""},{"dropping-particle":"","family":"Luetic","given":"Kresimir","non-dropping-particle":"","parse-names":false,"suffix":""},{"dropping-particle":"","family":"Vlainic","given":"Josipa","non-dropping-particle":"","parse-names":false,"suffix":""},{"dropping-particle":"","family":"Rasic","given":"Zarko","non-dropping-particle":"","parse-names":false,"suffix":""},{"dropping-particle":"","family":"Bencic","given":"Martina Lovric","non-dropping-particle":"","parse-names":false,"suffix":""}],"container-title":"Current Pharmaceutical Design","id":"ITEM-1","issue":"27","issued":{"date-parts":[["2017","10","30"]]},"page":"4012-4028","title":"Stress in Gastrointestinal Tract and Stable Gastric Pentadecapeptide BPC 157. Finally, do we have a Solution?","type":"article-journal","volume":"23"},"uris":["http://www.mendeley.com/documents/?uuid=bb09abfa-dd18-4e07-99e3-5e0c5e908cc9"]},{"id":"ITEM-2","itemData":{"ISSN":"1875-6190","PMID":"27138887","abstract":"BACKGROUND Brain-gut interaction involves, among others, peptidergic growth factors which are native in GI tract and have strong antiulcer potency and thus could from periphery beneficially affect CNS-disorders. We focused on the stable gastric pentadecapeptide BPC 157, an antiulcer peptidergic agent, safe in inflammatory bowel disease trials and now in multiple sclerosis trial, native and stable in human gastric juice. METHODS Review of our research on BPC 157 in terms of brain-gut axis. RESULTS BPC 157 may serve as a novel mediator of Robert's cytoprotection, involved in maintaining of GI mucosa integrity, with no toxic effect. BPC 157 was successful in the therapy of GI tract, periodontitis, liver and pancreas lesions, and in the healing of various tissues and wounds. Stimulated Egr-1 gene, NAB2, FAK-paxillin and JAK-2 pathways are hitherto implicated. Initially corresponding beneficial central influence was seen when BPC 157 was given peripherally and a serotonin release in particular brain areas, mostly nigrostriatal, was changed. BPC 157 modulates serotonergic and dopaminergic systems, beneficially affects various behavioral disturbances that otherwise appeared due to specifically (over)stimulated/damaged neurotransmitters systems. Besides, BPC 157 has neuroprotective effects: protects somatosensory neurons; peripheral nerve regeneration appearent after transection; after traumatic brain injury counteracts the otherwise progressing course, in rat spinal cord compression with tail paralysis, axonal and neuronal necrosis, demyelination, cyst formation and rescues tail function in both short-terms and long-terms; after NSAIDs or insulin overdose or cuprizone encephalopathies were attenuated along with GI, liver and vascular injuries. CONCLUSION BPC 157, a gastric peptide, may serve as remedy in various CNS-disorders.","author":[{"dropping-particle":"","family":"Sikiric","given":"Predrag","non-dropping-particle":"","parse-names":false,"suffix":""},{"dropping-particle":"","family":"Seiwerth","given":"Sven","non-dropping-particle":"","parse-names":false,"suffix":""},{"dropping-particle":"","family":"Rucman","given":"Rudolf","non-dropping-particle":"","parse-names":false,"suffix":""},{"dropping-particle":"","family":"Kolenc","given":"Danijela","non-dropping-particle":"","parse-names":false,"suffix":""},{"dropping-particle":"","family":"Vuletic","given":"Lovorka Batelja","non-dropping-particle":"","parse-names":false,"suffix":""},{"dropping-particle":"","family":"Drmic","given":"Domagoj","non-dropping-particle":"","parse-names":false,"suffix":""},{"dropping-particle":"","family":"Grgic","given":"Tihomir","non-dropping-particle":"","parse-names":false,"suffix":""},{"dropping-particle":"","family":"Strbe","given":"Sanja","non-dropping-particle":"","parse-names":false,"suffix":""},{"dropping-particle":"","family":"Zukanovic","given":"Goran","non-dropping-particle":"","parse-names":false,"suffix":""},{"dropping-particle":"","family":"Crvenkovic","given":"Dalibor","non-dropping-particle":"","parse-names":false,"suffix":""},{"dropping-particle":"","family":"Madzarac","given":"Goran","non-dropping-particle":"","parse-names":false,"suffix":""},{"dropping-particle":"","family":"Rukavina","given":"Iva","non-dropping-particle":"","parse-names":false,"suffix":""},{"dropping-particle":"","family":"Sucic","given":"Mario","non-dropping-particle":"","parse-names":false,"suffix":""},{"dropping-particle":"","family":"Baric","given":"Marko","non-dropping-particle":"","parse-names":false,"suffix":""},{"dropping-particle":"","family":"Starcevic","given":"Neven","non-dropping-particle":"","parse-names":false,"suffix":""},{"dropping-particle":"","family":"Krstonijevic","given":"Zoran","non-dropping-particle":"","parse-names":false,"suffix":""},{"dropping-particle":"","family":"Bencic","given":"Martina Lovric","non-dropping-particle":"","parse-names":false,"suffix":""},{"dropping-particle":"","family":"Filipcic","given":"Igor","non-dropping-particle":"","parse-names":false,"suffix":""},{"dropping-particle":"","family":"Rokotov","given":"Dinko Stancic","non-dropping-particle":"","parse-names":false,"suffix":""},{"dropping-particle":"","family":"Vlainic","given":"Josipa","non-dropping-particle":"","parse-names":false,"suffix":""}],"container-title":"Current neuropharmacology","id":"ITEM-2","issue":"8","issued":{"date-parts":[["2016"]]},"page":"857-865","title":"Brain-gut Axis and Pentadecapeptide BPC 157: Theoretical and Practical Implications.","type":"article-journal","volume":"14"},"uris":["http://www.mendeley.com/documents/?uuid=b275ba93-1b42-319f-8107-0555cf4884b9"]},{"id":"ITEM-3","itemData":{"DOI":"10.2174/13816128113199990421","ISBN":"1873-4286 (Electronic)\\r1381-6128 (Linking)","ISSN":"1873-4286","PMID":"23782145","abstract":"This review focuses on the described effects of BPC 157 on blood vessels after different types of damage, and elucidate by investigating different aspects of vascular response to injury (endothelium damage, clotting, thrombosis, vasoconstriction, vasodilatation, vasculoneogenesis and edema formation) especially in connection to the healing processes. In this respect, BPC 157 was concluded to be the most potent angiomodulatory agent, acting through different vasoactive pathways and systems (e.g. NO, VEGF, FAK) and leading to optimization of the vascular response followed, as it has to be expected, by optimization of the healing process. Formation of new blood vessels involves two main, partly overlapping mechanisms, angiogenesis and vasculogenesis. The additional mechanism of arteriogenesis is involved in the formation of collaterals. In conjunction with blood vessel function, we at least have to consider leakage of fluid/proteins/plasma, resulting in edema/exudate formation as well as thrombogenesis. Blood vessels are also strongly involved in tumor biology. In this aspect, we have neoangiogenesis resulting in pathological vascularization, vascular invasion resulting in release of metastatic cells and the phenomenon of homing resulting in formation of secondary tumors--metastases.","author":[{"dropping-particle":"","family":"Seiwerth","given":"Sven","non-dropping-particle":"","parse-names":false,"suffix":""},{"dropping-particle":"","family":"Brcic","given":"Luka","non-dropping-particle":"","parse-names":false,"suffix":""},{"dropping-particle":"","family":"Vuletic","given":"Lovorka Batelja","non-dropping-particle":"","parse-names":false,"suffix":""},{"dropping-particle":"","family":"Kolenc","given":"Danijela","non-dropping-particle":"","parse-names":false,"suffix":""},{"dropping-particle":"","family":"Aralica","given":"Gorana","non-dropping-particle":"","parse-names":false,"suffix":""},{"dropping-particle":"","family":"Misic","given":"Marija","non-dropping-particle":"","parse-names":false,"suffix":""},{"dropping-particle":"","family":"Zenko","given":"Anita","non-dropping-particle":"","parse-names":false,"suffix":""},{"dropping-particle":"","family":"Drmic","given":"Domagoj","non-dropping-particle":"","parse-names":false,"suffix":""},{"dropping-particle":"","family":"Rucman","given":"Rudolf","non-dropping-particle":"","parse-names":false,"suffix":""},{"dropping-particle":"","family":"Sikiric","given":"Predrag","non-dropping-particle":"","parse-names":false,"suffix":""}],"container-title":"Current pharmaceutical design","id":"ITEM-3","issue":"7","issued":{"date-parts":[["2014"]]},"page":"1121-5","title":"BPC 157 and blood vessels.","type":"article-journal","volume":"20"},"uris":["http://www.mendeley.com/documents/?uuid=58f78828-3983-4cbc-86f3-3b54e9721a52"]},{"id":"ITEM-4","itemData":{"ISSN":"1873-4286","PMID":"23755725","abstract":"We reviewed stable gastric pentadecapeptide BPC 157-NO-system-relation, its close participation in Moncada's (maintained vascular integrity, platelets control) homeostatic healing response of NO-system to injury. Namely, BPC 157's particular healing effect also affects all events after vascular integrity loss (dependent on circumstances, it reduces either thrombosis (abdominal aorta anastomosis) or bleeding/thrombocytopenia (amputation, heparin, warfarin, aspirin)) and in a series of different injurious models, acute and chronic, BPC 157 consistently advances healing after severe injuries in various tissues spontaneously unable to heal; stimulates egr-1 and naB2 genes; exhibits high safety (LD1 not achieved)). Hypothesis, that BPC 157 (since formed constitutively in the gastric mucosa, stable in human gastric juice, along with significance of NO-synthase and the basal formation of NO in stomach mucosa, greater than that seen in other tissues) exhibits a general, effective competing both with L-arginine analogues (i. e., L-NAME) and L-arginine, and that this has some physiologic importance (NO-generation), later, practically supports its beneficial effects illustrating BPC 157 and NOsystem mutual (with L-NAME/L-arginine; alone and together) relations in (i) gastric mucosa and mucosal protection, following alcohol lesions, in cytoprotection course, NO-generation, and blood pressure regulation; (ii) alcohol acute/chronic intoxication, and withdrawal; (iii) cardiovascular disturbances, chronic heart failure, pulmonary hypertension, and arrhythmias; (iv) disturbances after hypokalemia and hyperkalemia, and potassium-cell membrane dysfunction; and finally, in (v) complex healing failure, proved by the fistulas healing, colocutaneous and esophagocutaneous. However, how this advantage of modulating NO-system (i. e., particular effect on eNOS gene), may be practically translated into an enhanced clinical performance remains to be determined.","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tupnisek","given":"Mirjana","non-dropping-particle":"","parse-names":false,"suffix":""},{"dropping-particle":"","family":"Suran","given":"Jelena","non-dropping-particle":"","parse-names":false,"suffix":""},{"dropping-particle":"","family":"Barisic","given":"Ivan","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design","id":"ITEM-4","issue":"7","issued":{"date-parts":[["2014"]]},"page":"1126-35","title":"Stable gastric pentadecapeptide BPC 157-NO-system relation.","type":"article-journal","volume":"20"},"uris":["http://www.mendeley.com/documents/?uuid=74ead48f-0c75-446a-a19b-49bb02b31992"]},{"id":"ITEM-5","itemData":{"ISSN":"1873-4286","PMID":"22950504","abstract":"Stable gastric pentadecapeptide BPC 157 is an anti-ulcer peptidergic agent, proven in clinical trials to be both safe in inflammatory bowel disease (PL-10, PLD-116, PL 14736) and wound healing, stable in human gastric juice, with no toxicity being reported. Recently, we claim that BPC 157 may be used as an antidote against NSAIDs. We focused on BPC 157 beneficial effects on stomach, duodenum, intestine, liver and brain injuries, adjuvant arthritis, pain, hyper/hypothermia, obstructive thrombus formation and thrombolysis, blood vessel function, counteraction of prolonged bleeding and thrombocytopenia after application of various anticoagulants and antiplatelet agents and wound healing improvement. The arguments for BPC 157 antidote activity (i.e., the role of BPC 157 in cytoprotection, being a novel mediator of Robert's cytoprotection and BPC 157 beneficial effects on NSAIDs mediated lesions in the gastrointestinal tract, liver and brain and finally, counteraction of aspirin-induced prolonged bleeding and thrombocytopenia) obviously have a counteracting effect on several established side-effects of NSAIDs use. The mentioned variety of the beneficial effects portrayed by BPC 157 may well be a foundation for establishing BPC 157 as a NSAIDs antidote since no other single agent has portrayed a similar array of effects. Unlike NSAIDs, a very high safety (no reported toxicity (LD1 could be not achieved)) profile is reported for BPC 157. Also, unlike the different dosage levels of aspirin, as a NSAIDs prototype, which differ by a factor of about ten, all these beneficial and counteracting effects of BPC 157 were obtained using the equipotent dosage (μg, ng/kg) in parenteral or peroral regimens.","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afic","given":"Hana","non-dropping-particle":"","parse-names":false,"suffix":""},{"dropping-particle":"","family":"Suran","given":"Jelena","non-dropping-particle":"","parse-names":false,"suffix":""},{"dropping-particle":"","family":"Rak","given":"Davor","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design","id":"ITEM-5","issue":"1","issued":{"date-parts":[["2013"]]},"page":"76-83","title":"Toxicity by NSAIDs. Counteraction by stable gastric pentadecapeptide BPC 157.","type":"article-journal","volume":"19"},"uris":["http://www.mendeley.com/documents/?uuid=b4d81bb8-a391-4622-abb3-23195e4a65ff"]},{"id":"ITEM-6","itemData":{"DOI":"CMC-19-1-126 [pii]","ISBN":"0929-8673\\r1875-533X","ISSN":"09298673","PMID":"2012120682","abstract":"Stable gastric pentadecapeptide BPC 157 (GEPPPGKPADDAGLV, M.W. 1419) may be the new drug stable in human gastric juice, effective both in the upper and lower GI tract, and free of side effects. BPC 157, in addition to an antiulcer effect efficient in therapy of inflammatory bowel disease (IBD) (PL 14736) so far only tested in clinical phase II, has a very safe profile, and exhibited a particular wound healing effect. It also has shown to interact with the NO-system, providing endothelium protection and angiogenic effect, even in severely impaired conditions (i.e., it stimulated expression of early growth response 1 gene responsible for cytokine and growth factor generation and early extracellular matrix (collagen) formation (but also its repressor nerve growth factor 1- A binding protein-2)), important to counteract severe complications of advanced and poorly controlled IBD. Hopefully, the lessons from animal studies, particularly advanced intestinal anastomosis healing, reversed short bowel syndrome and fistula healing indicate BPC 157's high significance in further IBD therapy. Also, this supportive evidence (i.e., no toxic effect, limit test negative, LD1 not achieved, no side effect in trials) may counteract the problems commonly exercised in the use of peptidergic agents, particularly those used on a long-term basis. © 2012 Bentham Science Publishers.","author":[{"dropping-particle":"","family":"Sikiric","given":"P","non-dropping-particle":"","parse-names":false,"suffix":""},{"dropping-particle":"","family":"Seiwerth","given":"S","non-dropping-particle":"","parse-names":false,"suffix":""},{"dropping-particle":"","family":"Rucman","given":"R","non-dropping-particle":"","parse-names":false,"suffix":""},{"dropping-particle":"","family":"Turkovic","given":"B","non-dropping-particle":"","parse-names":false,"suffix":""},{"dropping-particle":"","family":"D","given":"S Rokotov","non-dropping-particle":"","parse-names":false,"suffix":""},{"dropping-particle":"","family":"Brcic","given":"L","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Drmic","given":"D","non-dropping-particle":"","parse-names":false,"suffix":""},{"dropping-particle":"","family":"Ilic","given":"S","non-dropping-particle":"","parse-names":false,"suffix":""},{"dropping-particle":"","family":"Kolenc","given":"D","non-dropping-particle":"","parse-names":false,"suffix":""},{"dropping-particle":"","family":"Stambolija","given":"V","non-dropping-particle":"","parse-names":false,"suffix":""},{"dropping-particle":"","family":"Zoricic","given":"Z","non-dropping-particle":"","parse-names":false,"suffix":""},{"dropping-particle":"","family":"Vrcic","given":"H","non-dropping-particle":"","parse-names":false,"suffix":""},{"dropping-particle":"","family":"Sebecic","given":"B","non-dropping-particle":"","parse-names":false,"suffix":""}],"container-title":"Current Medicinal Chemistry","id":"ITEM-6","issue":"1","issued":{"date-parts":[["2012"]]},"page":"126-132","title":"Focus on ulcerative colitis: Stable gastric pentadecapeptide BPC 157","type":"article-journal","volume":"19"},"uris":["http://www.mendeley.com/documents/?uuid=7b0917ea-0d35-4426-b536-aa3cf6522fbf"]},{"id":"ITEM-7","itemData":{"DOI":"10.2174/138161211796196954","ISBN":"1873-4286 (Electronic)\\n1381-6128 (Linking)","ISSN":"1873-4286","PMID":"21548867","abstract":"Stable gastric pentadecapeptide BPC 157 is an anti-ulcer peptidergic agent, safe in inflammatory bowel disease clinical trials (GEPPPGKPADDAGLV, M.W. 1419, PL 14736) and wound healing, stable in human gastric juice and has no reported toxicity. We focused on BPC 157 as a therapy in peridontitis, esophagus, stomach, duodenum, intestine, liver and pancreas lesions. Particularly, it has a prominent effect on alcohol-lesions (i.e., acute, chronic) and NSAIDs-lesions (interestingly, BPC 157 both prevents and reverses adjuvant arthritis). In rat esophagitis and failed function of both lower esophageal sphincter (LES) and pyloric sphincters (PS), BPC 157 increased pressure in both sphincters till normal and reduced esophagitis. However, in healthy rats, it may decrease (PS) or increase (LES) the pressure in sphincters. It has strong angiogenic potential, it acts protectively on endothelium, prevents and reverses thrombus formation after abdominal aorta anastomosis, affects many central disturbances (i.e., dopamine and 5-HT system), the NO-system (either L-arginine and L-NAME effects), endothelin, acts as a free radical scavenger (counteracting CCl4-, paracetamol-, diclofenac-injuries) and exhibits neuroprotective properties. BPC 157 successfully heals the intestinal anastomosis, gastrocutaneous, duodenocutaneous and colocutaneous fistulas in rats, as well as interacting with the NO-system. Interestingly, the fistula closure was achieved even when the BPC 157 therapy was postponed for one month. In short-bowel syndrome escalating throughout 4 weeks, the constant weight gain above preoperative values started immediately with peroral and parental BPC 157 therapy and the villus height, crypth depth and muscle thickness (inner (circular) muscular layer) additionally increased. Thus, BPC 157 may improve gastrointestinal tract therapy.","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Vrcic","given":"Hrvoje","non-dropping-particle":"","parse-names":false,"suffix":""},{"dropping-particle":"","family":"Sebecic","given":"Bozidar","non-dropping-particle":"","parse-names":false,"suffix":""}],"container-title":"Current pharmaceutical design","id":"ITEM-7","issue":"16","issued":{"date-parts":[["2011"]]},"page":"1612-32","title":"Stable gastric pentadecapeptide BPC 157: novel therapy in gastrointestinal tract.","type":"article-journal","volume":"17"},"uris":["http://www.mendeley.com/documents/?uuid=899df84f-aa5b-428d-b746-b746c53bb74c"]},{"id":"ITEM-8","itemData":{"ISSN":"1873-4286","PMID":"20166993","abstract":"The significance of cytoprotection and adaptive cytoprotection and the peptides importance remained to be not completely determined. BPC 157 is an anti-ulcer peptidergic agent, proven in clinical trials to be both safe in inflammatory bowel disease (PL-10, PLD-116, PL 14736) and wound healing, and stable in human gastric juice, with no toxicity being reported. It has a prominent effect on alcohol- lesions (i.e., induced acutely and chronically) and non-steroidal anti-inflammatory drugs-lesions (while interestingly BPC 157 may both prevent and reverse adjuvant arthritis). To review the importance of BPC 157, this review focused on Robert's cytoprotection concept described in rat stomach, reviewing our evidence that may resolve whether the cytoprotection and adaptive cytoprotection is an uniform phenomenon or not; whether the phenomenon or phenomena are endogenous or not, depending on nature of the irritants (mild or strong); whether this may contribute to stomach mucosa defense either when threaten by various ulcerogens or afforded by various antiulcer agents; whether these phenomena are uniform in whole gastrointestinal tract or not; whether they are interrelated or not. Finally, the importance of the cytoprotection phenomena and cytoprotection activity for skin wound healing, and wound healing in general was challenged. Thereby, this review focused on BPC 157 role in cytoprotection and adaptative cytoprotection suggesting that it may be the essential endogenous mediator able to mediate both cytoprotective and adaptive cytoprotective response in stomach and the whole gastrointestinal tract with significant importance in wound healing as well.","author":[{"dropping-particle":"","family":"Sikiric","given":"Predrag","non-dropping-particle":"","parse-names":false,"suffix":""},{"dropping-particle":"","family":"Seiwerth","given":"Sven","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container-title":"Current pharmaceutical design","id":"ITEM-8","issue":"10","issued":{"date-parts":[["2010"]]},"page":"1224-34","title":"Revised Robert's cytoprotection and adaptive cytoprotection and stable gastric pentadecapeptide BPC 157. Possible significance and implications for novel mediator.","type":"article-journal","volume":"16"},"uris":["http://www.mendeley.com/documents/?uuid=6164415b-2518-453f-82c4-4562e66e7572"]},{"id":"ITEM-9","itemData":{"DOI":"10.1007/s10787-006-1531-7","ISSN":"0925-4692","PMID":"17186181","abstract":"Gastric pentadecapeptide BPC 157 (GEPPPGKPADDAGLV, M.W. 1419, safe in clinical trials for inflammatory bowel disease (PL 10, PLD 116, PLD 14736, Pliva, Croatia)) has a particular cytoprotective/adaptive cytoprotective activity. The cytoprotective/adaptive cytoprotection researches largely neglect that stomach distension could per se jeopardize the mucosal integrity, with constantly stretched mucosa and blood vessels, and sphincters more prone for reflux induction. After absolute alcohol instillation in fully distended rat stomach, gastric, esophageal and duodenal lesions occur. Throughout next 3 min, left gastric artery blood vessels clearly disappear at the serosal site, indicative for loss of vessels both integrity and function. Contrary, constant vessels presentation could predict the beneficial effect of applied agent. After pentadecapeptide BPC 157 instillation into the stomach the vessels presentation remains constant, and lesions of stomach, esophagus, and duodenum are inhibited. Standards (atropine, ranitidine, omeprazole) could only slightly improve the vessels presentation compared to control values, and they have only a partial effect on the lesions. In this review we emphasize BPC 157 unusual stability, and some of its important effects: effectiveness against various lesions in gastrointestinal tract, on nitric oxide (NO)-system, and NO-agents effects, on somatosensory neurons, salivary glands function, recovery of AMP-ADP-ATP system, endothelium protection, effect on endothelin, and on angiogenesis promotion. It also antagonizes other alcohol effects, including acute and chronic intoxication. Given peripherally, it counteracts the consequence of central dopamine system disturbances (receptor blockade), and induces serotonin release in substantia nigra. Therapeutic potential of BPC 157 as a cytoprotective agent is also seen in its capability to heal various wounds. Given directly into the stomach, BPC 157 instantly recovers disturbed lower esophageal and pyloric sphincter pressure in rats after 12-20 months of untreated esophagitis. All these could be suggestive for its role as a natural protectant in gastric juice with particular function throughout stomach distension.","author":[{"dropping-particle":"","family":"Sikiric","given":"P","non-dropping-particle":"","parse-names":false,"suffix":""},{"dropping-particle":"","family":"Seiwerth","given":"S","non-dropping-particle":"","parse-names":false,"suffix":""},{"dropping-particle":"","family":"Brcic","given":"L","non-dropping-particle":"","parse-names":false,"suffix":""},{"dropping-particle":"","family":"Blagaic","given":"A B","non-dropping-particle":"","parse-names":false,"suffix":""},{"dropping-particle":"","family":"Zoricic","given":"I","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Keller","given":"N","non-dropping-particle":"","parse-names":false,"suffix":""},{"dropping-particle":"","family":"Sipos","given":"K","non-dropping-particle":"","parse-names":false,"suffix":""},{"dropping-particle":"","family":"Jakir","given":"A","non-dropping-particle":"","parse-names":false,"suffix":""},{"dropping-particle":"","family":"Udovicic","given":"M","non-dropping-particle":"","parse-names":false,"suffix":""},{"dropping-particle":"","family":"Tonkic","given":"A","non-dropping-particle":"","parse-names":false,"suffix":""},{"dropping-particle":"","family":"Kokic","given":"N","non-dropping-particle":"","parse-names":false,"suffix":""},{"dropping-particle":"","family":"Turkovic","given":"B","non-dropping-particle":"","parse-names":false,"suffix":""},{"dropping-particle":"","family":"Mise","given":"S","non-dropping-particle":"","parse-names":false,"suffix":""},{"dropping-particle":"","family":"Anic","given":"T","non-dropping-particle":"","parse-names":false,"suffix":""}],"container-title":"Inflammopharmacology","id":"ITEM-9","issue":"5-6","issued":{"date-parts":[["2006","12"]]},"page":"214-21","title":"Stable gastric pentadecapeptide BPC 157 in trials for inflammatory bowel disease (PL-10, PLD-116, PL 14736, Pliva, Croatia). Full and distended stomach, and vascular response.","type":"article-journal","volume":"14"},"uris":["http://www.mendeley.com/documents/?uuid=42aef3b5-c994-4583-beee-f11cd4b7859a"]},{"id":"ITEM-10","itemData":{"DOI":"10.1016/0928-4257(93)90038-U","ISSN":"0928-4257","PMID":"8298609","abstract":"The possibility that the stomach, affected by general stress, might initiate a counter-response has not until recently been considered in theories of stress. We suggest that the stomach, as the most sensitive part of the gastrointestinal tract and the largest neuroendocrine organ in the body, is crucial for the initiation of a full stress response against all noxious stress pathology. The end result would be a strong protection of all organs invaded by 'stress'. Consistent with this assumption, this coping response is best explained in terms of 'organoprotection'. Endogenous organoprotectors (eg prostaglandins, somatostatin, dopamine) are proposed as mediators. Such an endogenous counteraction could even be afforded by their suitable application. A new gastric juice peptide, M(r) 40,000, named BPC, was recently isolated. Herein, a 15 amino acid fragment (BPC 157), thought to be essential for its activity, has been fully characterized and investigated. As has been demonstrated for many organoprotective agents using different models of various tissue lesions, despite the poorly understood final mechanism, practically all organ systems appear to benefit from BPC activity. These effects have been achieved in many species using very low dosages (mostly microgram and ng/kg range) after ip, ig, and intramucosal (local) application. The effect was apparent already after one application. Long lasting activity was also demonstrated. BPC was highly effective when applied simultaneously with noxious agents or in already pathological, as well as chronical, conditions. Therefore, it seems that BPC treatment does not share any of the so far known limitations for 'conventional organoprotectors'. No influence on different basal parameters and no toxicity were observed. These findings provide a breakthrough in stress theory. BPC, as a possible endogenous free radical scavenger and organoprotection mediator, could be a useful prototype of a new class of drugs, organoprotective agents.","author":[{"dropping-particle":"","family":"Sikirić","given":"P.","non-dropping-particle":"","parse-names":false,"suffix":""},{"dropping-particle":"","family":"Petek","given":"M.","non-dropping-particle":"","parse-names":false,"suffix":""},{"dropping-particle":"","family":"Rucman","given":"R","non-dropping-particle":"","parse-names":false,"suffix":""},{"dropping-particle":"","family":"Seiwerth","given":"S.","non-dropping-particle":"","parse-names":false,"suffix":""},{"dropping-particle":"","family":"Grabarević","given":"Z.","non-dropping-particle":"","parse-names":false,"suffix":""},{"dropping-particle":"","family":"Rotkvić","given":"I.","non-dropping-particle":"","parse-names":false,"suffix":""},{"dropping-particle":"","family":"Turković","given":"B.","non-dropping-particle":"","parse-names":false,"suffix":""},{"dropping-particle":"","family":"Jagić","given":"V.","non-dropping-particle":"","parse-names":false,"suffix":""},{"dropping-particle":"","family":"Mildner","given":"B.","non-dropping-particle":"","parse-names":false,"suffix":""},{"dropping-particle":"","family":"Duvnjak","given":"M.","non-dropping-particle":"","parse-names":false,"suffix":""}],"container-title":"Journal of physiology, Paris","id":"ITEM-10","issue":"5","issued":{"date-parts":[["1993"]]},"page":"313-27","title":"A new gastric juice peptide, BPC. An overview of the stomach-stress-organoprotection hypothesis and beneficial effects of BPC.","type":"article-journal","volume":"87"},"uris":["http://www.mendeley.com/documents/?uuid=f738bbb1-8d16-31eb-a5d7-6f273100aa96"]}],"mendeley":{"formattedCitation":"&lt;sup&gt;[10–19]&lt;/sup&gt;","plainTextFormattedCitation":"[10–19]","previouslyFormattedCitation":"&lt;sup&gt;[10–19]&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[10–19]</w:t>
      </w:r>
      <w:r w:rsidR="00A13458"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and it represents a prototype of a more effective class of cytoprotective agents with both prophylactic and therapeutic abilities</w:t>
      </w:r>
      <w:r w:rsidR="003E61D5"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{"citationItems":[{"id":"ITEM-1","itemData":{"DOI":"10.1016/0024-3205(94)00796-9","ISSN":"00243205","abstract":"The protection of stomach and duodenum in conjecture with anti-inflammatory effect was demonstrated for a novel 15 amino acid peptide, coded BPC 157, a fragment of the recently discovered gastric juice peptide BPC. BPC 157 (i.p./i.g.) was investigated in rats in comparison with several reference standards in three experimental ulcer models (48 h-restriant stress, subcutaneous cysteamine, intragastrical 96% ethanol ulcer tests) (pre-/co-/post-treatment). Only BPC 157 regimes were consistently effective in all of the tested models. On the other hand, bromocriptine, amantadine, famotidine, cimetidine and somatostatin were in effective (restraint stress). A dose-dependent protection (cysteamine) and/or partial positive effect (related to treatment conditions) (ethanol), was obtained with glucagon, NPY and secretin whereas CCK/26- 30/ was not effective. Based on Monastral blue studies BPC 157 beneficial effect appears to be related to a strong endothelial protection. © 1993.","author":[{"dropping-particle":"","family":"Sikiric","given":"P.","non-dropping-particle":"","parse-names":false,"suffix":""},{"dropping-particle":"","family":"Seiwerth","given":"S.","non-dropping-particle":"","parse-names":false,"suffix":""},{"dropping-particle":"","family":"Grabarevic","given":"Z.","non-dropping-particle":"","parse-names":false,"suffix":""},{"dropping-particle":"","family":"Petek","given":"M.","non-dropping-particle":"","parse-names":false,"suffix":""},{"dropping-particle":"","family":"Rucman","given":"R.","non-dropping-particle":"","parse-names":false,"suffix":""},{"dropping-particle":"","family":"Turkovic","given":"B.","non-dropping-particle":"","parse-names":false,"suffix":""},{"dropping-particle":"","family":"Rotkvic","given":"I.","non-dropping-particle":"","parse-names":false,"suffix":""},{"dropping-particle":"","family":"Jagic","given":"V.","non-dropping-particle":"","parse-names":false,"suffix":""},{"dropping-particle":"","family":"Duvnjak","given":"M.","non-dropping-particle":"","parse-names":false,"suffix":""},{"dropping-particle":"","family":"Mise","given":"S.","non-dropping-particle":"","parse-names":false,"suffix":""},{"dropping-particle":"","family":"Djacic","given":"S.","non-dropping-particle":"","parse-names":false,"suffix":""},{"dropping-particle":"","family":"Separovic","given":"J.","non-dropping-particle":"","parse-names":false,"suffix":""},{"dropping-particle":"","family":"Veljaca","given":"M.","non-dropping-particle":"","parse-names":false,"suffix":""},{"dropping-particle":"","family":"Sallmani","given":"A.","non-dropping-particle":"","parse-names":false,"suffix":""},{"dropping-particle":"","family":"Banic","given":"M.","non-dropping-particle":"","parse-names":false,"suffix":""},{"dropping-particle":"","family":"Brkic","given":"T.","non-dropping-particle":"","parse-names":false,"suffix":""}],"container-title":"Life Sciences","id":"ITEM-1","issue":"5","issued":{"date-parts":[["1994"]]},"title":"The beneficial effect of BPC 157, a 15 amino acid peptide BPC fragment, on gastric and duodenal lesions induced by restraint stress, cysteamine and 96% ethanol in rats. A comparative study with H&lt;inf&gt;2&lt;/inf&gt; receptor antagonists, dopamine promotors and gu","type":"article-journal","volume":"54"},"uris":["http://www.mendeley.com/documents/?uuid=72c1326c-4932-3348-bdfb-2924965ab9c5"]},{"id":"ITEM-2","itemData":{"ISSN":"1873-4286","PMID":"20166993","abstract":"The significance of cytoprotection and adaptive cytoprotection and the peptides importance remained to be not completely determined. BPC 157 is an anti-ulcer peptidergic agent, proven in clinical trials to be both safe in inflammatory bowel disease (PL-10, PLD-116, PL 14736) and wound healing, and stable in human gastric juice, with no toxicity being reported. It has a prominent effect on alcohol- lesions (i.e., induced acutely and chronically) and non-steroidal anti-inflammatory drugs-lesions (while interestingly BPC 157 may both prevent and reverse adjuvant arthritis). To review the importance of BPC 157, this review focused on Robert's cytoprotection concept described in rat stomach, reviewing our evidence that may resolve whether the cytoprotection and adaptive cytoprotection is an uniform phenomenon or not; whether the phenomenon or phenomena are endogenous or not, depending on nature of the irritants (mild or strong); whether this may contribute to stomach mucosa defense either when threaten by various ulcerogens or afforded by various antiulcer agents; whether these phenomena are uniform in whole gastrointestinal tract or not; whether they are interrelated or not. Finally, the importance of the cytoprotection phenomena and cytoprotection activity for skin wound healing, and wound healing in general was challenged. Thereby, this review focused on BPC 157 role in cytoprotection and adaptative cytoprotection suggesting that it may be the essential endogenous mediator able to mediate both cytoprotective and adaptive cytoprotective response in stomach and the whole gastrointestinal tract with significant importance in wound healing as well.","author":[{"dropping-particle":"","family":"Sikiric","given":"Predrag","non-dropping-particle":"","parse-names":false,"suffix":""},{"dropping-particle":"","family":"Seiwerth","given":"Sven","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container-title":"Current pharmaceutical design","id":"ITEM-2","issue":"10","issued":{"date-parts":[["2010"]]},"page":"1224-34","title":"Revised Robert's cytoprotection and adaptive cytoprotection and stable gastric pentadecapeptide BPC 157. Possible significance and implications for novel mediator.","type":"article-journal","volume":"16"},"uris":["http://www.mendeley.com/documents/?uuid=6164415b-2518-453f-82c4-4562e66e7572"]}],"mendeley":{"formattedCitation":"&lt;sup&gt;[5,17]&lt;/sup&gt;","plainTextFormattedCitation":"[5,17]","previouslyFormattedCitation":"&lt;sup&gt;[5,17]&lt;/sup&gt;"},"properties":{"noteIndex":0},"schema":"https://github.com/citation-style-language/schema/raw/master/csl-citation.json"}</w:instrText>
      </w:r>
      <w:r w:rsidR="003E61D5"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[5,17]</w:t>
      </w:r>
      <w:r w:rsidR="003E61D5"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(unlike standard cytoprotective agents that exhibit only prophylactic effectiveness (shared limitation of activity)</w:t>
      </w:r>
      <w:r w:rsidR="00111B7C" w:rsidRPr="00E47A42">
        <w:rPr>
          <w:rFonts w:ascii="Book Antiqua" w:hAnsi="Book Antiqua" w:cs="Times New Roman"/>
          <w:sz w:val="24"/>
          <w:szCs w:val="24"/>
          <w:lang w:val="en-US"/>
        </w:rPr>
        <w:t>)</w:t>
      </w:r>
      <w:r w:rsidR="003A6A7D"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{"citationItems":[{"id":"ITEM-1","itemData":{"ISSN":"0016-5085","PMID":"38173","author":[{"dropping-particle":"","family":"Robert","given":"A","non-dropping-particle":"","parse-names":false,"suffix":""}],"container-title":"Gastroenterology","id":"ITEM-1","issue":"4 Pt 1","issued":{"date-parts":[["1979","10"]]},"page":"761-7","title":"Cytoprotection by prostaglandins.","type":"article-journal","volume":"77"},"uris":["http://www.mendeley.com/documents/?uuid=49342c62-22fb-4e9e-8e1d-0c66f6f8fd98"]},{"id":"ITEM-2","itemData":{"DOI":"10.1016/0024-3205(94)00796-9","ISSN":"00243205","abstract":"The protection of stomach and duodenum in conjecture with anti-inflammatory effect was demonstrated for a novel 15 amino acid peptide, coded BPC 157, a fragment of the recently discovered gastric juice peptide BPC. BPC 157 (i.p./i.g.) was investigated in rats in comparison with several reference standards in three experimental ulcer models (48 h-restriant stress, subcutaneous cysteamine, intragastrical 96% ethanol ulcer tests) (pre-/co-/post-treatment). Only BPC 157 regimes were consistently effective in all of the tested models. On the other hand, bromocriptine, amantadine, famotidine, cimetidine and somatostatin were in effective (restraint stress). A dose-dependent protection (cysteamine) and/or partial positive effect (related to treatment conditions) (ethanol), was obtained with glucagon, NPY and secretin whereas CCK/26- 30/ was not effective. Based on Monastral blue studies BPC 157 beneficial effect appears to be related to a strong endothelial protection. © 1993.","author":[{"dropping-particle":"","family":"Sikiric","given":"P.","non-dropping-particle":"","parse-names":false,"suffix":""},{"dropping-particle":"","family":"Seiwerth","given":"S.","non-dropping-particle":"","parse-names":false,"suffix":""},{"dropping-particle":"","family":"Grabarevic","given":"Z.","non-dropping-particle":"","parse-names":false,"suffix":""},{"dropping-particle":"","family":"Petek","given":"M.","non-dropping-particle":"","parse-names":false,"suffix":""},{"dropping-particle":"","family":"Rucman","given":"R.","non-dropping-particle":"","parse-names":false,"suffix":""},{"dropping-particle":"","family":"Turkovic","given":"B.","non-dropping-particle":"","parse-names":false,"suffix":""},{"dropping-particle":"","family":"Rotkvic","given":"I.","non-dropping-particle":"","parse-names":false,"suffix":""},{"dropping-particle":"","family":"Jagic","given":"V.","non-dropping-particle":"","parse-names":false,"suffix":""},{"dropping-particle":"","family":"Duvnjak","given":"M.","non-dropping-particle":"","parse-names":false,"suffix":""},{"dropping-particle":"","family":"Mise","given":"S.","non-dropping-particle":"","parse-names":false,"suffix":""},{"dropping-particle":"","family":"Djacic","given":"S.","non-dropping-particle":"","parse-names":false,"suffix":""},{"dropping-particle":"","family":"Separovic","given":"J.","non-dropping-particle":"","parse-names":false,"suffix":""},{"dropping-particle":"","family":"Veljaca","given":"M.","non-dropping-particle":"","parse-names":false,"suffix":""},{"dropping-particle":"","family":"Sallmani","given":"A.","non-dropping-particle":"","parse-names":false,"suffix":""},{"dropping-particle":"","family":"Banic","given":"M.","non-dropping-particle":"","parse-names":false,"suffix":""},{"dropping-particle":"","family":"Brkic","given":"T.","non-dropping-particle":"","parse-names":false,"suffix":""}],"container-title":"Life Sciences","id":"ITEM-2","issue":"5","issued":{"date-parts":[["1994"]]},"title":"The beneficial effect of BPC 157, a 15 amino acid peptide BPC fragment, on gastric and duodenal lesions induced by restraint stress, cysteamine and 96% ethanol in rats. A comparative study with H&lt;inf&gt;2&lt;/inf&gt; receptor antagonists, dopamine promotors and gu","type":"article-journal","volume":"54"},"uris":["http://www.mendeley.com/documents/?uuid=72c1326c-4932-3348-bdfb-2924965ab9c5"]},{"id":"ITEM-3","itemData":{"DOI":"10.1007/978-1-4684-5697-4","ISBN":"978-1-4684-5699-8","author":[{"dropping-particle":"","family":"Szabo","given":"Sandor","non-dropping-particle":"","parse-names":false,"suffix":""}],"container-title":"Gastric cytoprotection. A clinician's guide","edition":"1. st","editor":[{"dropping-particle":"","family":"Hollander","given":"Daniel","non-dropping-particle":"","parse-names":false,"suffix":""},{"dropping-particle":"","family":"Tarnawski","given":"Andrzej S.","non-dropping-particle":"","parse-names":false,"suffix":""}],"id":"ITEM-3","issued":{"date-parts":[["1989"]]},"number-of-pages":"49-90","publisher":"Springer US","publisher-place":"Boston, MA","title":"Gastric Cytoprotection","type":"book"},"uris":["http://www.mendeley.com/documents/?uuid=b6143da9-cfd4-4cc4-9ba5-11dff6b9ff7e"]},{"id":"ITEM-4","itemData":{"ISSN":"0016-5085","PMID":"3871087","abstract":"The hypothesis that vascular injury contributes to the development of hemorrhagic erosions after intragastric administration of ethanol has been examined in the rat using vascular tracers. Extravasation of intravenously injected Evans blue into the gastric wall and into gastric contents was used as an indicator of vascular permeability. India ink and monastral blue, which label damaged blood vessels, were used to demonstrate vascular injury morphologically. Intragastric instillation of 75% and 100% ethanol induced increased vascular permeability within 1-3 min and resulted in monastral blue labeling of vessels in 13% and 17%, respectively, of the glandular mucosa within 1 min. After 1 h of 100% ethanol exposure, the areal density of monastral blue-stained blood vessels did not increase compared with that seen at 1 min, but the areal density of grossly visible hemorrhagic lesions increased strikingly and approximated that of vessel staining. The hemorrhagic erosions consistently occurred in regions of glandular mucosa where vessels were stained with monastral blue. Pretreatment with prostaglandin F2 beta or cysteamine reduced ethanol-induced Evans blue extravasation and monastral blue staining of mucosal blood vessels but did not reduce histologic evidence of gastric surface cell damage in the glandular mucosa. As increased vascular permeability and morphologically detectable vascular lesions consistently preceded the development of grossly visible hemorrhagic erosions in the glandular mucosa, we suggest that vascular injury is an early pathogenetic factor in the development of ethanol-induced gastric hemorrhagic erosions. The data also indicate that the degree of vascular damage, unlike the injury to surface epithelial cells, is reduced by pretreatment with prostaglandin F2 beta or the sulfhydryl cysteamine.","author":[{"dropping-particle":"","family":"Szabo","given":"S","non-dropping-particle":"","parse-names":false,"suffix":""},{"dropping-particle":"","family":"Trier","given":"J S","non-dropping-particle":"","parse-names":false,"suffix":""},{"dropping-particle":"","family":"Brown","given":"A","non-dropping-particle":"","parse-names":false,"suffix":""},{"dropping-particle":"","family":"Schnoor","given":"J","non-dropping-particle":"","parse-names":false,"suffix":""}],"container-title":"Gastroenterology","id":"ITEM-4","issue":"1 Pt 2","issued":{"date-parts":[["1985","1"]]},"page":"228-36","title":"Early vascular injury and increased vascular permeability in gastric mucosal injury caused by ethanol in the rat.","type":"article-journal","volume":"88"},"uris":["http://www.mendeley.com/documents/?uuid=a3272911-ef25-495c-85d1-1b71d1d7f12e"]},{"id":"ITEM-5","itemData":{"author":[{"dropping-particle":"","family":"Szabo","given":"Sandor","non-dropping-particle":"","parse-names":false,"suffix":""},{"dropping-particle":"","family":"Trier","given":"JS","non-dropping-particle":"","parse-names":false,"suffix":""}],"container-title":"Mechanism of mucosal protection in the upper gastrointestinal tract","editor":[{"dropping-particle":"","family":"Allen","given":"A","non-dropping-particle":"","parse-names":false,"suffix":""},{"dropping-particle":"","family":"Flemstrom","given":"G","non-dropping-particle":"","parse-names":false,"suffix":""},{"dropping-particle":"","family":"Garner","given":"A","non-dropping-particle":"","parse-names":false,"suffix":""},{"dropping-particle":"","family":"Silen","given":"W","non-dropping-particle":"","parse-names":false,"suffix":""},{"dropping-particle":"","family":"Turnberg","given":"LA","non-dropping-particle":"","parse-names":false,"suffix":""}],"id":"ITEM-5","issued":{"date-parts":[["1984"]]},"page":"387-393","publisher":"Raven","publisher-place":"New York","title":"Pathogenesis of acute gastric mucosal injury: Sulfhydrils as a protector, adrenal cortex as a modulator, and vascular endothelium as a target","type":"chapter"},"uris":["http://www.mendeley.com/documents/?uuid=21df94ec-a5e2-4420-85db-5334a540ef21"]},{"id":"ITEM-6","itemData":{"ISSN":"0016-5085","PMID":"3781180","abstract":"Impairment of the mucosal microcirculation may contribute to ethanol-induced gastric mucosal damage. In this report, we describe diffuse and severe ultrastructural damage to the capillaries of the gastric glandular mucosa of the rat that occurred within 1 min after intragastric instillation of 100% ethanol. There was a gradient of damage in that endothelial cell structure was most severely disrupted in profiles of capillaries located close to the luminal surface but some morphologic evidence of damage was evident in the wall of capillary profiles to a mean depth of 256 micron. Capillary structure was generally normal in the deeper regions of the mucosa. Pretreatment with intragastric cysteamine, 30 mg/100 g, or intragastric prostaglandin F2 beta, 0.5 mg/100 g, significantly reduced the depth in the mucosa to which damage to capillaries extended. Pretreatment with intragastric prostaglandin F2 beta, 0.2 mg/100 g, afforded no significant protection. We conclude that a 1-min exposure to 100% ethanol induces striking damage to the microcirculation of glandular mucosa of the rat stomach with severe damage to capillary profiles near the lumen and sparing of capillary profiles near the muscularis mucosa, and pretreatment with the sulfhydryl agent, cysteamine, or with a large dose of prostaglandin F2 beta reduces the extent of but does not abolish ethanol-induced damage to gastric mucosal capillaries.","author":[{"dropping-particle":"","family":"Trier","given":"JS","non-dropping-particle":"","parse-names":false,"suffix":""},{"dropping-particle":"","family":"Szabo","given":"S","non-dropping-particle":"","parse-names":false,"suffix":""},{"dropping-particle":"","family":"Allan","given":"CH","non-dropping-particle":"","parse-names":false,"suffix":""}],"container-title":"Gastroenterology","id":"ITEM-6","issue":"1","issued":{"date-parts":[["1987","1"]]},"page":"13-22","title":"Ethanol-induced damage to mucosal capillaries of rat stomach. Ultrastructural features and effects of prostaglandin F2 beta and cysteamine.","type":"article-journal","volume":"92"},"uris":["http://www.mendeley.com/documents/?uuid=c3f098f1-f060-4c67-9911-5ab2b4c90217"]}],"mendeley":{"formattedCitation":"&lt;sup&gt;[4–9]&lt;/sup&gt;","plainTextFormattedCitation":"[4–9]","previouslyFormattedCitation":"&lt;sup&gt;[4–9]&lt;/sup&gt;"},"properties":{"noteIndex":0},"schema":"https://github.com/citation-style-language/schema/raw/master/csl-citation.json"}</w:instrText>
      </w:r>
      <w:r w:rsidR="003A6A7D"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[4–9]</w:t>
      </w:r>
      <w:r w:rsidR="003A6A7D" w:rsidRPr="00E47A42">
        <w:rPr>
          <w:rFonts w:ascii="Book Antiqua" w:hAnsi="Book Antiqua" w:cs="Times New Roman"/>
          <w:sz w:val="24"/>
          <w:szCs w:val="24"/>
          <w:lang w:val="en-US"/>
        </w:rPr>
        <w:fldChar w:fldCharType="end"/>
      </w:r>
      <w:r w:rsidR="009346E7" w:rsidRPr="00E47A42">
        <w:rPr>
          <w:rFonts w:ascii="Book Antiqua" w:hAnsi="Book Antiqua" w:cs="Times New Roman"/>
          <w:sz w:val="24"/>
          <w:szCs w:val="24"/>
          <w:lang w:val="en-US"/>
        </w:rPr>
        <w:t>.</w:t>
      </w:r>
      <w:r w:rsidR="00906ED2"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BPC 157 (used in </w:t>
      </w:r>
      <w:r w:rsidRPr="00E47A42">
        <w:rPr>
          <w:rFonts w:ascii="Book Antiqua" w:hAnsi="Book Antiqua" w:cs="Times New Roman"/>
          <w:sz w:val="24"/>
          <w:szCs w:val="24"/>
          <w:lang w:val="en-US"/>
        </w:rPr>
        <w:lastRenderedPageBreak/>
        <w:t>ulcerative colitis and now in multiple sclerosis trials) also counteracts colitis (in various models of colitis</w:t>
      </w:r>
      <w:r w:rsidR="00111B7C" w:rsidRPr="00E47A42">
        <w:rPr>
          <w:rFonts w:ascii="Book Antiqua" w:hAnsi="Book Antiqua" w:cs="Times New Roman"/>
          <w:sz w:val="24"/>
          <w:szCs w:val="24"/>
          <w:lang w:val="en-US"/>
        </w:rPr>
        <w:t>)</w:t>
      </w:r>
      <w:r w:rsidR="003E61D5"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insights.","type":"article-journal","volume":"23"},"uris":["http://www.mendeley.com/documents/?uuid=2c34d292-0140-3a84-912b-63eda51db635"]},{"id":"ITEM-2","itemData":{"ISSN":"1899-1505","PMID":"24304574","abstract":"Stable gastric pentadecapeptide BPC 157 was suggested to link inflammatory bowel disease and multiple sclerosis, and thereby, shown to equally counteract the models of both of those diseases. For colitis, cysteamine (400 mg/kg intrarectally (1 ml/rat)) and colon-colon anastomosis (sacrifice at day 3, 5, 7, and 14) were used. BPC 157 (10 μg/kg, 10 ng/kg) was applied either intraperitoneally once time daily (first application immediately after surgery, last at 24 hours before sacrifice) or per-orally in drinking water (0.16 μg/ml/12 ml/day till the sacrifice) while controls simultaneously received an equivolume of saline (5 ml/kg) intraperitoneally or drinking water only (12 ml/day). A multiple sclerosis suited toxic rat model, cuprizone (compared with standard, a several times higher regimen, 2.5% of diet regimen + 1 g/kg intragastrically/day) was combined with BPC 157 (in drinking water 0.16 μg or 0.16 ng/ml/12 ml/day/rat + 10 μg or 10 ng/kg intragastrically/day) till the sacrifice at day 4. In general, the controls could not heal cysteamine colitis and colon-colon anastomosis. BPC 157 induced an efficient healing of both at the same time. Likewise, cuprizone-controls clearly exhibited an exaggerated and accelerated damaging process; nerve damage appeared in various brain areas, with most prominent damage in corpus callosum, laterodorsal thalamus, nucleus reunions, anterior horn motor neurons. BPC 157-cuprizone rats had consistently less nerve damage in all damaged areas, especially in those areas that otherwise were most affected. Consistently, BPC 157 counteracted cerebellar ataxia and impaired forelimb function. Thereby, this experimental evidence advocates BPC 157 in both inflammatory bowel disease and multiple sclerosis therapy.","author":[{"dropping-particle":"","family":"Klicek","given":"R","non-dropping-particle":"","parse-names":false,"suffix":""},{"dropping-particle":"","family":"Kolenc","given":"D","non-dropping-particle":"","parse-names":false,"suffix":""},{"dropping-particle":"","family":"Suran","given":"J","non-dropping-particle":"","parse-names":false,"suffix":""},{"dropping-particle":"","family":"Drmic","given":"D","non-dropping-particle":"","parse-names":false,"suffix":""},{"dropping-particle":"","family":"Brcic","given":"L","non-dropping-particle":"","parse-names":false,"suffix":""},{"dropping-particle":"","family":"Aralica","given":"G","non-dropping-particle":"","parse-names":false,"suffix":""},{"dropping-particle":"","family":"Sever","given":"M","non-dropping-particle":"","parse-names":false,"suffix":""},{"dropping-particle":"","family":"Holjevac","given":"J","non-dropping-particle":"","parse-names":false,"suffix":""},{"dropping-particle":"","family":"Radic","given":"B","non-dropping-particle":"","parse-names":false,"suffix":""},{"dropping-particle":"","family":"Turudic","given":"T","non-dropping-particle":"","parse-names":false,"suffix":""},{"dropping-particle":"","family":"Kokot","given":"A","non-dropping-particle":"","parse-names":false,"suffix":""},{"dropping-particle":"","family":"Patrlj","given":"L","non-dropping-particle":"","parse-names":false,"suffix":""},{"dropping-particle":"","family":"Rucman","given":"R","non-dropping-particle":"","parse-names":false,"suffix":""},{"dropping-particle":"","family":"Seiwerth","given":"S","non-dropping-particle":"","parse-names":false,"suffix":""},{"dropping-particle":"","family":"Sikiric","given":"P","non-dropping-particle":"","parse-names":false,"suffix":""}],"container-title":"Journal of physiology and pharmacology : an official journal of the Polish Physiological Society","id":"ITEM-2","issue":"5","issued":{"date-parts":[["2013","10"]]},"page":"597-612","title":"Stable gastric pentadecapeptide BPC 157 heals cysteamine-colitis and colon-colon-anastomosis and counteracts cuprizone brain injuries and motor disability.","type":"article-journal","volume":"64"},"uris":["http://www.mendeley.com/documents/?uuid=c8654aa2-4d8b-437f-aed4-dd14ff95a775"]},{"id":"ITEM-3","itemData":{"DOI":"10.1371/journal.pone.0162590","ISSN":"1932-6203","author":[{"dropping-particle":"","family":"Lojo","given":"Nermin","non-dropping-particle":"","parse-names":false,"suffix":""},{"dropping-particle":"","family":"Rasic","given":"Zarko","non-dropping-particle":"","parse-names":false,"suffix":""},{"dropping-particle":"","family":"Zenko Sever","given":"Anita","non-dropping-particle":"","parse-names":false,"suffix":""},{"dropping-particle":"","family":"Kolenc","given":"Danijela","non-dropping-particle":"","parse-names":false,"suffix":""},{"dropping-particle":"","family":"Vukusic","given":"Darko","non-dropping-particle":"","parse-names":false,"suffix":""},{"dropping-particle":"","family":"Drmic","given":"Domagoj","non-dropping-particle":"","parse-names":false,"suffix":""},{"dropping-particle":"","family":"Zoricic","given":"Ivan","non-dropping-particle":"","parse-names":false,"suffix":""},{"dropping-particle":"","family":"Sever","given":"Marko","non-dropping-particle":"","parse-names":false,"suffix":""},{"dropping-particle":"","family":"Seiwerth","given":"Sven","non-dropping-particle":"","parse-names":false,"suffix":""},{"dropping-particle":"","family":"Sikiric","given":"Predrag","non-dropping-particle":"","parse-names":false,"suffix":""}],"container-title":"PLOS ONE","editor":[{"dropping-particle":"","family":"Singh","given":"Shree Ram","non-dropping-particle":"","parse-names":false,"suffix":""}],"id":"ITEM-3","issue":"9","issued":{"date-parts":[["2016","9","14"]]},"page":"e0162590","title":"Effects of Diclofenac, L-NAME, L-Arginine, and Pentadecapeptide BPC 157 on Gastrointestinal, Liver, and Brain Lesions, Failed Anastomosis, and Intestinal Adaptation Deterioration in 24 Hour-Short-Bowel Rats","type":"article-journal","volume":"11"},"uris":["http://www.mendeley.com/documents/?uuid=f765251b-42c4-4691-a197-e5408869fd60"]},{"id":"ITEM-4","itemData":{"author":[{"dropping-particle":"","family":"Sandor","given":"Zs","non-dropping-particle":"","parse-names":false,"suffix":""},{"dropping-particle":"","family":"Vincze","given":"A","non-dropping-particle":"","parse-names":false,"suffix":""},{"dropping-particle":"","family":"Jadus","given":"MR","non-dropping-particle":"","parse-names":false,"suffix":""},{"dropping-particle":"","family":"Dohoczky","given":"Cs","non-dropping-particle":"","parse-names":false,"suffix":""},{"dropping-particle":"","family":"Erceg","given":"D","non-dropping-particle":"","parse-names":false,"suffix":""},{"dropping-particle":"","family":"Brajsa","given":"K","non-dropping-particle":"","parse-names":false,"suffix":""},{"dropping-particle":"","family":"Kolega","given":"M","non-dropping-particle":"","parse-names":false,"suffix":""},{"dropping-particle":"","family":"Szabo","given":"S","non-dropping-particle":"","parse-names":false,"suffix":""}],"container-title":"Gastroenterology","id":"ITEM-4","issued":{"date-parts":[["1997"]]},"page":"112:A400","title":"The protective effect of newly isolated peptide PL-10 in the iodoacetamide colitis model in rats","type":"paper-conference"},"uris":["http://www.mendeley.com/documents/?uuid=800dc779-67ec-4c8a-b7ea-c0d7eb943039"]},{"id":"ITEM-5","itemData":{"DOI":"10.1016/S0928-4257(01)00036-5","ISSN":"09284257","abstract":"Recently, we showed cysteamine-duodenal lesions without gastric acid, since they were induced also in gastrectomized rats, as in naive rats, and they were inhibited by the novel stomach pentadecapeptide BPC 157 as well as standard antiulcer drugs (i.e. cimetidine, ranitidine, omeprazole, bromocriptine, atropine). Therefore, as an advantage of considering cysteamine as a directly acting cytotoxic agent and mentioned agents as direct cytoprotective agents, the present focus was on the ulcerogenic effect of cysteamine and protective effect of gastroduodenal antiulcer agents outside upper gastrointestinal tract (i.e. in colon). Intrarectal administration of the cysteamine (200 or 400 mg/kg b.w) produced severe colon lesions (i.e. transmural inflammation with serosal involvement) in rats (30 min-72h-experimental period), apparently distinctive from smaller lesions after non-specific irritant enema [diluted HCl solution, pH 3.8 (adjusted to pH of cysteamine solution (pH 3.8)]. All of the tested antiulcer agents were applied simultaneously with cysteamine enema (8 cm from the anus, in a volume of the 1.0 ml/rat) intraperitoneally (i.p.), intragastrically (i.g.) or intrarectally (i.r.). Pentadecapeptide BPC 157 (10 μg or 10 ng/kg b.w.), given in either regimen, previously shown to have, besides others, a particular beneficial activity just in the intestinal mucosa, inhibited these cysteamine colon lesions (assessed after 30 min, 60 min, 180 min, 24 h, 48 h, 72 h following cysteamine in a dose of either 200 or 400 mg/kg i.r.). Cysteamine-colon lesions were also attenuated by standard antiulcer agents (mg/kg b.w.), given i.p., i.g., or i.r., such as ranitidine (10), cimetidine (50), omeprazole (10), atropine (10), together with methylprednisolone (1), and sulphasalazine (50, i.r.), assessed 30 min following application of 200 mg of cysteamine. Finally, standard cysteamine duodenal lesions (assessed 24 h after a subcutaneous application of 400 mg/kg of cysteamine) were also attenuated by these agents application (given in the same doses, i.p., 1 h before cysteamine), with only exception to sulphasalazine. Thus, the extended cysteamine specific ulcerogenic effect, cysteamine colon/duodenum lesion-link and an extenuation of agents protection from upper to lower part of gastrointestinal tract (i.e. stomach pentadecapeptide BPC 157, standard antiulcer agents, cimetidine, ranitidine, atropine, omeprazole) and vice versa (remedies for inflammatory bowel disease) evidenc…","author":[{"dropping-particle":"","family":"Sikiric","given":"P.","non-dropping-particle":"","parse-names":false,"suffix":""},{"dropping-particle":"","family":"Seiwerth","given":"S.","non-dropping-particle":"","parse-names":false,"suffix":""},{"dropping-particle":"","family":"Grabarevic","given":"Z.","non-dropping-particle":"","parse-names":false,"suffix":""},{"dropping-particle":"","family":"Balen","given":"I.","non-dropping-particle":"","parse-names":false,"suffix":""},{"dropping-particle":"","family":"Aralica","given":"G.","non-dropping-particle":"","parse-names":false,"suffix":""},{"dropping-particle":"","family":"Gjurasin","given":"M.","non-dropping-particle":"","parse-names":false,"suffix":""},{"dropping-particle":"","family":"Komericki","given":"L.","non-dropping-particle":"","parse-names":false,"suffix":""},{"dropping-particle":"","family":"Perovic","given":"D.","non-dropping-particle":"","parse-names":false,"suffix":""},{"dropping-particle":"","family":"Ziger","given":"T.","non-dropping-particle":"","parse-names":false,"suffix":""},{"dropping-particle":"","family":"Anic","given":"T.","non-dropping-particle":"","parse-names":false,"suffix":""},{"dropping-particle":"","family":"Prkacin","given":"I.","non-dropping-particle":"","parse-names":false,"suffix":""},{"dropping-particle":"","family":"Separovic","given":"J.","non-dropping-particle":"","parse-names":false,"suffix":""},{"dropping-particle":"","family":"Stancic-Rokotov","given":"D.","non-dropping-particle":"","parse-names":false,"suffix":""},{"dropping-particle":"","family":"Lovric-Bencic","given":"M.","non-dropping-particle":"","parse-names":false,"suffix":""},{"dropping-particle":"","family":"Mikus","given":"D.","non-dropping-particle":"","parse-names":false,"suffix":""},{"dropping-particle":"","family":"Staresinic","given":"M.","non-dropping-particle":"","parse-names":false,"suffix":""},{"dropping-particle":"","family":"Aralica","given":"J.","non-dropping-particle":"","parse-names":false,"suffix":""},{"dropping-particle":"","family":"DiBiaggio","given":"N.","non-dropping-particle":"","parse-names":false,"suffix":""},{"dropping-particle":"","family":"Simec","given":"Z.","non-dropping-particle":"","parse-names":false,"suffix":""},{"dropping-particle":"","family":"Turkovic","given":"B.","non-dropping-particle":"","parse-names":false,"suffix":""},{"dropping-particle":"","family":"Rotkvic","given":"I.","non-dropping-particle":"","parse-names":false,"suffix":""},{"dropping-particle":"","family":"Mise","given":"S.","non-dropping-particle":"","parse-names":false,"suffix":""},{"dropping-particle":"","family":"Rucman","given":"R.","non-dropping-particle":"","parse-names":false,"suffix":""},{"dropping-particle":"","family":"Petek","given":"M.","non-dropping-particle":"","parse-names":false,"suffix":""},{"dropping-particle":"","family":"Sebecic","given":"B.","non-dropping-particle":"","parse-names":false,"suffix":""},{"dropping-particle":"","family":"Ivasovic","given":"Z.","non-dropping-particle":"","parse-names":false,"suffix":""},{"dropping-particle":"","family":"Boban-Blagaic","given":"A.","non-dropping-particle":"","parse-names":false,"suffix":""},{"dropping-particle":"","family":"Sjekavica","given":"I.","non-dropping-particle":"","parse-names":false,"suffix":""}],"container-title":"Journal of Physiology Paris","id":"ITEM-5","issue":"1-6","issued":{"date-parts":[["2001"]]},"title":"Cysteamine-colon and cysteamine-duodenum lesions in rats. Attenuation by gastric pentadecapeptide BPC 157, cimetidine, ranitidine, atropine, omeprazole, sulphasalazine and methylprednisolone","type":"article-journal","volume":"95"},"uris":["http://www.mendeley.com/documents/?uuid=25af3440-bead-3fe1-8c62-b126545badb0"]},{"id":"ITEM-6","itemData":{"DOI":"10.1016/S0928-4257(01)00039-0","ISSN":"09284257","abstract":"After demonstration that cysteamine induced duodenal lesions in gastrectomized rats, while a number of antiulcer drugs mitigated these lesions, it was shown that one single intrarectal (i.r.) cysteamine application produced severe colon lesions in acute studies in rats. Thus, the further focus was on the protracted effect of cysteamine challenge (400 mg/kg b.w. i.r.) and therapy influence in chronic experiments in female rats. Regularly, cysteamine colon lesions were markedly mitigated by ranitidine (10), omeprazole (10), atropine (10), methylprednisolone (1), sulphasalazine (50; mg/kg), pentadecapeptide BPC 157 (PL-10, PLD-116; 10 μg or 10 ng/kg). Specifically, after 1 or 3 months following initial challenge (cysteamine 400 mg/kg i.r.) in female rat, the therapy [BPC 157 (PL-10, PLD-116 (10.0 μg or 10.0 ng/kg; i.g., i.p., i.r.), ranitidine, omeprazole, atropine, methylprednisolone, sulphasalazine (i.p.)] reversed the protracted cysteamine colon injury: the 1 week-regimen (once daily application) started after 1 month post-cysteamine, as well as the 2 weeks-regimen (once daily application), which started after 3 months. The effect on recidive lesion was also tested. These cysteamine lesions may reappear after stopping therapy (after stopping therapy for 3 weeks at the end of 2-weeks regimen started in 3 months-cysteamine female rats) in sulphasalazine group, while this reappearance is markedly antagonized in pentadecapeptide BPC 157 (PL-10, PLD-116)-rats (cysteamine-colon lesion still substantially low). © 2001 Elsevier Science Ltd. All rights reserved.","author":[{"dropping-particle":"","family":"Sikiric","given":"P.","non-dropping-particle":"","parse-names":false,"suffix":""},{"dropping-particle":"","family":"Seiwerth","given":"S.","non-dropping-particle":"","parse-names":false,"suffix":""},{"dropping-particle":"","family":"Aralica","given":"G.","non-dropping-particle":"","parse-names":false,"suffix":""},{"dropping-particle":"","family":"Perovic","given":"D.","non-dropping-particle":"","parse-names":false,"suffix":""},{"dropping-particle":"","family":"Staresinic","given":"M.","non-dropping-particle":"","parse-names":false,"suffix":""},{"dropping-particle":"","family":"Anic","given":"T.","non-dropping-particle":"","parse-names":false,"suffix":""},{"dropping-particle":"","family":"Gjurasin","given":"M.","non-dropping-particle":"","parse-names":false,"suffix":""},{"dropping-particle":"","family":"Prkacin","given":"I.","non-dropping-particle":"","parse-names":false,"suffix":""},{"dropping-particle":"","family":"Separovic","given":"J.","non-dropping-particle":"","parse-names":false,"suffix":""},{"dropping-particle":"","family":"Stancic-Rokotov","given":"D.","non-dropping-particle":"","parse-names":false,"suffix":""},{"dropping-particle":"","family":"Lovric-Bencic","given":"M.","non-dropping-particle":"","parse-names":false,"suffix":""},{"dropping-particle":"","family":"Mikus","given":"D.","non-dropping-particle":"","parse-names":false,"suffix":""},{"dropping-particle":"","family":"Turkovic","given":"B.","non-dropping-particle":"","parse-names":false,"suffix":""},{"dropping-particle":"","family":"Rotkvic","given":"I.","non-dropping-particle":"","parse-names":false,"suffix":""},{"dropping-particle":"","family":"Mise","given":"S.","non-dropping-particle":"","parse-names":false,"suffix":""},{"dropping-particle":"","family":"Rucman","given":"R.","non-dropping-particle":"","parse-names":false,"suffix":""},{"dropping-particle":"","family":"Petek","given":"M.","non-dropping-particle":"","parse-names":false,"suffix":""},{"dropping-particle":"","family":"Ziger","given":"T.","non-dropping-particle":"","parse-names":false,"suffix":""},{"dropping-particle":"","family":"Sebecic","given":"B.","non-dropping-particle":"","parse-names":false,"suffix":""},{"dropping-particle":"","family":"Ivasovic","given":"Z.","non-dropping-particle":"","parse-names":false,"suffix":""},{"dropping-particle":"","family":"Jagic","given":"V.","non-dropping-particle":"","parse-names":false,"suffix":""},{"dropping-particle":"","family":"Komericki","given":"L.","non-dropping-particle":"","parse-names":false,"suffix":""},{"dropping-particle":"","family":"Balen","given":"I.","non-dropping-particle":"","parse-names":false,"suffix":""},{"dropping-particle":"","family":"Boban-Blagaic","given":"A.","non-dropping-particle":"","parse-names":false,"suffix":""},{"dropping-particle":"","family":"Sjekavica","given":"I.","non-dropping-particle":"","parse-names":false,"suffix":""}],"container-title":"Journal of Physiology Paris","id":"ITEM-6","issue":"1-6","issued":{"date-parts":[["2001"]]},"title":"Therapy effect of antiulcer agents on new chronic cysteamine colon lesion in rat","type":"article-journal","volume":"95"},"uris":["http://www.mendeley.com/documents/?uuid=fbc64445-8d60-32a8-8bf5-771339805bf2"]},{"id":"ITEM-7","itemData":{"author":[{"dropping-particle":"","family":"Veljaca","given":"M","non-dropping-particle":"","parse-names":false,"suffix":""},{"dropping-particle":"","family":"Lesch","given":"CA","non-dropping-particle":"","parse-names":false,"suffix":""},{"dropping-particle":"","family":"Sanchez","given":"B","non-dropping-particle":"","parse-names":false,"suffix":""},{"dropping-particle":"","family":"Low","given":"J","non-dropping-particle":"","parse-names":false,"suffix":""},{"dropping-particle":"","family":"Guglietta","given":"A.","non-dropping-particle":"","parse-names":false,"suffix":""}],"container-title":"Gastroenterology","id":"ITEM-7","issue":"Supplemet 2","issued":{"date-parts":[["1995"]]},"page":"936","title":"Protection of BPC-15 on TNBS-induced colitis in rats: possible mechanisms of action.","type":"article-journal","volume":"108"},"uris":["http://www.mendeley.com/documents/?uuid=411d8e78-7599-40f8-a1ac-b80cfb2babe1"]}],"mendeley":{"formattedCitation":"&lt;sup&gt;[20,28–33]&lt;/sup&gt;","plainTextFormattedCitation":"[20,28–33]","previouslyFormattedCitation":"&lt;sup&gt;[20,28–33]&lt;/sup&gt;"},"properties":{"noteIndex":0},"schema":"https://github.com/citation-style-language/schema/raw/master/csl-citation.json"}</w:instrText>
      </w:r>
      <w:r w:rsidR="003E61D5"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[20,28–33]</w:t>
      </w:r>
      <w:r w:rsidR="003E61D5"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and its complications, such as fistulas</w:t>
      </w:r>
      <w:r w:rsidR="003E61D5"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{"citationItems":[{"id":"ITEM-1","itemData":{"DOI":"10.1016/j.lfs.2016.02.029","ISSN":"00243205","author":[{"dropping-particle":"","family":"Baric","given":"Marko","non-dropping-particle":"","parse-names":false,"suffix":""},{"dropping-particle":"","family":"Sever","given":"Anita Zenko","non-dropping-particle":"","parse-names":false,"suffix":""},{"dropping-particle":"","family":"Vuletic","given":"Lovorka Batelja","non-dropping-particle":"","parse-names":false,"suffix":""},{"dropping-particle":"","family":"Rasic","given":"Zarko","non-dropping-particle":"","parse-names":false,"suffix":""},{"dropping-particle":"","family":"Sever","given":"Marko","non-dropping-particle":"","parse-names":false,"suffix":""},{"dropping-particle":"","family":"Drmic","given":"Domagoj","non-dropping-particle":"","parse-names":false,"suffix":""},{"dropping-particle":"","family":"Pavelic-Turudic","given":"Tatjana","non-dropping-particle":"","parse-names":false,"suffix":""},{"dropping-particle":"","family":"Sucic","given":"Mario","non-dropping-particle":"","parse-names":false,"suffix":""},{"dropping-particle":"","family":"Vrcic","given":"Hrvoje","non-dropping-particle":"","parse-names":false,"suffix":""},{"dropping-particle":"","family":"Seiwerth","given":"Sven","non-dropping-particle":"","parse-names":false,"suffix":""},{"dropping-particle":"","family":"Sikiric","given":"Predrag","non-dropping-particle":"","parse-names":false,"suffix":""}],"container-title":"Life Sciences","id":"ITEM-1","issued":{"date-parts":[["2016","3"]]},"page":"63-70","title":"Stable gastric pentadecapeptide BPC 157 heals rectovaginal fistula in rats","type":"article-journal","volume":"148"},"uris":["http://www.mendeley.com/documents/?uuid=9d02cf7d-044d-4060-9f70-c61a10e4d011"]},{"id":"ITEM-2","itemData":{"DOI":"10.1016/j.ejphar.2016.02.038","ISSN":"18790712","PMID":"26875638","abstract":"To establish the effects of BPC 157 on the healing of rat colovesical fistulas, Wistar Albino male rats were randomly assigned to different groups. BPC 157, a stable gastric pentadecapeptide, has been used in clinical applications - specifically, in ulcerative colitis - and was successful in treating both external and internal fistulas. BPC 157 was provided daily, perorally, in drinking water (10 ??g/kg, 12 ml/rat/day) until sacrifice or, alternatively, 10 ??g/kg or 10 ng/kg intraperitoneally, with the first application at 30 min after surgery and the last at 24 h before sacrifice. Controls simultaneously received an equivolume of saline (5.0 ml/kg ip) or water only (12 ml/rat/day). Assessment (i.e., colon and vesical defects, fistula leaking, fecaluria and defecation through the fistula, adhesions and intestinal obstruction as healing processes) took place on days 7, 14 and 28. Control colovesical fistulas regularly exhibited poor healing, with both of the defects persisting; continuous fistula leakage; fecaluria and defecation through the fistula; advanced adhesion formation; and intestinal obstruction. By contrast, BPC 157 given perorally or intraperitoneally and in ??g- and ng-regimens rapidly improved the whole presentation, with both colon and vesical defects simultaneously ameliorated and eventually healed. The maximal instilled volume was continuously raised until it reached the values of healthy rats, there were no signs of fecaluria and no defecation through the fistula, there was counteraction of advanced adhesion formation or there was an intestinal obstruction. In conclusion, BPC 157 effects appear to be suited to inducing full healing of colocutaneous fistulas in rats.","author":[{"dropping-particle":"","family":"Grgic","given":"Tihomir","non-dropping-particle":"","parse-names":false,"suffix":""},{"dropping-particle":"","family":"Grgic","given":"Dora","non-dropping-particle":"","parse-names":false,"suffix":""},{"dropping-particle":"","family":"Drmic","given":"Domagoj","non-dropping-particle":"","parse-names":false,"suffix":""},{"dropping-particle":"","family":"Sever","given":"Anita Zenko","non-dropping-particle":"","parse-names":false,"suffix":""},{"dropping-particle":"","family":"Petrovic","given":"Igor","non-dropping-particle":"","parse-names":false,"suffix":""},{"dropping-particle":"","family":"Sucic","given":"Mario","non-dropping-particle":"","parse-names":false,"suffix":""},{"dropping-particle":"","family":"Kokot","given":"Antonio","non-dropping-particle":"","parse-names":false,"suffix":""},{"dropping-particle":"","family":"Klicek","given":"Robert","non-dropping-particle":"","parse-names":false,"suffix":""},{"dropping-particle":"","family":"Sever","given":"Marko","non-dropping-particle":"","parse-names":false,"suffix":""},{"dropping-particle":"","family":"Seiwerth","given":"Sven","non-dropping-particle":"","parse-names":false,"suffix":""},{"dropping-particle":"","family":"Sikiric","given":"Predrag","non-dropping-particle":"","parse-names":false,"suffix":""}],"container-title":"European Journal of Pharmacology","id":"ITEM-2","issued":{"date-parts":[["2016"]]},"page":"1-7","publisher":"Elsevier","title":"Stable gastric pentadecapeptide BPC 157 heals rat colovesical fistula","type":"article-journal","volume":"780"},"uris":["http://www.mendeley.com/documents/?uuid=04542bd7-fb6a-4b51-8eef-04cb7ee8cd51"]},{"id":"ITEM-3","itemData":{"ISSN":"1347-8613","PMID":"18818478","abstract":"We focused on the therapeutic effect of the stable gastric pentadecapeptide BPC 157 and how its action is related to nitric oxide (NO) in persistent colocutaneous fistula in rats (at 5 cm from anus, colon defect of 5 mm, skin defect of 5 mm); this peptide has been shown to be safe in clinical trials for inflammatory bowel disease (PL14736) and safe for intestinal anstomosis therapy. BPC 157 (10 microg/kg, 10 ng/kg) was applied i) in drinking water until the animals were sacrificed at post-operative day 1, 3, 5, 7, 14, 21, and 28; or ii) once daily intraperitoneally (first application 30 min following surgery, last 24 h before sacrifice) alone or with N(G)-nitro-L-arginine methyl ester (L-NAME) (5 mg/kg), L-arginine (200 mg/kg), and their combinations. Sulphasalazine (50 mg/kg) and 6-alpha-methylprednisolone (1 mg/kg) were given once daily intraperitoneally. BPC 157 accelerated parenterally or perorally the healing of colonic and skin defect, leading to the suitable closure of the fistula, macro/microscopically, biomechanically, and functionally (larger water volume sustained without fistula leaking). L-NAME aggravated the healing failure of colocutaneous fistulas, skin, and colon wounds (L-NAME groups). L-Arginine was effective only with blunted NO generation (L-NAME + L-arginine groups) but not without (L-arginine groups). All of the BPC 157 beneficial effects remained unchanged with blunted NO-generation (L-NAME + BPC 157 groups) and with NO substrate (L-arginine + BPC 157 groups) as well as L-NAME and L-arginine co-administration (L-NAME + L-arginine + BPC 157 groups). Sulphasalazine was only moderately effective, and corticosteroid even had an aggravating effect.","author":[{"dropping-particle":"","family":"Klicek","given":"Robert","non-dropping-particle":"","parse-names":false,"suffix":""},{"dropping-particle":"","family":"Sever","given":"Marko","non-dropping-particle":"","parse-names":false,"suffix":""},{"dropping-particle":"","family":"Radic","given":"Bozo","non-dropping-particle":"","parse-names":false,"suffix":""},{"dropping-particle":"","family":"Drmic","given":"Domagoj","non-dropping-particle":"","parse-names":false,"suffix":""},{"dropping-particle":"","family":"Kocman","given":"Ivan","non-dropping-particle":"","parse-names":false,"suffix":""},{"dropping-particle":"","family":"Zoricic","given":"Ivan","non-dropping-particle":"","parse-names":false,"suffix":""},{"dropping-particle":"","family":"Vuksic","given":"Tihomir","non-dropping-particle":"","parse-names":false,"suffix":""},{"dropping-particle":"","family":"Ivica","given":"Mihovil","non-dropping-particle":"","parse-names":false,"suffix":""},{"dropping-particle":"","family":"Barisic","given":"Ivan","non-dropping-particle":"","parse-names":false,"suffix":""},{"dropping-particle":"","family":"Ilic","given":"Spomenko","non-dropping-particle":"","parse-names":false,"suffix":""},{"dropping-particle":"","family":"Berkopic","given":"Lidija","non-dropping-particle":"","parse-names":false,"suffix":""},{"dropping-particle":"","family":"Vrcic","given":"Hrvoje","non-dropping-particle":"","parse-names":false,"suffix":""},{"dropping-particle":"","family":"Brcic","given":"Luka","non-dropping-particle":"","parse-names":false,"suffix":""},{"dropping-particle":"","family":"Blagaic","given":"Alenka Boban","non-dropping-particle":"","parse-names":false,"suffix":""},{"dropping-particle":"","family":"Coric","given":"Marijana","non-dropping-particle":"","parse-names":false,"suffix":""},{"dropping-particle":"","family":"Brcic","given":"Iva","non-dropping-particle":"","parse-names":false,"suffix":""},{"dropping-particle":"","family":"Rokotov","given":"Dinko Stancic","non-dropping-particle":"","parse-names":false,"suffix":""},{"dropping-particle":"","family":"Anic","given":"Tomislav","non-dropping-particle":"","parse-names":false,"suffix":""},{"dropping-particle":"","family":"Seiwerth","given":"Sven","non-dropping-particle":"","parse-names":false,"suffix":""},{"dropping-particle":"","family":"Sikiric","given":"Predrag","non-dropping-particle":"","parse-names":false,"suffix":""}],"container-title":"Journal of pharmacological sciences","id":"ITEM-3","issue":"1","issued":{"date-parts":[["2008","9"]]},"page":"7-17","title":"Pentadecapeptide BPC 157, in clinical trials as a therapy for inflammatory bowel disease (PL14736), is effective in the healing of colocutaneous fistulas in rats: role of the nitric oxide-system.","type":"article-journal","volume":"108"},"uris":["http://www.mendeley.com/documents/?uuid=603bb6e4-0405-4baa-8f6b-0e82c47cd81e"]},{"id":"ITEM-4","itemData":{"ISBN":"1899-1505 (Electronic)\\r0867-5910 (Linking)","ISSN":"18991505","PMID":"26348082","abstract":"While very rarely reported, duodenocutanenous fistula research might alter the duodenal ulcer disease background and therapy. Our research focused on rat duodenocutaneous fistulas, therapy, stable gastric pentadecapeptide BPC 157, an anti-ulcer peptide that healed other fistulas, nitric oxide synthase-substrate L-arginine, and nitric oxide synthase-inhibitor L-nitro-arginine methyl ester (L-NAME). The hypothesis was, duodenal ulcer-healing, like the skin ulcer, using the successful BPC 157, with nitric oxide-system involvement, the \"wound healing-therapy\", to heal the duodenal ulcer, the fistula-model that recently highlighted gastric and skin ulcer healing. Pressure in the lower esophageal and pyloric sphincters was simultaneously assessed. Duodenocutaneous fistula-rats received BPC 157 (10 μg/kg or 10 ng/kg, intraperitoneally or perorally (in drinking water)), L-NAME (5 mg/kg intraperitoneally), L-arginine (100 mg/kg intraperitoneally) alone and/or together, throughout 21 days. Duodenocutaneous fistula-rats maintained persistent defects, continuous fistula leakage, sphincter failure, mortality rate at 40% until the 4(th) day, all fully counteracted in all BPC 157-rats. The BPC 157-rats experienced rapidly improved complete presentation (maximal volume instilled already at 7(th) day). L-NAME further aggravated the duodenocutaneous fistula-course (mortality at 70% until the 4(th) day); L-arginine was beneficial (no mortality; however, maximal volume instilled not before 21(st) day). L-NAME-worsening was counteracted to the control level with the L-arginine effect, and vice versa, while BPC 157 annulled the L-NAME effects (L-NAME + L-arginine; L-NAME + BPC 157; L-NAME + L-arginine + BPC 157 brought below the level of the control). It is likely that duodenocutaneous fistulas, duodenal/skin defect simultaneous healing, reinstated sphincter function, are a new nitric oxide-system related phenomenon. In conclusion, resolving the duodenocutanenous fistulashealing, nitric oxide-system involvement, should illustrate further wound healing therapy to heal duodenal ulcers.","author":[{"dropping-particle":"","family":"Skorjanec","given":"S.","non-dropping-particle":"","parse-names":false,"suffix":""},{"dropping-particle":"","family":"Kokot","given":"A.","non-dropping-particle":"","parse-names":false,"suffix":""},{"dropping-particle":"","family":"Drmic","given":"D.","non-dropping-particle":"","parse-names":false,"suffix":""},{"dropping-particle":"","family":"Radic","given":"B.","non-dropping-particle":"","parse-names":false,"suffix":""},{"dropping-particle":"","family":"Sever","given":"M.","non-dropping-particle":"","parse-names":false,"suffix":""},{"dropping-particle":"","family":"Klicek","given":"R.","non-dropping-particle":"","parse-names":false,"suffix":""},{"dropping-particle":"","family":"Kolenc","given":"D.","non-dropping-particle":"","parse-names":false,"suffix":""},{"dropping-particle":"","family":"Zenko","given":"A.","non-dropping-particle":"","parse-names":false,"suffix":""},{"dropping-particle":"","family":"Lovric Bencic","given":"M.","non-dropping-particle":"","parse-names":false,"suffix":""},{"dropping-particle":"","family":"Belosic Halle","given":"Z.","non-dropping-particle":"","parse-names":false,"suffix":""},{"dropping-particle":"","family":"Situm","given":"A.","non-dropping-particle":"","parse-names":false,"suffix":""},{"dropping-particle":"","family":"Zivanovic Posilovic","given":"G.","non-dropping-particle":"","parse-names":false,"suffix":""},{"dropping-particle":"","family":"Masnec","given":"S.","non-dropping-particle":"","parse-names":false,"suffix":""},{"dropping-particle":"","family":"Suran","given":"J.","non-dropping-particle":"","parse-names":false,"suffix":""},{"dropping-particle":"","family":"Aralica","given":"G.","non-dropping-particle":"","parse-names":false,"suffix":""},{"dropping-particle":"","family":"Seiwerth","given":"S.","non-dropping-particle":"","parse-names":false,"suffix":""},{"dropping-particle":"","family":"Sikiric","given":"Predrag","non-dropping-particle":"","parse-names":false,"suffix":""}],"container-title":"Journal of Physiology and Pharmacology","id":"ITEM-4","issue":"4","issued":{"date-parts":[["2015"]]},"page":"581-590","title":"Duodenocutaneous fistula in rats as a model for ???wound healing-therapy??? in ulcer healing: The effect of pentadecapeptide BPC 157, L-nitro-arginine methyl ester and L-arginine","type":"article-journal","volume":"66"},"uris":["http://www.mendeley.com/documents/?uuid=c8a4ee5b-bf1f-423c-8b99-a3901c408a53"]},{"id":"ITEM-5","itemData":{"DOI":"10.1007/s10620-008-0332-9","ISBN":"1573-2568 (Electronic)\\r0163-2116 (Linking)","ISSN":"01632116","PMID":"18649140","abstract":"OBJECTIVE: This study focused on unhealed gastrocutaneous fistulas to resolve whether standard drugs that promote healing of gastric ulcers may simultaneously have the same effect on cutaneous wounds, and corticosteroid aggravation, and to demonstrate why peptides such as BPC 157 exhibit a greater healing effect. Therefore, with the fistulas therapy, we challenge the wound/growth factors theory of the analogous nonhealing of wounds and persistent gastric ulcers.\\n\\nMETHODS: The healing rate of gastrocutaneous fistula in rat (2-mm-diameter stomach defect, 3-mm-diameter skin defect) validates macro/microscopically and biomechanically a direct skin wound/stomach ulcer relation, and identifies a potential therapy consisting of: (i) stable gastric pentadecapeptide BPC 157 [in drinking water (10 microg/kg) (12 ml/rat/day) or intraperitoneally (10 microg/kg, 10 ng/kg, 10 pg/kg)], (ii) atropine (10 mg/kg), ranitidine (50 mg/kg), and omeprazole (50 mg/kg), (iii) 6-alpha-methylprednisolone (1 mg/kg) [intraperitoneally, once daily, first application at 30 min following surgery; last 24 h before sacrifice (at postoperative days 1, 2, 3, 7, 14, and 21)].\\n\\nRESULTS: Greater anti-ulcer potential and efficiency in wound healing compared with standard agents favor BPC 157, efficient in inflammatory bowel disease (PL-14736, Pliva), given in drinking water or intraperitoneally. Even after 6-alpha-methylprednisolone aggravation, BPC 157 promptly improves both skin and stomach mucosa healing, and closure of fistulas, with no leakage after up to 20 ml water intragastrically. Standard anti-ulcer agents, after a delay, improve firstly skin healing and then stomach mucosal healing, but not fistula leaking and bursting strength (except for atropine).\\n\\nCONCLUSION: We conclude that BPC 157 may resolve analogous nonhealing of wounds and persistent gastric ulcers better than standard agents.","author":[{"dropping-particle":"","family":"Skorjanec","given":"Sandra","non-dropping-particle":"","parse-names":false,"suffix":""},{"dropping-particle":"","family":"Dolovski","given":"Zdravko","non-dropping-particle":"","parse-names":false,"suffix":""},{"dropping-particle":"","family":"Kocman","given":"Ivan","non-dropping-particle":"","parse-names":false,"suffix":""},{"dropping-particle":"","family":"Brcic","given":"Luka","non-dropping-particle":"","parse-names":false,"suffix":""},{"dropping-particle":"","family":"Blagaic Boban","given":"Alenka","non-dropping-particle":"","parse-names":false,"suffix":""},{"dropping-particle":"","family":"Batelja","given":"Lovorka","non-dropping-particle":"","parse-names":false,"suffix":""},{"dropping-particle":"","family":"Coric","given":"Marjana","non-dropping-particle":"","parse-names":false,"suffix":""},{"dropping-particle":"","family":"Sever","given":"Marko","non-dropping-particle":"","parse-names":false,"suffix":""},{"dropping-particle":"","family":"Klicek","given":"Robert","non-dropping-particle":"","parse-names":false,"suffix":""},{"dropping-particle":"","family":"Berkopic","given":"Lidija","non-dropping-particle":"","parse-names":false,"suffix":""},{"dropping-particle":"","family":"Radic","given":"Bozo","non-dropping-particle":"","parse-names":false,"suffix":""},{"dropping-particle":"","family":"Drmic","given":"Domagoj","non-dropping-particle":"","parse-names":false,"suffix":""},{"dropping-particle":"","family":"Kolenc","given":"Danijela","non-dropping-particle":"","parse-names":false,"suffix":""},{"dropping-particle":"","family":"Ilic","given":"Spomenko","non-dropping-particle":"","parse-names":false,"suffix":""},{"dropping-particle":"","family":"Cesarec","given":"Vedran","non-dropping-particle":"","parse-names":false,"suffix":""},{"dropping-particle":"","family":"Tonkic","given":"Ante","non-dropping-particle":"","parse-names":false,"suffix":""},{"dropping-particle":"","family":"Zoricic","given":"Ivan","non-dropping-particle":"","parse-names":false,"suffix":""},{"dropping-particle":"","family":"Mise","given":"Stjepan","non-dropping-particle":"","parse-names":false,"suffix":""},{"dropping-particle":"","family":"Staresinic","given":"Mario","non-dropping-particle":"","parse-names":false,"suffix":""},{"dropping-particle":"","family":"Ivica","given":"Mihovil","non-dropping-particle":"","parse-names":false,"suffix":""},{"dropping-particle":"","family":"Lovric Bencic","given":"Martina","non-dropping-particle":"","parse-names":false,"suffix":""},{"dropping-particle":"","family":"Anic","given":"Tomislav","non-dropping-particle":"","parse-names":false,"suffix":""},{"dropping-particle":"","family":"Seiwerth","given":"Sven","non-dropping-particle":"","parse-names":false,"suffix":""},{"dropping-particle":"","family":"Sikiric","given":"Predrag","non-dropping-particle":"","parse-names":false,"suffix":""}],"container-title":"Digestive Diseases and Sciences","id":"ITEM-5","issue":"1","issued":{"date-parts":[["2009"]]},"page":"46-56","title":"Therapy for unhealed gastrocutaneous fistulas in rats as a model for analogous healing of persistent skin wounds and persistent gastric ulcers: Stable gastric pentadecapeptide BPC 157, atropine, ranitidine, and omeprazole","type":"article-journal","volume":"54"},"uris":["http://www.mendeley.com/documents/?uuid=fdfff0e6-f937-4069-9685-d242c56d6de3"]}],"mendeley":{"formattedCitation":"&lt;sup&gt;[34–38]&lt;/sup&gt;","plainTextFormattedCitation":"[34–38]","previouslyFormattedCitation":"&lt;sup&gt;[34–38]&lt;/sup&gt;"},"properties":{"noteIndex":0},"schema":"https://github.com/citation-style-language/schema/raw/master/csl-citation.json"}</w:instrText>
      </w:r>
      <w:r w:rsidR="003E61D5"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[34–38]</w:t>
      </w:r>
      <w:r w:rsidR="003E61D5"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failed healing of anastomoses</w:t>
      </w:r>
      <w:r w:rsidR="003E61D5"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{"citationItems":[{"id":"ITEM-1","itemData":{"ISSN":"1899-1505","PMID":"24304574","abstract":"Stable gastric pentadecapeptide BPC 157 was suggested to link inflammatory bowel disease and multiple sclerosis, and thereby, shown to equally counteract the models of both of those diseases. For colitis, cysteamine (400 mg/kg intrarectally (1 ml/rat)) and colon-colon anastomosis (sacrifice at day 3, 5, 7, and 14) were used. BPC 157 (10 μg/kg, 10 ng/kg) was applied either intraperitoneally once time daily (first application immediately after surgery, last at 24 hours before sacrifice) or per-orally in drinking water (0.16 μg/ml/12 ml/day till the sacrifice) while controls simultaneously received an equivolume of saline (5 ml/kg) intraperitoneally or drinking water only (12 ml/day). A multiple sclerosis suited toxic rat model, cuprizone (compared with standard, a several times higher regimen, 2.5% of diet regimen + 1 g/kg intragastrically/day) was combined with BPC 157 (in drinking water 0.16 μg or 0.16 ng/ml/12 ml/day/rat + 10 μg or 10 ng/kg intragastrically/day) till the sacrifice at day 4. In general, the controls could not heal cysteamine colitis and colon-colon anastomosis. BPC 157 induced an efficient healing of both at the same time. Likewise, cuprizone-controls clearly exhibited an exaggerated and accelerated damaging process; nerve damage appeared in various brain areas, with most prominent damage in corpus callosum, laterodorsal thalamus, nucleus reunions, anterior horn motor neurons. BPC 157-cuprizone rats had consistently less nerve damage in all damaged areas, especially in those areas that otherwise were most affected. Consistently, BPC 157 counteracted cerebellar ataxia and impaired forelimb function. Thereby, this experimental evidence advocates BPC 157 in both inflammatory bowel disease and multiple sclerosis therapy.","author":[{"dropping-particle":"","family":"Klicek","given":"R","non-dropping-particle":"","parse-names":false,"suffix":""},{"dropping-particle":"","family":"Kolenc","given":"D","non-dropping-particle":"","parse-names":false,"suffix":""},{"dropping-particle":"","family":"Suran","given":"J","non-dropping-particle":"","parse-names":false,"suffix":""},{"dropping-particle":"","family":"Drmic","given":"D","non-dropping-particle":"","parse-names":false,"suffix":""},{"dropping-particle":"","family":"Brcic","given":"L","non-dropping-particle":"","parse-names":false,"suffix":""},{"dropping-particle":"","family":"Aralica","given":"G","non-dropping-particle":"","parse-names":false,"suffix":""},{"dropping-particle":"","family":"Sever","given":"M","non-dropping-particle":"","parse-names":false,"suffix":""},{"dropping-particle":"","family":"Holjevac","given":"J","non-dropping-particle":"","parse-names":false,"suffix":""},{"dropping-particle":"","family":"Radic","given":"B","non-dropping-particle":"","parse-names":false,"suffix":""},{"dropping-particle":"","family":"Turudic","given":"T","non-dropping-particle":"","parse-names":false,"suffix":""},{"dropping-particle":"","family":"Kokot","given":"A","non-dropping-particle":"","parse-names":false,"suffix":""},{"dropping-particle":"","family":"Patrlj","given":"L","non-dropping-particle":"","parse-names":false,"suffix":""},{"dropping-particle":"","family":"Rucman","given":"R","non-dropping-particle":"","parse-names":false,"suffix":""},{"dropping-particle":"","family":"Seiwerth","given":"S","non-dropping-particle":"","parse-names":false,"suffix":""},{"dropping-particle":"","family":"Sikiric","given":"P","non-dropping-particle":"","parse-names":false,"suffix":""}],"container-title":"Journal of physiology and pharmacology : an official journal of the Polish Physiological Society","id":"ITEM-1","issue":"5","issued":{"date-parts":[["2013","10"]]},"page":"597-612","title":"Stable gastric pentadecapeptide BPC 157 heals cysteamine-colitis and colon-colon-anastomosis and counteracts cuprizone brain injuries and motor disability.","type":"article-journal","volume":"64"},"uris":["http://www.mendeley.com/documents/?uuid=c8654aa2-4d8b-437f-aed4-dd14ff95a775"]},{"id":"ITEM-2","itemData":{"DOI":"10.1371/journal.pone.0162590","ISSN":"1932-6203","author":[{"dropping-particle":"","family":"Lojo","given":"Nermin","non-dropping-particle":"","parse-names":false,"suffix":""},{"dropping-particle":"","family":"Rasic","given":"Zarko","non-dropping-particle":"","parse-names":false,"suffix":""},{"dropping-particle":"","family":"Zenko Sever","given":"Anita","non-dropping-particle":"","parse-names":false,"suffix":""},{"dropping-particle":"","family":"Kolenc","given":"Danijela","non-dropping-particle":"","parse-names":false,"suffix":""},{"dropping-particle":"","family":"Vukusic","given":"Darko","non-dropping-particle":"","parse-names":false,"suffix":""},{"dropping-particle":"","family":"Drmic","given":"Domagoj","non-dropping-particle":"","parse-names":false,"suffix":""},{"dropping-particle":"","family":"Zoricic","given":"Ivan","non-dropping-particle":"","parse-names":false,"suffix":""},{"dropping-particle":"","family":"Sever","given":"Marko","non-dropping-particle":"","parse-names":false,"suffix":""},{"dropping-particle":"","family":"Seiwerth","given":"Sven","non-dropping-particle":"","parse-names":false,"suffix":""},{"dropping-particle":"","family":"Sikiric","given":"Predrag","non-dropping-particle":"","parse-names":false,"suffix":""}],"container-title":"PLOS ONE","editor":[{"dropping-particle":"","family":"Singh","given":"Shree Ram","non-dropping-particle":"","parse-names":false,"suffix":""}],"id":"ITEM-2","issue":"9","issued":{"date-parts":[["2016","9","14"]]},"page":"e0162590","title":"Effects of Diclofenac, L-NAME, L-Arginine, and Pentadecapeptide BPC 157 on Gastrointestinal, Liver, and Brain Lesions, Failed Anastomosis, and Intestinal Adaptation Deterioration in 24 Hour-Short-Bowel Rats","type":"article-journal","volume":"11"},"uris":["http://www.mendeley.com/documents/?uuid=f765251b-42c4-4691-a197-e5408869fd60"]},{"id":"ITEM-3","itemData":{"DOI":"10.1007/s10620-008-0598-y","ISSN":"0163-2116","author":[{"dropping-particle":"","family":"Sever","given":"Marko","non-dropping-particle":"","parse-names":false,"suffix":""},{"dropping-particle":"","family":"Klicek","given":"Robert","non-dropping-particle":"","parse-names":false,"suffix":""},{"dropping-particle":"","family":"Radic","given":"Bozo","non-dropping-particle":"","parse-names":false,"suffix":""},{"dropping-particle":"","family":"Brcic","given":"Luka","non-dropping-particle":"","parse-names":false,"suffix":""},{"dropping-particle":"","family":"Zoricic","given":"Ivan","non-dropping-particle":"","parse-names":false,"suffix":""},{"dropping-particle":"","family":"Drmic","given":"Domagoj","non-dropping-particle":"","parse-names":false,"suffix":""},{"dropping-particle":"","family":"Ivica","given":"Mihovil","non-dropping-particle":"","parse-names":false,"suffix":""},{"dropping-particle":"","family":"Barisic","given":"Ivan","non-dropping-particle":"","parse-names":false,"suffix":""},{"dropping-particle":"","family":"Ilic","given":"Spomenko","non-dropping-particle":"","parse-names":false,"suffix":""},{"dropping-particle":"","family":"Berkopic","given":"Lidija","non-dropping-particle":"","parse-names":false,"suffix":""},{"dropping-particle":"","family":"Blagaic","given":"Alenka Boban","non-dropping-particle":"","parse-names":false,"suffix":""},{"dropping-particle":"","family":"Coric","given":"Marijana","non-dropping-particle":"","parse-names":false,"suffix":""},{"dropping-particle":"","family":"Kolenc","given":"Danijela","non-dropping-particle":"","parse-names":false,"suffix":""},{"dropping-particle":"","family":"Vrcic","given":"Hrvoje","non-dropping-particle":"","parse-names":false,"suffix":""},{"dropping-particle":"","family":"Anic","given":"Tomislav","non-dropping-particle":"","parse-names":false,"suffix":""},{"dropping-particle":"","family":"Seiwerth","given":"Sven","non-dropping-particle":"","parse-names":false,"suffix":""},{"dropping-particle":"","family":"Sikiric","given":"Predrag","non-dropping-particle":"","parse-names":false,"suffix":""}],"container-title":"Digestive Diseases and Sciences","id":"ITEM-3","issue":"10","issued":{"date-parts":[["2009","10","18"]]},"page":"2070-2083","title":"Gastric Pentadecapeptide BPC 157 and Short Bowel Syndrome in Rats","type":"article-journal","volume":"54"},"uris":["http://www.mendeley.com/documents/?uuid=d5bae549-2131-457d-a9d4-d06841712948"]},{"id":"ITEM-4","itemData":{"DOI":"10.1007/s00595-006-3498-9","ISSN":"09411291","abstract":"Purpose. Gastric pentadecapeptide BPC 157 (BPC 157), which has been shown to be safe in clinical trials for inflammatory bowel disease (PL-10, PLD-116, PL14736, Pliva, Croatia), may be able to cure intestinal anastomosis dehiscence. This antiulcer peptide shows no toxicity, is limit test negative, and a lethal dose is not achieved. It is stable in human gastric juice. In comparison with other standard treatments it is more effective for ulcers and various wounds, and can be used without a carrier needed for other peptides, both locally and systemically (i.e., perorally, parenterally). We studied the effectiveness of BPC 157 for ileoileal anastomosis healing in rats. Methods. We assessed ileoileal anastomosis dehiscence macroscopically, histologically, and biomechanically (volume [ml] infused through a syringe-perfusion pump system (1 ml/10 s), and pressure [mmHg]  to leak induction [catheter connected to a chamber and a monitor, at 10 cm proximal to anastomosis]), at 1, 2, 3, 4, 5, 6, 7, and 14 days. BPC 157 (10 μg, 10 ng, 10 pg/kg i.p. (or saline [5 ml/kg] ) was first administered after surgery, while it was last given 24 h before either assessment or sacrifice. Results. Throughout the experiment, both higher doses of BPC 157 were shown to improve all parameters of anastomotic wound healing. The formation of adhesions remained slight, the blood vessels were filled with blood, and a mild intestinal passage obstruction was only temporarily observed. Anastomosis without leakage induces markedly higher volume and pressure values, with a continuous increase toward healthy values. From day 1, edema was markedly attenuated and the number of granulocytes decreased, while from days 4 or 5 necrosis decreased and granulation tissue, reticulin, and collagen formation substantially increased, thus resulting in increased epithelization. Conclusion. This study showed BPC 157 to have a beneficial effect on ileoileal anastomosis healing in the rat. © 2007 Springer-Verlag.","author":[{"dropping-particle":"","family":"Vuksic","given":"T.","non-dropping-particle":"","parse-names":false,"suffix":""},{"dropping-particle":"","family":"Zoricic","given":"I.","non-dropping-particle":"","parse-names":false,"suffix":""},{"dropping-particle":"","family":"Brcic","given":"L.","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Cesarec","given":"V.","non-dropping-particle":"","parse-names":false,"suffix":""},{"dropping-particle":"","family":"Berkopic","given":"L.","non-dropping-particle":"","parse-names":false,"suffix":""},{"dropping-particle":"","family":"Keller","given":"N.","non-dropping-particle":"","parse-names":false,"suffix":""},{"dropping-particle":"","family":"Blagaic","given":"A.B.","non-dropping-particle":"","parse-names":false,"suffix":""},{"dropping-particle":"","family":"Kokic","given":"N.","non-dropping-particle":"","parse-names":false,"suffix":""},{"dropping-particle":"","family":"Jelic","given":"I.","non-dropping-particle":"","parse-names":false,"suffix":""},{"dropping-particle":"","family":"Geber","given":"J.","non-dropping-particle":"","parse-names":false,"suffix":""},{"dropping-particle":"","family":"Anic","given":"T.","non-dropping-particle":"","parse-names":false,"suffix":""},{"dropping-particle":"","family":"Seiwerth","given":"S.","non-dropping-particle":"","parse-names":false,"suffix":""},{"dropping-particle":"","family":"Sikiric","given":"P.","non-dropping-particle":"","parse-names":false,"suffix":""}],"container-title":"Surgery Today","id":"ITEM-4","issue":"9","issued":{"date-parts":[["2007"]]},"title":"Stable gastric pentadecapeptide BPC 157 in trials for inflammatory bowel disease (PL-10, PLD-116, PL14736, Pliva, Croatia) heals ileoileal anastomosis in the rat","type":"article-journal","volume":"37"},"uris":["http://www.mendeley.com/documents/?uuid=349c7d36-04ba-3487-b4e9-2775a64e164d"]}],"mendeley":{"formattedCitation":"&lt;sup&gt;[28,29,39,40]&lt;/sup&gt;","plainTextFormattedCitation":"[28,29,39,40]","previouslyFormattedCitation":"&lt;sup&gt;[28,29,39,40]&lt;/sup&gt;"},"properties":{"noteIndex":0},"schema":"https://github.com/citation-style-language/schema/raw/master/csl-citation.json"}</w:instrText>
      </w:r>
      <w:r w:rsidR="003E61D5"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[28,29,39,40]</w:t>
      </w:r>
      <w:r w:rsidR="003E61D5" w:rsidRPr="00E47A42">
        <w:rPr>
          <w:rFonts w:ascii="Book Antiqua" w:hAnsi="Book Antiqua" w:cs="Times New Roman"/>
          <w:sz w:val="24"/>
          <w:szCs w:val="24"/>
          <w:lang w:val="en-US"/>
        </w:rPr>
        <w:fldChar w:fldCharType="end"/>
      </w:r>
      <w:r w:rsidR="001846EF"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and other gastrointestinal lesions</w:t>
      </w:r>
      <w:r w:rsidR="003A6A7D"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10.2174/1381612823666170220163219","ISSN":"13816128","author":[{"dropping-particle":"","family":"Sikiric","given":"Predrag","non-dropping-particle":"","parse-names":false,"suffix":""},{"dropping-particle":"","family":"Seiwerth","given":"Sven","non-dropping-particle":"","parse-names":false,"suffix":""},{"dropping-particle":"","family":"Rucman","given":"Rudolf","non-dropping-particle":"","parse-names":false,"suffix":""},{"dropping-particle":"","family":"Drmic","given":"Domagoj","non-dropping-particle":"","parse-names":false,"suffix":""},{"dropping-particle":"","family":"Stupnisek","given":"Mirjana","non-dropping-particle":"","parse-names":false,"suffix":""},{"dropping-particle":"","family":"Kokot","given":"Antonio","non-dropping-particle":"","parse-names":false,"suffix":""},{"dropping-particle":"","family":"Sever","given":"Marko","non-dropping-particle":"","parse-names":false,"suffix":""},{"dropping-particle":"","family":"Zoricic","given":"Ivan","non-dropping-particle":"","parse-names":false,"suffix":""},{"dropping-particle":"","family":"Zoricic","given":"Zoran","non-dropping-particle":"","parse-names":false,"suffix":""},{"dropping-particle":"","family":"Batelja","given":"Lovorka","non-dropping-particle":"","parse-names":false,"suffix":""},{"dropping-particle":"","family":"Ziger","given":"Tihomil","non-dropping-particle":"","parse-names":false,"suffix":""},{"dropping-particle":"","family":"Luetic","given":"Kresimir","non-dropping-particle":"","parse-names":false,"suffix":""},{"dropping-particle":"","family":"Vlainic","given":"Josipa","non-dropping-particle":"","parse-names":false,"suffix":""},{"dropping-particle":"","family":"Rasic","given":"Zarko","non-dropping-particle":"","parse-names":false,"suffix":""},{"dropping-particle":"","family":"Bencic","given":"Martina Lovric","non-dropping-particle":"","parse-names":false,"suffix":""}],"container-title":"Current Pharmaceutical Design","id":"ITEM-1","issue":"27","issued":{"date-parts":[["2017","10","30"]]},"page":"4012-4028","title":"Stress in Gastrointestinal Tract and Stable Gastric Pentadecapeptide BPC 157. Finally, do we have a Solution?","type":"article-journal","volume":"23"},"uris":["http://www.mendeley.com/documents/?uuid=bb09abfa-dd18-4e07-99e3-5e0c5e908cc9"]},{"id":"ITEM-2","itemData":{"ISSN":"1875-6190","PMID":"27138887","abstract":"BACKGROUND Brain-gut interaction involves, among others, peptidergic growth factors which are native in GI tract and have strong antiulcer potency and thus could from periphery beneficially affect CNS-disorders. We focused on the stable gastric pentadecapeptide BPC 157, an antiulcer peptidergic agent, safe in inflammatory bowel disease trials and now in multiple sclerosis trial, native and stable in human gastric juice. METHODS Review of our research on BPC 157 in terms of brain-gut axis. RESULTS BPC 157 may serve as a novel mediator of Robert's cytoprotection, involved in maintaining of GI mucosa integrity, with no toxic effect. BPC 157 was successful in the therapy of GI tract, periodontitis, liver and pancreas lesions, and in the healing of various tissues and wounds. Stimulated Egr-1 gene, NAB2, FAK-paxillin and JAK-2 pathways are hitherto implicated. Initially corresponding beneficial central influence was seen when BPC 157 was given peripherally and a serotonin release in particular brain areas, mostly nigrostriatal, was changed. BPC 157 modulates serotonergic and dopaminergic systems, beneficially affects various behavioral disturbances that otherwise appeared due to specifically (over)stimulated/damaged neurotransmitters systems. Besides, BPC 157 has neuroprotective effects: protects somatosensory neurons; peripheral nerve regeneration appearent after transection; after traumatic brain injury counteracts the otherwise progressing course, in rat spinal cord compression with tail paralysis, axonal and neuronal necrosis, demyelination, cyst formation and rescues tail function in both short-terms and long-terms; after NSAIDs or insulin overdose or cuprizone encephalopathies were attenuated along with GI, liver and vascular injuries. CONCLUSION BPC 157, a gastric peptide, may serve as remedy in various CNS-disorders.","author":[{"dropping-particle":"","family":"Sikiric","given":"Predrag","non-dropping-particle":"","parse-names":false,"suffix":""},{"dropping-particle":"","family":"Seiwerth","given":"Sven","non-dropping-particle":"","parse-names":false,"suffix":""},{"dropping-particle":"","family":"Rucman","given":"Rudolf","non-dropping-particle":"","parse-names":false,"suffix":""},{"dropping-particle":"","family":"Kolenc","given":"Danijela","non-dropping-particle":"","parse-names":false,"suffix":""},{"dropping-particle":"","family":"Vuletic","given":"Lovorka Batelja","non-dropping-particle":"","parse-names":false,"suffix":""},{"dropping-particle":"","family":"Drmic","given":"Domagoj","non-dropping-particle":"","parse-names":false,"suffix":""},{"dropping-particle":"","family":"Grgic","given":"Tihomir","non-dropping-particle":"","parse-names":false,"suffix":""},{"dropping-particle":"","family":"Strbe","given":"Sanja","non-dropping-particle":"","parse-names":false,"suffix":""},{"dropping-particle":"","family":"Zukanovic","given":"Goran","non-dropping-particle":"","parse-names":false,"suffix":""},{"dropping-particle":"","family":"Crvenkovic","given":"Dalibor","non-dropping-particle":"","parse-names":false,"suffix":""},{"dropping-particle":"","family":"Madzarac","given":"Goran","non-dropping-particle":"","parse-names":false,"suffix":""},{"dropping-particle":"","family":"Rukavina","given":"Iva","non-dropping-particle":"","parse-names":false,"suffix":""},{"dropping-particle":"","family":"Sucic","given":"Mario","non-dropping-particle":"","parse-names":false,"suffix":""},{"dropping-particle":"","family":"Baric","given":"Marko","non-dropping-particle":"","parse-names":false,"suffix":""},{"dropping-particle":"","family":"Starcevic","given":"Neven","non-dropping-particle":"","parse-names":false,"suffix":""},{"dropping-particle":"","family":"Krstonijevic","given":"Zoran","non-dropping-particle":"","parse-names":false,"suffix":""},{"dropping-particle":"","family":"Bencic","given":"Martina Lovric","non-dropping-particle":"","parse-names":false,"suffix":""},{"dropping-particle":"","family":"Filipcic","given":"Igor","non-dropping-particle":"","parse-names":false,"suffix":""},{"dropping-particle":"","family":"Rokotov","given":"Dinko Stancic","non-dropping-particle":"","parse-names":false,"suffix":""},{"dropping-particle":"","family":"Vlainic","given":"Josipa","non-dropping-particle":"","parse-names":false,"suffix":""}],"container-title":"Current neuropharmacology","id":"ITEM-2","issue":"8","issued":{"date-parts":[["2016"]]},"page":"857-865","title":"Brain-gut Axis and Pentadecapeptide BPC 157: Theoretical and Practical Implications.","type":"article-journal","volume":"14"},"uris":["http://www.mendeley.com/documents/?uuid=b275ba93-1b42-319f-8107-0555cf4884b9"]},{"id":"ITEM-3","itemData":{"DOI":"10.2174/13816128113199990421","ISBN":"1873-4286 (Electronic)\\r1381-6128 (Linking)","ISSN":"1873-4286","PMID":"23782145","abstract":"This review focuses on the described effects of BPC 157 on blood vessels after different types of damage, and elucidate by investigating different aspects of vascular response to injury (endothelium damage, clotting, thrombosis, vasoconstriction, vasodilatation, vasculoneogenesis and edema formation) especially in connection to the healing processes. In this respect, BPC 157 was concluded to be the most potent angiomodulatory agent, acting through different vasoactive pathways and systems (e.g. NO, VEGF, FAK) and leading to optimization of the vascular response followed, as it has to be expected, by optimization of the healing process. Formation of new blood vessels involves two main, partly overlapping mechanisms, angiogenesis and vasculogenesis. The additional mechanism of arteriogenesis is involved in the formation of collaterals. In conjunction with blood vessel function, we at least have to consider leakage of fluid/proteins/plasma, resulting in edema/exudate formation as well as thrombogenesis. Blood vessels are also strongly involved in tumor biology. In this aspect, we have neoangiogenesis resulting in pathological vascularization, vascular invasion resulting in release of metastatic cells and the phenomenon of homing resulting in formation of secondary tumors--metastases.","author":[{"dropping-particle":"","family":"Seiwerth","given":"Sven","non-dropping-particle":"","parse-names":false,"suffix":""},{"dropping-particle":"","family":"Brcic","given":"Luka","non-dropping-particle":"","parse-names":false,"suffix":""},{"dropping-particle":"","family":"Vuletic","given":"Lovorka Batelja","non-dropping-particle":"","parse-names":false,"suffix":""},{"dropping-particle":"","family":"Kolenc","given":"Danijela","non-dropping-particle":"","parse-names":false,"suffix":""},{"dropping-particle":"","family":"Aralica","given":"Gorana","non-dropping-particle":"","parse-names":false,"suffix":""},{"dropping-particle":"","family":"Misic","given":"Marija","non-dropping-particle":"","parse-names":false,"suffix":""},{"dropping-particle":"","family":"Zenko","given":"Anita","non-dropping-particle":"","parse-names":false,"suffix":""},{"dropping-particle":"","family":"Drmic","given":"Domagoj","non-dropping-particle":"","parse-names":false,"suffix":""},{"dropping-particle":"","family":"Rucman","given":"Rudolf","non-dropping-particle":"","parse-names":false,"suffix":""},{"dropping-particle":"","family":"Sikiric","given":"Predrag","non-dropping-particle":"","parse-names":false,"suffix":""}],"container-title":"Current pharmaceutical design","id":"ITEM-3","issue":"7","issued":{"date-parts":[["2014"]]},"page":"1121-5","title":"BPC 157 and blood vessels.","type":"article-journal","volume":"20"},"uris":["http://www.mendeley.com/documents/?uuid=58f78828-3983-4cbc-86f3-3b54e9721a52"]},{"id":"ITEM-4","itemData":{"ISSN":"1873-4286","PMID":"23755725","abstract":"We reviewed stable gastric pentadecapeptide BPC 157-NO-system-relation, its close participation in Moncada's (maintained vascular integrity, platelets control) homeostatic healing response of NO-system to injury. Namely, BPC 157's particular healing effect also affects all events after vascular integrity loss (dependent on circumstances, it reduces either thrombosis (abdominal aorta anastomosis) or bleeding/thrombocytopenia (amputation, heparin, warfarin, aspirin)) and in a series of different injurious models, acute and chronic, BPC 157 consistently advances healing after severe injuries in various tissues spontaneously unable to heal; stimulates egr-1 and naB2 genes; exhibits high safety (LD1 not achieved)). Hypothesis, that BPC 157 (since formed constitutively in the gastric mucosa, stable in human gastric juice, along with significance of NO-synthase and the basal formation of NO in stomach mucosa, greater than that seen in other tissues) exhibits a general, effective competing both with L-arginine analogues (i. e., L-NAME) and L-arginine, and that this has some physiologic importance (NO-generation), later, practically supports its beneficial effects illustrating BPC 157 and NOsystem mutual (with L-NAME/L-arginine; alone and together) relations in (i) gastric mucosa and mucosal protection, following alcohol lesions, in cytoprotection course, NO-generation, and blood pressure regulation; (ii) alcohol acute/chronic intoxication, and withdrawal; (iii) cardiovascular disturbances, chronic heart failure, pulmonary hypertension, and arrhythmias; (iv) disturbances after hypokalemia and hyperkalemia, and potassium-cell membrane dysfunction; and finally, in (v) complex healing failure, proved by the fistulas healing, colocutaneous and esophagocutaneous. However, how this advantage of modulating NO-system (i. e., particular effect on eNOS gene), may be practically translated into an enhanced clinical performance remains to be determined.","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tupnisek","given":"Mirjana","non-dropping-particle":"","parse-names":false,"suffix":""},{"dropping-particle":"","family":"Suran","given":"Jelena","non-dropping-particle":"","parse-names":false,"suffix":""},{"dropping-particle":"","family":"Barisic","given":"Ivan","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design","id":"ITEM-4","issue":"7","issued":{"date-parts":[["2014"]]},"page":"1126-35","title":"Stable gastric pentadecapeptide BPC 157-NO-system relation.","type":"article-journal","volume":"20"},"uris":["http://www.mendeley.com/documents/?uuid=74ead48f-0c75-446a-a19b-49bb02b31992"]},{"id":"ITEM-5","itemData":{"ISSN":"1873-4286","PMID":"22950504","abstract":"Stable gastric pentadecapeptide BPC 157 is an anti-ulcer peptidergic agent, proven in clinical trials to be both safe in inflammatory bowel disease (PL-10, PLD-116, PL 14736) and wound healing, stable in human gastric juice, with no toxicity being reported. Recently, we claim that BPC 157 may be used as an antidote against NSAIDs. We focused on BPC 157 beneficial effects on stomach, duodenum, intestine, liver and brain injuries, adjuvant arthritis, pain, hyper/hypothermia, obstructive thrombus formation and thrombolysis, blood vessel function, counteraction of prolonged bleeding and thrombocytopenia after application of various anticoagulants and antiplatelet agents and wound healing improvement. The arguments for BPC 157 antidote activity (i.e., the role of BPC 157 in cytoprotection, being a novel mediator of Robert's cytoprotection and BPC 157 beneficial effects on NSAIDs mediated lesions in the gastrointestinal tract, liver and brain and finally, counteraction of aspirin-induced prolonged bleeding and thrombocytopenia) obviously have a counteracting effect on several established side-effects of NSAIDs use. The mentioned variety of the beneficial effects portrayed by BPC 157 may well be a foundation for establishing BPC 157 as a NSAIDs antidote since no other single agent has portrayed a similar array of effects. Unlike NSAIDs, a very high safety (no reported toxicity (LD1 could be not achieved)) profile is reported for BPC 157. Also, unlike the different dosage levels of aspirin, as a NSAIDs prototype, which differ by a factor of about ten, all these beneficial and counteracting effects of BPC 157 were obtained using the equipotent dosage (μg, ng/kg) in parenteral or peroral regimens.","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afic","given":"Hana","non-dropping-particle":"","parse-names":false,"suffix":""},{"dropping-particle":"","family":"Suran","given":"Jelena","non-dropping-particle":"","parse-names":false,"suffix":""},{"dropping-particle":"","family":"Rak","given":"Davor","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design","id":"ITEM-5","issue":"1","issued":{"date-parts":[["2013"]]},"page":"76-83","title":"Toxicity by NSAIDs. Counteraction by stable gastric pentadecapeptide BPC 157.","type":"article-journal","volume":"19"},"uris":["http://www.mendeley.com/documents/?uuid=b4d81bb8-a391-4622-abb3-23195e4a65ff"]},{"id":"ITEM-6","itemData":{"DOI":"CMC-19-1-126 [pii]","ISBN":"0929-8673\\r1875-533X","ISSN":"09298673","PMID":"2012120682","abstract":"Stable gastric pentadecapeptide BPC 157 (GEPPPGKPADDAGLV, M.W. 1419) may be the new drug stable in human gastric juice, effective both in the upper and lower GI tract, and free of side effects. BPC 157, in addition to an antiulcer effect efficient in therapy of inflammatory bowel disease (IBD) (PL 14736) so far only tested in clinical phase II, has a very safe profile, and exhibited a particular wound healing effect. It also has shown to interact with the NO-system, providing endothelium protection and angiogenic effect, even in severely impaired conditions (i.e., it stimulated expression of early growth response 1 gene responsible for cytokine and growth factor generation and early extracellular matrix (collagen) formation (but also its repressor nerve growth factor 1- A binding protein-2)), important to counteract severe complications of advanced and poorly controlled IBD. Hopefully, the lessons from animal studies, particularly advanced intestinal anastomosis healing, reversed short bowel syndrome and fistula healing indicate BPC 157's high significance in further IBD therapy. Also, this supportive evidence (i.e., no toxic effect, limit test negative, LD1 not achieved, no side effect in trials) may counteract the problems commonly exercised in the use of peptidergic agents, particularly those used on a long-term basis. © 2012 Bentham Science Publishers.","author":[{"dropping-particle":"","family":"Sikiric","given":"P","non-dropping-particle":"","parse-names":false,"suffix":""},{"dropping-particle":"","family":"Seiwerth","given":"S","non-dropping-particle":"","parse-names":false,"suffix":""},{"dropping-particle":"","family":"Rucman","given":"R","non-dropping-particle":"","parse-names":false,"suffix":""},{"dropping-particle":"","family":"Turkovic","given":"B","non-dropping-particle":"","parse-names":false,"suffix":""},{"dropping-particle":"","family":"D","given":"S Rokotov","non-dropping-particle":"","parse-names":false,"suffix":""},{"dropping-particle":"","family":"Brcic","given":"L","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Drmic","given":"D","non-dropping-particle":"","parse-names":false,"suffix":""},{"dropping-particle":"","family":"Ilic","given":"S","non-dropping-particle":"","parse-names":false,"suffix":""},{"dropping-particle":"","family":"Kolenc","given":"D","non-dropping-particle":"","parse-names":false,"suffix":""},{"dropping-particle":"","family":"Stambolija","given":"V","non-dropping-particle":"","parse-names":false,"suffix":""},{"dropping-particle":"","family":"Zoricic","given":"Z","non-dropping-particle":"","parse-names":false,"suffix":""},{"dropping-particle":"","family":"Vrcic","given":"H","non-dropping-particle":"","parse-names":false,"suffix":""},{"dropping-particle":"","family":"Sebecic","given":"B","non-dropping-particle":"","parse-names":false,"suffix":""}],"container-title":"Current Medicinal Chemistry","id":"ITEM-6","issue":"1","issued":{"date-parts":[["2012"]]},"page":"126-132","title":"Focus on ulcerative colitis: Stable gastric pentadecapeptide BPC 157","type":"article-journal","volume":"19"},"uris":["http://www.mendeley.com/documents/?uuid=7b0917ea-0d35-4426-b536-aa3cf6522fbf"]},{"id":"ITEM-7","itemData":{"DOI":"10.2174/138161211796196954","ISBN":"1873-4286 (Electronic)\\n1381-6128 (Linking)","ISSN":"1873-4286","PMID":"21548867","abstract":"Stable gastric pentadecapeptide BPC 157 is an anti-ulcer peptidergic agent, safe in inflammatory bowel disease clinical trials (GEPPPGKPADDAGLV, M.W. 1419, PL 14736) and wound healing, stable in human gastric juice and has no reported toxicity. We focused on BPC 157 as a therapy in peridontitis, esophagus, stomach, duodenum, intestine, liver and pancreas lesions. Particularly, it has a prominent effect on alcohol-lesions (i.e., acute, chronic) and NSAIDs-lesions (interestingly, BPC 157 both prevents and reverses adjuvant arthritis). In rat esophagitis and failed function of both lower esophageal sphincter (LES) and pyloric sphincters (PS), BPC 157 increased pressure in both sphincters till normal and reduced esophagitis. However, in healthy rats, it may decrease (PS) or increase (LES) the pressure in sphincters. It has strong angiogenic potential, it acts protectively on endothelium, prevents and reverses thrombus formation after abdominal aorta anastomosis, affects many central disturbances (i.e., dopamine and 5-HT system), the NO-system (either L-arginine and L-NAME effects), endothelin, acts as a free radical scavenger (counteracting CCl4-, paracetamol-, diclofenac-injuries) and exhibits neuroprotective properties. BPC 157 successfully heals the intestinal anastomosis, gastrocutaneous, duodenocutaneous and colocutaneous fistulas in rats, as well as interacting with the NO-system. Interestingly, the fistula closure was achieved even when the BPC 157 therapy was postponed for one month. In short-bowel syndrome escalating throughout 4 weeks, the constant weight gain above preoperative values started immediately with peroral and parental BPC 157 therapy and the villus height, crypth depth and muscle thickness (inner (circular) muscular layer) additionally increased. Thus, BPC 157 may improve gastrointestinal tract therapy.","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Vrcic","given":"Hrvoje","non-dropping-particle":"","parse-names":false,"suffix":""},{"dropping-particle":"","family":"Sebecic","given":"Bozidar","non-dropping-particle":"","parse-names":false,"suffix":""}],"container-title":"Current pharmaceutical design","id":"ITEM-7","issue":"16","issued":{"date-parts":[["2011"]]},"page":"1612-32","title":"Stable gastric pentadecapeptide BPC 157: novel therapy in gastrointestinal tract.","type":"article-journal","volume":"17"},"uris":["http://www.mendeley.com/documents/?uuid=899df84f-aa5b-428d-b746-b746c53bb74c"]},{"id":"ITEM-8","itemData":{"ISSN":"1873-4286","PMID":"20166993","abstract":"The significance of cytoprotection and adaptive cytoprotection and the peptides importance remained to be not completely determined. BPC 157 is an anti-ulcer peptidergic agent, proven in clinical trials to be both safe in inflammatory bowel disease (PL-10, PLD-116, PL 14736) and wound healing, and stable in human gastric juice, with no toxicity being reported. It has a prominent effect on alcohol- lesions (i.e., induced acutely and chronically) and non-steroidal anti-inflammatory drugs-lesions (while interestingly BPC 157 may both prevent and reverse adjuvant arthritis). To review the importance of BPC 157, this review focused on Robert's cytoprotection concept described in rat stomach, reviewing our evidence that may resolve whether the cytoprotection and adaptive cytoprotection is an uniform phenomenon or not; whether the phenomenon or phenomena are endogenous or not, depending on nature of the irritants (mild or strong); whether this may contribute to stomach mucosa defense either when threaten by various ulcerogens or afforded by various antiulcer agents; whether these phenomena are uniform in whole gastrointestinal tract or not; whether they are interrelated or not. Finally, the importance of the cytoprotection phenomena and cytoprotection activity for skin wound healing, and wound healing in general was challenged. Thereby, this review focused on BPC 157 role in cytoprotection and adaptative cytoprotection suggesting that it may be the essential endogenous mediator able to mediate both cytoprotective and adaptive cytoprotective response in stomach and the whole gastrointestinal tract with significant importance in wound healing as well.","author":[{"dropping-particle":"","family":"Sikiric","given":"Predrag","non-dropping-particle":"","parse-names":false,"suffix":""},{"dropping-particle":"","family":"Seiwerth","given":"Sven","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container-title":"Current pharmaceutical design","id":"ITEM-8","issue":"10","issued":{"date-parts":[["2010"]]},"page":"1224-34","title":"Revised Robert's cytoprotection and adaptive cytoprotection and stable gastric pentadecapeptide BPC 157. Possible significance and implications for novel mediator.","type":"article-journal","volume":"16"},"uris":["http://www.mendeley.com/documents/?uuid=6164415b-2518-453f-82c4-4562e66e7572"]},{"id":"ITEM-9","itemData":{"DOI":"10.1007/s10787-006-1531-7","ISSN":"0925-4692","PMID":"17186181","abstract":"Gastric pentadecapeptide BPC 157 (GEPPPGKPADDAGLV, M.W. 1419, safe in clinical trials for inflammatory bowel disease (PL 10, PLD 116, PLD 14736, Pliva, Croatia)) has a particular cytoprotective/adaptive cytoprotective activity. The cytoprotective/adaptive cytoprotection researches largely neglect that stomach distension could per se jeopardize the mucosal integrity, with constantly stretched mucosa and blood vessels, and sphincters more prone for reflux induction. After absolute alcohol instillation in fully distended rat stomach, gastric, esophageal and duodenal lesions occur. Throughout next 3 min, left gastric artery blood vessels clearly disappear at the serosal site, indicative for loss of vessels both integrity and function. Contrary, constant vessels presentation could predict the beneficial effect of applied agent. After pentadecapeptide BPC 157 instillation into the stomach the vessels presentation remains constant, and lesions of stomach, esophagus, and duodenum are inhibited. Standards (atropine, ranitidine, omeprazole) could only slightly improve the vessels presentation compared to control values, and they have only a partial effect on the lesions. In this review we emphasize BPC 157 unusual stability, and some of its important effects: effectiveness against various lesions in gastrointestinal tract, on nitric oxide (NO)-system, and NO-agents effects, on somatosensory neurons, salivary glands function, recovery of AMP-ADP-ATP system, endothelium protection, effect on endothelin, and on angiogenesis promotion. It also antagonizes other alcohol effects, including acute and chronic intoxication. Given peripherally, it counteracts the consequence of central dopamine system disturbances (receptor blockade), and induces serotonin release in substantia nigra. Therapeutic potential of BPC 157 as a cytoprotective agent is also seen in its capability to heal various wounds. Given directly into the stomach, BPC 157 instantly recovers disturbed lower esophageal and pyloric sphincter pressure in rats after 12-20 months of untreated esophagitis. All these could be suggestive for its role as a natural protectant in gastric juice with particular function throughout stomach distension.","author":[{"dropping-particle":"","family":"Sikiric","given":"P","non-dropping-particle":"","parse-names":false,"suffix":""},{"dropping-particle":"","family":"Seiwerth","given":"S","non-dropping-particle":"","parse-names":false,"suffix":""},{"dropping-particle":"","family":"Brcic","given":"L","non-dropping-particle":"","parse-names":false,"suffix":""},{"dropping-particle":"","family":"Blagaic","given":"A B","non-dropping-particle":"","parse-names":false,"suffix":""},{"dropping-particle":"","family":"Zoricic","given":"I","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Keller","given":"N","non-dropping-particle":"","parse-names":false,"suffix":""},{"dropping-particle":"","family":"Sipos","given":"K","non-dropping-particle":"","parse-names":false,"suffix":""},{"dropping-particle":"","family":"Jakir","given":"A","non-dropping-particle":"","parse-names":false,"suffix":""},{"dropping-particle":"","family":"Udovicic","given":"M","non-dropping-particle":"","parse-names":false,"suffix":""},{"dropping-particle":"","family":"Tonkic","given":"A","non-dropping-particle":"","parse-names":false,"suffix":""},{"dropping-particle":"","family":"Kokic","given":"N","non-dropping-particle":"","parse-names":false,"suffix":""},{"dropping-particle":"","family":"Turkovic","given":"B","non-dropping-particle":"","parse-names":false,"suffix":""},{"dropping-particle":"","family":"Mise","given":"S","non-dropping-particle":"","parse-names":false,"suffix":""},{"dropping-particle":"","family":"Anic","given":"T","non-dropping-particle":"","parse-names":false,"suffix":""}],"container-title":"Inflammopharmacology","id":"ITEM-9","issue":"5-6","issued":{"date-parts":[["2006","12"]]},"page":"214-21","title":"Stable gastric pentadecapeptide BPC 157 in trials for inflammatory bowel disease (PL-10, PLD-116, PL 14736, Pliva, Croatia). Full and distended stomach, and vascular response.","type":"article-journal","volume":"14"},"uris":["http://www.mendeley.com/documents/?uuid=42aef3b5-c994-4583-beee-f11cd4b7859a"]},{"id":"ITEM-10","itemData":{"DOI":"10.1016/0928-4257(93)90038-U","ISSN":"0928-4257","PMID":"8298609","abstract":"The possibility that the stomach, affected by general stress, might initiate a counter-response has not until recently been considered in theories of stress. We suggest that the stomach, as the most sensitive part of the gastrointestinal tract and the largest neuroendocrine organ in the body, is crucial for the initiation of a full stress response against all noxious stress pathology. The end result would be a strong protection of all organs invaded by 'stress'. Consistent with this assumption, this coping response is best explained in terms of 'organoprotection'. Endogenous organoprotectors (eg prostaglandins, somatostatin, dopamine) are proposed as mediators. Such an endogenous counteraction could even be afforded by their suitable application. A new gastric juice peptide, M(r) 40,000, named BPC, was recently isolated. Herein, a 15 amino acid fragment (BPC 157), thought to be essential for its activity, has been fully characterized and investigated. As has been demonstrated for many organoprotective agents using different models of various tissue lesions, despite the poorly understood final mechanism, practically all organ systems appear to benefit from BPC activity. These effects have been achieved in many species using very low dosages (mostly microgram and ng/kg range) after ip, ig, and intramucosal (local) application. The effect was apparent already after one application. Long lasting activity was also demonstrated. BPC was highly effective when applied simultaneously with noxious agents or in already pathological, as well as chronical, conditions. Therefore, it seems that BPC treatment does not share any of the so far known limitations for 'conventional organoprotectors'. No influence on different basal parameters and no toxicity were observed. These findings provide a breakthrough in stress theory. BPC, as a possible endogenous free radical scavenger and organoprotection mediator, could be a useful prototype of a new class of drugs, organoprotective agents.","author":[{"dropping-particle":"","family":"Sikirić","given":"P.","non-dropping-particle":"","parse-names":false,"suffix":""},{"dropping-particle":"","family":"Petek","given":"M.","non-dropping-particle":"","parse-names":false,"suffix":""},{"dropping-particle":"","family":"Rucman","given":"R","non-dropping-particle":"","parse-names":false,"suffix":""},{"dropping-particle":"","family":"Seiwerth","given":"S.","non-dropping-particle":"","parse-names":false,"suffix":""},{"dropping-particle":"","family":"Grabarević","given":"Z.","non-dropping-particle":"","parse-names":false,"suffix":""},{"dropping-particle":"","family":"Rotkvić","given":"I.","non-dropping-particle":"","parse-names":false,"suffix":""},{"dropping-particle":"","family":"Turković","given":"B.","non-dropping-particle":"","parse-names":false,"suffix":""},{"dropping-particle":"","family":"Jagić","given":"V.","non-dropping-particle":"","parse-names":false,"suffix":""},{"dropping-particle":"","family":"Mildner","given":"B.","non-dropping-particle":"","parse-names":false,"suffix":""},{"dropping-particle":"","family":"Duvnjak","given":"M.","non-dropping-particle":"","parse-names":false,"suffix":""}],"container-title":"Journal of physiology, Paris","id":"ITEM-10","issue":"5","issued":{"date-parts":[["1993"]]},"page":"313-27","title":"A new gastric juice peptide, BPC. An overview of the stomach-stress-organoprotection hypothesis and beneficial effects of BPC.","type":"article-journal","volume":"87"},"uris":["http://www.mendeley.com/documents/?uuid=f738bbb1-8d16-31eb-a5d7-6f273100aa96"]}],"mendeley":{"formattedCitation":"&lt;sup&gt;[10–19]&lt;/sup&gt;","plainTextFormattedCitation":"[10–19]","previouslyFormattedCitation":"&lt;sup&gt;[10–19]&lt;/sup&gt;"},"properties":{"noteIndex":0},"schema":"https://github.com/citation-style-language/schema/raw/master/csl-citation.json"}</w:instrText>
      </w:r>
      <w:r w:rsidR="003A6A7D"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[10–19]</w:t>
      </w:r>
      <w:r w:rsidR="003A6A7D"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w:t>
      </w:r>
      <w:r w:rsidR="00B62926"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given parenterally or orally. </w:t>
      </w:r>
      <w:r w:rsidR="00395747" w:rsidRPr="00E47A42">
        <w:rPr>
          <w:rFonts w:ascii="Book Antiqua" w:hAnsi="Book Antiqua" w:cs="Times New Roman"/>
          <w:sz w:val="24"/>
          <w:szCs w:val="24"/>
          <w:lang w:val="en-US"/>
        </w:rPr>
        <w:t>Furthermore</w:t>
      </w:r>
      <w:r w:rsidRPr="00E47A42">
        <w:rPr>
          <w:rFonts w:ascii="Book Antiqua" w:hAnsi="Book Antiqua" w:cs="Times New Roman"/>
          <w:sz w:val="24"/>
          <w:szCs w:val="24"/>
          <w:lang w:val="en-US"/>
        </w:rPr>
        <w:t>, BPC 157 is known to counteract thrombosis</w:t>
      </w:r>
      <w:r w:rsidR="00C77680"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w:t>
      </w:r>
      <w:r w:rsidR="00111B7C" w:rsidRPr="00E47A42">
        <w:rPr>
          <w:rFonts w:ascii="Book Antiqua" w:hAnsi="Book Antiqua" w:cs="Times New Roman"/>
          <w:sz w:val="24"/>
          <w:szCs w:val="24"/>
          <w:lang w:val="en-US"/>
        </w:rPr>
        <w:t xml:space="preserve">not only </w:t>
      </w:r>
      <w:r w:rsidRPr="00E47A42">
        <w:rPr>
          <w:rFonts w:ascii="Book Antiqua" w:hAnsi="Book Antiqua" w:cs="Times New Roman"/>
          <w:sz w:val="24"/>
          <w:szCs w:val="24"/>
          <w:lang w:val="en-US"/>
        </w:rPr>
        <w:t>after abdominal aorta anastomosis</w:t>
      </w:r>
      <w:r w:rsidR="003E61D5"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{"citationItems":[{"id":"ITEM-1","itemData":{"ISSN":"1899-1505","PMID":"20388960","abstract":"We focused on abdominal aorta, clamped and transected bellow renal arteries, and aortic termino-terminal anastomosis created in Albino male rats. We suggested stomach cytoprotection theory holding endothelium protection and peptidergic anti-ulcer cytoprotection therapy to improve management of abdominal aorta anastomosis and thrombus formation. The stable gastric pentadecapeptide BPC 157 (GEPPPGKPADDAGLV, MW 1419) is a small anti-ulcer peptide efficient in inflammatory bowel disease trials (PL 14736) and various wound treatment, no toxicity reported. After 24 h following aortic termino-terminal anastomosis, we shown that BPC 157 (10 microg/kg) may also decrease formation of cloth after aortic termino-terminal anastomosis and preserved walking ability and muscle strength when given as a bath immediately after aortic anastomosis creation. This may be important since aortic termino-terminal anastomosis is normally presenting in rats with a formed cloth obstructing more than third of aortic lumen, severely impaired walking ability, painful screaming and weak muscle strength. Thereby, the effect of BPC 157 (10 microg/kg) was additionally studied at 24 h following aortic termino-terminal anastomosis. Given at the that point, intraperitoneally, within 3 minutes post-application interval the pentadecapeptide BPC 157 rapidly recovered the function of lower limbs and muscle strength while no cloth could be seen in those rats at the anastomosis site.","author":[{"dropping-particle":"","family":"Hrelec","given":"M.","non-dropping-particle":"","parse-names":false,"suffix":""},{"dropping-particle":"","family":"Klicek","given":"R.","non-dropping-particle":"","parse-names":false,"suffix":""},{"dropping-particle":"","family":"Brcic","given":"L","non-dropping-particle":"","parse-names":false,"suffix":""},{"dropping-particle":"","family":"Brcic","given":"I.","non-dropping-particle":"","parse-names":false,"suffix":""},{"dropping-particle":"","family":"Cvjetko","given":"I.","non-dropping-particle":"","parse-names":false,"suffix":""},{"dropping-particle":"","family":"Seiwerth","given":"S.","non-dropping-particle":"","parse-names":false,"suffix":""},{"dropping-particle":"","family":"Sikiric","given":"P.","non-dropping-particle":"","parse-names":false,"suffix":""}],"container-title":"Journal of physiology and pharmacology : an official journal of the Polish Physiological Society","id":"ITEM-1","issued":{"date-parts":[["2009","12"]]},"page":"161-5","title":"Abdominal aorta anastomosis in rats and stable gastric pentadecapeptide BPC 157, prophylaxis and therapy.","type":"article-journal","volume":"60 Suppl 7"},"uris":["http://www.mendeley.com/documents/?uuid=e70badf0-408d-3068-a1fe-6cb7fc7efdc2"]}],"mendeley":{"formattedCitation":"&lt;sup&gt;[41]&lt;/sup&gt;","plainTextFormattedCitation":"[41]","previouslyFormattedCitation":"&lt;sup&gt;[41]&lt;/sup&gt;"},"properties":{"noteIndex":0},"schema":"https://github.com/citation-style-language/schema/raw/master/csl-citation.json"}</w:instrText>
      </w:r>
      <w:r w:rsidR="003E61D5"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[41]</w:t>
      </w:r>
      <w:r w:rsidR="003E61D5"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or inferior </w:t>
      </w:r>
      <w:proofErr w:type="spellStart"/>
      <w:r w:rsidRPr="00E47A42">
        <w:rPr>
          <w:rFonts w:ascii="Book Antiqua" w:hAnsi="Book Antiqua" w:cs="Times New Roman"/>
          <w:sz w:val="24"/>
          <w:szCs w:val="24"/>
          <w:lang w:val="en-US"/>
        </w:rPr>
        <w:t>caval</w:t>
      </w:r>
      <w:proofErr w:type="spellEnd"/>
      <w:r w:rsidRPr="00E47A42">
        <w:rPr>
          <w:rFonts w:ascii="Book Antiqua" w:hAnsi="Book Antiqua" w:cs="Times New Roman"/>
          <w:sz w:val="24"/>
          <w:szCs w:val="24"/>
          <w:lang w:val="en-US"/>
        </w:rPr>
        <w:t xml:space="preserve"> vein ligation</w:t>
      </w:r>
      <w:r w:rsidR="003E61D5"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Pharmacology","id":"ITEM-1","issued":{"date-parts":[["2018"]]},"page":"54-66","title":"Rat inferior caval vein (ICV) ligature and particular new insights with the stable gastric pentadecapeptide BPC 157","type":"article-journal","volume":"106"},"uris":["http://www.mendeley.com/documents/?uuid=0d4e894c-6fc1-3bed-bb8f-4b56e696ff06"]}],"mendeley":{"formattedCitation":"&lt;sup&gt;[21]&lt;/sup&gt;","plainTextFormattedCitation":"[21]","previouslyFormattedCitation":"&lt;sup&gt;[21]&lt;/sup&gt;"},"properties":{"noteIndex":0},"schema":"https://github.com/citation-style-language/schema/raw/master/csl-citation.json"}</w:instrText>
      </w:r>
      <w:r w:rsidR="003E61D5"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[21]</w:t>
      </w:r>
      <w:r w:rsidR="003E61D5" w:rsidRPr="00E47A42">
        <w:rPr>
          <w:rFonts w:ascii="Book Antiqua" w:hAnsi="Book Antiqua" w:cs="Times New Roman"/>
          <w:sz w:val="24"/>
          <w:szCs w:val="24"/>
          <w:lang w:val="en-US"/>
        </w:rPr>
        <w:fldChar w:fldCharType="end"/>
      </w:r>
      <w:r w:rsidR="00C77680" w:rsidRPr="00E47A42">
        <w:rPr>
          <w:rFonts w:ascii="Book Antiqua" w:hAnsi="Book Antiqua" w:cs="Times New Roman"/>
          <w:sz w:val="24"/>
          <w:szCs w:val="24"/>
          <w:lang w:val="en-US"/>
        </w:rPr>
        <w:t>,</w:t>
      </w:r>
      <w:r w:rsidR="009346E7"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but also </w:t>
      </w:r>
      <w:r w:rsidR="00395747" w:rsidRPr="00E47A42">
        <w:rPr>
          <w:rFonts w:ascii="Book Antiqua" w:hAnsi="Book Antiqua" w:cs="Times New Roman"/>
          <w:sz w:val="24"/>
          <w:szCs w:val="24"/>
          <w:lang w:val="en-US"/>
        </w:rPr>
        <w:t xml:space="preserve">after </w:t>
      </w:r>
      <w:r w:rsidRPr="00E47A42">
        <w:rPr>
          <w:rFonts w:ascii="Book Antiqua" w:hAnsi="Book Antiqua" w:cs="Times New Roman"/>
          <w:sz w:val="24"/>
          <w:szCs w:val="24"/>
          <w:lang w:val="en-US"/>
        </w:rPr>
        <w:t>bleeding prolongation upon amputation and the administration of anticoagulants and aspirin</w:t>
      </w:r>
      <w:r w:rsidR="00B62926"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thromres.2011.07.035","ISSN":"00493848","author":[{"dropping-particle":"","family":"Stupnisek","given":"Mirjana","non-dropping-particle":"","parse-names":false,"suffix":""},{"dropping-particle":"","family":"Franjic","given":"Sandra","non-dropping-particle":"","parse-names":false,"suffix":""},{"dropping-particle":"","family":"Drmic","given":"Domagoj","non-dropping-particle":"","parse-names":false,"suffix":""},{"dropping-particle":"","family":"Hrelec","given":"Masa","non-dropping-particle":"","parse-names":false,"suffix":""},{"dropping-particle":"","family":"Kolenc","given":"Danijela","non-dropping-particle":"","parse-names":false,"suffix":""},{"dropping-particle":"","family":"Radic","given":"Bozo","non-dropping-particle":"","parse-names":false,"suffix":""},{"dropping-particle":"","family":"Bojic","given":"Davor","non-dropping-particle":"","parse-names":false,"suffix":""},{"dropping-particle":"","family":"Vcev","given":"Aleksandar","non-dropping-particle":"","parse-names":false,"suffix":""},{"dropping-particle":"","family":"Seiwerth","given":"Sven","non-dropping-particle":"","parse-names":false,"suffix":""},{"dropping-particle":"","family":"Sikiric","given":"Predrag","non-dropping-particle":"","parse-names":false,"suffix":""}],"container-title":"Thrombosis Research","id":"ITEM-1","issue":"5","issued":{"date-parts":[["2012","5"]]},"page":"652-659","title":"Pentadecapeptide BPC 157 reduces bleeding time and thrombocytopenia after amputation in rats treated with heparin, warfarin or aspirin","type":"article-journal","volume":"129"},"uris":["http://www.mendeley.com/documents/?uuid=bb95af62-4403-4eee-ac11-2bc57c640536"]},{"id":"ITEM-2","itemData":{"DOI":"10.1371/journal.pone.0123454","ISSN":"1932-6203","author":[{"dropping-particle":"","family":"Stupnisek","given":"Mirjana","non-dropping-particle":"","parse-names":false,"suffix":""},{"dropping-particle":"","family":"Kokot","given":"Antonio","non-dropping-particle":"","parse-names":false,"suffix":""},{"dropping-particle":"","family":"Drmic","given":"Domagoj","non-dropping-particle":"","parse-names":false,"suffix":""},{"dropping-particle":"","family":"Hrelec Patrlj","given":"Masa","non-dropping-particle":"","parse-names":false,"suffix":""},{"dropping-particle":"","family":"Zenko Sever","given":"Anita","non-dropping-particle":"","parse-names":false,"suffix":""},{"dropping-particle":"","family":"Kolenc","given":"Danijela","non-dropping-particle":"","parse-names":false,"suffix":""},{"dropping-particle":"","family":"Radic","given":"Bozo","non-dropping-particle":"","parse-names":false,"suffix":""},{"dropping-particle":"","family":"Suran","given":"Jelena","non-dropping-particle":"","parse-names":false,"suffix":""},{"dropping-particle":"","family":"Bojic","given":"Davor","non-dropping-particle":"","parse-names":false,"suffix":""},{"dropping-particle":"","family":"Vcev","given":"Aleksandar","non-dropping-particle":"","parse-names":false,"suffix":""},{"dropping-particle":"","family":"Seiwerth","given":"Sven","non-dropping-particle":"","parse-names":false,"suffix":""},{"dropping-particle":"","family":"Sikiric","given":"Predrag","non-dropping-particle":"","parse-names":false,"suffix":""}],"container-title":"PLOS ONE","editor":[{"dropping-particle":"","family":"Yu","given":"Jun","non-dropping-particle":"","parse-names":false,"suffix":""}],"id":"ITEM-2","issue":"4","issued":{"date-parts":[["2015","4","21"]]},"page":"e0123454","title":"Pentadecapeptide BPC 157 Reduces Bleeding and Thrombocytopenia after Amputation in Rats Treated with Heparin, Warfarin, L-NAME and L-Arginine","type":"article-journal","volume":"10"},"uris":["http://www.mendeley.com/documents/?uuid=5b43fc49-e4f1-4278-be61-83d97a236221"]}],"mendeley":{"formattedCitation":"&lt;sup&gt;[42,43]&lt;/sup&gt;","plainTextFormattedCitation":"[42,43]","previouslyFormattedCitation":"&lt;sup&gt;[42,43]&lt;/sup&gt;"},"properties":{"noteIndex":0},"schema":"https://github.com/citation-style-language/schema/raw/master/csl-citation.json"}</w:instrText>
      </w:r>
      <w:r w:rsidR="00B62926"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[42,43]</w:t>
      </w:r>
      <w:r w:rsidR="00B62926" w:rsidRPr="00E47A42">
        <w:rPr>
          <w:rFonts w:ascii="Book Antiqua" w:hAnsi="Book Antiqua" w:cs="Times New Roman"/>
          <w:sz w:val="24"/>
          <w:szCs w:val="24"/>
          <w:lang w:val="en-US"/>
        </w:rPr>
        <w:fldChar w:fldCharType="end"/>
      </w:r>
      <w:r w:rsidR="001846EF"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or inferior </w:t>
      </w:r>
      <w:proofErr w:type="spellStart"/>
      <w:r w:rsidRPr="00E47A42">
        <w:rPr>
          <w:rFonts w:ascii="Book Antiqua" w:hAnsi="Book Antiqua" w:cs="Times New Roman"/>
          <w:sz w:val="24"/>
          <w:szCs w:val="24"/>
          <w:lang w:val="en-US"/>
        </w:rPr>
        <w:t>caval</w:t>
      </w:r>
      <w:proofErr w:type="spellEnd"/>
      <w:r w:rsidRPr="00E47A42">
        <w:rPr>
          <w:rFonts w:ascii="Book Antiqua" w:hAnsi="Book Antiqua" w:cs="Times New Roman"/>
          <w:sz w:val="24"/>
          <w:szCs w:val="24"/>
          <w:lang w:val="en-US"/>
        </w:rPr>
        <w:t xml:space="preserve"> vein ligation</w:t>
      </w:r>
      <w:r w:rsidR="00B62926"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Pharmacology","id":"ITEM-1","issued":{"date-parts":[["2018"]]},"page":"54-66","title":"Rat inferior caval vein (ICV) ligature and particular new insights with the stable gastric pentadecapeptide BPC 157","type":"article-journal","volume":"106"},"uris":["http://www.mendeley.com/documents/?uuid=0d4e894c-6fc1-3bed-bb8f-4b56e696ff06"]}],"mendeley":{"formattedCitation":"&lt;sup&gt;[21]&lt;/sup&gt;","plainTextFormattedCitation":"[21]","previouslyFormattedCitation":"&lt;sup&gt;[21]&lt;/sup&gt;"},"properties":{"noteIndex":0},"schema":"https://github.com/citation-style-language/schema/raw/master/csl-citation.json"}</w:instrText>
      </w:r>
      <w:r w:rsidR="00B62926"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[21]</w:t>
      </w:r>
      <w:r w:rsidR="00B62926" w:rsidRPr="00E47A42">
        <w:rPr>
          <w:rFonts w:ascii="Book Antiqua" w:hAnsi="Book Antiqua" w:cs="Times New Roman"/>
          <w:sz w:val="24"/>
          <w:szCs w:val="24"/>
          <w:lang w:val="en-US"/>
        </w:rPr>
        <w:fldChar w:fldCharType="end"/>
      </w:r>
      <w:r w:rsidR="0024515D"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w:t>
      </w:r>
      <w:r w:rsidR="00111B7C" w:rsidRPr="00E47A42">
        <w:rPr>
          <w:rFonts w:ascii="Book Antiqua" w:hAnsi="Book Antiqua" w:cs="Times New Roman"/>
          <w:sz w:val="24"/>
          <w:szCs w:val="24"/>
          <w:lang w:val="en-US"/>
        </w:rPr>
        <w:t>This</w:t>
      </w:r>
      <w:r w:rsidRPr="00E47A42">
        <w:rPr>
          <w:rFonts w:ascii="Book Antiqua" w:hAnsi="Book Antiqua" w:cs="Times New Roman"/>
          <w:sz w:val="24"/>
          <w:szCs w:val="24"/>
          <w:lang w:val="en-US"/>
        </w:rPr>
        <w:t xml:space="preserve"> effect </w:t>
      </w:r>
      <w:r w:rsidR="00111B7C" w:rsidRPr="00E47A42">
        <w:rPr>
          <w:rFonts w:ascii="Book Antiqua" w:hAnsi="Book Antiqua" w:cs="Times New Roman"/>
          <w:sz w:val="24"/>
          <w:szCs w:val="24"/>
          <w:lang w:val="en-US"/>
        </w:rPr>
        <w:t xml:space="preserve">is </w:t>
      </w:r>
      <w:r w:rsidRPr="00E47A42">
        <w:rPr>
          <w:rFonts w:ascii="Book Antiqua" w:hAnsi="Book Antiqua" w:cs="Times New Roman"/>
          <w:sz w:val="24"/>
          <w:szCs w:val="24"/>
          <w:lang w:val="en-US"/>
        </w:rPr>
        <w:t>related to its endothelial maintenance</w:t>
      </w:r>
      <w:r w:rsidR="00A75220"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thromres.2011.07.035","ISSN":"00493848","author":[{"dropping-particle":"","family":"Stupnisek","given":"Mirjana","non-dropping-particle":"","parse-names":false,"suffix":""},{"dropping-particle":"","family":"Franjic","given":"Sandra","non-dropping-particle":"","parse-names":false,"suffix":""},{"dropping-particle":"","family":"Drmic","given":"Domagoj","non-dropping-particle":"","parse-names":false,"suffix":""},{"dropping-particle":"","family":"Hrelec","given":"Masa","non-dropping-particle":"","parse-names":false,"suffix":""},{"dropping-particle":"","family":"Kolenc","given":"Danijela","non-dropping-particle":"","parse-names":false,"suffix":""},{"dropping-particle":"","family":"Radic","given":"Bozo","non-dropping-particle":"","parse-names":false,"suffix":""},{"dropping-particle":"","family":"Bojic","given":"Davor","non-dropping-particle":"","parse-names":false,"suffix":""},{"dropping-particle":"","family":"Vcev","given":"Aleksandar","non-dropping-particle":"","parse-names":false,"suffix":""},{"dropping-particle":"","family":"Seiwerth","given":"Sven","non-dropping-particle":"","parse-names":false,"suffix":""},{"dropping-particle":"","family":"Sikiric","given":"Predrag","non-dropping-particle":"","parse-names":false,"suffix":""}],"container-title":"Thrombosis Research","id":"ITEM-1","issue":"5","issued":{"date-parts":[["2012","5"]]},"page":"652-659","title":"Pentadecapeptide BPC 157 reduces bleeding time and thrombocytopenia after amputation in rats treated with heparin, warfarin or aspirin","type":"article-journal","volume":"129"},"uris":["http://www.mendeley.com/documents/?uuid=bb95af62-4403-4eee-ac11-2bc57c640536"]},{"id":"ITEM-2","itemData":{"DOI":"10.1371/journal.pone.0123454","ISSN":"1932-6203","author":[{"dropping-particle":"","family":"Stupnisek","given":"Mirjana","non-dropping-particle":"","parse-names":false,"suffix":""},{"dropping-particle":"","family":"Kokot","given":"Antonio","non-dropping-particle":"","parse-names":false,"suffix":""},{"dropping-particle":"","family":"Drmic","given":"Domagoj","non-dropping-particle":"","parse-names":false,"suffix":""},{"dropping-particle":"","family":"Hrelec Patrlj","given":"Masa","non-dropping-particle":"","parse-names":false,"suffix":""},{"dropping-particle":"","family":"Zenko Sever","given":"Anita","non-dropping-particle":"","parse-names":false,"suffix":""},{"dropping-particle":"","family":"Kolenc","given":"Danijela","non-dropping-particle":"","parse-names":false,"suffix":""},{"dropping-particle":"","family":"Radic","given":"Bozo","non-dropping-particle":"","parse-names":false,"suffix":""},{"dropping-particle":"","family":"Suran","given":"Jelena","non-dropping-particle":"","parse-names":false,"suffix":""},{"dropping-particle":"","family":"Bojic","given":"Davor","non-dropping-particle":"","parse-names":false,"suffix":""},{"dropping-particle":"","family":"Vcev","given":"Aleksandar","non-dropping-particle":"","parse-names":false,"suffix":""},{"dropping-particle":"","family":"Seiwerth","given":"Sven","non-dropping-particle":"","parse-names":false,"suffix":""},{"dropping-particle":"","family":"Sikiric","given":"Predrag","non-dropping-particle":"","parse-names":false,"suffix":""}],"container-title":"PLOS ONE","editor":[{"dropping-particle":"","family":"Yu","given":"Jun","non-dropping-particle":"","parse-names":false,"suffix":""}],"id":"ITEM-2","issue":"4","issued":{"date-parts":[["2015","4","21"]]},"page":"e0123454","title":"Pentadecapeptide BPC 157 Reduces Bleeding and Thrombocytopenia after Amputation in Rats Treated with Heparin, Warfarin, L-NAME and L-Arginine","type":"article-journal","volume":"10"},"uris":["http://www.mendeley.com/documents/?uuid=5b43fc49-e4f1-4278-be61-83d97a236221"]},{"id":"ITEM-3","itemData":{"DOI":"10.1016/j.vph.2018.02.010","ISSN":"18793649","abstract":"©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Pharmacology","id":"ITEM-3","issued":{"date-parts":[["2018"]]},"page":"54-66","title":"Rat inferior caval vein (ICV) ligature and particular new insights with the stable gastric pentadecapeptide BPC 157","type":"article-journal","volume":"106"},"uris":["http://www.mendeley.com/documents/?uuid=0d4e894c-6fc1-3bed-bb8f-4b56e696ff06"]},{"id":"ITEM-4","itemData":{"ISSN":"1899-1505","PMID":"20388960","abstract":"We focused on abdominal aorta, clamped and transected bellow renal arteries, and aortic termino-terminal anastomosis created in Albino male rats. We suggested stomach cytoprotection theory holding endothelium protection and peptidergic anti-ulcer cytoprotection therapy to improve management of abdominal aorta anastomosis and thrombus formation. The stable gastric pentadecapeptide BPC 157 (GEPPPGKPADDAGLV, MW 1419) is a small anti-ulcer peptide efficient in inflammatory bowel disease trials (PL 14736) and various wound treatment, no toxicity reported. After 24 h following aortic termino-terminal anastomosis, we shown that BPC 157 (10 microg/kg) may also decrease formation of cloth after aortic termino-terminal anastomosis and preserved walking ability and muscle strength when given as a bath immediately after aortic anastomosis creation. This may be important since aortic termino-terminal anastomosis is normally presenting in rats with a formed cloth obstructing more than third of aortic lumen, severely impaired walking ability, painful screaming and weak muscle strength. Thereby, the effect of BPC 157 (10 microg/kg) was additionally studied at 24 h following aortic termino-terminal anastomosis. Given at the that point, intraperitoneally, within 3 minutes post-application interval the pentadecapeptide BPC 157 rapidly recovered the function of lower limbs and muscle strength while no cloth could be seen in those rats at the anastomosis site.","author":[{"dropping-particle":"","family":"Hrelec","given":"M.","non-dropping-particle":"","parse-names":false,"suffix":""},{"dropping-particle":"","family":"Klicek","given":"R.","non-dropping-particle":"","parse-names":false,"suffix":""},{"dropping-particle":"","family":"Brcic","given":"L","non-dropping-particle":"","parse-names":false,"suffix":""},{"dropping-particle":"","family":"Brcic","given":"I.","non-dropping-particle":"","parse-names":false,"suffix":""},{"dropping-particle":"","family":"Cvjetko","given":"I.","non-dropping-particle":"","parse-names":false,"suffix":""},{"dropping-particle":"","family":"Seiwerth","given":"S.","non-dropping-particle":"","parse-names":false,"suffix":""},{"dropping-particle":"","family":"Sikiric","given":"P.","non-dropping-particle":"","parse-names":false,"suffix":""}],"container-title":"Journal of physiology and pharmacology : an official journal of the Polish Physiological Society","id":"ITEM-4","issued":{"date-parts":[["2009","12"]]},"page":"161-5","title":"Abdominal aorta anastomosis in rats and stable gastric pentadecapeptide BPC 157, prophylaxis and therapy.","type":"article-journal","volume":"60 Suppl 7"},"uris":["http://www.mendeley.com/documents/?uuid=e70badf0-408d-3068-a1fe-6cb7fc7efdc2"]}],"mendeley":{"formattedCitation":"&lt;sup&gt;[21,41–43]&lt;/sup&gt;","plainTextFormattedCitation":"[21,41–43]","previouslyFormattedCitation":"&lt;sup&gt;[21,41–43]&lt;/sup&gt;"},"properties":{"noteIndex":0},"schema":"https://github.com/citation-style-language/schema/raw/master/csl-citation.json"}</w:instrText>
      </w:r>
      <w:r w:rsidR="00A75220"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[21,41–43]</w:t>
      </w:r>
      <w:r w:rsidR="00A75220" w:rsidRPr="00E47A42">
        <w:rPr>
          <w:rFonts w:ascii="Book Antiqua" w:hAnsi="Book Antiqua" w:cs="Times New Roman"/>
          <w:sz w:val="24"/>
          <w:szCs w:val="24"/>
          <w:lang w:val="en-US"/>
        </w:rPr>
        <w:fldChar w:fldCharType="end"/>
      </w:r>
      <w:r w:rsidR="00B62926"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and its interaction with the NO system, </w:t>
      </w:r>
      <w:r w:rsidR="00C77680" w:rsidRPr="00E47A42">
        <w:rPr>
          <w:rFonts w:ascii="Book Antiqua" w:hAnsi="Book Antiqua" w:cs="Times New Roman"/>
          <w:sz w:val="24"/>
          <w:szCs w:val="24"/>
          <w:lang w:val="en-US"/>
        </w:rPr>
        <w:t>which provides the counteraction of both the</w:t>
      </w:r>
      <w:r w:rsidRPr="00E47A42">
        <w:rPr>
          <w:rFonts w:ascii="Book Antiqua" w:hAnsi="Book Antiqua" w:cs="Times New Roman"/>
          <w:sz w:val="24"/>
          <w:szCs w:val="24"/>
          <w:lang w:val="en-US"/>
        </w:rPr>
        <w:t xml:space="preserve"> opposite effect</w:t>
      </w:r>
      <w:r w:rsidR="00C77680" w:rsidRPr="00E47A42">
        <w:rPr>
          <w:rFonts w:ascii="Book Antiqua" w:hAnsi="Book Antiqua" w:cs="Times New Roman"/>
          <w:sz w:val="24"/>
          <w:szCs w:val="24"/>
          <w:lang w:val="en-US"/>
        </w:rPr>
        <w:t>s</w:t>
      </w:r>
      <w:r w:rsidRPr="00E47A42">
        <w:rPr>
          <w:rFonts w:ascii="Book Antiqua" w:hAnsi="Book Antiqua" w:cs="Times New Roman"/>
          <w:sz w:val="24"/>
          <w:szCs w:val="24"/>
          <w:lang w:val="en-US"/>
        </w:rPr>
        <w:t xml:space="preserve"> of L-NAME (prothrombotic) and L-arginine (antithrombotic) application</w:t>
      </w:r>
      <w:r w:rsidR="00A75220"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10.1371/journal.pone.0123454","ISSN":"1932-6203","author":[{"dropping-particle":"","family":"Stupnisek","given":"Mirjana","non-dropping-particle":"","parse-names":false,"suffix":""},{"dropping-particle":"","family":"Kokot","given":"Antonio","non-dropping-particle":"","parse-names":false,"suffix":""},{"dropping-particle":"","family":"Drmic","given":"Domagoj","non-dropping-particle":"","parse-names":false,"suffix":""},{"dropping-particle":"","family":"Hrelec Patrlj","given":"Masa","non-dropping-particle":"","parse-names":false,"suffix":""},{"dropping-particle":"","family":"Zenko Sever","given":"Anita","non-dropping-particle":"","parse-names":false,"suffix":""},{"dropping-particle":"","family":"Kolenc","given":"Danijela","non-dropping-particle":"","parse-names":false,"suffix":""},{"dropping-particle":"","family":"Radic","given":"Bozo","non-dropping-particle":"","parse-names":false,"suffix":""},{"dropping-particle":"","family":"Suran","given":"Jelena","non-dropping-particle":"","parse-names":false,"suffix":""},{"dropping-particle":"","family":"Bojic","given":"Davor","non-dropping-particle":"","parse-names":false,"suffix":""},{"dropping-particle":"","family":"Vcev","given":"Aleksandar","non-dropping-particle":"","parse-names":false,"suffix":""},{"dropping-particle":"","family":"Seiwerth","given":"Sven","non-dropping-particle":"","parse-names":false,"suffix":""},{"dropping-particle":"","family":"Sikiric","given":"Predrag","non-dropping-particle":"","parse-names":false,"suffix":""}],"container-title":"PLOS ONE","editor":[{"dropping-particle":"","family":"Yu","given":"Jun","non-dropping-particle":"","parse-names":false,"suffix":""}],"id":"ITEM-1","issue":"4","issued":{"date-parts":[["2015","4","21"]]},"page":"e0123454","title":"Pentadecapeptide BPC 157 Reduces Bleeding and Thrombocytopenia after Amputation in Rats Treated with Heparin, Warfarin, L-NAME and L-Arginine","type":"article-journal","volume":"10"},"uris":["http://www.mendeley.com/documents/?uuid=5b43fc49-e4f1-4278-be61-83d97a236221"]}],"mendeley":{"formattedCitation":"&lt;sup&gt;[43]&lt;/sup&gt;","plainTextFormattedCitation":"[43]","previouslyFormattedCitation":"&lt;sup&gt;[43]&lt;/sup&gt;"},"properties":{"noteIndex":0},"schema":"https://github.com/citation-style-language/schema/raw/master/csl-citation.json"}</w:instrText>
      </w:r>
      <w:r w:rsidR="00A75220"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[43]</w:t>
      </w:r>
      <w:r w:rsidR="00A75220"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Otherwise, bleeding from the perforated lesion and perforated lesion outcome might be complicated with these innate L-NAME and NOS substrate L-arginine effects</w:t>
      </w:r>
      <w:r w:rsidR="00A75220"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10.1371/journal.pone.0123454","ISSN":"1932-6203","author":[{"dropping-particle":"","family":"Stupnisek","given":"Mirjana","non-dropping-particle":"","parse-names":false,"suffix":""},{"dropping-particle":"","family":"Kokot","given":"Antonio","non-dropping-particle":"","parse-names":false,"suffix":""},{"dropping-particle":"","family":"Drmic","given":"Domagoj","non-dropping-particle":"","parse-names":false,"suffix":""},{"dropping-particle":"","family":"Hrelec Patrlj","given":"Masa","non-dropping-particle":"","parse-names":false,"suffix":""},{"dropping-particle":"","family":"Zenko Sever","given":"Anita","non-dropping-particle":"","parse-names":false,"suffix":""},{"dropping-particle":"","family":"Kolenc","given":"Danijela","non-dropping-particle":"","parse-names":false,"suffix":""},{"dropping-particle":"","family":"Radic","given":"Bozo","non-dropping-particle":"","parse-names":false,"suffix":""},{"dropping-particle":"","family":"Suran","given":"Jelena","non-dropping-particle":"","parse-names":false,"suffix":""},{"dropping-particle":"","family":"Bojic","given":"Davor","non-dropping-particle":"","parse-names":false,"suffix":""},{"dropping-particle":"","family":"Vcev","given":"Aleksandar","non-dropping-particle":"","parse-names":false,"suffix":""},{"dropping-particle":"","family":"Seiwerth","given":"Sven","non-dropping-particle":"","parse-names":false,"suffix":""},{"dropping-particle":"","family":"Sikiric","given":"Predrag","non-dropping-particle":"","parse-names":false,"suffix":""}],"container-title":"PLOS ONE","editor":[{"dropping-particle":"","family":"Yu","given":"Jun","non-dropping-particle":"","parse-names":false,"suffix":""}],"id":"ITEM-1","issue":"4","issued":{"date-parts":[["2015","4","21"]]},"page":"e0123454","title":"Pentadecapeptide BPC 157 Reduces Bleeding and Thrombocytopenia after Amputation in Rats Treated with Heparin, Warfarin, L-NAME and L-Arginine","type":"article-journal","volume":"10"},"uris":["http://www.mendeley.com/documents/?uuid=5b43fc49-e4f1-4278-be61-83d97a236221"]}],"mendeley":{"formattedCitation":"&lt;sup&gt;[43]&lt;/sup&gt;","plainTextFormattedCitation":"[43]","previouslyFormattedCitation":"&lt;sup&gt;[43]&lt;/sup&gt;"},"properties":{"noteIndex":0},"schema":"https://github.com/citation-style-language/schema/raw/master/csl-citation.json"}</w:instrText>
      </w:r>
      <w:r w:rsidR="00A75220"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[43]</w:t>
      </w:r>
      <w:r w:rsidR="00A75220"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w:t>
      </w:r>
    </w:p>
    <w:p w14:paraId="56F84B36" w14:textId="4327A82E" w:rsidR="00E05F1C" w:rsidRPr="00E47A42" w:rsidRDefault="00E05F1C" w:rsidP="00F73ADC">
      <w:pPr>
        <w:snapToGrid w:val="0"/>
        <w:spacing w:after="0"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 xml:space="preserve">In practice, as </w:t>
      </w:r>
      <w:r w:rsidR="00395747" w:rsidRPr="00E47A42">
        <w:rPr>
          <w:rFonts w:ascii="Book Antiqua" w:hAnsi="Book Antiqua" w:cs="Times New Roman"/>
          <w:sz w:val="24"/>
          <w:szCs w:val="24"/>
          <w:lang w:val="en-US"/>
        </w:rPr>
        <w:t>described previously</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our approach to cure </w:t>
      </w:r>
      <w:r w:rsidR="00820646" w:rsidRPr="00E47A42">
        <w:rPr>
          <w:rFonts w:ascii="Book Antiqua" w:hAnsi="Book Antiqua" w:cs="Times New Roman"/>
          <w:sz w:val="24"/>
          <w:szCs w:val="24"/>
          <w:lang w:val="en-US"/>
        </w:rPr>
        <w:t xml:space="preserve">a </w:t>
      </w:r>
      <w:r w:rsidRPr="00E47A42">
        <w:rPr>
          <w:rFonts w:ascii="Book Antiqua" w:hAnsi="Book Antiqua" w:cs="Times New Roman"/>
          <w:sz w:val="24"/>
          <w:szCs w:val="24"/>
          <w:lang w:val="en-US"/>
        </w:rPr>
        <w:t>perforated</w:t>
      </w:r>
      <w:r w:rsidR="00CB6D86">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cecum </w:t>
      </w:r>
      <w:r w:rsidR="00111B7C" w:rsidRPr="00E47A42">
        <w:rPr>
          <w:rFonts w:ascii="Book Antiqua" w:hAnsi="Book Antiqua" w:cs="Times New Roman"/>
          <w:sz w:val="24"/>
          <w:szCs w:val="24"/>
          <w:lang w:val="en-US"/>
        </w:rPr>
        <w:t xml:space="preserve">begins </w:t>
      </w:r>
      <w:r w:rsidRPr="00E47A42">
        <w:rPr>
          <w:rFonts w:ascii="Book Antiqua" w:hAnsi="Book Antiqua" w:cs="Times New Roman"/>
          <w:sz w:val="24"/>
          <w:szCs w:val="24"/>
          <w:lang w:val="en-US"/>
        </w:rPr>
        <w:t xml:space="preserve">with the original understanding of stomach </w:t>
      </w:r>
      <w:proofErr w:type="spellStart"/>
      <w:r w:rsidRPr="00E47A42">
        <w:rPr>
          <w:rFonts w:ascii="Book Antiqua" w:hAnsi="Book Antiqua" w:cs="Times New Roman"/>
          <w:sz w:val="24"/>
          <w:szCs w:val="24"/>
          <w:lang w:val="en-US"/>
        </w:rPr>
        <w:t>cytoprotection</w:t>
      </w:r>
      <w:proofErr w:type="spellEnd"/>
      <w:r w:rsidRPr="00E47A42">
        <w:rPr>
          <w:rFonts w:ascii="Book Antiqua" w:hAnsi="Book Antiqua" w:cs="Times New Roman"/>
          <w:sz w:val="24"/>
          <w:szCs w:val="24"/>
          <w:lang w:val="en-US"/>
        </w:rPr>
        <w:t xml:space="preserve"> (a very rapid protection of the stomach endothelium and epithelium against diverse direct injuries</w:t>
      </w:r>
      <w:r w:rsidR="00A93238"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endothelium maintenance → epithelium maintenance</w:t>
      </w:r>
      <w:r w:rsidR="0024515D" w:rsidRPr="00E47A42">
        <w:rPr>
          <w:rFonts w:ascii="Book Antiqua" w:hAnsi="Book Antiqua" w:cs="Times New Roman"/>
          <w:sz w:val="24"/>
          <w:szCs w:val="24"/>
          <w:lang w:val="en-US"/>
        </w:rPr>
        <w:t>)</w:t>
      </w:r>
      <w:r w:rsidRPr="00E47A42">
        <w:rPr>
          <w:rFonts w:ascii="Book Antiqua" w:hAnsi="Book Antiqua" w:cs="Times New Roman"/>
          <w:sz w:val="24"/>
          <w:szCs w:val="24"/>
          <w:lang w:val="en-US"/>
        </w:rPr>
        <w:t>, regularly shown with cytoprotective agents</w:t>
      </w:r>
      <w:r w:rsidR="003A6A7D"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{"citationItems":[{"id":"ITEM-1","itemData":{"ISSN":"0016-5085","PMID":"38173","author":[{"dropping-particle":"","family":"Robert","given":"A","non-dropping-particle":"","parse-names":false,"suffix":""}],"container-title":"Gastroenterology","id":"ITEM-1","issue":"4 Pt 1","issued":{"date-parts":[["1979","10"]]},"page":"761-7","title":"Cytoprotection by prostaglandins.","type":"article-journal","volume":"77"},"uris":["http://www.mendeley.com/documents/?uuid=49342c62-22fb-4e9e-8e1d-0c66f6f8fd98"]},{"id":"ITEM-2","itemData":{"DOI":"10.1016/0024-3205(94)00796-9","ISSN":"00243205","abstract":"The protection of stomach and duodenum in conjecture with anti-inflammatory effect was demonstrated for a novel 15 amino acid peptide, coded BPC 157, a fragment of the recently discovered gastric juice peptide BPC. BPC 157 (i.p./i.g.) was investigated in rats in comparison with several reference standards in three experimental ulcer models (48 h-restriant stress, subcutaneous cysteamine, intragastrical 96% ethanol ulcer tests) (pre-/co-/post-treatment). Only BPC 157 regimes were consistently effective in all of the tested models. On the other hand, bromocriptine, amantadine, famotidine, cimetidine and somatostatin were in effective (restraint stress). A dose-dependent protection (cysteamine) and/or partial positive effect (related to treatment conditions) (ethanol), was obtained with glucagon, NPY and secretin whereas CCK/26- 30/ was not effective. Based on Monastral blue studies BPC 157 beneficial effect appears to be related to a strong endothelial protection. © 1993.","author":[{"dropping-particle":"","family":"Sikiric","given":"P.","non-dropping-particle":"","parse-names":false,"suffix":""},{"dropping-particle":"","family":"Seiwerth","given":"S.","non-dropping-particle":"","parse-names":false,"suffix":""},{"dropping-particle":"","family":"Grabarevic","given":"Z.","non-dropping-particle":"","parse-names":false,"suffix":""},{"dropping-particle":"","family":"Petek","given":"M.","non-dropping-particle":"","parse-names":false,"suffix":""},{"dropping-particle":"","family":"Rucman","given":"R.","non-dropping-particle":"","parse-names":false,"suffix":""},{"dropping-particle":"","family":"Turkovic","given":"B.","non-dropping-particle":"","parse-names":false,"suffix":""},{"dropping-particle":"","family":"Rotkvic","given":"I.","non-dropping-particle":"","parse-names":false,"suffix":""},{"dropping-particle":"","family":"Jagic","given":"V.","non-dropping-particle":"","parse-names":false,"suffix":""},{"dropping-particle":"","family":"Duvnjak","given":"M.","non-dropping-particle":"","parse-names":false,"suffix":""},{"dropping-particle":"","family":"Mise","given":"S.","non-dropping-particle":"","parse-names":false,"suffix":""},{"dropping-particle":"","family":"Djacic","given":"S.","non-dropping-particle":"","parse-names":false,"suffix":""},{"dropping-particle":"","family":"Separovic","given":"J.","non-dropping-particle":"","parse-names":false,"suffix":""},{"dropping-particle":"","family":"Veljaca","given":"M.","non-dropping-particle":"","parse-names":false,"suffix":""},{"dropping-particle":"","family":"Sallmani","given":"A.","non-dropping-particle":"","parse-names":false,"suffix":""},{"dropping-particle":"","family":"Banic","given":"M.","non-dropping-particle":"","parse-names":false,"suffix":""},{"dropping-particle":"","family":"Brkic","given":"T.","non-dropping-particle":"","parse-names":false,"suffix":""}],"container-title":"Life Sciences","id":"ITEM-2","issue":"5","issued":{"date-parts":[["1994"]]},"title":"The beneficial effect of BPC 157, a 15 amino acid peptide BPC fragment, on gastric and duodenal lesions induced by restraint stress, cysteamine and 96% ethanol in rats. A comparative study with H&lt;inf&gt;2&lt;/inf&gt; receptor antagonists, dopamine promotors and gu","type":"article-journal","volume":"54"},"uris":["http://www.mendeley.com/documents/?uuid=72c1326c-4932-3348-bdfb-2924965ab9c5"]},{"id":"ITEM-3","itemData":{"DOI":"10.1007/978-1-4684-5697-4","ISBN":"978-1-4684-5699-8","author":[{"dropping-particle":"","family":"Szabo","given":"Sandor","non-dropping-particle":"","parse-names":false,"suffix":""}],"container-title":"Gastric cytoprotection. A clinician's guide","edition":"1. st","editor":[{"dropping-particle":"","family":"Hollander","given":"Daniel","non-dropping-particle":"","parse-names":false,"suffix":""},{"dropping-particle":"","family":"Tarnawski","given":"Andrzej S.","non-dropping-particle":"","parse-names":false,"suffix":""}],"id":"ITEM-3","issued":{"date-parts":[["1989"]]},"number-of-pages":"49-90","publisher":"Springer US","publisher-place":"Boston, MA","title":"Gastric Cytoprotection","type":"book"},"uris":["http://www.mendeley.com/documents/?uuid=b6143da9-cfd4-4cc4-9ba5-11dff6b9ff7e"]},{"id":"ITEM-4","itemData":{"ISSN":"0016-5085","PMID":"3871087","abstract":"The hypothesis that vascular injury contributes to the development of hemorrhagic erosions after intragastric administration of ethanol has been examined in the rat using vascular tracers. Extravasation of intravenously injected Evans blue into the gastric wall and into gastric contents was used as an indicator of vascular permeability. India ink and monastral blue, which label damaged blood vessels, were used to demonstrate vascular injury morphologically. Intragastric instillation of 75% and 100% ethanol induced increased vascular permeability within 1-3 min and resulted in monastral blue labeling of vessels in 13% and 17%, respectively, of the glandular mucosa within 1 min. After 1 h of 100% ethanol exposure, the areal density of monastral blue-stained blood vessels did not increase compared with that seen at 1 min, but the areal density of grossly visible hemorrhagic lesions increased strikingly and approximated that of vessel staining. The hemorrhagic erosions consistently occurred in regions of glandular mucosa where vessels were stained with monastral blue. Pretreatment with prostaglandin F2 beta or cysteamine reduced ethanol-induced Evans blue extravasation and monastral blue staining of mucosal blood vessels but did not reduce histologic evidence of gastric surface cell damage in the glandular mucosa. As increased vascular permeability and morphologically detectable vascular lesions consistently preceded the development of grossly visible hemorrhagic erosions in the glandular mucosa, we suggest that vascular injury is an early pathogenetic factor in the development of ethanol-induced gastric hemorrhagic erosions. The data also indicate that the degree of vascular damage, unlike the injury to surface epithelial cells, is reduced by pretreatment with prostaglandin F2 beta or the sulfhydryl cysteamine.","author":[{"dropping-particle":"","family":"Szabo","given":"S","non-dropping-particle":"","parse-names":false,"suffix":""},{"dropping-particle":"","family":"Trier","given":"J S","non-dropping-particle":"","parse-names":false,"suffix":""},{"dropping-particle":"","family":"Brown","given":"A","non-dropping-particle":"","parse-names":false,"suffix":""},{"dropping-particle":"","family":"Schnoor","given":"J","non-dropping-particle":"","parse-names":false,"suffix":""}],"container-title":"Gastroenterology","id":"ITEM-4","issue":"1 Pt 2","issued":{"date-parts":[["1985","1"]]},"page":"228-36","title":"Early vascular injury and increased vascular permeability in gastric mucosal injury caused by ethanol in the rat.","type":"article-journal","volume":"88"},"uris":["http://www.mendeley.com/documents/?uuid=a3272911-ef25-495c-85d1-1b71d1d7f12e"]},{"id":"ITEM-5","itemData":{"author":[{"dropping-particle":"","family":"Szabo","given":"Sandor","non-dropping-particle":"","parse-names":false,"suffix":""},{"dropping-particle":"","family":"Trier","given":"JS","non-dropping-particle":"","parse-names":false,"suffix":""}],"container-title":"Mechanism of mucosal protection in the upper gastrointestinal tract","editor":[{"dropping-particle":"","family":"Allen","given":"A","non-dropping-particle":"","parse-names":false,"suffix":""},{"dropping-particle":"","family":"Flemstrom","given":"G","non-dropping-particle":"","parse-names":false,"suffix":""},{"dropping-particle":"","family":"Garner","given":"A","non-dropping-particle":"","parse-names":false,"suffix":""},{"dropping-particle":"","family":"Silen","given":"W","non-dropping-particle":"","parse-names":false,"suffix":""},{"dropping-particle":"","family":"Turnberg","given":"LA","non-dropping-particle":"","parse-names":false,"suffix":""}],"id":"ITEM-5","issued":{"date-parts":[["1984"]]},"page":"387-393","publisher":"Raven","publisher-place":"New York","title":"Pathogenesis of acute gastric mucosal injury: Sulfhydrils as a protector, adrenal cortex as a modulator, and vascular endothelium as a target","type":"chapter"},"uris":["http://www.mendeley.com/documents/?uuid=21df94ec-a5e2-4420-85db-5334a540ef21"]},{"id":"ITEM-6","itemData":{"ISSN":"0016-5085","PMID":"3781180","abstract":"Impairment of the mucosal microcirculation may contribute to ethanol-induced gastric mucosal damage. In this report, we describe diffuse and severe ultrastructural damage to the capillaries of the gastric glandular mucosa of the rat that occurred within 1 min after intragastric instillation of 100% ethanol. There was a gradient of damage in that endothelial cell structure was most severely disrupted in profiles of capillaries located close to the luminal surface but some morphologic evidence of damage was evident in the wall of capillary profiles to a mean depth of 256 micron. Capillary structure was generally normal in the deeper regions of the mucosa. Pretreatment with intragastric cysteamine, 30 mg/100 g, or intragastric prostaglandin F2 beta, 0.5 mg/100 g, significantly reduced the depth in the mucosa to which damage to capillaries extended. Pretreatment with intragastric prostaglandin F2 beta, 0.2 mg/100 g, afforded no significant protection. We conclude that a 1-min exposure to 100% ethanol induces striking damage to the microcirculation of glandular mucosa of the rat stomach with severe damage to capillary profiles near the lumen and sparing of capillary profiles near the muscularis mucosa, and pretreatment with the sulfhydryl agent, cysteamine, or with a large dose of prostaglandin F2 beta reduces the extent of but does not abolish ethanol-induced damage to gastric mucosal capillaries.","author":[{"dropping-particle":"","family":"Trier","given":"JS","non-dropping-particle":"","parse-names":false,"suffix":""},{"dropping-particle":"","family":"Szabo","given":"S","non-dropping-particle":"","parse-names":false,"suffix":""},{"dropping-particle":"","family":"Allan","given":"CH","non-dropping-particle":"","parse-names":false,"suffix":""}],"container-title":"Gastroenterology","id":"ITEM-6","issue":"1","issued":{"date-parts":[["1987","1"]]},"page":"13-22","title":"Ethanol-induced damage to mucosal capillaries of rat stomach. Ultrastructural features and effects of prostaglandin F2 beta and cysteamine.","type":"article-journal","volume":"92"},"uris":["http://www.mendeley.com/documents/?uuid=c3f098f1-f060-4c67-9911-5ab2b4c90217"]}],"mendeley":{"formattedCitation":"&lt;sup&gt;[4–9]&lt;/sup&gt;","plainTextFormattedCitation":"[4–9]","previouslyFormattedCitation":"&lt;sup&gt;[4–9]&lt;/sup&gt;"},"properties":{"noteIndex":0},"schema":"https://github.com/citation-style-language/schema/raw/master/csl-citation.json"}</w:instrText>
      </w:r>
      <w:r w:rsidR="003A6A7D"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[4–9]</w:t>
      </w:r>
      <w:r w:rsidR="003A6A7D"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This was further perceived as an extended </w:t>
      </w:r>
      <w:proofErr w:type="spellStart"/>
      <w:r w:rsidRPr="00E47A42">
        <w:rPr>
          <w:rFonts w:ascii="Book Antiqua" w:hAnsi="Book Antiqua" w:cs="Times New Roman"/>
          <w:sz w:val="24"/>
          <w:szCs w:val="24"/>
          <w:lang w:val="en-US"/>
        </w:rPr>
        <w:t>cytoprotection</w:t>
      </w:r>
      <w:proofErr w:type="spellEnd"/>
      <w:r w:rsidRPr="00E47A42">
        <w:rPr>
          <w:rFonts w:ascii="Book Antiqua" w:hAnsi="Book Antiqua" w:cs="Times New Roman"/>
          <w:sz w:val="24"/>
          <w:szCs w:val="24"/>
          <w:lang w:val="en-US"/>
        </w:rPr>
        <w:t xml:space="preserve"> background</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(endothelium maintenance → epithelium maintenance = blood vessel recruitment and activation toward</w:t>
      </w:r>
      <w:r w:rsidR="00820646" w:rsidRPr="00E47A42">
        <w:rPr>
          <w:rFonts w:ascii="Book Antiqua" w:hAnsi="Book Antiqua" w:cs="Times New Roman"/>
          <w:sz w:val="24"/>
          <w:szCs w:val="24"/>
          <w:lang w:val="en-US"/>
        </w:rPr>
        <w:t>s the site of</w:t>
      </w:r>
      <w:r w:rsidRPr="00E47A42">
        <w:rPr>
          <w:rFonts w:ascii="Book Antiqua" w:hAnsi="Book Antiqua" w:cs="Times New Roman"/>
          <w:sz w:val="24"/>
          <w:szCs w:val="24"/>
          <w:lang w:val="en-US"/>
        </w:rPr>
        <w:t xml:space="preserve"> injury</w:t>
      </w:r>
      <w:r w:rsidR="009D5024" w:rsidRPr="00E47A42">
        <w:rPr>
          <w:rFonts w:ascii="Book Antiqua" w:hAnsi="Book Antiqua" w:cs="Times New Roman"/>
          <w:sz w:val="24"/>
          <w:szCs w:val="24"/>
          <w:lang w:val="en-US"/>
        </w:rPr>
        <w:t>)</w:t>
      </w:r>
      <w:r w:rsidRPr="00E47A42">
        <w:rPr>
          <w:rFonts w:ascii="Book Antiqua" w:hAnsi="Book Antiqua" w:cs="Times New Roman"/>
          <w:sz w:val="24"/>
          <w:szCs w:val="24"/>
          <w:lang w:val="en-US"/>
        </w:rPr>
        <w:t>, also described</w:t>
      </w:r>
      <w:r w:rsidR="009D5024" w:rsidRPr="00E47A42">
        <w:rPr>
          <w:rFonts w:ascii="Book Antiqua" w:hAnsi="Book Antiqua" w:cs="Times New Roman"/>
          <w:sz w:val="24"/>
          <w:szCs w:val="24"/>
          <w:lang w:val="en-US"/>
        </w:rPr>
        <w:t xml:space="preserve"> as</w:t>
      </w:r>
      <w:r w:rsidRPr="00E47A42">
        <w:rPr>
          <w:rFonts w:ascii="Book Antiqua" w:hAnsi="Book Antiqua" w:cs="Times New Roman"/>
          <w:sz w:val="24"/>
          <w:szCs w:val="24"/>
          <w:lang w:val="en-US"/>
        </w:rPr>
        <w:t xml:space="preserve"> “bypassing” occlusion </w:t>
      </w:r>
      <w:r w:rsidR="009D5024" w:rsidRPr="00E47A42">
        <w:rPr>
          <w:rFonts w:ascii="Book Antiqua" w:hAnsi="Book Antiqua" w:cs="Times New Roman"/>
          <w:sz w:val="24"/>
          <w:szCs w:val="24"/>
          <w:lang w:val="en-US"/>
        </w:rPr>
        <w:t>via</w:t>
      </w:r>
      <w:r w:rsidRPr="00E47A42">
        <w:rPr>
          <w:rFonts w:ascii="Book Antiqua" w:hAnsi="Book Antiqua" w:cs="Times New Roman"/>
          <w:sz w:val="24"/>
          <w:szCs w:val="24"/>
          <w:lang w:val="en-US"/>
        </w:rPr>
        <w:t xml:space="preserve"> alternative ways, </w:t>
      </w:r>
      <w:r w:rsidR="009D5024" w:rsidRPr="00E47A42">
        <w:rPr>
          <w:rFonts w:ascii="Book Antiqua" w:hAnsi="Book Antiqua" w:cs="Times New Roman"/>
          <w:sz w:val="24"/>
          <w:szCs w:val="24"/>
          <w:lang w:val="en-US"/>
        </w:rPr>
        <w:t xml:space="preserve">as </w:t>
      </w:r>
      <w:r w:rsidRPr="00E47A42">
        <w:rPr>
          <w:rFonts w:ascii="Book Antiqua" w:hAnsi="Book Antiqua" w:cs="Times New Roman"/>
          <w:sz w:val="24"/>
          <w:szCs w:val="24"/>
          <w:lang w:val="en-US"/>
        </w:rPr>
        <w:t>demonstrated with BPC 15</w:t>
      </w:r>
      <w:r w:rsidR="00A13458" w:rsidRPr="00E47A42">
        <w:rPr>
          <w:rFonts w:ascii="Book Antiqua" w:hAnsi="Book Antiqua" w:cs="Times New Roman"/>
          <w:sz w:val="24"/>
          <w:szCs w:val="24"/>
          <w:lang w:val="en-US"/>
        </w:rPr>
        <w:t>7</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00820646" w:rsidRPr="00E47A42">
        <w:rPr>
          <w:rFonts w:ascii="Book Antiqua" w:hAnsi="Book Antiqua" w:cs="Times New Roman"/>
          <w:sz w:val="24"/>
          <w:szCs w:val="24"/>
          <w:lang w:val="en-US"/>
        </w:rPr>
        <w:t xml:space="preserve">, which </w:t>
      </w:r>
      <w:r w:rsidR="009D5024" w:rsidRPr="00E47A42">
        <w:rPr>
          <w:rFonts w:ascii="Book Antiqua" w:hAnsi="Book Antiqua" w:cs="Times New Roman"/>
          <w:sz w:val="24"/>
          <w:szCs w:val="24"/>
          <w:lang w:val="en-US"/>
        </w:rPr>
        <w:t>can</w:t>
      </w:r>
      <w:r w:rsidRPr="00E47A42">
        <w:rPr>
          <w:rFonts w:ascii="Book Antiqua" w:hAnsi="Book Antiqua" w:cs="Times New Roman"/>
          <w:sz w:val="24"/>
          <w:szCs w:val="24"/>
          <w:lang w:val="en-US"/>
        </w:rPr>
        <w:t xml:space="preserve"> likely cure rats with </w:t>
      </w:r>
      <w:r w:rsidR="00820646" w:rsidRPr="00E47A42">
        <w:rPr>
          <w:rFonts w:ascii="Book Antiqua" w:hAnsi="Book Antiqua" w:cs="Times New Roman"/>
          <w:sz w:val="24"/>
          <w:szCs w:val="24"/>
          <w:lang w:val="en-US"/>
        </w:rPr>
        <w:t xml:space="preserve">a </w:t>
      </w:r>
      <w:r w:rsidRPr="00E47A42">
        <w:rPr>
          <w:rFonts w:ascii="Book Antiqua" w:hAnsi="Book Antiqua" w:cs="Times New Roman"/>
          <w:sz w:val="24"/>
          <w:szCs w:val="24"/>
          <w:lang w:val="en-US"/>
        </w:rPr>
        <w:t>perforated cecum and thereafter. Furthermore, antagonization o</w:t>
      </w:r>
      <w:r w:rsidR="009A3C66" w:rsidRPr="00E47A42">
        <w:rPr>
          <w:rFonts w:ascii="Book Antiqua" w:hAnsi="Book Antiqua" w:cs="Times New Roman"/>
          <w:sz w:val="24"/>
          <w:szCs w:val="24"/>
          <w:lang w:val="en-US"/>
        </w:rPr>
        <w:t>f t</w:t>
      </w:r>
      <w:r w:rsidR="00820646" w:rsidRPr="00E47A42">
        <w:rPr>
          <w:rFonts w:ascii="Book Antiqua" w:hAnsi="Book Antiqua" w:cs="Times New Roman"/>
          <w:sz w:val="24"/>
          <w:szCs w:val="24"/>
          <w:lang w:val="en-US"/>
        </w:rPr>
        <w:t>wo distinct</w:t>
      </w:r>
      <w:r w:rsidRPr="00E47A42">
        <w:rPr>
          <w:rFonts w:ascii="Book Antiqua" w:hAnsi="Book Antiqua" w:cs="Times New Roman"/>
          <w:sz w:val="24"/>
          <w:szCs w:val="24"/>
          <w:lang w:val="en-US"/>
        </w:rPr>
        <w:t xml:space="preserve"> </w:t>
      </w:r>
      <w:r w:rsidR="00820646" w:rsidRPr="00E47A42">
        <w:rPr>
          <w:rFonts w:ascii="Book Antiqua" w:hAnsi="Book Antiqua" w:cs="Times New Roman"/>
          <w:sz w:val="24"/>
          <w:szCs w:val="24"/>
          <w:lang w:val="en-US"/>
        </w:rPr>
        <w:t xml:space="preserve">detrimental obstructive </w:t>
      </w:r>
      <w:r w:rsidRPr="00E47A42">
        <w:rPr>
          <w:rFonts w:ascii="Book Antiqua" w:hAnsi="Book Antiqua" w:cs="Times New Roman"/>
          <w:sz w:val="24"/>
          <w:szCs w:val="24"/>
          <w:lang w:val="en-US"/>
        </w:rPr>
        <w:t>events (</w:t>
      </w:r>
      <w:r w:rsidRPr="00E47A42">
        <w:rPr>
          <w:rFonts w:ascii="Book Antiqua" w:hAnsi="Book Antiqua" w:cs="Times New Roman"/>
          <w:i/>
          <w:sz w:val="24"/>
          <w:szCs w:val="24"/>
          <w:lang w:val="en-US"/>
        </w:rPr>
        <w:t>i.e</w:t>
      </w:r>
      <w:r w:rsidRPr="00E47A42">
        <w:rPr>
          <w:rFonts w:ascii="Book Antiqua" w:hAnsi="Book Antiqua" w:cs="Times New Roman"/>
          <w:sz w:val="24"/>
          <w:szCs w:val="24"/>
          <w:lang w:val="en-US"/>
        </w:rPr>
        <w:t xml:space="preserve">., left colic artery and vein ligation-colitis and inferior </w:t>
      </w:r>
      <w:proofErr w:type="spellStart"/>
      <w:r w:rsidRPr="00E47A42">
        <w:rPr>
          <w:rFonts w:ascii="Book Antiqua" w:hAnsi="Book Antiqua" w:cs="Times New Roman"/>
          <w:sz w:val="24"/>
          <w:szCs w:val="24"/>
          <w:lang w:val="en-US"/>
        </w:rPr>
        <w:t>caval</w:t>
      </w:r>
      <w:proofErr w:type="spellEnd"/>
      <w:r w:rsidRPr="00E47A42">
        <w:rPr>
          <w:rFonts w:ascii="Book Antiqua" w:hAnsi="Book Antiqua" w:cs="Times New Roman"/>
          <w:sz w:val="24"/>
          <w:szCs w:val="24"/>
          <w:lang w:val="en-US"/>
        </w:rPr>
        <w:t xml:space="preserve"> vein-</w:t>
      </w:r>
      <w:proofErr w:type="spellStart"/>
      <w:r w:rsidRPr="00E47A42">
        <w:rPr>
          <w:rFonts w:ascii="Book Antiqua" w:hAnsi="Book Antiqua" w:cs="Times New Roman"/>
          <w:sz w:val="24"/>
          <w:szCs w:val="24"/>
          <w:lang w:val="en-US"/>
        </w:rPr>
        <w:t>infrarenal</w:t>
      </w:r>
      <w:proofErr w:type="spellEnd"/>
      <w:r w:rsidRPr="00E47A42">
        <w:rPr>
          <w:rFonts w:ascii="Book Antiqua" w:hAnsi="Book Antiqua" w:cs="Times New Roman"/>
          <w:sz w:val="24"/>
          <w:szCs w:val="24"/>
          <w:lang w:val="en-US"/>
        </w:rPr>
        <w:t xml:space="preserve"> ligation-full syndrome)</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00A13458" w:rsidRPr="00E47A42">
        <w:rPr>
          <w:rFonts w:ascii="Book Antiqua" w:hAnsi="Book Antiqua" w:cs="Times New Roman"/>
          <w:sz w:val="24"/>
          <w:szCs w:val="24"/>
          <w:lang w:val="en-US"/>
        </w:rPr>
        <w:t xml:space="preserve"> </w:t>
      </w:r>
      <w:r w:rsidR="00AB6127" w:rsidRPr="00E47A42">
        <w:rPr>
          <w:rFonts w:ascii="Book Antiqua" w:hAnsi="Book Antiqua" w:cs="Times New Roman"/>
          <w:sz w:val="24"/>
          <w:szCs w:val="24"/>
          <w:lang w:val="en-US"/>
        </w:rPr>
        <w:t>ap</w:t>
      </w:r>
      <w:r w:rsidR="00820646" w:rsidRPr="00E47A42">
        <w:rPr>
          <w:rFonts w:ascii="Book Antiqua" w:hAnsi="Book Antiqua" w:cs="Times New Roman"/>
          <w:sz w:val="24"/>
          <w:szCs w:val="24"/>
          <w:lang w:val="en-US"/>
        </w:rPr>
        <w:t xml:space="preserve">pears. Likewise, </w:t>
      </w:r>
      <w:r w:rsidRPr="00E47A42">
        <w:rPr>
          <w:rFonts w:ascii="Book Antiqua" w:hAnsi="Book Antiqua" w:cs="Times New Roman"/>
          <w:sz w:val="24"/>
          <w:szCs w:val="24"/>
          <w:lang w:val="en-US"/>
        </w:rPr>
        <w:t xml:space="preserve">positive outcome matching </w:t>
      </w:r>
      <w:r w:rsidR="00820646" w:rsidRPr="00E47A42">
        <w:rPr>
          <w:rFonts w:ascii="Book Antiqua" w:hAnsi="Book Antiqua" w:cs="Times New Roman"/>
          <w:sz w:val="24"/>
          <w:szCs w:val="24"/>
          <w:lang w:val="en-US"/>
        </w:rPr>
        <w:t xml:space="preserve">also appears, providing a special effect: </w:t>
      </w:r>
      <w:r w:rsidRPr="00E47A42">
        <w:rPr>
          <w:rFonts w:ascii="Book Antiqua" w:hAnsi="Book Antiqua" w:cs="Times New Roman"/>
          <w:sz w:val="24"/>
          <w:szCs w:val="24"/>
          <w:lang w:val="en-US"/>
        </w:rPr>
        <w:t xml:space="preserve">blood vessel recruitment to organize bypassing </w:t>
      </w:r>
      <w:r w:rsidR="000D10D6" w:rsidRPr="00E47A42">
        <w:rPr>
          <w:rFonts w:ascii="Book Antiqua" w:hAnsi="Book Antiqua" w:cs="Times New Roman"/>
          <w:sz w:val="24"/>
          <w:szCs w:val="24"/>
          <w:lang w:val="en-US"/>
        </w:rPr>
        <w:t xml:space="preserve">of </w:t>
      </w:r>
      <w:r w:rsidRPr="00E47A42">
        <w:rPr>
          <w:rFonts w:ascii="Book Antiqua" w:hAnsi="Book Antiqua" w:cs="Times New Roman"/>
          <w:sz w:val="24"/>
          <w:szCs w:val="24"/>
          <w:lang w:val="en-US"/>
        </w:rPr>
        <w:t>vessel occlusions and reestablish</w:t>
      </w:r>
      <w:r w:rsidR="00CC5028" w:rsidRPr="00E47A42">
        <w:rPr>
          <w:rFonts w:ascii="Book Antiqua" w:hAnsi="Book Antiqua" w:cs="Times New Roman"/>
          <w:sz w:val="24"/>
          <w:szCs w:val="24"/>
          <w:lang w:val="en-US"/>
        </w:rPr>
        <w:t xml:space="preserve">ment of </w:t>
      </w:r>
      <w:r w:rsidR="00820646" w:rsidRPr="00E47A42">
        <w:rPr>
          <w:rFonts w:ascii="Book Antiqua" w:hAnsi="Book Antiqua" w:cs="Times New Roman"/>
          <w:sz w:val="24"/>
          <w:szCs w:val="24"/>
          <w:lang w:val="en-US"/>
        </w:rPr>
        <w:t>blood flow by BPC 157 therapy</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00820646" w:rsidRPr="00E47A42">
        <w:rPr>
          <w:rFonts w:ascii="Book Antiqua" w:hAnsi="Book Antiqua" w:cs="Times New Roman"/>
          <w:sz w:val="24"/>
          <w:szCs w:val="24"/>
          <w:lang w:val="en-US"/>
        </w:rPr>
        <w:t xml:space="preserve">. Thus, </w:t>
      </w:r>
      <w:r w:rsidRPr="00E47A42">
        <w:rPr>
          <w:rFonts w:ascii="Book Antiqua" w:hAnsi="Book Antiqua" w:cs="Times New Roman"/>
          <w:sz w:val="24"/>
          <w:szCs w:val="24"/>
          <w:lang w:val="en-US"/>
        </w:rPr>
        <w:t xml:space="preserve">we can </w:t>
      </w:r>
      <w:r w:rsidR="00820646" w:rsidRPr="00E47A42">
        <w:rPr>
          <w:rFonts w:ascii="Book Antiqua" w:hAnsi="Book Antiqua" w:cs="Times New Roman"/>
          <w:sz w:val="24"/>
          <w:szCs w:val="24"/>
          <w:lang w:val="en-US"/>
        </w:rPr>
        <w:t xml:space="preserve">make the </w:t>
      </w:r>
      <w:r w:rsidRPr="00E47A42">
        <w:rPr>
          <w:rFonts w:ascii="Book Antiqua" w:hAnsi="Book Antiqua" w:cs="Times New Roman"/>
          <w:sz w:val="24"/>
          <w:szCs w:val="24"/>
          <w:lang w:val="en-US"/>
        </w:rPr>
        <w:t>argument that</w:t>
      </w:r>
      <w:r w:rsidR="00820646"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w:t>
      </w:r>
      <w:r w:rsidR="00F21F35" w:rsidRPr="00E47A42">
        <w:rPr>
          <w:rFonts w:ascii="Book Antiqua" w:hAnsi="Book Antiqua" w:cs="Times New Roman"/>
          <w:sz w:val="24"/>
          <w:szCs w:val="24"/>
          <w:lang w:val="en-US"/>
        </w:rPr>
        <w:t xml:space="preserve">under </w:t>
      </w:r>
      <w:r w:rsidR="00820646" w:rsidRPr="00E47A42">
        <w:rPr>
          <w:rFonts w:ascii="Book Antiqua" w:hAnsi="Book Antiqua" w:cs="Times New Roman"/>
          <w:sz w:val="24"/>
          <w:szCs w:val="24"/>
          <w:lang w:val="en-US"/>
        </w:rPr>
        <w:t xml:space="preserve">analogous or more severe </w:t>
      </w:r>
      <w:r w:rsidRPr="00E47A42">
        <w:rPr>
          <w:rFonts w:ascii="Book Antiqua" w:hAnsi="Book Antiqua" w:cs="Times New Roman"/>
          <w:sz w:val="24"/>
          <w:szCs w:val="24"/>
          <w:lang w:val="en-US"/>
        </w:rPr>
        <w:t>conditions (</w:t>
      </w:r>
      <w:r w:rsidRPr="00E47A42">
        <w:rPr>
          <w:rFonts w:ascii="Book Antiqua" w:hAnsi="Book Antiqua" w:cs="Times New Roman"/>
          <w:i/>
          <w:sz w:val="24"/>
          <w:szCs w:val="24"/>
          <w:lang w:val="en-US"/>
        </w:rPr>
        <w:t>i.e</w:t>
      </w:r>
      <w:r w:rsidR="0026718B" w:rsidRPr="00E47A42">
        <w:rPr>
          <w:rFonts w:ascii="Book Antiqua" w:hAnsi="Book Antiqua" w:cs="Times New Roman"/>
          <w:sz w:val="24"/>
          <w:szCs w:val="24"/>
          <w:lang w:val="en-US"/>
        </w:rPr>
        <w:t>., perforated cecum)</w:t>
      </w:r>
      <w:r w:rsidR="00820646" w:rsidRPr="00E47A42">
        <w:rPr>
          <w:rFonts w:ascii="Book Antiqua" w:hAnsi="Book Antiqua" w:cs="Times New Roman"/>
          <w:sz w:val="24"/>
          <w:szCs w:val="24"/>
          <w:lang w:val="en-US"/>
        </w:rPr>
        <w:t>,</w:t>
      </w:r>
      <w:r w:rsidR="0026718B"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a</w:t>
      </w:r>
      <w:r w:rsidR="00F21F35" w:rsidRPr="00E47A42">
        <w:rPr>
          <w:rFonts w:ascii="Book Antiqua" w:hAnsi="Book Antiqua" w:cs="Times New Roman"/>
          <w:sz w:val="24"/>
          <w:szCs w:val="24"/>
          <w:lang w:val="en-US"/>
        </w:rPr>
        <w:t xml:space="preserve"> similar</w:t>
      </w:r>
      <w:r w:rsidR="00820646" w:rsidRPr="00E47A42">
        <w:rPr>
          <w:rFonts w:ascii="Book Antiqua" w:hAnsi="Book Antiqua" w:cs="Times New Roman"/>
          <w:sz w:val="24"/>
          <w:szCs w:val="24"/>
          <w:lang w:val="en-US"/>
        </w:rPr>
        <w:t xml:space="preserve"> positive outcome will</w:t>
      </w:r>
      <w:r w:rsidRPr="00E47A42">
        <w:rPr>
          <w:rFonts w:ascii="Book Antiqua" w:hAnsi="Book Antiqua" w:cs="Times New Roman"/>
          <w:sz w:val="24"/>
          <w:szCs w:val="24"/>
          <w:lang w:val="en-US"/>
        </w:rPr>
        <w:t xml:space="preserve"> appear. If this </w:t>
      </w:r>
      <w:r w:rsidR="00F21F35" w:rsidRPr="00E47A42">
        <w:rPr>
          <w:rFonts w:ascii="Book Antiqua" w:hAnsi="Book Antiqua" w:cs="Times New Roman"/>
          <w:sz w:val="24"/>
          <w:szCs w:val="24"/>
          <w:lang w:val="en-US"/>
        </w:rPr>
        <w:t>occurs</w:t>
      </w:r>
      <w:r w:rsidRPr="00E47A42">
        <w:rPr>
          <w:rFonts w:ascii="Book Antiqua" w:hAnsi="Book Antiqua" w:cs="Times New Roman"/>
          <w:sz w:val="24"/>
          <w:szCs w:val="24"/>
          <w:lang w:val="en-US"/>
        </w:rPr>
        <w:t xml:space="preserve">, </w:t>
      </w:r>
      <w:r w:rsidR="00820646" w:rsidRPr="00E47A42">
        <w:rPr>
          <w:rFonts w:ascii="Book Antiqua" w:hAnsi="Book Antiqua" w:cs="Times New Roman"/>
          <w:sz w:val="24"/>
          <w:szCs w:val="24"/>
          <w:lang w:val="en-US"/>
        </w:rPr>
        <w:t xml:space="preserve">we can attenuate </w:t>
      </w:r>
      <w:r w:rsidRPr="00E47A42">
        <w:rPr>
          <w:rFonts w:ascii="Book Antiqua" w:hAnsi="Book Antiqua" w:cs="Times New Roman"/>
          <w:sz w:val="24"/>
          <w:szCs w:val="24"/>
          <w:lang w:val="en-US"/>
        </w:rPr>
        <w:t>cecum perforation syndrome</w:t>
      </w:r>
      <w:r w:rsidR="006D4933"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in BPC 157</w:t>
      </w:r>
      <w:r w:rsidR="00F21F35" w:rsidRPr="00E47A42">
        <w:rPr>
          <w:rFonts w:ascii="Book Antiqua" w:hAnsi="Book Antiqua" w:cs="Times New Roman"/>
          <w:sz w:val="24"/>
          <w:szCs w:val="24"/>
          <w:lang w:val="en-US"/>
        </w:rPr>
        <w:t>-</w:t>
      </w:r>
      <w:r w:rsidRPr="00E47A42">
        <w:rPr>
          <w:rFonts w:ascii="Book Antiqua" w:hAnsi="Book Antiqua" w:cs="Times New Roman"/>
          <w:sz w:val="24"/>
          <w:szCs w:val="24"/>
          <w:lang w:val="en-US"/>
        </w:rPr>
        <w:t>treated rats</w:t>
      </w:r>
      <w:r w:rsidR="00F21F35" w:rsidRPr="00E47A42">
        <w:rPr>
          <w:rFonts w:ascii="Book Antiqua" w:hAnsi="Book Antiqua" w:cs="Times New Roman"/>
          <w:sz w:val="24"/>
          <w:szCs w:val="24"/>
          <w:lang w:val="en-US"/>
        </w:rPr>
        <w:t>,</w:t>
      </w:r>
      <w:r w:rsidR="006D4933" w:rsidRPr="00E47A42">
        <w:rPr>
          <w:rFonts w:ascii="Book Antiqua" w:hAnsi="Book Antiqua" w:cs="Times New Roman"/>
          <w:sz w:val="24"/>
          <w:szCs w:val="24"/>
          <w:lang w:val="en-US"/>
        </w:rPr>
        <w:t xml:space="preserve"> therapy may</w:t>
      </w:r>
      <w:r w:rsidR="00F21F35" w:rsidRPr="00E47A42">
        <w:rPr>
          <w:rFonts w:ascii="Book Antiqua" w:hAnsi="Book Antiqua" w:cs="Times New Roman"/>
          <w:sz w:val="24"/>
          <w:szCs w:val="24"/>
          <w:lang w:val="en-US"/>
        </w:rPr>
        <w:t xml:space="preserve"> lead to</w:t>
      </w:r>
      <w:r w:rsidRPr="00E47A42">
        <w:rPr>
          <w:rFonts w:ascii="Book Antiqua" w:hAnsi="Book Antiqua" w:cs="Times New Roman"/>
          <w:sz w:val="24"/>
          <w:szCs w:val="24"/>
          <w:lang w:val="en-US"/>
        </w:rPr>
        <w:t xml:space="preserve"> attenuatio</w:t>
      </w:r>
      <w:r w:rsidR="00447AB7" w:rsidRPr="00E47A42">
        <w:rPr>
          <w:rFonts w:ascii="Book Antiqua" w:hAnsi="Book Antiqua" w:cs="Times New Roman"/>
          <w:sz w:val="24"/>
          <w:szCs w:val="24"/>
          <w:lang w:val="en-US"/>
        </w:rPr>
        <w:t xml:space="preserve">n and reversal of the consequent </w:t>
      </w:r>
      <w:r w:rsidRPr="00E47A42">
        <w:rPr>
          <w:rFonts w:ascii="Book Antiqua" w:hAnsi="Book Antiqua" w:cs="Times New Roman"/>
          <w:sz w:val="24"/>
          <w:szCs w:val="24"/>
          <w:lang w:val="en-US"/>
        </w:rPr>
        <w:t>tissue damage</w:t>
      </w:r>
      <w:r w:rsidR="006D4933" w:rsidRPr="00E47A42">
        <w:rPr>
          <w:rFonts w:ascii="Book Antiqua" w:hAnsi="Book Antiqua" w:cs="Times New Roman"/>
          <w:sz w:val="24"/>
          <w:szCs w:val="24"/>
          <w:lang w:val="en-US"/>
        </w:rPr>
        <w:t xml:space="preserve">. </w:t>
      </w:r>
      <w:r w:rsidR="00447AB7" w:rsidRPr="00E47A42">
        <w:rPr>
          <w:rFonts w:ascii="Book Antiqua" w:hAnsi="Book Antiqua" w:cs="Times New Roman"/>
          <w:sz w:val="24"/>
          <w:szCs w:val="24"/>
          <w:lang w:val="en-US"/>
        </w:rPr>
        <w:t>Specifically</w:t>
      </w:r>
      <w:r w:rsidR="006D4933" w:rsidRPr="00E47A42">
        <w:rPr>
          <w:rFonts w:ascii="Book Antiqua" w:hAnsi="Book Antiqua" w:cs="Times New Roman"/>
          <w:sz w:val="24"/>
          <w:szCs w:val="24"/>
          <w:lang w:val="en-US"/>
        </w:rPr>
        <w:t xml:space="preserve">, </w:t>
      </w:r>
      <w:r w:rsidR="00447AB7" w:rsidRPr="00E47A42">
        <w:rPr>
          <w:rFonts w:ascii="Book Antiqua" w:hAnsi="Book Antiqua" w:cs="Times New Roman"/>
          <w:sz w:val="24"/>
          <w:szCs w:val="24"/>
          <w:lang w:val="en-US"/>
        </w:rPr>
        <w:t xml:space="preserve">a </w:t>
      </w:r>
      <w:r w:rsidRPr="00E47A42">
        <w:rPr>
          <w:rFonts w:ascii="Book Antiqua" w:hAnsi="Book Antiqua" w:cs="Times New Roman"/>
          <w:sz w:val="24"/>
          <w:szCs w:val="24"/>
          <w:lang w:val="en-US"/>
        </w:rPr>
        <w:t>r</w:t>
      </w:r>
      <w:r w:rsidR="00447AB7" w:rsidRPr="00E47A42">
        <w:rPr>
          <w:rFonts w:ascii="Book Antiqua" w:hAnsi="Book Antiqua" w:cs="Times New Roman"/>
          <w:sz w:val="24"/>
          <w:szCs w:val="24"/>
          <w:lang w:val="en-US"/>
        </w:rPr>
        <w:t xml:space="preserve">eversal of vessel disappearance by </w:t>
      </w:r>
      <w:r w:rsidRPr="00E47A42">
        <w:rPr>
          <w:rFonts w:ascii="Book Antiqua" w:hAnsi="Book Antiqua" w:cs="Times New Roman"/>
          <w:sz w:val="24"/>
          <w:szCs w:val="24"/>
          <w:lang w:val="en-US"/>
        </w:rPr>
        <w:t>vessel</w:t>
      </w:r>
      <w:r w:rsidR="00447AB7" w:rsidRPr="00E47A42">
        <w:rPr>
          <w:rFonts w:ascii="Book Antiqua" w:hAnsi="Book Antiqua" w:cs="Times New Roman"/>
          <w:sz w:val="24"/>
          <w:szCs w:val="24"/>
          <w:lang w:val="en-US"/>
        </w:rPr>
        <w:t>s</w:t>
      </w:r>
      <w:r w:rsidRPr="00E47A42">
        <w:rPr>
          <w:rFonts w:ascii="Book Antiqua" w:hAnsi="Book Antiqua" w:cs="Times New Roman"/>
          <w:sz w:val="24"/>
          <w:szCs w:val="24"/>
          <w:lang w:val="en-US"/>
        </w:rPr>
        <w:t xml:space="preserve"> “running” toward the defect (vessel</w:t>
      </w:r>
      <w:r w:rsidR="00447AB7" w:rsidRPr="00E47A42">
        <w:rPr>
          <w:rFonts w:ascii="Book Antiqua" w:hAnsi="Book Antiqua" w:cs="Times New Roman"/>
          <w:sz w:val="24"/>
          <w:szCs w:val="24"/>
          <w:lang w:val="en-US"/>
        </w:rPr>
        <w:t>s</w:t>
      </w:r>
      <w:r w:rsidRPr="00E47A42">
        <w:rPr>
          <w:rFonts w:ascii="Book Antiqua" w:hAnsi="Book Antiqua" w:cs="Times New Roman"/>
          <w:sz w:val="24"/>
          <w:szCs w:val="24"/>
          <w:lang w:val="en-US"/>
        </w:rPr>
        <w:t xml:space="preserve"> filled</w:t>
      </w:r>
      <w:r w:rsidR="00F21F35"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reappeared), </w:t>
      </w:r>
      <w:r w:rsidR="00447AB7" w:rsidRPr="00E47A42">
        <w:rPr>
          <w:rFonts w:ascii="Book Antiqua" w:hAnsi="Book Antiqua" w:cs="Times New Roman"/>
          <w:sz w:val="24"/>
          <w:szCs w:val="24"/>
          <w:lang w:val="en-US"/>
        </w:rPr>
        <w:lastRenderedPageBreak/>
        <w:t>transition</w:t>
      </w:r>
      <w:r w:rsidR="0073152B" w:rsidRPr="00E47A42">
        <w:rPr>
          <w:rFonts w:ascii="Book Antiqua" w:hAnsi="Book Antiqua" w:cs="Times New Roman"/>
          <w:sz w:val="24"/>
          <w:szCs w:val="24"/>
          <w:lang w:val="en-US"/>
        </w:rPr>
        <w:t xml:space="preserve"> of </w:t>
      </w:r>
      <w:r w:rsidRPr="00E47A42">
        <w:rPr>
          <w:rFonts w:ascii="Book Antiqua" w:hAnsi="Book Antiqua" w:cs="Times New Roman"/>
          <w:sz w:val="24"/>
          <w:szCs w:val="24"/>
          <w:lang w:val="en-US"/>
        </w:rPr>
        <w:t>defect enlarg</w:t>
      </w:r>
      <w:r w:rsidR="00F21F35" w:rsidRPr="00E47A42">
        <w:rPr>
          <w:rFonts w:ascii="Book Antiqua" w:hAnsi="Book Antiqua" w:cs="Times New Roman"/>
          <w:sz w:val="24"/>
          <w:szCs w:val="24"/>
          <w:lang w:val="en-US"/>
        </w:rPr>
        <w:t>ement</w:t>
      </w:r>
      <w:r w:rsidRPr="00E47A42">
        <w:rPr>
          <w:rFonts w:ascii="Book Antiqua" w:hAnsi="Book Antiqua" w:cs="Times New Roman"/>
          <w:sz w:val="24"/>
          <w:szCs w:val="24"/>
          <w:lang w:val="en-US"/>
        </w:rPr>
        <w:t xml:space="preserve"> to defect narrowing</w:t>
      </w:r>
      <w:r w:rsidR="00427847" w:rsidRPr="00E47A42">
        <w:rPr>
          <w:rFonts w:ascii="Book Antiqua" w:hAnsi="Book Antiqua" w:cs="Times New Roman"/>
          <w:sz w:val="24"/>
          <w:szCs w:val="24"/>
          <w:lang w:val="en-US"/>
        </w:rPr>
        <w:t xml:space="preserve"> (</w:t>
      </w:r>
      <w:r w:rsidR="006D4933" w:rsidRPr="00E47A42">
        <w:rPr>
          <w:rFonts w:ascii="Book Antiqua" w:hAnsi="Book Antiqua" w:cs="Times New Roman"/>
          <w:sz w:val="24"/>
          <w:szCs w:val="24"/>
          <w:lang w:val="en-US"/>
        </w:rPr>
        <w:t xml:space="preserve">note, </w:t>
      </w:r>
      <w:r w:rsidR="00427847" w:rsidRPr="00E47A42">
        <w:rPr>
          <w:rFonts w:ascii="Book Antiqua" w:hAnsi="Book Antiqua" w:cs="Times New Roman"/>
          <w:sz w:val="24"/>
          <w:szCs w:val="24"/>
          <w:lang w:val="en-US"/>
        </w:rPr>
        <w:t>fistula</w:t>
      </w:r>
      <w:r w:rsidR="0024515D" w:rsidRPr="00E47A42">
        <w:rPr>
          <w:rFonts w:ascii="Book Antiqua" w:hAnsi="Book Antiqua" w:cs="Times New Roman"/>
          <w:sz w:val="24"/>
          <w:szCs w:val="24"/>
          <w:lang w:val="en-US"/>
        </w:rPr>
        <w:t xml:space="preserve"> defects</w:t>
      </w:r>
      <w:r w:rsidR="00427847" w:rsidRPr="00E47A42">
        <w:rPr>
          <w:rFonts w:ascii="Book Antiqua" w:hAnsi="Book Antiqua" w:cs="Times New Roman"/>
          <w:sz w:val="24"/>
          <w:szCs w:val="24"/>
          <w:lang w:val="en-US"/>
        </w:rPr>
        <w:t xml:space="preserve"> healing</w:t>
      </w:r>
      <w:r w:rsidR="009606F6" w:rsidRPr="00E47A42">
        <w:rPr>
          <w:rFonts w:ascii="Book Antiqua" w:hAnsi="Book Antiqua" w:cs="Times New Roman"/>
          <w:sz w:val="24"/>
          <w:szCs w:val="24"/>
          <w:lang w:val="en-US"/>
        </w:rPr>
        <w:t>)</w:t>
      </w:r>
      <w:r w:rsidR="00A75220"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{"citationItems":[{"id":"ITEM-1","itemData":{"DOI":"10.1016/j.lfs.2016.02.029","ISSN":"00243205","author":[{"dropping-particle":"","family":"Baric","given":"Marko","non-dropping-particle":"","parse-names":false,"suffix":""},{"dropping-particle":"","family":"Sever","given":"Anita Zenko","non-dropping-particle":"","parse-names":false,"suffix":""},{"dropping-particle":"","family":"Vuletic","given":"Lovorka Batelja","non-dropping-particle":"","parse-names":false,"suffix":""},{"dropping-particle":"","family":"Rasic","given":"Zarko","non-dropping-particle":"","parse-names":false,"suffix":""},{"dropping-particle":"","family":"Sever","given":"Marko","non-dropping-particle":"","parse-names":false,"suffix":""},{"dropping-particle":"","family":"Drmic","given":"Domagoj","non-dropping-particle":"","parse-names":false,"suffix":""},{"dropping-particle":"","family":"Pavelic-Turudic","given":"Tatjana","non-dropping-particle":"","parse-names":false,"suffix":""},{"dropping-particle":"","family":"Sucic","given":"Mario","non-dropping-particle":"","parse-names":false,"suffix":""},{"dropping-particle":"","family":"Vrcic","given":"Hrvoje","non-dropping-particle":"","parse-names":false,"suffix":""},{"dropping-particle":"","family":"Seiwerth","given":"Sven","non-dropping-particle":"","parse-names":false,"suffix":""},{"dropping-particle":"","family":"Sikiric","given":"Predrag","non-dropping-particle":"","parse-names":false,"suffix":""}],"container-title":"Life Sciences","id":"ITEM-1","issued":{"date-parts":[["2016","3"]]},"page":"63-70","title":"Stable gastric pentadecapeptide BPC 157 heals rectovaginal fistula in rats","type":"article-journal","volume":"148"},"uris":["http://www.mendeley.com/documents/?uuid=9d02cf7d-044d-4060-9f70-c61a10e4d011"]},{"id":"ITEM-2","itemData":{"DOI":"10.1016/j.ejphar.2016.02.038","ISSN":"18790712","PMID":"26875638","abstract":"To establish the effects of BPC 157 on the healing of rat colovesical fistulas, Wistar Albino male rats were randomly assigned to different groups. BPC 157, a stable gastric pentadecapeptide, has been used in clinical applications - specifically, in ulcerative colitis - and was successful in treating both external and internal fistulas. BPC 157 was provided daily, perorally, in drinking water (10 ??g/kg, 12 ml/rat/day) until sacrifice or, alternatively, 10 ??g/kg or 10 ng/kg intraperitoneally, with the first application at 30 min after surgery and the last at 24 h before sacrifice. Controls simultaneously received an equivolume of saline (5.0 ml/kg ip) or water only (12 ml/rat/day). Assessment (i.e., colon and vesical defects, fistula leaking, fecaluria and defecation through the fistula, adhesions and intestinal obstruction as healing processes) took place on days 7, 14 and 28. Control colovesical fistulas regularly exhibited poor healing, with both of the defects persisting; continuous fistula leakage; fecaluria and defecation through the fistula; advanced adhesion formation; and intestinal obstruction. By contrast, BPC 157 given perorally or intraperitoneally and in ??g- and ng-regimens rapidly improved the whole presentation, with both colon and vesical defects simultaneously ameliorated and eventually healed. The maximal instilled volume was continuously raised until it reached the values of healthy rats, there were no signs of fecaluria and no defecation through the fistula, there was counteraction of advanced adhesion formation or there was an intestinal obstruction. In conclusion, BPC 157 effects appear to be suited to inducing full healing of colocutaneous fistulas in rats.","author":[{"dropping-particle":"","family":"Grgic","given":"Tihomir","non-dropping-particle":"","parse-names":false,"suffix":""},{"dropping-particle":"","family":"Grgic","given":"Dora","non-dropping-particle":"","parse-names":false,"suffix":""},{"dropping-particle":"","family":"Drmic","given":"Domagoj","non-dropping-particle":"","parse-names":false,"suffix":""},{"dropping-particle":"","family":"Sever","given":"Anita Zenko","non-dropping-particle":"","parse-names":false,"suffix":""},{"dropping-particle":"","family":"Petrovic","given":"Igor","non-dropping-particle":"","parse-names":false,"suffix":""},{"dropping-particle":"","family":"Sucic","given":"Mario","non-dropping-particle":"","parse-names":false,"suffix":""},{"dropping-particle":"","family":"Kokot","given":"Antonio","non-dropping-particle":"","parse-names":false,"suffix":""},{"dropping-particle":"","family":"Klicek","given":"Robert","non-dropping-particle":"","parse-names":false,"suffix":""},{"dropping-particle":"","family":"Sever","given":"Marko","non-dropping-particle":"","parse-names":false,"suffix":""},{"dropping-particle":"","family":"Seiwerth","given":"Sven","non-dropping-particle":"","parse-names":false,"suffix":""},{"dropping-particle":"","family":"Sikiric","given":"Predrag","non-dropping-particle":"","parse-names":false,"suffix":""}],"container-title":"European Journal of Pharmacology","id":"ITEM-2","issued":{"date-parts":[["2016"]]},"page":"1-7","publisher":"Elsevier","title":"Stable gastric pentadecapeptide BPC 157 heals rat colovesical fistula","type":"article-journal","volume":"780"},"uris":["http://www.mendeley.com/documents/?uuid=04542bd7-fb6a-4b51-8eef-04cb7ee8cd51"]},{"id":"ITEM-3","itemData":{"ISSN":"1347-8613","PMID":"18818478","abstract":"We focused on the therapeutic effect of the stable gastric pentadecapeptide BPC 157 and how its action is related to nitric oxide (NO) in persistent colocutaneous fistula in rats (at 5 cm from anus, colon defect of 5 mm, skin defect of 5 mm); this peptide has been shown to be safe in clinical trials for inflammatory bowel disease (PL14736) and safe for intestinal anstomosis therapy. BPC 157 (10 microg/kg, 10 ng/kg) was applied i) in drinking water until the animals were sacrificed at post-operative day 1, 3, 5, 7, 14, 21, and 28; or ii) once daily intraperitoneally (first application 30 min following surgery, last 24 h before sacrifice) alone or with N(G)-nitro-L-arginine methyl ester (L-NAME) (5 mg/kg), L-arginine (200 mg/kg), and their combinations. Sulphasalazine (50 mg/kg) and 6-alpha-methylprednisolone (1 mg/kg) were given once daily intraperitoneally. BPC 157 accelerated parenterally or perorally the healing of colonic and skin defect, leading to the suitable closure of the fistula, macro/microscopically, biomechanically, and functionally (larger water volume sustained without fistula leaking). L-NAME aggravated the healing failure of colocutaneous fistulas, skin, and colon wounds (L-NAME groups). L-Arginine was effective only with blunted NO generation (L-NAME + L-arginine groups) but not without (L-arginine groups). All of the BPC 157 beneficial effects remained unchanged with blunted NO-generation (L-NAME + BPC 157 groups) and with NO substrate (L-arginine + BPC 157 groups) as well as L-NAME and L-arginine co-administration (L-NAME + L-arginine + BPC 157 groups). Sulphasalazine was only moderately effective, and corticosteroid even had an aggravating effect.","author":[{"dropping-particle":"","family":"Klicek","given":"Robert","non-dropping-particle":"","parse-names":false,"suffix":""},{"dropping-particle":"","family":"Sever","given":"Marko","non-dropping-particle":"","parse-names":false,"suffix":""},{"dropping-particle":"","family":"Radic","given":"Bozo","non-dropping-particle":"","parse-names":false,"suffix":""},{"dropping-particle":"","family":"Drmic","given":"Domagoj","non-dropping-particle":"","parse-names":false,"suffix":""},{"dropping-particle":"","family":"Kocman","given":"Ivan","non-dropping-particle":"","parse-names":false,"suffix":""},{"dropping-particle":"","family":"Zoricic","given":"Ivan","non-dropping-particle":"","parse-names":false,"suffix":""},{"dropping-particle":"","family":"Vuksic","given":"Tihomir","non-dropping-particle":"","parse-names":false,"suffix":""},{"dropping-particle":"","family":"Ivica","given":"Mihovil","non-dropping-particle":"","parse-names":false,"suffix":""},{"dropping-particle":"","family":"Barisic","given":"Ivan","non-dropping-particle":"","parse-names":false,"suffix":""},{"dropping-particle":"","family":"Ilic","given":"Spomenko","non-dropping-particle":"","parse-names":false,"suffix":""},{"dropping-particle":"","family":"Berkopic","given":"Lidija","non-dropping-particle":"","parse-names":false,"suffix":""},{"dropping-particle":"","family":"Vrcic","given":"Hrvoje","non-dropping-particle":"","parse-names":false,"suffix":""},{"dropping-particle":"","family":"Brcic","given":"Luka","non-dropping-particle":"","parse-names":false,"suffix":""},{"dropping-particle":"","family":"Blagaic","given":"Alenka Boban","non-dropping-particle":"","parse-names":false,"suffix":""},{"dropping-particle":"","family":"Coric","given":"Marijana","non-dropping-particle":"","parse-names":false,"suffix":""},{"dropping-particle":"","family":"Brcic","given":"Iva","non-dropping-particle":"","parse-names":false,"suffix":""},{"dropping-particle":"","family":"Rokotov","given":"Dinko Stancic","non-dropping-particle":"","parse-names":false,"suffix":""},{"dropping-particle":"","family":"Anic","given":"Tomislav","non-dropping-particle":"","parse-names":false,"suffix":""},{"dropping-particle":"","family":"Seiwerth","given":"Sven","non-dropping-particle":"","parse-names":false,"suffix":""},{"dropping-particle":"","family":"Sikiric","given":"Predrag","non-dropping-particle":"","parse-names":false,"suffix":""}],"container-title":"Journal of pharmacological sciences","id":"ITEM-3","issue":"1","issued":{"date-parts":[["2008","9"]]},"page":"7-17","title":"Pentadecapeptide BPC 157, in clinical trials as a therapy for inflammatory bowel disease (PL14736), is effective in the healing of colocutaneous fistulas in rats: role of the nitric oxide-system.","type":"article-journal","volume":"108"},"uris":["http://www.mendeley.com/documents/?uuid=603bb6e4-0405-4baa-8f6b-0e82c47cd81e"]},{"id":"ITEM-4","itemData":{"ISBN":"1899-1505 (Electronic)\\r0867-5910 (Linking)","ISSN":"18991505","PMID":"26348082","abstract":"While very rarely reported, duodenocutanenous fistula research might alter the duodenal ulcer disease background and therapy. Our research focused on rat duodenocutaneous fistulas, therapy, stable gastric pentadecapeptide BPC 157, an anti-ulcer peptide that healed other fistulas, nitric oxide synthase-substrate L-arginine, and nitric oxide synthase-inhibitor L-nitro-arginine methyl ester (L-NAME). The hypothesis was, duodenal ulcer-healing, like the skin ulcer, using the successful BPC 157, with nitric oxide-system involvement, the \"wound healing-therapy\", to heal the duodenal ulcer, the fistula-model that recently highlighted gastric and skin ulcer healing. Pressure in the lower esophageal and pyloric sphincters was simultaneously assessed. Duodenocutaneous fistula-rats received BPC 157 (10 μg/kg or 10 ng/kg, intraperitoneally or perorally (in drinking water)), L-NAME (5 mg/kg intraperitoneally), L-arginine (100 mg/kg intraperitoneally) alone and/or together, throughout 21 days. Duodenocutaneous fistula-rats maintained persistent defects, continuous fistula leakage, sphincter failure, mortality rate at 40% until the 4(th) day, all fully counteracted in all BPC 157-rats. The BPC 157-rats experienced rapidly improved complete presentation (maximal volume instilled already at 7(th) day). L-NAME further aggravated the duodenocutaneous fistula-course (mortality at 70% until the 4(th) day); L-arginine was beneficial (no mortality; however, maximal volume instilled not before 21(st) day). L-NAME-worsening was counteracted to the control level with the L-arginine effect, and vice versa, while BPC 157 annulled the L-NAME effects (L-NAME + L-arginine; L-NAME + BPC 157; L-NAME + L-arginine + BPC 157 brought below the level of the control). It is likely that duodenocutaneous fistulas, duodenal/skin defect simultaneous healing, reinstated sphincter function, are a new nitric oxide-system related phenomenon. In conclusion, resolving the duodenocutanenous fistulashealing, nitric oxide-system involvement, should illustrate further wound healing therapy to heal duodenal ulcers.","author":[{"dropping-particle":"","family":"Skorjanec","given":"S.","non-dropping-particle":"","parse-names":false,"suffix":""},{"dropping-particle":"","family":"Kokot","given":"A.","non-dropping-particle":"","parse-names":false,"suffix":""},{"dropping-particle":"","family":"Drmic","given":"D.","non-dropping-particle":"","parse-names":false,"suffix":""},{"dropping-particle":"","family":"Radic","given":"B.","non-dropping-particle":"","parse-names":false,"suffix":""},{"dropping-particle":"","family":"Sever","given":"M.","non-dropping-particle":"","parse-names":false,"suffix":""},{"dropping-particle":"","family":"Klicek","given":"R.","non-dropping-particle":"","parse-names":false,"suffix":""},{"dropping-particle":"","family":"Kolenc","given":"D.","non-dropping-particle":"","parse-names":false,"suffix":""},{"dropping-particle":"","family":"Zenko","given":"A.","non-dropping-particle":"","parse-names":false,"suffix":""},{"dropping-particle":"","family":"Lovric Bencic","given":"M.","non-dropping-particle":"","parse-names":false,"suffix":""},{"dropping-particle":"","family":"Belosic Halle","given":"Z.","non-dropping-particle":"","parse-names":false,"suffix":""},{"dropping-particle":"","family":"Situm","given":"A.","non-dropping-particle":"","parse-names":false,"suffix":""},{"dropping-particle":"","family":"Zivanovic Posilovic","given":"G.","non-dropping-particle":"","parse-names":false,"suffix":""},{"dropping-particle":"","family":"Masnec","given":"S.","non-dropping-particle":"","parse-names":false,"suffix":""},{"dropping-particle":"","family":"Suran","given":"J.","non-dropping-particle":"","parse-names":false,"suffix":""},{"dropping-particle":"","family":"Aralica","given":"G.","non-dropping-particle":"","parse-names":false,"suffix":""},{"dropping-particle":"","family":"Seiwerth","given":"S.","non-dropping-particle":"","parse-names":false,"suffix":""},{"dropping-particle":"","family":"Sikiric","given":"Predrag","non-dropping-particle":"","parse-names":false,"suffix":""}],"container-title":"Journal of Physiology and Pharmacology","id":"ITEM-4","issue":"4","issued":{"date-parts":[["2015"]]},"page":"581-590","title":"Duodenocutaneous fistula in rats as a model for ???wound healing-therapy??? in ulcer healing: The effect of pentadecapeptide BPC 157, L-nitro-arginine methyl ester and L-arginine","type":"article-journal","volume":"66"},"uris":["http://www.mendeley.com/documents/?uuid=c8a4ee5b-bf1f-423c-8b99-a3901c408a53"]},{"id":"ITEM-5","itemData":{"DOI":"10.1007/s10620-008-0332-9","ISBN":"1573-2568 (Electronic)\\r0163-2116 (Linking)","ISSN":"01632116","PMID":"18649140","abstract":"OBJECTIVE: This study focused on unhealed gastrocutaneous fistulas to resolve whether standard drugs that promote healing of gastric ulcers may simultaneously have the same effect on cutaneous wounds, and corticosteroid aggravation, and to demonstrate why peptides such as BPC 157 exhibit a greater healing effect. Therefore, with the fistulas therapy, we challenge the wound/growth factors theory of the analogous nonhealing of wounds and persistent gastric ulcers.\\n\\nMETHODS: The healing rate of gastrocutaneous fistula in rat (2-mm-diameter stomach defect, 3-mm-diameter skin defect) validates macro/microscopically and biomechanically a direct skin wound/stomach ulcer relation, and identifies a potential therapy consisting of: (i) stable gastric pentadecapeptide BPC 157 [in drinking water (10 microg/kg) (12 ml/rat/day) or intraperitoneally (10 microg/kg, 10 ng/kg, 10 pg/kg)], (ii) atropine (10 mg/kg), ranitidine (50 mg/kg), and omeprazole (50 mg/kg), (iii) 6-alpha-methylprednisolone (1 mg/kg) [intraperitoneally, once daily, first application at 30 min following surgery; last 24 h before sacrifice (at postoperative days 1, 2, 3, 7, 14, and 21)].\\n\\nRESULTS: Greater anti-ulcer potential and efficiency in wound healing compared with standard agents favor BPC 157, efficient in inflammatory bowel disease (PL-14736, Pliva), given in drinking water or intraperitoneally. Even after 6-alpha-methylprednisolone aggravation, BPC 157 promptly improves both skin and stomach mucosa healing, and closure of fistulas, with no leakage after up to 20 ml water intragastrically. Standard anti-ulcer agents, after a delay, improve firstly skin healing and then stomach mucosal healing, but not fistula leaking and bursting strength (except for atropine).\\n\\nCONCLUSION: We conclude that BPC 157 may resolve analogous nonhealing of wounds and persistent gastric ulcers better than standard agents.","author":[{"dropping-particle":"","family":"Skorjanec","given":"Sandra","non-dropping-particle":"","parse-names":false,"suffix":""},{"dropping-particle":"","family":"Dolovski","given":"Zdravko","non-dropping-particle":"","parse-names":false,"suffix":""},{"dropping-particle":"","family":"Kocman","given":"Ivan","non-dropping-particle":"","parse-names":false,"suffix":""},{"dropping-particle":"","family":"Brcic","given":"Luka","non-dropping-particle":"","parse-names":false,"suffix":""},{"dropping-particle":"","family":"Blagaic Boban","given":"Alenka","non-dropping-particle":"","parse-names":false,"suffix":""},{"dropping-particle":"","family":"Batelja","given":"Lovorka","non-dropping-particle":"","parse-names":false,"suffix":""},{"dropping-particle":"","family":"Coric","given":"Marjana","non-dropping-particle":"","parse-names":false,"suffix":""},{"dropping-particle":"","family":"Sever","given":"Marko","non-dropping-particle":"","parse-names":false,"suffix":""},{"dropping-particle":"","family":"Klicek","given":"Robert","non-dropping-particle":"","parse-names":false,"suffix":""},{"dropping-particle":"","family":"Berkopic","given":"Lidija","non-dropping-particle":"","parse-names":false,"suffix":""},{"dropping-particle":"","family":"Radic","given":"Bozo","non-dropping-particle":"","parse-names":false,"suffix":""},{"dropping-particle":"","family":"Drmic","given":"Domagoj","non-dropping-particle":"","parse-names":false,"suffix":""},{"dropping-particle":"","family":"Kolenc","given":"Danijela","non-dropping-particle":"","parse-names":false,"suffix":""},{"dropping-particle":"","family":"Ilic","given":"Spomenko","non-dropping-particle":"","parse-names":false,"suffix":""},{"dropping-particle":"","family":"Cesarec","given":"Vedran","non-dropping-particle":"","parse-names":false,"suffix":""},{"dropping-particle":"","family":"Tonkic","given":"Ante","non-dropping-particle":"","parse-names":false,"suffix":""},{"dropping-particle":"","family":"Zoricic","given":"Ivan","non-dropping-particle":"","parse-names":false,"suffix":""},{"dropping-particle":"","family":"Mise","given":"Stjepan","non-dropping-particle":"","parse-names":false,"suffix":""},{"dropping-particle":"","family":"Staresinic","given":"Mario","non-dropping-particle":"","parse-names":false,"suffix":""},{"dropping-particle":"","family":"Ivica","given":"Mihovil","non-dropping-particle":"","parse-names":false,"suffix":""},{"dropping-particle":"","family":"Lovric Bencic","given":"Martina","non-dropping-particle":"","parse-names":false,"suffix":""},{"dropping-particle":"","family":"Anic","given":"Tomislav","non-dropping-particle":"","parse-names":false,"suffix":""},{"dropping-particle":"","family":"Seiwerth","given":"Sven","non-dropping-particle":"","parse-names":false,"suffix":""},{"dropping-particle":"","family":"Sikiric","given":"Predrag","non-dropping-particle":"","parse-names":false,"suffix":""}],"container-title":"Digestive Diseases and Sciences","id":"ITEM-5","issue":"1","issued":{"date-parts":[["2009"]]},"page":"46-56","title":"Therapy for unhealed gastrocutaneous fistulas in rats as a model for analogous healing of persistent skin wounds and persistent gastric ulcers: Stable gastric pentadecapeptide BPC 157, atropine, ranitidine, and omeprazole","type":"article-journal","volume":"54"},"uris":["http://www.mendeley.com/documents/?uuid=fdfff0e6-f937-4069-9685-d242c56d6de3"]}],"mendeley":{"formattedCitation":"&lt;sup&gt;[34–38]&lt;/sup&gt;","plainTextFormattedCitation":"[34–38]","previouslyFormattedCitation":"&lt;sup&gt;[34–38]&lt;/sup&gt;"},"properties":{"noteIndex":0},"schema":"https://github.com/citation-style-language/schema/raw/master/csl-citation.json"}</w:instrText>
      </w:r>
      <w:r w:rsidR="00A75220"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[34–38]</w:t>
      </w:r>
      <w:r w:rsidR="00A75220"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w:t>
      </w:r>
      <w:r w:rsidR="00447AB7" w:rsidRPr="00E47A42">
        <w:rPr>
          <w:rFonts w:ascii="Book Antiqua" w:hAnsi="Book Antiqua" w:cs="Times New Roman"/>
          <w:sz w:val="24"/>
          <w:szCs w:val="24"/>
          <w:lang w:val="en-US"/>
        </w:rPr>
        <w:t xml:space="preserve">change from </w:t>
      </w:r>
      <w:r w:rsidRPr="00E47A42">
        <w:rPr>
          <w:rFonts w:ascii="Book Antiqua" w:hAnsi="Book Antiqua" w:cs="Times New Roman"/>
          <w:sz w:val="24"/>
          <w:szCs w:val="24"/>
          <w:lang w:val="en-US"/>
        </w:rPr>
        <w:t>prolonged bleeding to bleeding attenuation</w:t>
      </w:r>
      <w:r w:rsidR="00A75220"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thromres.2011.07.035","ISSN":"00493848","author":[{"dropping-particle":"","family":"Stupnisek","given":"Mirjana","non-dropping-particle":"","parse-names":false,"suffix":""},{"dropping-particle":"","family":"Franjic","given":"Sandra","non-dropping-particle":"","parse-names":false,"suffix":""},{"dropping-particle":"","family":"Drmic","given":"Domagoj","non-dropping-particle":"","parse-names":false,"suffix":""},{"dropping-particle":"","family":"Hrelec","given":"Masa","non-dropping-particle":"","parse-names":false,"suffix":""},{"dropping-particle":"","family":"Kolenc","given":"Danijela","non-dropping-particle":"","parse-names":false,"suffix":""},{"dropping-particle":"","family":"Radic","given":"Bozo","non-dropping-particle":"","parse-names":false,"suffix":""},{"dropping-particle":"","family":"Bojic","given":"Davor","non-dropping-particle":"","parse-names":false,"suffix":""},{"dropping-particle":"","family":"Vcev","given":"Aleksandar","non-dropping-particle":"","parse-names":false,"suffix":""},{"dropping-particle":"","family":"Seiwerth","given":"Sven","non-dropping-particle":"","parse-names":false,"suffix":""},{"dropping-particle":"","family":"Sikiric","given":"Predrag","non-dropping-particle":"","parse-names":false,"suffix":""}],"container-title":"Thrombosis Research","id":"ITEM-1","issue":"5","issued":{"date-parts":[["2012","5"]]},"page":"652-659","title":"Pentadecapeptide BPC 157 reduces bleeding time and thrombocytopenia after amputation in rats treated with heparin, warfarin or aspirin","type":"article-journal","volume":"129"},"uris":["http://www.mendeley.com/documents/?uuid=bb95af62-4403-4eee-ac11-2bc57c640536"]},{"id":"ITEM-2","itemData":{"DOI":"10.1371/journal.pone.0123454","ISSN":"1932-6203","author":[{"dropping-particle":"","family":"Stupnisek","given":"Mirjana","non-dropping-particle":"","parse-names":false,"suffix":""},{"dropping-particle":"","family":"Kokot","given":"Antonio","non-dropping-particle":"","parse-names":false,"suffix":""},{"dropping-particle":"","family":"Drmic","given":"Domagoj","non-dropping-particle":"","parse-names":false,"suffix":""},{"dropping-particle":"","family":"Hrelec Patrlj","given":"Masa","non-dropping-particle":"","parse-names":false,"suffix":""},{"dropping-particle":"","family":"Zenko Sever","given":"Anita","non-dropping-particle":"","parse-names":false,"suffix":""},{"dropping-particle":"","family":"Kolenc","given":"Danijela","non-dropping-particle":"","parse-names":false,"suffix":""},{"dropping-particle":"","family":"Radic","given":"Bozo","non-dropping-particle":"","parse-names":false,"suffix":""},{"dropping-particle":"","family":"Suran","given":"Jelena","non-dropping-particle":"","parse-names":false,"suffix":""},{"dropping-particle":"","family":"Bojic","given":"Davor","non-dropping-particle":"","parse-names":false,"suffix":""},{"dropping-particle":"","family":"Vcev","given":"Aleksandar","non-dropping-particle":"","parse-names":false,"suffix":""},{"dropping-particle":"","family":"Seiwerth","given":"Sven","non-dropping-particle":"","parse-names":false,"suffix":""},{"dropping-particle":"","family":"Sikiric","given":"Predrag","non-dropping-particle":"","parse-names":false,"suffix":""}],"container-title":"PLOS ONE","editor":[{"dropping-particle":"","family":"Yu","given":"Jun","non-dropping-particle":"","parse-names":false,"suffix":""}],"id":"ITEM-2","issue":"4","issued":{"date-parts":[["2015","4","21"]]},"page":"e0123454","title":"Pentadecapeptide BPC 157 Reduces Bleeding and Thrombocytopenia after Amputation in Rats Treated with Heparin, Warfarin, L-NAME and L-Arginine","type":"article-journal","volume":"10"},"uris":["http://www.mendeley.com/documents/?uuid=5b43fc49-e4f1-4278-be61-83d97a236221"]},{"id":"ITEM-3","itemData":{"DOI":"10.1016/j.vph.2018.02.010","ISSN":"18793649","abstract":"©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Pharmacology","id":"ITEM-3","issued":{"date-parts":[["2018"]]},"page":"54-66","title":"Rat inferior caval vein (ICV) ligature and particular new insights with the stable gastric pentadecapeptide BPC 157","type":"article-journal","volume":"106"},"uris":["http://www.mendeley.com/documents/?uuid=0d4e894c-6fc1-3bed-bb8f-4b56e696ff06"]}],"mendeley":{"formattedCitation":"&lt;sup&gt;[21,42,43]&lt;/sup&gt;","plainTextFormattedCitation":"[21,42,43]","previouslyFormattedCitation":"&lt;sup&gt;[21,42,43]&lt;/sup&gt;"},"properties":{"noteIndex":0},"schema":"https://github.com/citation-style-language/schema/raw/master/csl-citation.json"}</w:instrText>
      </w:r>
      <w:r w:rsidR="00A75220"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[21,42,43]</w:t>
      </w:r>
      <w:r w:rsidR="00A75220" w:rsidRPr="00E47A42">
        <w:rPr>
          <w:rFonts w:ascii="Book Antiqua" w:hAnsi="Book Antiqua" w:cs="Times New Roman"/>
          <w:sz w:val="24"/>
          <w:szCs w:val="24"/>
          <w:lang w:val="en-US"/>
        </w:rPr>
        <w:fldChar w:fldCharType="end"/>
      </w:r>
      <w:r w:rsidR="00447AB7" w:rsidRPr="00E47A42">
        <w:rPr>
          <w:rFonts w:ascii="Book Antiqua" w:hAnsi="Book Antiqua" w:cs="Times New Roman"/>
          <w:sz w:val="24"/>
          <w:szCs w:val="24"/>
          <w:lang w:val="en-US"/>
        </w:rPr>
        <w:t>,</w:t>
      </w:r>
      <w:r w:rsidR="00427847" w:rsidRPr="00E47A42">
        <w:rPr>
          <w:rFonts w:ascii="Book Antiqua" w:hAnsi="Book Antiqua" w:cs="Times New Roman"/>
          <w:sz w:val="24"/>
          <w:szCs w:val="24"/>
          <w:lang w:val="en-US"/>
        </w:rPr>
        <w:t xml:space="preserve"> </w:t>
      </w:r>
      <w:r w:rsidR="00D35159" w:rsidRPr="00E47A42">
        <w:rPr>
          <w:rFonts w:ascii="Book Antiqua" w:hAnsi="Book Antiqua" w:cs="Times New Roman"/>
          <w:sz w:val="24"/>
          <w:szCs w:val="24"/>
          <w:lang w:val="en-US"/>
        </w:rPr>
        <w:t>induce</w:t>
      </w:r>
      <w:r w:rsidR="00447AB7" w:rsidRPr="00E47A42">
        <w:rPr>
          <w:rFonts w:ascii="Book Antiqua" w:hAnsi="Book Antiqua" w:cs="Times New Roman"/>
          <w:sz w:val="24"/>
          <w:szCs w:val="24"/>
          <w:lang w:val="en-US"/>
        </w:rPr>
        <w:t xml:space="preserve">d reduction of </w:t>
      </w:r>
      <w:r w:rsidRPr="00E47A42">
        <w:rPr>
          <w:rFonts w:ascii="Book Antiqua" w:hAnsi="Book Antiqua" w:cs="Times New Roman"/>
          <w:sz w:val="24"/>
          <w:szCs w:val="24"/>
          <w:lang w:val="en-US"/>
        </w:rPr>
        <w:t>increased MDA values and normalization of NO values in cecum tissu</w:t>
      </w:r>
      <w:r w:rsidR="00A13458" w:rsidRPr="00E47A42">
        <w:rPr>
          <w:rFonts w:ascii="Book Antiqua" w:hAnsi="Book Antiqua" w:cs="Times New Roman"/>
          <w:sz w:val="24"/>
          <w:szCs w:val="24"/>
          <w:lang w:val="en-US"/>
        </w:rPr>
        <w:t>e</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In subsequent days and weeks, this may </w:t>
      </w:r>
      <w:r w:rsidR="0073152B" w:rsidRPr="00E47A42">
        <w:rPr>
          <w:rFonts w:ascii="Book Antiqua" w:hAnsi="Book Antiqua" w:cs="Times New Roman"/>
          <w:sz w:val="24"/>
          <w:szCs w:val="24"/>
          <w:lang w:val="en-US"/>
        </w:rPr>
        <w:t xml:space="preserve">lead to a </w:t>
      </w:r>
      <w:r w:rsidRPr="00E47A42">
        <w:rPr>
          <w:rFonts w:ascii="Book Antiqua" w:hAnsi="Book Antiqua" w:cs="Times New Roman"/>
          <w:sz w:val="24"/>
          <w:szCs w:val="24"/>
          <w:lang w:val="en-US"/>
        </w:rPr>
        <w:t xml:space="preserve">closed cecum defect and </w:t>
      </w:r>
      <w:r w:rsidR="0073152B" w:rsidRPr="00E47A42">
        <w:rPr>
          <w:rFonts w:ascii="Book Antiqua" w:hAnsi="Book Antiqua" w:cs="Times New Roman"/>
          <w:sz w:val="24"/>
          <w:szCs w:val="24"/>
          <w:lang w:val="en-US"/>
        </w:rPr>
        <w:t xml:space="preserve">attenuation of </w:t>
      </w:r>
      <w:r w:rsidRPr="00E47A42">
        <w:rPr>
          <w:rFonts w:ascii="Book Antiqua" w:hAnsi="Book Antiqua" w:cs="Times New Roman"/>
          <w:sz w:val="24"/>
          <w:szCs w:val="24"/>
          <w:lang w:val="en-US"/>
        </w:rPr>
        <w:t>adhesion formation.</w:t>
      </w:r>
      <w:r w:rsidR="00BC3C35">
        <w:rPr>
          <w:rFonts w:ascii="Book Antiqua" w:hAnsi="Book Antiqua" w:cs="Times New Roman"/>
          <w:sz w:val="24"/>
          <w:szCs w:val="24"/>
          <w:lang w:val="en-US"/>
        </w:rPr>
        <w:t xml:space="preserve"> </w:t>
      </w:r>
      <w:r w:rsidR="00CB6D86">
        <w:rPr>
          <w:rFonts w:ascii="Book Antiqua" w:hAnsi="Book Antiqua" w:cs="Times New Roman"/>
          <w:sz w:val="24"/>
          <w:szCs w:val="24"/>
          <w:lang w:val="en-US"/>
        </w:rPr>
        <w:t xml:space="preserve"> </w:t>
      </w:r>
    </w:p>
    <w:p w14:paraId="0E6A32EF" w14:textId="48091585" w:rsidR="00E05F1C" w:rsidRPr="00E47A42" w:rsidRDefault="00E05F1C" w:rsidP="00F73ADC">
      <w:pPr>
        <w:snapToGrid w:val="0"/>
        <w:spacing w:after="0" w:line="360" w:lineRule="auto"/>
        <w:ind w:firstLineChars="100" w:firstLine="240"/>
        <w:jc w:val="both"/>
        <w:rPr>
          <w:rFonts w:ascii="Book Antiqua" w:eastAsia="Times New Roman" w:hAnsi="Book Antiqua" w:cs="Times New Roman"/>
          <w:sz w:val="24"/>
          <w:szCs w:val="24"/>
          <w:lang w:val="en-US" w:eastAsia="hr-HR"/>
        </w:rPr>
      </w:pPr>
      <w:r w:rsidRPr="00E47A42">
        <w:rPr>
          <w:rFonts w:ascii="Book Antiqua" w:hAnsi="Book Antiqua" w:cs="Times New Roman"/>
          <w:sz w:val="24"/>
          <w:szCs w:val="24"/>
          <w:lang w:val="en-US"/>
        </w:rPr>
        <w:t>For further clarification and to</w:t>
      </w:r>
      <w:r w:rsidR="00CB6D86">
        <w:rPr>
          <w:rFonts w:ascii="Book Antiqua" w:hAnsi="Book Antiqua" w:cs="Times New Roman"/>
          <w:sz w:val="24"/>
          <w:szCs w:val="24"/>
          <w:lang w:val="en-US"/>
        </w:rPr>
        <w:t xml:space="preserve"> </w:t>
      </w:r>
      <w:proofErr w:type="spellStart"/>
      <w:r w:rsidR="00447AB7" w:rsidRPr="00E47A42">
        <w:rPr>
          <w:rFonts w:ascii="Book Antiqua" w:hAnsi="Book Antiqua" w:cs="Times New Roman"/>
          <w:sz w:val="24"/>
          <w:szCs w:val="24"/>
          <w:lang w:val="en-US"/>
        </w:rPr>
        <w:t>demostrate</w:t>
      </w:r>
      <w:proofErr w:type="spellEnd"/>
      <w:r w:rsidR="00447AB7"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a direct beneficial effect, medication (BPC 157, L-NAME, and L-arginine, alone and/or together) was </w:t>
      </w:r>
      <w:r w:rsidR="0073152B" w:rsidRPr="00E47A42">
        <w:rPr>
          <w:rFonts w:ascii="Book Antiqua" w:hAnsi="Book Antiqua" w:cs="Times New Roman"/>
          <w:sz w:val="24"/>
          <w:szCs w:val="24"/>
          <w:lang w:val="en-US"/>
        </w:rPr>
        <w:t xml:space="preserve">applied </w:t>
      </w:r>
      <w:r w:rsidRPr="00E47A42">
        <w:rPr>
          <w:rFonts w:ascii="Book Antiqua" w:hAnsi="Book Antiqua" w:cs="Times New Roman"/>
          <w:sz w:val="24"/>
          <w:szCs w:val="24"/>
          <w:lang w:val="en-US"/>
        </w:rPr>
        <w:t>directly to the injury</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once during surgery, as a bath to the perforated cecum</w:t>
      </w:r>
      <w:r w:rsidR="0073152B"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the solution</w:t>
      </w:r>
      <w:r w:rsidR="0073152B" w:rsidRPr="00E47A42">
        <w:rPr>
          <w:rFonts w:ascii="Book Antiqua" w:hAnsi="Book Antiqua" w:cs="Times New Roman"/>
          <w:sz w:val="24"/>
          <w:szCs w:val="24"/>
          <w:lang w:val="en-US"/>
        </w:rPr>
        <w:t xml:space="preserve"> </w:t>
      </w:r>
      <w:r w:rsidR="00852528" w:rsidRPr="00E47A42">
        <w:rPr>
          <w:rFonts w:ascii="Book Antiqua" w:hAnsi="Book Antiqua" w:cs="Times New Roman"/>
          <w:sz w:val="24"/>
          <w:szCs w:val="24"/>
          <w:lang w:val="en-US"/>
        </w:rPr>
        <w:t xml:space="preserve">then </w:t>
      </w:r>
      <w:r w:rsidRPr="00E47A42">
        <w:rPr>
          <w:rFonts w:ascii="Book Antiqua" w:hAnsi="Book Antiqua" w:cs="Times New Roman"/>
          <w:sz w:val="24"/>
          <w:szCs w:val="24"/>
          <w:lang w:val="en-US"/>
        </w:rPr>
        <w:t>spread through</w:t>
      </w:r>
      <w:r w:rsidR="0073152B" w:rsidRPr="00E47A42">
        <w:rPr>
          <w:rFonts w:ascii="Book Antiqua" w:hAnsi="Book Antiqua" w:cs="Times New Roman"/>
          <w:sz w:val="24"/>
          <w:szCs w:val="24"/>
          <w:lang w:val="en-US"/>
        </w:rPr>
        <w:t>out</w:t>
      </w:r>
      <w:r w:rsidRPr="00E47A42">
        <w:rPr>
          <w:rFonts w:ascii="Book Antiqua" w:hAnsi="Book Antiqua" w:cs="Times New Roman"/>
          <w:sz w:val="24"/>
          <w:szCs w:val="24"/>
          <w:lang w:val="en-US"/>
        </w:rPr>
        <w:t xml:space="preserve"> the abdominal cavity. Consequently, </w:t>
      </w:r>
      <w:r w:rsidR="00C24345"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 xml:space="preserve">beneficial effects </w:t>
      </w:r>
      <w:r w:rsidR="00852528" w:rsidRPr="00E47A42">
        <w:rPr>
          <w:rFonts w:ascii="Book Antiqua" w:hAnsi="Book Antiqua" w:cs="Times New Roman"/>
          <w:sz w:val="24"/>
          <w:szCs w:val="24"/>
          <w:lang w:val="en-US"/>
        </w:rPr>
        <w:t>are</w:t>
      </w:r>
      <w:r w:rsidRPr="00E47A42">
        <w:rPr>
          <w:rFonts w:ascii="Book Antiqua" w:hAnsi="Book Antiqua" w:cs="Times New Roman"/>
          <w:sz w:val="24"/>
          <w:szCs w:val="24"/>
          <w:lang w:val="en-US"/>
        </w:rPr>
        <w:t xml:space="preserve"> directly related to the reversal of perforated injury outcome consequences, in both</w:t>
      </w:r>
      <w:r w:rsidR="00C24345" w:rsidRPr="00E47A42">
        <w:rPr>
          <w:rFonts w:ascii="Book Antiqua" w:hAnsi="Book Antiqua" w:cs="Times New Roman"/>
          <w:sz w:val="24"/>
          <w:szCs w:val="24"/>
          <w:lang w:val="en-US"/>
        </w:rPr>
        <w:t xml:space="preserve"> the</w:t>
      </w:r>
      <w:r w:rsidR="00852528" w:rsidRPr="00E47A42">
        <w:rPr>
          <w:rFonts w:ascii="Book Antiqua" w:hAnsi="Book Antiqua" w:cs="Times New Roman"/>
          <w:sz w:val="24"/>
          <w:szCs w:val="24"/>
          <w:lang w:val="en-US"/>
        </w:rPr>
        <w:t xml:space="preserve"> early and later periods.</w:t>
      </w:r>
      <w:r w:rsidRPr="00E47A42">
        <w:rPr>
          <w:rFonts w:ascii="Book Antiqua" w:hAnsi="Book Antiqua" w:cs="Times New Roman"/>
          <w:sz w:val="24"/>
          <w:szCs w:val="24"/>
          <w:lang w:val="en-US"/>
        </w:rPr>
        <w:t xml:space="preserve"> </w:t>
      </w:r>
      <w:r w:rsidR="00852528" w:rsidRPr="00E47A42">
        <w:rPr>
          <w:rFonts w:ascii="Book Antiqua" w:hAnsi="Book Antiqua" w:cs="Times New Roman"/>
          <w:sz w:val="24"/>
          <w:szCs w:val="24"/>
          <w:lang w:val="en-US"/>
        </w:rPr>
        <w:t>These effects</w:t>
      </w:r>
      <w:r w:rsidRPr="00E47A42">
        <w:rPr>
          <w:rFonts w:ascii="Book Antiqua" w:hAnsi="Book Antiqua" w:cs="Times New Roman"/>
          <w:sz w:val="24"/>
          <w:szCs w:val="24"/>
          <w:lang w:val="en-US"/>
        </w:rPr>
        <w:t xml:space="preserve"> may be triggered shortly after injury initiation</w:t>
      </w:r>
      <w:r w:rsidR="00852528"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w:t>
      </w:r>
      <w:r w:rsidR="00852528" w:rsidRPr="00E47A42">
        <w:rPr>
          <w:rFonts w:ascii="Book Antiqua" w:hAnsi="Book Antiqua" w:cs="Times New Roman"/>
          <w:sz w:val="24"/>
          <w:szCs w:val="24"/>
          <w:lang w:val="en-US"/>
        </w:rPr>
        <w:t>or</w:t>
      </w:r>
      <w:r w:rsidRPr="00E47A42">
        <w:rPr>
          <w:rFonts w:ascii="Book Antiqua" w:hAnsi="Book Antiqua" w:cs="Times New Roman"/>
          <w:sz w:val="24"/>
          <w:szCs w:val="24"/>
          <w:lang w:val="en-US"/>
        </w:rPr>
        <w:t xml:space="preserve"> </w:t>
      </w:r>
      <w:r w:rsidR="00852528" w:rsidRPr="00E47A42">
        <w:rPr>
          <w:rFonts w:ascii="Book Antiqua" w:hAnsi="Book Antiqua" w:cs="Times New Roman"/>
          <w:sz w:val="24"/>
          <w:szCs w:val="24"/>
          <w:lang w:val="en-US"/>
        </w:rPr>
        <w:t>reverse</w:t>
      </w:r>
      <w:r w:rsidR="00CB6D86">
        <w:rPr>
          <w:rFonts w:ascii="Book Antiqua" w:hAnsi="Book Antiqua" w:cs="Times New Roman"/>
          <w:sz w:val="24"/>
          <w:szCs w:val="24"/>
          <w:lang w:val="en-US"/>
        </w:rPr>
        <w:t xml:space="preserve"> </w:t>
      </w:r>
      <w:r w:rsidRPr="00E47A42">
        <w:rPr>
          <w:rFonts w:ascii="Book Antiqua" w:hAnsi="Book Antiqua" w:cs="Times New Roman"/>
          <w:sz w:val="24"/>
          <w:szCs w:val="24"/>
          <w:lang w:val="en-US"/>
        </w:rPr>
        <w:t>a</w:t>
      </w:r>
      <w:r w:rsidR="00852528" w:rsidRPr="00E47A42">
        <w:rPr>
          <w:rFonts w:ascii="Book Antiqua" w:hAnsi="Book Antiqua" w:cs="Times New Roman"/>
          <w:sz w:val="24"/>
          <w:szCs w:val="24"/>
          <w:lang w:val="en-US"/>
        </w:rPr>
        <w:t>n already advanced injury course</w:t>
      </w:r>
      <w:r w:rsidRPr="00E47A42">
        <w:rPr>
          <w:rFonts w:ascii="Book Antiqua" w:hAnsi="Book Antiqua" w:cs="Times New Roman"/>
          <w:sz w:val="24"/>
          <w:szCs w:val="24"/>
          <w:lang w:val="en-US"/>
        </w:rPr>
        <w:t>.</w:t>
      </w:r>
    </w:p>
    <w:p w14:paraId="1B30A5E9" w14:textId="77777777" w:rsidR="00E05F1C" w:rsidRPr="00E47A42" w:rsidRDefault="00E05F1C" w:rsidP="00F73ADC">
      <w:pPr>
        <w:snapToGrid w:val="0"/>
        <w:spacing w:after="0" w:line="360" w:lineRule="auto"/>
        <w:jc w:val="both"/>
        <w:rPr>
          <w:rFonts w:ascii="Book Antiqua" w:hAnsi="Book Antiqua" w:cs="Times New Roman"/>
          <w:sz w:val="24"/>
          <w:szCs w:val="24"/>
          <w:lang w:val="en-US"/>
        </w:rPr>
      </w:pPr>
    </w:p>
    <w:p w14:paraId="3459A021" w14:textId="0A32BC50" w:rsidR="006E2F19" w:rsidRPr="00E47A42" w:rsidRDefault="0022476E" w:rsidP="00F73ADC">
      <w:pPr>
        <w:snapToGrid w:val="0"/>
        <w:spacing w:after="0" w:line="360" w:lineRule="auto"/>
        <w:jc w:val="both"/>
        <w:rPr>
          <w:rFonts w:ascii="Book Antiqua" w:hAnsi="Book Antiqua" w:cs="Times New Roman"/>
          <w:b/>
          <w:sz w:val="24"/>
          <w:szCs w:val="24"/>
          <w:lang w:val="en-US"/>
        </w:rPr>
      </w:pPr>
      <w:r w:rsidRPr="00E47A42">
        <w:rPr>
          <w:rFonts w:ascii="Book Antiqua" w:hAnsi="Book Antiqua" w:cs="Times New Roman"/>
          <w:b/>
          <w:sz w:val="24"/>
          <w:szCs w:val="24"/>
          <w:lang w:val="en-US"/>
        </w:rPr>
        <w:t>MATERIALS AND METHODS</w:t>
      </w:r>
      <w:r w:rsidR="006E2F19" w:rsidRPr="00E47A42">
        <w:rPr>
          <w:rFonts w:ascii="Book Antiqua" w:hAnsi="Book Antiqua" w:cs="Times New Roman"/>
          <w:b/>
          <w:sz w:val="24"/>
          <w:szCs w:val="24"/>
          <w:lang w:val="en-US"/>
        </w:rPr>
        <w:t xml:space="preserve"> </w:t>
      </w:r>
    </w:p>
    <w:p w14:paraId="6D60EC93" w14:textId="77777777" w:rsidR="006E2F19" w:rsidRPr="00E47A42" w:rsidRDefault="006E2F19" w:rsidP="00F73ADC">
      <w:pPr>
        <w:snapToGrid w:val="0"/>
        <w:spacing w:after="0" w:line="360" w:lineRule="auto"/>
        <w:jc w:val="both"/>
        <w:rPr>
          <w:rFonts w:ascii="Book Antiqua" w:hAnsi="Book Antiqua" w:cs="Times New Roman"/>
          <w:b/>
          <w:i/>
          <w:sz w:val="24"/>
          <w:szCs w:val="24"/>
          <w:lang w:val="en-US"/>
        </w:rPr>
      </w:pPr>
      <w:r w:rsidRPr="00E47A42">
        <w:rPr>
          <w:rFonts w:ascii="Book Antiqua" w:hAnsi="Book Antiqua" w:cs="Times New Roman"/>
          <w:b/>
          <w:i/>
          <w:sz w:val="24"/>
          <w:szCs w:val="24"/>
          <w:lang w:val="en-US"/>
        </w:rPr>
        <w:t>Animals</w:t>
      </w:r>
    </w:p>
    <w:p w14:paraId="3A60B465" w14:textId="43E622D7" w:rsidR="006E2F19" w:rsidRPr="00E47A42" w:rsidRDefault="006E2F19" w:rsidP="00F73ADC">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sz w:val="24"/>
          <w:szCs w:val="24"/>
          <w:lang w:val="en-US"/>
        </w:rPr>
        <w:t xml:space="preserve">Male Albino Wistar rats, 200 g </w:t>
      </w:r>
      <w:proofErr w:type="spellStart"/>
      <w:r w:rsidRPr="00E47A42">
        <w:rPr>
          <w:rFonts w:ascii="Book Antiqua" w:hAnsi="Book Antiqua" w:cs="Times New Roman"/>
          <w:sz w:val="24"/>
          <w:szCs w:val="24"/>
          <w:lang w:val="en-US"/>
        </w:rPr>
        <w:t>b.w</w:t>
      </w:r>
      <w:proofErr w:type="spellEnd"/>
      <w:r w:rsidRPr="00E47A42">
        <w:rPr>
          <w:rFonts w:ascii="Book Antiqua" w:hAnsi="Book Antiqua" w:cs="Times New Roman"/>
          <w:sz w:val="24"/>
          <w:szCs w:val="24"/>
          <w:lang w:val="en-US"/>
        </w:rPr>
        <w:t>., were randomly assigned (7 rats</w:t>
      </w:r>
      <w:r w:rsidR="009A3C66" w:rsidRPr="00E47A42">
        <w:rPr>
          <w:rFonts w:ascii="Book Antiqua" w:hAnsi="Book Antiqua" w:cs="Times New Roman"/>
          <w:sz w:val="24"/>
          <w:szCs w:val="24"/>
          <w:lang w:val="en-US"/>
        </w:rPr>
        <w:t xml:space="preserve"> per </w:t>
      </w:r>
      <w:r w:rsidRPr="00E47A42">
        <w:rPr>
          <w:rFonts w:ascii="Book Antiqua" w:hAnsi="Book Antiqua" w:cs="Times New Roman"/>
          <w:sz w:val="24"/>
          <w:szCs w:val="24"/>
          <w:lang w:val="en-US"/>
        </w:rPr>
        <w:t xml:space="preserve">group) and used for the experiments, </w:t>
      </w:r>
      <w:r w:rsidR="00D175EE" w:rsidRPr="00E47A42">
        <w:rPr>
          <w:rFonts w:ascii="Book Antiqua" w:hAnsi="Book Antiqua" w:cs="Times New Roman"/>
          <w:sz w:val="24"/>
          <w:szCs w:val="24"/>
          <w:lang w:val="en-US"/>
        </w:rPr>
        <w:t xml:space="preserve">which were </w:t>
      </w:r>
      <w:r w:rsidRPr="00E47A42">
        <w:rPr>
          <w:rFonts w:ascii="Book Antiqua" w:hAnsi="Book Antiqua" w:cs="Times New Roman"/>
          <w:sz w:val="24"/>
          <w:szCs w:val="24"/>
          <w:lang w:val="en-US"/>
        </w:rPr>
        <w:t xml:space="preserve">approved by the local </w:t>
      </w:r>
      <w:r w:rsidR="00DE32EA" w:rsidRPr="00E47A42">
        <w:rPr>
          <w:rFonts w:ascii="Book Antiqua" w:hAnsi="Book Antiqua" w:cs="Times New Roman"/>
          <w:sz w:val="24"/>
          <w:szCs w:val="24"/>
          <w:lang w:val="en-US"/>
        </w:rPr>
        <w:t xml:space="preserve">ethics </w:t>
      </w:r>
      <w:r w:rsidRPr="00E47A42">
        <w:rPr>
          <w:rFonts w:ascii="Book Antiqua" w:hAnsi="Book Antiqua" w:cs="Times New Roman"/>
          <w:sz w:val="24"/>
          <w:szCs w:val="24"/>
          <w:lang w:val="en-US"/>
        </w:rPr>
        <w:t>committee. The perforation procedure was performed in rats that had food and water ad libitum before the procedure and until the end of the experiment.</w:t>
      </w:r>
      <w:r w:rsidR="00CB6D86">
        <w:rPr>
          <w:rFonts w:ascii="Book Antiqua" w:hAnsi="Book Antiqua" w:cs="Times New Roman"/>
          <w:sz w:val="24"/>
          <w:szCs w:val="24"/>
          <w:lang w:val="en-US"/>
        </w:rPr>
        <w:t xml:space="preserve"> </w:t>
      </w:r>
    </w:p>
    <w:p w14:paraId="1E2FD2BA" w14:textId="77777777" w:rsidR="00DE32EA" w:rsidRPr="00E47A42" w:rsidRDefault="00DE32EA" w:rsidP="00F73ADC">
      <w:pPr>
        <w:snapToGrid w:val="0"/>
        <w:spacing w:after="0" w:line="360" w:lineRule="auto"/>
        <w:jc w:val="both"/>
        <w:rPr>
          <w:rFonts w:ascii="Book Antiqua" w:hAnsi="Book Antiqua" w:cs="Times New Roman"/>
          <w:sz w:val="24"/>
          <w:szCs w:val="24"/>
          <w:lang w:val="en-US"/>
        </w:rPr>
      </w:pPr>
    </w:p>
    <w:p w14:paraId="2AF55D3C" w14:textId="77777777" w:rsidR="006E2F19" w:rsidRPr="00E47A42" w:rsidRDefault="006E2F19" w:rsidP="00F73ADC">
      <w:pPr>
        <w:snapToGrid w:val="0"/>
        <w:spacing w:after="0" w:line="360" w:lineRule="auto"/>
        <w:jc w:val="both"/>
        <w:rPr>
          <w:rFonts w:ascii="Book Antiqua" w:hAnsi="Book Antiqua" w:cs="Times New Roman"/>
          <w:b/>
          <w:i/>
          <w:sz w:val="24"/>
          <w:szCs w:val="24"/>
          <w:lang w:val="en-US"/>
        </w:rPr>
      </w:pPr>
      <w:r w:rsidRPr="00E47A42">
        <w:rPr>
          <w:rFonts w:ascii="Book Antiqua" w:hAnsi="Book Antiqua" w:cs="Times New Roman"/>
          <w:b/>
          <w:i/>
          <w:sz w:val="24"/>
          <w:szCs w:val="24"/>
          <w:lang w:val="en-US"/>
        </w:rPr>
        <w:t>Drugs</w:t>
      </w:r>
    </w:p>
    <w:p w14:paraId="220698C5" w14:textId="43561CAD" w:rsidR="006E2F19" w:rsidRPr="00E47A42" w:rsidRDefault="006E2F19" w:rsidP="00F73ADC">
      <w:pPr>
        <w:snapToGrid w:val="0"/>
        <w:spacing w:after="0" w:line="360" w:lineRule="auto"/>
        <w:jc w:val="both"/>
        <w:rPr>
          <w:rFonts w:ascii="Book Antiqua" w:hAnsi="Book Antiqua" w:cs="Times New Roman"/>
          <w:sz w:val="24"/>
          <w:szCs w:val="24"/>
          <w:lang w:val="en-US"/>
        </w:rPr>
      </w:pPr>
      <w:proofErr w:type="spellStart"/>
      <w:r w:rsidRPr="00E47A42">
        <w:rPr>
          <w:rFonts w:ascii="Book Antiqua" w:hAnsi="Book Antiqua" w:cs="Times New Roman"/>
          <w:sz w:val="24"/>
          <w:szCs w:val="24"/>
          <w:lang w:val="en-US"/>
        </w:rPr>
        <w:t>Pentadecapeptide</w:t>
      </w:r>
      <w:proofErr w:type="spellEnd"/>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Gly</w:t>
      </w:r>
      <w:proofErr w:type="spellEnd"/>
      <w:r w:rsidRPr="00E47A42">
        <w:rPr>
          <w:rFonts w:ascii="Book Antiqua" w:hAnsi="Book Antiqua" w:cs="Times New Roman"/>
          <w:sz w:val="24"/>
          <w:szCs w:val="24"/>
          <w:lang w:val="en-US"/>
        </w:rPr>
        <w:t>-</w:t>
      </w:r>
      <w:proofErr w:type="spellStart"/>
      <w:r w:rsidRPr="00E47A42">
        <w:rPr>
          <w:rFonts w:ascii="Book Antiqua" w:hAnsi="Book Antiqua" w:cs="Times New Roman"/>
          <w:sz w:val="24"/>
          <w:szCs w:val="24"/>
          <w:lang w:val="en-US"/>
        </w:rPr>
        <w:t>Glu</w:t>
      </w:r>
      <w:proofErr w:type="spellEnd"/>
      <w:r w:rsidRPr="00E47A42">
        <w:rPr>
          <w:rFonts w:ascii="Book Antiqua" w:hAnsi="Book Antiqua" w:cs="Times New Roman"/>
          <w:sz w:val="24"/>
          <w:szCs w:val="24"/>
          <w:lang w:val="en-US"/>
        </w:rPr>
        <w:t>-Pro-Pro-Pro-</w:t>
      </w:r>
      <w:proofErr w:type="spellStart"/>
      <w:r w:rsidRPr="00E47A42">
        <w:rPr>
          <w:rFonts w:ascii="Book Antiqua" w:hAnsi="Book Antiqua" w:cs="Times New Roman"/>
          <w:sz w:val="24"/>
          <w:szCs w:val="24"/>
          <w:lang w:val="en-US"/>
        </w:rPr>
        <w:t>Gly</w:t>
      </w:r>
      <w:proofErr w:type="spellEnd"/>
      <w:r w:rsidRPr="00E47A42">
        <w:rPr>
          <w:rFonts w:ascii="Book Antiqua" w:hAnsi="Book Antiqua" w:cs="Times New Roman"/>
          <w:sz w:val="24"/>
          <w:szCs w:val="24"/>
          <w:lang w:val="en-US"/>
        </w:rPr>
        <w:t>-Lys-Pro-</w:t>
      </w:r>
      <w:proofErr w:type="spellStart"/>
      <w:r w:rsidRPr="00E47A42">
        <w:rPr>
          <w:rFonts w:ascii="Book Antiqua" w:hAnsi="Book Antiqua" w:cs="Times New Roman"/>
          <w:sz w:val="24"/>
          <w:szCs w:val="24"/>
          <w:lang w:val="en-US"/>
        </w:rPr>
        <w:t>Ala</w:t>
      </w:r>
      <w:proofErr w:type="spellEnd"/>
      <w:r w:rsidRPr="00E47A42">
        <w:rPr>
          <w:rFonts w:ascii="Book Antiqua" w:hAnsi="Book Antiqua" w:cs="Times New Roman"/>
          <w:sz w:val="24"/>
          <w:szCs w:val="24"/>
          <w:lang w:val="en-US"/>
        </w:rPr>
        <w:t>-Asp-Asp-</w:t>
      </w:r>
      <w:proofErr w:type="spellStart"/>
      <w:r w:rsidRPr="00E47A42">
        <w:rPr>
          <w:rFonts w:ascii="Book Antiqua" w:hAnsi="Book Antiqua" w:cs="Times New Roman"/>
          <w:sz w:val="24"/>
          <w:szCs w:val="24"/>
          <w:lang w:val="en-US"/>
        </w:rPr>
        <w:t>Ala</w:t>
      </w:r>
      <w:proofErr w:type="spellEnd"/>
      <w:r w:rsidRPr="00E47A42">
        <w:rPr>
          <w:rFonts w:ascii="Book Antiqua" w:hAnsi="Book Antiqua" w:cs="Times New Roman"/>
          <w:sz w:val="24"/>
          <w:szCs w:val="24"/>
          <w:lang w:val="en-US"/>
        </w:rPr>
        <w:t>-</w:t>
      </w:r>
      <w:proofErr w:type="spellStart"/>
      <w:r w:rsidRPr="00E47A42">
        <w:rPr>
          <w:rFonts w:ascii="Book Antiqua" w:hAnsi="Book Antiqua" w:cs="Times New Roman"/>
          <w:sz w:val="24"/>
          <w:szCs w:val="24"/>
          <w:lang w:val="en-US"/>
        </w:rPr>
        <w:t>Gly</w:t>
      </w:r>
      <w:proofErr w:type="spellEnd"/>
      <w:r w:rsidRPr="00E47A42">
        <w:rPr>
          <w:rFonts w:ascii="Book Antiqua" w:hAnsi="Book Antiqua" w:cs="Times New Roman"/>
          <w:sz w:val="24"/>
          <w:szCs w:val="24"/>
          <w:lang w:val="en-US"/>
        </w:rPr>
        <w:t>-</w:t>
      </w:r>
      <w:proofErr w:type="spellStart"/>
      <w:r w:rsidRPr="00E47A42">
        <w:rPr>
          <w:rFonts w:ascii="Book Antiqua" w:hAnsi="Book Antiqua" w:cs="Times New Roman"/>
          <w:sz w:val="24"/>
          <w:szCs w:val="24"/>
          <w:lang w:val="en-US"/>
        </w:rPr>
        <w:t>Leu</w:t>
      </w:r>
      <w:proofErr w:type="spellEnd"/>
      <w:r w:rsidRPr="00E47A42">
        <w:rPr>
          <w:rFonts w:ascii="Book Antiqua" w:hAnsi="Book Antiqua" w:cs="Times New Roman"/>
          <w:sz w:val="24"/>
          <w:szCs w:val="24"/>
          <w:lang w:val="en-US"/>
        </w:rPr>
        <w:t xml:space="preserve">-Val, M.W. 1419, named BPC 157, a part of the sequence of human gastric juice protein </w:t>
      </w:r>
      <w:r w:rsidR="00796A99" w:rsidRPr="00E47A42">
        <w:rPr>
          <w:rFonts w:ascii="Book Antiqua" w:hAnsi="Book Antiqua" w:cs="Times New Roman"/>
          <w:sz w:val="24"/>
          <w:szCs w:val="24"/>
          <w:lang w:val="en-US"/>
        </w:rPr>
        <w:t>en</w:t>
      </w:r>
      <w:r w:rsidRPr="00E47A42">
        <w:rPr>
          <w:rFonts w:ascii="Book Antiqua" w:hAnsi="Book Antiqua" w:cs="Times New Roman"/>
          <w:sz w:val="24"/>
          <w:szCs w:val="24"/>
          <w:lang w:val="en-US"/>
        </w:rPr>
        <w:t>coded</w:t>
      </w:r>
      <w:r w:rsidR="00796A99" w:rsidRPr="00E47A42">
        <w:rPr>
          <w:rFonts w:ascii="Book Antiqua" w:hAnsi="Book Antiqua" w:cs="Times New Roman"/>
          <w:sz w:val="24"/>
          <w:szCs w:val="24"/>
          <w:lang w:val="en-US"/>
        </w:rPr>
        <w:t xml:space="preserve"> by</w:t>
      </w:r>
      <w:r w:rsidRPr="00E47A42">
        <w:rPr>
          <w:rFonts w:ascii="Book Antiqua" w:hAnsi="Book Antiqua" w:cs="Times New Roman"/>
          <w:sz w:val="24"/>
          <w:szCs w:val="24"/>
          <w:lang w:val="en-US"/>
        </w:rPr>
        <w:t xml:space="preserve"> BPC, freely soluble in water at pH 7.0 and in saline, was prepared (</w:t>
      </w:r>
      <w:proofErr w:type="spellStart"/>
      <w:r w:rsidRPr="00E47A42">
        <w:rPr>
          <w:rFonts w:ascii="Book Antiqua" w:hAnsi="Book Antiqua" w:cs="Times New Roman"/>
          <w:sz w:val="24"/>
          <w:szCs w:val="24"/>
          <w:lang w:val="en-US"/>
        </w:rPr>
        <w:t>Diagen</w:t>
      </w:r>
      <w:proofErr w:type="spellEnd"/>
      <w:r w:rsidRPr="00E47A42">
        <w:rPr>
          <w:rFonts w:ascii="Book Antiqua" w:hAnsi="Book Antiqua" w:cs="Times New Roman"/>
          <w:sz w:val="24"/>
          <w:szCs w:val="24"/>
          <w:lang w:val="en-US"/>
        </w:rPr>
        <w:t xml:space="preserve">, </w:t>
      </w:r>
      <w:r w:rsidR="00590D76" w:rsidRPr="00E47A42">
        <w:rPr>
          <w:rFonts w:ascii="Book Antiqua" w:hAnsi="Book Antiqua" w:cs="Times New Roman"/>
          <w:sz w:val="24"/>
          <w:szCs w:val="24"/>
          <w:lang w:val="en-US"/>
        </w:rPr>
        <w:t xml:space="preserve">Ljubljana, </w:t>
      </w:r>
      <w:r w:rsidRPr="00E47A42">
        <w:rPr>
          <w:rFonts w:ascii="Book Antiqua" w:hAnsi="Book Antiqua" w:cs="Times New Roman"/>
          <w:sz w:val="24"/>
          <w:szCs w:val="24"/>
          <w:lang w:val="en-US"/>
        </w:rPr>
        <w:t xml:space="preserve">Slovenia) as described </w:t>
      </w:r>
      <w:r w:rsidR="008E6437" w:rsidRPr="00E47A42">
        <w:rPr>
          <w:rFonts w:ascii="Book Antiqua" w:hAnsi="Book Antiqua" w:cs="Times New Roman"/>
          <w:sz w:val="24"/>
          <w:szCs w:val="24"/>
          <w:lang w:val="en-US"/>
        </w:rPr>
        <w:t>previously</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10.2174/1381612823666170220163219","ISSN":"13816128","author":[{"dropping-particle":"","family":"Sikiric","given":"Predrag","non-dropping-particle":"","parse-names":false,"suffix":""},{"dropping-particle":"","family":"Seiwerth","given":"Sven","non-dropping-particle":"","parse-names":false,"suffix":""},{"dropping-particle":"","family":"Rucman","given":"Rudolf","non-dropping-particle":"","parse-names":false,"suffix":""},{"dropping-particle":"","family":"Drmic","given":"Domagoj","non-dropping-particle":"","parse-names":false,"suffix":""},{"dropping-particle":"","family":"Stupnisek","given":"Mirjana","non-dropping-particle":"","parse-names":false,"suffix":""},{"dropping-particle":"","family":"Kokot","given":"Antonio","non-dropping-particle":"","parse-names":false,"suffix":""},{"dropping-particle":"","family":"Sever","given":"Marko","non-dropping-particle":"","parse-names":false,"suffix":""},{"dropping-particle":"","family":"Zoricic","given":"Ivan","non-dropping-particle":"","parse-names":false,"suffix":""},{"dropping-particle":"","family":"Zoricic","given":"Zoran","non-dropping-particle":"","parse-names":false,"suffix":""},{"dropping-particle":"","family":"Batelja","given":"Lovorka","non-dropping-particle":"","parse-names":false,"suffix":""},{"dropping-particle":"","family":"Ziger","given":"Tihomil","non-dropping-particle":"","parse-names":false,"suffix":""},{"dropping-particle":"","family":"Luetic","given":"Kresimir","non-dropping-particle":"","parse-names":false,"suffix":""},{"dropping-particle":"","family":"Vlainic","given":"Josipa","non-dropping-particle":"","parse-names":false,"suffix":""},{"dropping-particle":"","family":"Rasic","given":"Zarko","non-dropping-particle":"","parse-names":false,"suffix":""},{"dropping-particle":"","family":"Bencic","given":"Martina Lovric","non-dropping-particle":"","parse-names":false,"suffix":""}],"container-title":"Current Pharmaceutical Design","id":"ITEM-1","issue":"27","issued":{"date-parts":[["2017","10","30"]]},"page":"4012-4028","title":"Stress in Gastrointestinal Tract and Stable Gastric Pentadecapeptide BPC 157. Finally, do we have a Solution?","type":"article-journal","volume":"23"},"uris":["http://www.mendeley.com/documents/?uuid=bb09abfa-dd18-4e07-99e3-5e0c5e908cc9"]},{"id":"ITEM-2","itemData":{"ISSN":"1875-6190","PMID":"27138887","abstract":"BACKGROUND Brain-gut interaction involves, among others, peptidergic growth factors which are native in GI tract and have strong antiulcer potency and thus could from periphery beneficially affect CNS-disorders. We focused on the stable gastric pentadecapeptide BPC 157, an antiulcer peptidergic agent, safe in inflammatory bowel disease trials and now in multiple sclerosis trial, native and stable in human gastric juice. METHODS Review of our research on BPC 157 in terms of brain-gut axis. RESULTS BPC 157 may serve as a novel mediator of Robert's cytoprotection, involved in maintaining of GI mucosa integrity, with no toxic effect. BPC 157 was successful in the therapy of GI tract, periodontitis, liver and pancreas lesions, and in the healing of various tissues and wounds. Stimulated Egr-1 gene, NAB2, FAK-paxillin and JAK-2 pathways are hitherto implicated. Initially corresponding beneficial central influence was seen when BPC 157 was given peripherally and a serotonin release in particular brain areas, mostly nigrostriatal, was changed. BPC 157 modulates serotonergic and dopaminergic systems, beneficially affects various behavioral disturbances that otherwise appeared due to specifically (over)stimulated/damaged neurotransmitters systems. Besides, BPC 157 has neuroprotective effects: protects somatosensory neurons; peripheral nerve regeneration appearent after transection; after traumatic brain injury counteracts the otherwise progressing course, in rat spinal cord compression with tail paralysis, axonal and neuronal necrosis, demyelination, cyst formation and rescues tail function in both short-terms and long-terms; after NSAIDs or insulin overdose or cuprizone encephalopathies were attenuated along with GI, liver and vascular injuries. CONCLUSION BPC 157, a gastric peptide, may serve as remedy in various CNS-disorders.","author":[{"dropping-particle":"","family":"Sikiric","given":"Predrag","non-dropping-particle":"","parse-names":false,"suffix":""},{"dropping-particle":"","family":"Seiwerth","given":"Sven","non-dropping-particle":"","parse-names":false,"suffix":""},{"dropping-particle":"","family":"Rucman","given":"Rudolf","non-dropping-particle":"","parse-names":false,"suffix":""},{"dropping-particle":"","family":"Kolenc","given":"Danijela","non-dropping-particle":"","parse-names":false,"suffix":""},{"dropping-particle":"","family":"Vuletic","given":"Lovorka Batelja","non-dropping-particle":"","parse-names":false,"suffix":""},{"dropping-particle":"","family":"Drmic","given":"Domagoj","non-dropping-particle":"","parse-names":false,"suffix":""},{"dropping-particle":"","family":"Grgic","given":"Tihomir","non-dropping-particle":"","parse-names":false,"suffix":""},{"dropping-particle":"","family":"Strbe","given":"Sanja","non-dropping-particle":"","parse-names":false,"suffix":""},{"dropping-particle":"","family":"Zukanovic","given":"Goran","non-dropping-particle":"","parse-names":false,"suffix":""},{"dropping-particle":"","family":"Crvenkovic","given":"Dalibor","non-dropping-particle":"","parse-names":false,"suffix":""},{"dropping-particle":"","family":"Madzarac","given":"Goran","non-dropping-particle":"","parse-names":false,"suffix":""},{"dropping-particle":"","family":"Rukavina","given":"Iva","non-dropping-particle":"","parse-names":false,"suffix":""},{"dropping-particle":"","family":"Sucic","given":"Mario","non-dropping-particle":"","parse-names":false,"suffix":""},{"dropping-particle":"","family":"Baric","given":"Marko","non-dropping-particle":"","parse-names":false,"suffix":""},{"dropping-particle":"","family":"Starcevic","given":"Neven","non-dropping-particle":"","parse-names":false,"suffix":""},{"dropping-particle":"","family":"Krstonijevic","given":"Zoran","non-dropping-particle":"","parse-names":false,"suffix":""},{"dropping-particle":"","family":"Bencic","given":"Martina Lovric","non-dropping-particle":"","parse-names":false,"suffix":""},{"dropping-particle":"","family":"Filipcic","given":"Igor","non-dropping-particle":"","parse-names":false,"suffix":""},{"dropping-particle":"","family":"Rokotov","given":"Dinko Stancic","non-dropping-particle":"","parse-names":false,"suffix":""},{"dropping-particle":"","family":"Vlainic","given":"Josipa","non-dropping-particle":"","parse-names":false,"suffix":""}],"container-title":"Current neuropharmacology","id":"ITEM-2","issue":"8","issued":{"date-parts":[["2016"]]},"page":"857-865","title":"Brain-gut Axis and Pentadecapeptide BPC 157: Theoretical and Practical Implications.","type":"article-journal","volume":"14"},"uris":["http://www.mendeley.com/documents/?uuid=b275ba93-1b42-319f-8107-0555cf4884b9"]},{"id":"ITEM-3","itemData":{"DOI":"10.2174/13816128113199990421","ISBN":"1873-4286 (Electronic)\\r1381-6128 (Linking)","ISSN":"1873-4286","PMID":"23782145","abstract":"This review focuses on the described effects of BPC 157 on blood vessels after different types of damage, and elucidate by investigating different aspects of vascular response to injury (endothelium damage, clotting, thrombosis, vasoconstriction, vasodilatation, vasculoneogenesis and edema formation) especially in connection to the healing processes. In this respect, BPC 157 was concluded to be the most potent angiomodulatory agent, acting through different vasoactive pathways and systems (e.g. NO, VEGF, FAK) and leading to optimization of the vascular response followed, as it has to be expected, by optimization of the healing process. Formation of new blood vessels involves two main, partly overlapping mechanisms, angiogenesis and vasculogenesis. The additional mechanism of arteriogenesis is involved in the formation of collaterals. In conjunction with blood vessel function, we at least have to consider leakage of fluid/proteins/plasma, resulting in edema/exudate formation as well as thrombogenesis. Blood vessels are also strongly involved in tumor biology. In this aspect, we have neoangiogenesis resulting in pathological vascularization, vascular invasion resulting in release of metastatic cells and the phenomenon of homing resulting in formation of secondary tumors--metastases.","author":[{"dropping-particle":"","family":"Seiwerth","given":"Sven","non-dropping-particle":"","parse-names":false,"suffix":""},{"dropping-particle":"","family":"Brcic","given":"Luka","non-dropping-particle":"","parse-names":false,"suffix":""},{"dropping-particle":"","family":"Vuletic","given":"Lovorka Batelja","non-dropping-particle":"","parse-names":false,"suffix":""},{"dropping-particle":"","family":"Kolenc","given":"Danijela","non-dropping-particle":"","parse-names":false,"suffix":""},{"dropping-particle":"","family":"Aralica","given":"Gorana","non-dropping-particle":"","parse-names":false,"suffix":""},{"dropping-particle":"","family":"Misic","given":"Marija","non-dropping-particle":"","parse-names":false,"suffix":""},{"dropping-particle":"","family":"Zenko","given":"Anita","non-dropping-particle":"","parse-names":false,"suffix":""},{"dropping-particle":"","family":"Drmic","given":"Domagoj","non-dropping-particle":"","parse-names":false,"suffix":""},{"dropping-particle":"","family":"Rucman","given":"Rudolf","non-dropping-particle":"","parse-names":false,"suffix":""},{"dropping-particle":"","family":"Sikiric","given":"Predrag","non-dropping-particle":"","parse-names":false,"suffix":""}],"container-title":"Current pharmaceutical design","id":"ITEM-3","issue":"7","issued":{"date-parts":[["2014"]]},"page":"1121-5","title":"BPC 157 and blood vessels.","type":"article-journal","volume":"20"},"uris":["http://www.mendeley.com/documents/?uuid=58f78828-3983-4cbc-86f3-3b54e9721a52"]},{"id":"ITEM-4","itemData":{"ISSN":"1873-4286","PMID":"23755725","abstract":"We reviewed stable gastric pentadecapeptide BPC 157-NO-system-relation, its close participation in Moncada's (maintained vascular integrity, platelets control) homeostatic healing response of NO-system to injury. Namely, BPC 157's particular healing effect also affects all events after vascular integrity loss (dependent on circumstances, it reduces either thrombosis (abdominal aorta anastomosis) or bleeding/thrombocytopenia (amputation, heparin, warfarin, aspirin)) and in a series of different injurious models, acute and chronic, BPC 157 consistently advances healing after severe injuries in various tissues spontaneously unable to heal; stimulates egr-1 and naB2 genes; exhibits high safety (LD1 not achieved)). Hypothesis, that BPC 157 (since formed constitutively in the gastric mucosa, stable in human gastric juice, along with significance of NO-synthase and the basal formation of NO in stomach mucosa, greater than that seen in other tissues) exhibits a general, effective competing both with L-arginine analogues (i. e., L-NAME) and L-arginine, and that this has some physiologic importance (NO-generation), later, practically supports its beneficial effects illustrating BPC 157 and NOsystem mutual (with L-NAME/L-arginine; alone and together) relations in (i) gastric mucosa and mucosal protection, following alcohol lesions, in cytoprotection course, NO-generation, and blood pressure regulation; (ii) alcohol acute/chronic intoxication, and withdrawal; (iii) cardiovascular disturbances, chronic heart failure, pulmonary hypertension, and arrhythmias; (iv) disturbances after hypokalemia and hyperkalemia, and potassium-cell membrane dysfunction; and finally, in (v) complex healing failure, proved by the fistulas healing, colocutaneous and esophagocutaneous. However, how this advantage of modulating NO-system (i. e., particular effect on eNOS gene), may be practically translated into an enhanced clinical performance remains to be determined.","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tupnisek","given":"Mirjana","non-dropping-particle":"","parse-names":false,"suffix":""},{"dropping-particle":"","family":"Suran","given":"Jelena","non-dropping-particle":"","parse-names":false,"suffix":""},{"dropping-particle":"","family":"Barisic","given":"Ivan","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design","id":"ITEM-4","issue":"7","issued":{"date-parts":[["2014"]]},"page":"1126-35","title":"Stable gastric pentadecapeptide BPC 157-NO-system relation.","type":"article-journal","volume":"20"},"uris":["http://www.mendeley.com/documents/?uuid=74ead48f-0c75-446a-a19b-49bb02b31992"]},{"id":"ITEM-5","itemData":{"ISSN":"1873-4286","PMID":"22950504","abstract":"Stable gastric pentadecapeptide BPC 157 is an anti-ulcer peptidergic agent, proven in clinical trials to be both safe in inflammatory bowel disease (PL-10, PLD-116, PL 14736) and wound healing, stable in human gastric juice, with no toxicity being reported. Recently, we claim that BPC 157 may be used as an antidote against NSAIDs. We focused on BPC 157 beneficial effects on stomach, duodenum, intestine, liver and brain injuries, adjuvant arthritis, pain, hyper/hypothermia, obstructive thrombus formation and thrombolysis, blood vessel function, counteraction of prolonged bleeding and thrombocytopenia after application of various anticoagulants and antiplatelet agents and wound healing improvement. The arguments for BPC 157 antidote activity (i.e., the role of BPC 157 in cytoprotection, being a novel mediator of Robert's cytoprotection and BPC 157 beneficial effects on NSAIDs mediated lesions in the gastrointestinal tract, liver and brain and finally, counteraction of aspirin-induced prolonged bleeding and thrombocytopenia) obviously have a counteracting effect on several established side-effects of NSAIDs use. The mentioned variety of the beneficial effects portrayed by BPC 157 may well be a foundation for establishing BPC 157 as a NSAIDs antidote since no other single agent has portrayed a similar array of effects. Unlike NSAIDs, a very high safety (no reported toxicity (LD1 could be not achieved)) profile is reported for BPC 157. Also, unlike the different dosage levels of aspirin, as a NSAIDs prototype, which differ by a factor of about ten, all these beneficial and counteracting effects of BPC 157 were obtained using the equipotent dosage (μg, ng/kg) in parenteral or peroral regimens.","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afic","given":"Hana","non-dropping-particle":"","parse-names":false,"suffix":""},{"dropping-particle":"","family":"Suran","given":"Jelena","non-dropping-particle":"","parse-names":false,"suffix":""},{"dropping-particle":"","family":"Rak","given":"Davor","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design","id":"ITEM-5","issue":"1","issued":{"date-parts":[["2013"]]},"page":"76-83","title":"Toxicity by NSAIDs. Counteraction by stable gastric pentadecapeptide BPC 157.","type":"article-journal","volume":"19"},"uris":["http://www.mendeley.com/documents/?uuid=b4d81bb8-a391-4622-abb3-23195e4a65ff"]},{"id":"ITEM-6","itemData":{"DOI":"CMC-19-1-126 [pii]","ISBN":"0929-8673\\r1875-533X","ISSN":"09298673","PMID":"2012120682","abstract":"Stable gastric pentadecapeptide BPC 157 (GEPPPGKPADDAGLV, M.W. 1419) may be the new drug stable in human gastric juice, effective both in the upper and lower GI tract, and free of side effects. BPC 157, in addition to an antiulcer effect efficient in therapy of inflammatory bowel disease (IBD) (PL 14736) so far only tested in clinical phase II, has a very safe profile, and exhibited a particular wound healing effect. It also has shown to interact with the NO-system, providing endothelium protection and angiogenic effect, even in severely impaired conditions (i.e., it stimulated expression of early growth response 1 gene responsible for cytokine and growth factor generation and early extracellular matrix (collagen) formation (but also its repressor nerve growth factor 1- A binding protein-2)), important to counteract severe complications of advanced and poorly controlled IBD. Hopefully, the lessons from animal studies, particularly advanced intestinal anastomosis healing, reversed short bowel syndrome and fistula healing indicate BPC 157's high significance in further IBD therapy. Also, this supportive evidence (i.e., no toxic effect, limit test negative, LD1 not achieved, no side effect in trials) may counteract the problems commonly exercised in the use of peptidergic agents, particularly those used on a long-term basis. © 2012 Bentham Science Publishers.","author":[{"dropping-particle":"","family":"Sikiric","given":"P","non-dropping-particle":"","parse-names":false,"suffix":""},{"dropping-particle":"","family":"Seiwerth","given":"S","non-dropping-particle":"","parse-names":false,"suffix":""},{"dropping-particle":"","family":"Rucman","given":"R","non-dropping-particle":"","parse-names":false,"suffix":""},{"dropping-particle":"","family":"Turkovic","given":"B","non-dropping-particle":"","parse-names":false,"suffix":""},{"dropping-particle":"","family":"D","given":"S Rokotov","non-dropping-particle":"","parse-names":false,"suffix":""},{"dropping-particle":"","family":"Brcic","given":"L","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Drmic","given":"D","non-dropping-particle":"","parse-names":false,"suffix":""},{"dropping-particle":"","family":"Ilic","given":"S","non-dropping-particle":"","parse-names":false,"suffix":""},{"dropping-particle":"","family":"Kolenc","given":"D","non-dropping-particle":"","parse-names":false,"suffix":""},{"dropping-particle":"","family":"Stambolija","given":"V","non-dropping-particle":"","parse-names":false,"suffix":""},{"dropping-particle":"","family":"Zoricic","given":"Z","non-dropping-particle":"","parse-names":false,"suffix":""},{"dropping-particle":"","family":"Vrcic","given":"H","non-dropping-particle":"","parse-names":false,"suffix":""},{"dropping-particle":"","family":"Sebecic","given":"B","non-dropping-particle":"","parse-names":false,"suffix":""}],"container-title":"Current Medicinal Chemistry","id":"ITEM-6","issue":"1","issued":{"date-parts":[["2012"]]},"page":"126-132","title":"Focus on ulcerative colitis: Stable gastric pentadecapeptide BPC 157","type":"article-journal","volume":"19"},"uris":["http://www.mendeley.com/documents/?uuid=7b0917ea-0d35-4426-b536-aa3cf6522fbf"]},{"id":"ITEM-7","itemData":{"DOI":"10.2174/138161211796196954","ISBN":"1873-4286 (Electronic)\\n1381-6128 (Linking)","ISSN":"1873-4286","PMID":"21548867","abstract":"Stable gastric pentadecapeptide BPC 157 is an anti-ulcer peptidergic agent, safe in inflammatory bowel disease clinical trials (GEPPPGKPADDAGLV, M.W. 1419, PL 14736) and wound healing, stable in human gastric juice and has no reported toxicity. We focused on BPC 157 as a therapy in peridontitis, esophagus, stomach, duodenum, intestine, liver and pancreas lesions. Particularly, it has a prominent effect on alcohol-lesions (i.e., acute, chronic) and NSAIDs-lesions (interestingly, BPC 157 both prevents and reverses adjuvant arthritis). In rat esophagitis and failed function of both lower esophageal sphincter (LES) and pyloric sphincters (PS), BPC 157 increased pressure in both sphincters till normal and reduced esophagitis. However, in healthy rats, it may decrease (PS) or increase (LES) the pressure in sphincters. It has strong angiogenic potential, it acts protectively on endothelium, prevents and reverses thrombus formation after abdominal aorta anastomosis, affects many central disturbances (i.e., dopamine and 5-HT system), the NO-system (either L-arginine and L-NAME effects), endothelin, acts as a free radical scavenger (counteracting CCl4-, paracetamol-, diclofenac-injuries) and exhibits neuroprotective properties. BPC 157 successfully heals the intestinal anastomosis, gastrocutaneous, duodenocutaneous and colocutaneous fistulas in rats, as well as interacting with the NO-system. Interestingly, the fistula closure was achieved even when the BPC 157 therapy was postponed for one month. In short-bowel syndrome escalating throughout 4 weeks, the constant weight gain above preoperative values started immediately with peroral and parental BPC 157 therapy and the villus height, crypth depth and muscle thickness (inner (circular) muscular layer) additionally increased. Thus, BPC 157 may improve gastrointestinal tract therapy.","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Vrcic","given":"Hrvoje","non-dropping-particle":"","parse-names":false,"suffix":""},{"dropping-particle":"","family":"Sebecic","given":"Bozidar","non-dropping-particle":"","parse-names":false,"suffix":""}],"container-title":"Current pharmaceutical design","id":"ITEM-7","issue":"16","issued":{"date-parts":[["2011"]]},"page":"1612-32","title":"Stable gastric pentadecapeptide BPC 157: novel therapy in gastrointestinal tract.","type":"article-journal","volume":"17"},"uris":["http://www.mendeley.com/documents/?uuid=899df84f-aa5b-428d-b746-b746c53bb74c"]},{"id":"ITEM-8","itemData":{"ISSN":"1873-4286","PMID":"20166993","abstract":"The significance of cytoprotection and adaptive cytoprotection and the peptides importance remained to be not completely determined. BPC 157 is an anti-ulcer peptidergic agent, proven in clinical trials to be both safe in inflammatory bowel disease (PL-10, PLD-116, PL 14736) and wound healing, and stable in human gastric juice, with no toxicity being reported. It has a prominent effect on alcohol- lesions (i.e., induced acutely and chronically) and non-steroidal anti-inflammatory drugs-lesions (while interestingly BPC 157 may both prevent and reverse adjuvant arthritis). To review the importance of BPC 157, this review focused on Robert's cytoprotection concept described in rat stomach, reviewing our evidence that may resolve whether the cytoprotection and adaptive cytoprotection is an uniform phenomenon or not; whether the phenomenon or phenomena are endogenous or not, depending on nature of the irritants (mild or strong); whether this may contribute to stomach mucosa defense either when threaten by various ulcerogens or afforded by various antiulcer agents; whether these phenomena are uniform in whole gastrointestinal tract or not; whether they are interrelated or not. Finally, the importance of the cytoprotection phenomena and cytoprotection activity for skin wound healing, and wound healing in general was challenged. Thereby, this review focused on BPC 157 role in cytoprotection and adaptative cytoprotection suggesting that it may be the essential endogenous mediator able to mediate both cytoprotective and adaptive cytoprotective response in stomach and the whole gastrointestinal tract with significant importance in wound healing as well.","author":[{"dropping-particle":"","family":"Sikiric","given":"Predrag","non-dropping-particle":"","parse-names":false,"suffix":""},{"dropping-particle":"","family":"Seiwerth","given":"Sven","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container-title":"Current pharmaceutical design","id":"ITEM-8","issue":"10","issued":{"date-parts":[["2010"]]},"page":"1224-34","title":"Revised Robert's cytoprotection and adaptive cytoprotection and stable gastric pentadecapeptide BPC 157. Possible significance and implications for novel mediator.","type":"article-journal","volume":"16"},"uris":["http://www.mendeley.com/documents/?uuid=6164415b-2518-453f-82c4-4562e66e7572"]},{"id":"ITEM-9","itemData":{"DOI":"10.1007/s10787-006-1531-7","ISSN":"0925-4692","PMID":"17186181","abstract":"Gastric pentadecapeptide BPC 157 (GEPPPGKPADDAGLV, M.W. 1419, safe in clinical trials for inflammatory bowel disease (PL 10, PLD 116, PLD 14736, Pliva, Croatia)) has a particular cytoprotective/adaptive cytoprotective activity. The cytoprotective/adaptive cytoprotection researches largely neglect that stomach distension could per se jeopardize the mucosal integrity, with constantly stretched mucosa and blood vessels, and sphincters more prone for reflux induction. After absolute alcohol instillation in fully distended rat stomach, gastric, esophageal and duodenal lesions occur. Throughout next 3 min, left gastric artery blood vessels clearly disappear at the serosal site, indicative for loss of vessels both integrity and function. Contrary, constant vessels presentation could predict the beneficial effect of applied agent. After pentadecapeptide BPC 157 instillation into the stomach the vessels presentation remains constant, and lesions of stomach, esophagus, and duodenum are inhibited. Standards (atropine, ranitidine, omeprazole) could only slightly improve the vessels presentation compared to control values, and they have only a partial effect on the lesions. In this review we emphasize BPC 157 unusual stability, and some of its important effects: effectiveness against various lesions in gastrointestinal tract, on nitric oxide (NO)-system, and NO-agents effects, on somatosensory neurons, salivary glands function, recovery of AMP-ADP-ATP system, endothelium protection, effect on endothelin, and on angiogenesis promotion. It also antagonizes other alcohol effects, including acute and chronic intoxication. Given peripherally, it counteracts the consequence of central dopamine system disturbances (receptor blockade), and induces serotonin release in substantia nigra. Therapeutic potential of BPC 157 as a cytoprotective agent is also seen in its capability to heal various wounds. Given directly into the stomach, BPC 157 instantly recovers disturbed lower esophageal and pyloric sphincter pressure in rats after 12-20 months of untreated esophagitis. All these could be suggestive for its role as a natural protectant in gastric juice with particular function throughout stomach distension.","author":[{"dropping-particle":"","family":"Sikiric","given":"P","non-dropping-particle":"","parse-names":false,"suffix":""},{"dropping-particle":"","family":"Seiwerth","given":"S","non-dropping-particle":"","parse-names":false,"suffix":""},{"dropping-particle":"","family":"Brcic","given":"L","non-dropping-particle":"","parse-names":false,"suffix":""},{"dropping-particle":"","family":"Blagaic","given":"A B","non-dropping-particle":"","parse-names":false,"suffix":""},{"dropping-particle":"","family":"Zoricic","given":"I","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Keller","given":"N","non-dropping-particle":"","parse-names":false,"suffix":""},{"dropping-particle":"","family":"Sipos","given":"K","non-dropping-particle":"","parse-names":false,"suffix":""},{"dropping-particle":"","family":"Jakir","given":"A","non-dropping-particle":"","parse-names":false,"suffix":""},{"dropping-particle":"","family":"Udovicic","given":"M","non-dropping-particle":"","parse-names":false,"suffix":""},{"dropping-particle":"","family":"Tonkic","given":"A","non-dropping-particle":"","parse-names":false,"suffix":""},{"dropping-particle":"","family":"Kokic","given":"N","non-dropping-particle":"","parse-names":false,"suffix":""},{"dropping-particle":"","family":"Turkovic","given":"B","non-dropping-particle":"","parse-names":false,"suffix":""},{"dropping-particle":"","family":"Mise","given":"S","non-dropping-particle":"","parse-names":false,"suffix":""},{"dropping-particle":"","family":"Anic","given":"T","non-dropping-particle":"","parse-names":false,"suffix":""}],"container-title":"Inflammopharmacology","id":"ITEM-9","issue":"5-6","issued":{"date-parts":[["2006","12"]]},"page":"214-21","title":"Stable gastric pentadecapeptide BPC 157 in trials for inflammatory bowel disease (PL-10, PLD-116, PL 14736, Pliva, Croatia). Full and distended stomach, and vascular response.","type":"article-journal","volume":"14"},"uris":["http://www.mendeley.com/documents/?uuid=42aef3b5-c994-4583-beee-f11cd4b7859a"]},{"id":"ITEM-10","itemData":{"DOI":"10.1016/0928-4257(93)90038-U","ISSN":"0928-4257","PMID":"8298609","abstract":"The possibility that the stomach, affected by general stress, might initiate a counter-response has not until recently been considered in theories of stress. We suggest that the stomach, as the most sensitive part of the gastrointestinal tract and the largest neuroendocrine organ in the body, is crucial for the initiation of a full stress response against all noxious stress pathology. The end result would be a strong protection of all organs invaded by 'stress'. Consistent with this assumption, this coping response is best explained in terms of 'organoprotection'. Endogenous organoprotectors (eg prostaglandins, somatostatin, dopamine) are proposed as mediators. Such an endogenous counteraction could even be afforded by their suitable application. A new gastric juice peptide, M(r) 40,000, named BPC, was recently isolated. Herein, a 15 amino acid fragment (BPC 157), thought to be essential for its activity, has been fully characterized and investigated. As has been demonstrated for many organoprotective agents using different models of various tissue lesions, despite the poorly understood final mechanism, practically all organ systems appear to benefit from BPC activity. These effects have been achieved in many species using very low dosages (mostly microgram and ng/kg range) after ip, ig, and intramucosal (local) application. The effect was apparent already after one application. Long lasting activity was also demonstrated. BPC was highly effective when applied simultaneously with noxious agents or in already pathological, as well as chronical, conditions. Therefore, it seems that BPC treatment does not share any of the so far known limitations for 'conventional organoprotectors'. No influence on different basal parameters and no toxicity were observed. These findings provide a breakthrough in stress theory. BPC, as a possible endogenous free radical scavenger and organoprotection mediator, could be a useful prototype of a new class of drugs, organoprotective agents.","author":[{"dropping-particle":"","family":"Sikirić","given":"P.","non-dropping-particle":"","parse-names":false,"suffix":""},{"dropping-particle":"","family":"Petek","given":"M.","non-dropping-particle":"","parse-names":false,"suffix":""},{"dropping-particle":"","family":"Rucman","given":"R","non-dropping-particle":"","parse-names":false,"suffix":""},{"dropping-particle":"","family":"Seiwerth","given":"S.","non-dropping-particle":"","parse-names":false,"suffix":""},{"dropping-particle":"","family":"Grabarević","given":"Z.","non-dropping-particle":"","parse-names":false,"suffix":""},{"dropping-particle":"","family":"Rotkvić","given":"I.","non-dropping-particle":"","parse-names":false,"suffix":""},{"dropping-particle":"","family":"Turković","given":"B.","non-dropping-particle":"","parse-names":false,"suffix":""},{"dropping-particle":"","family":"Jagić","given":"V.","non-dropping-particle":"","parse-names":false,"suffix":""},{"dropping-particle":"","family":"Mildner","given":"B.","non-dropping-particle":"","parse-names":false,"suffix":""},{"dropping-particle":"","family":"Duvnjak","given":"M.","non-dropping-particle":"","parse-names":false,"suffix":""}],"container-title":"Journal of physiology, Paris","id":"ITEM-10","issue":"5","issued":{"date-parts":[["1993"]]},"page":"313-27","title":"A new gastric juice peptide, BPC. An overview of the stomach-stress-organoprotection hypothesis and beneficial effects of BPC.","type":"article-journal","volume":"87"},"uris":["http://www.mendeley.com/documents/?uuid=f738bbb1-8d16-31eb-a5d7-6f273100aa96"]},{"id":"ITEM-11","itemData":{"DOI":"10.3748/wjg.v23.i48.8465","ISSN":"2219-2840","PMID":"29358856","abstract":"AIM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gastroenterology","id":"ITEM-11","issue":"48","issued":{"date-parts":[["2017","12","28"]]},"page":"8465-8488","title":"Stable gastric pentadecapeptide BPC 157 in the treatment of colitis and ischemia and reperfusion in rats: New insights.","type":"article-journal","volume":"23"},"uris":["http://www.mendeley.com/documents/?uuid=2c34d292-0140-3a84-912b-63eda51db635"]},{"id":"ITEM-12","itemData":{"DOI":"10.1016/j.vph.2018.02.010","ISSN":"18793649","abstract":"©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Pharmacology","id":"ITEM-12","issued":{"date-parts":[["2018"]]},"page":"54-66","title":"Rat inferior caval vein (ICV) ligature and particular new insights with the stable gastric pentadecapeptide BPC 157","type":"article-journal","volume":"106"},"uris":["http://www.mendeley.com/documents/?uuid=0d4e894c-6fc1-3bed-bb8f-4b56e696ff06"]}],"mendeley":{"formattedCitation":"&lt;sup&gt;[10,11,20,21,12–19]&lt;/sup&gt;","plainTextFormattedCitation":"[10,11,20,21,12–19]","previouslyFormattedCitation":"&lt;sup&gt;[10,11,20,21,12–19]&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[10</w:t>
      </w:r>
      <w:r w:rsidR="00DA3ACD">
        <w:rPr>
          <w:rFonts w:ascii="Book Antiqua" w:hAnsi="Book Antiqua" w:cs="Times New Roman" w:hint="eastAsia"/>
          <w:noProof/>
          <w:sz w:val="24"/>
          <w:szCs w:val="24"/>
          <w:vertAlign w:val="superscript"/>
          <w:lang w:val="en-US" w:eastAsia="zh-CN"/>
        </w:rPr>
        <w:t>-</w:t>
      </w:r>
      <w:r w:rsidR="00DA3ACD">
        <w:rPr>
          <w:rFonts w:ascii="Book Antiqua" w:hAnsi="Book Antiqua" w:cs="Times New Roman"/>
          <w:noProof/>
          <w:sz w:val="24"/>
          <w:szCs w:val="24"/>
          <w:vertAlign w:val="superscript"/>
          <w:lang w:val="en-US"/>
        </w:rPr>
        <w:t>21</w:t>
      </w:r>
      <w:r w:rsidR="00AB3269" w:rsidRPr="00E47A42">
        <w:rPr>
          <w:rFonts w:ascii="Book Antiqua" w:hAnsi="Book Antiqua" w:cs="Times New Roman"/>
          <w:noProof/>
          <w:sz w:val="24"/>
          <w:szCs w:val="24"/>
          <w:vertAlign w:val="superscript"/>
          <w:lang w:val="en-US"/>
        </w:rPr>
        <w:t>]</w:t>
      </w:r>
      <w:r w:rsidR="00A13458"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The peptide with 99% high-pressure liquid chromatography (HPLC) purity, 1-des-Gly peptide as a biologically inactive impurity, was used</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10.2174/1381612823666170220163219","ISSN":"13816128","author":[{"dropping-particle":"","family":"Sikiric","given":"Predrag","non-dropping-particle":"","parse-names":false,"suffix":""},{"dropping-particle":"","family":"Seiwerth","given":"Sven","non-dropping-particle":"","parse-names":false,"suffix":""},{"dropping-particle":"","family":"Rucman","given":"Rudolf","non-dropping-particle":"","parse-names":false,"suffix":""},{"dropping-particle":"","family":"Drmic","given":"Domagoj","non-dropping-particle":"","parse-names":false,"suffix":""},{"dropping-particle":"","family":"Stupnisek","given":"Mirjana","non-dropping-particle":"","parse-names":false,"suffix":""},{"dropping-particle":"","family":"Kokot","given":"Antonio","non-dropping-particle":"","parse-names":false,"suffix":""},{"dropping-particle":"","family":"Sever","given":"Marko","non-dropping-particle":"","parse-names":false,"suffix":""},{"dropping-particle":"","family":"Zoricic","given":"Ivan","non-dropping-particle":"","parse-names":false,"suffix":""},{"dropping-particle":"","family":"Zoricic","given":"Zoran","non-dropping-particle":"","parse-names":false,"suffix":""},{"dropping-particle":"","family":"Batelja","given":"Lovorka","non-dropping-particle":"","parse-names":false,"suffix":""},{"dropping-particle":"","family":"Ziger","given":"Tihomil","non-dropping-particle":"","parse-names":false,"suffix":""},{"dropping-particle":"","family":"Luetic","given":"Kresimir","non-dropping-particle":"","parse-names":false,"suffix":""},{"dropping-particle":"","family":"Vlainic","given":"Josipa","non-dropping-particle":"","parse-names":false,"suffix":""},{"dropping-particle":"","family":"Rasic","given":"Zarko","non-dropping-particle":"","parse-names":false,"suffix":""},{"dropping-particle":"","family":"Bencic","given":"Martina Lovric","non-dropping-particle":"","parse-names":false,"suffix":""}],"container-title":"Current Pharmaceutical Design","id":"ITEM-1","issue":"27","issued":{"date-parts":[["2017","10","30"]]},"page":"4012-4028","title":"Stress in Gastrointestinal Tract and Stable Gastric Pentadecapeptide BPC 157. Finally, do we have a Solution?","type":"article-journal","volume":"23"},"uris":["http://www.mendeley.com/documents/?uuid=bb09abfa-dd18-4e07-99e3-5e0c5e908cc9"]},{"id":"ITEM-2","itemData":{"ISSN":"1875-6190","PMID":"27138887","abstract":"BACKGROUND Brain-gut interaction involves, among others, peptidergic growth factors which are native in GI tract and have strong antiulcer potency and thus could from periphery beneficially affect CNS-disorders. We focused on the stable gastric pentadecapeptide BPC 157, an antiulcer peptidergic agent, safe in inflammatory bowel disease trials and now in multiple sclerosis trial, native and stable in human gastric juice. METHODS Review of our research on BPC 157 in terms of brain-gut axis. RESULTS BPC 157 may serve as a novel mediator of Robert's cytoprotection, involved in maintaining of GI mucosa integrity, with no toxic effect. BPC 157 was successful in the therapy of GI tract, periodontitis, liver and pancreas lesions, and in the healing of various tissues and wounds. Stimulated Egr-1 gene, NAB2, FAK-paxillin and JAK-2 pathways are hitherto implicated. Initially corresponding beneficial central influence was seen when BPC 157 was given peripherally and a serotonin release in particular brain areas, mostly nigrostriatal, was changed. BPC 157 modulates serotonergic and dopaminergic systems, beneficially affects various behavioral disturbances that otherwise appeared due to specifically (over)stimulated/damaged neurotransmitters systems. Besides, BPC 157 has neuroprotective effects: protects somatosensory neurons; peripheral nerve regeneration appearent after transection; after traumatic brain injury counteracts the otherwise progressing course, in rat spinal cord compression with tail paralysis, axonal and neuronal necrosis, demyelination, cyst formation and rescues tail function in both short-terms and long-terms; after NSAIDs or insulin overdose or cuprizone encephalopathies were attenuated along with GI, liver and vascular injuries. CONCLUSION BPC 157, a gastric peptide, may serve as remedy in various CNS-disorders.","author":[{"dropping-particle":"","family":"Sikiric","given":"Predrag","non-dropping-particle":"","parse-names":false,"suffix":""},{"dropping-particle":"","family":"Seiwerth","given":"Sven","non-dropping-particle":"","parse-names":false,"suffix":""},{"dropping-particle":"","family":"Rucman","given":"Rudolf","non-dropping-particle":"","parse-names":false,"suffix":""},{"dropping-particle":"","family":"Kolenc","given":"Danijela","non-dropping-particle":"","parse-names":false,"suffix":""},{"dropping-particle":"","family":"Vuletic","given":"Lovorka Batelja","non-dropping-particle":"","parse-names":false,"suffix":""},{"dropping-particle":"","family":"Drmic","given":"Domagoj","non-dropping-particle":"","parse-names":false,"suffix":""},{"dropping-particle":"","family":"Grgic","given":"Tihomir","non-dropping-particle":"","parse-names":false,"suffix":""},{"dropping-particle":"","family":"Strbe","given":"Sanja","non-dropping-particle":"","parse-names":false,"suffix":""},{"dropping-particle":"","family":"Zukanovic","given":"Goran","non-dropping-particle":"","parse-names":false,"suffix":""},{"dropping-particle":"","family":"Crvenkovic","given":"Dalibor","non-dropping-particle":"","parse-names":false,"suffix":""},{"dropping-particle":"","family":"Madzarac","given":"Goran","non-dropping-particle":"","parse-names":false,"suffix":""},{"dropping-particle":"","family":"Rukavina","given":"Iva","non-dropping-particle":"","parse-names":false,"suffix":""},{"dropping-particle":"","family":"Sucic","given":"Mario","non-dropping-particle":"","parse-names":false,"suffix":""},{"dropping-particle":"","family":"Baric","given":"Marko","non-dropping-particle":"","parse-names":false,"suffix":""},{"dropping-particle":"","family":"Starcevic","given":"Neven","non-dropping-particle":"","parse-names":false,"suffix":""},{"dropping-particle":"","family":"Krstonijevic","given":"Zoran","non-dropping-particle":"","parse-names":false,"suffix":""},{"dropping-particle":"","family":"Bencic","given":"Martina Lovric","non-dropping-particle":"","parse-names":false,"suffix":""},{"dropping-particle":"","family":"Filipcic","given":"Igor","non-dropping-particle":"","parse-names":false,"suffix":""},{"dropping-particle":"","family":"Rokotov","given":"Dinko Stancic","non-dropping-particle":"","parse-names":false,"suffix":""},{"dropping-particle":"","family":"Vlainic","given":"Josipa","non-dropping-particle":"","parse-names":false,"suffix":""}],"container-title":"Current neuropharmacology","id":"ITEM-2","issue":"8","issued":{"date-parts":[["2016"]]},"page":"857-865","title":"Brain-gut Axis and Pentadecapeptide BPC 157: Theoretical and Practical Implications.","type":"article-journal","volume":"14"},"uris":["http://www.mendeley.com/documents/?uuid=b275ba93-1b42-319f-8107-0555cf4884b9"]},{"id":"ITEM-3","itemData":{"DOI":"10.2174/13816128113199990421","ISBN":"1873-4286 (Electronic)\\r1381-6128 (Linking)","ISSN":"1873-4286","PMID":"23782145","abstract":"This review focuses on the described effects of BPC 157 on blood vessels after different types of damage, and elucidate by investigating different aspects of vascular response to injury (endothelium damage, clotting, thrombosis, vasoconstriction, vasodilatation, vasculoneogenesis and edema formation) especially in connection to the healing processes. In this respect, BPC 157 was concluded to be the most potent angiomodulatory agent, acting through different vasoactive pathways and systems (e.g. NO, VEGF, FAK) and leading to optimization of the vascular response followed, as it has to be expected, by optimization of the healing process. Formation of new blood vessels involves two main, partly overlapping mechanisms, angiogenesis and vasculogenesis. The additional mechanism of arteriogenesis is involved in the formation of collaterals. In conjunction with blood vessel function, we at least have to consider leakage of fluid/proteins/plasma, resulting in edema/exudate formation as well as thrombogenesis. Blood vessels are also strongly involved in tumor biology. In this aspect, we have neoangiogenesis resulting in pathological vascularization, vascular invasion resulting in release of metastatic cells and the phenomenon of homing resulting in formation of secondary tumors--metastases.","author":[{"dropping-particle":"","family":"Seiwerth","given":"Sven","non-dropping-particle":"","parse-names":false,"suffix":""},{"dropping-particle":"","family":"Brcic","given":"Luka","non-dropping-particle":"","parse-names":false,"suffix":""},{"dropping-particle":"","family":"Vuletic","given":"Lovorka Batelja","non-dropping-particle":"","parse-names":false,"suffix":""},{"dropping-particle":"","family":"Kolenc","given":"Danijela","non-dropping-particle":"","parse-names":false,"suffix":""},{"dropping-particle":"","family":"Aralica","given":"Gorana","non-dropping-particle":"","parse-names":false,"suffix":""},{"dropping-particle":"","family":"Misic","given":"Marija","non-dropping-particle":"","parse-names":false,"suffix":""},{"dropping-particle":"","family":"Zenko","given":"Anita","non-dropping-particle":"","parse-names":false,"suffix":""},{"dropping-particle":"","family":"Drmic","given":"Domagoj","non-dropping-particle":"","parse-names":false,"suffix":""},{"dropping-particle":"","family":"Rucman","given":"Rudolf","non-dropping-particle":"","parse-names":false,"suffix":""},{"dropping-particle":"","family":"Sikiric","given":"Predrag","non-dropping-particle":"","parse-names":false,"suffix":""}],"container-title":"Current pharmaceutical design","id":"ITEM-3","issue":"7","issued":{"date-parts":[["2014"]]},"page":"1121-5","title":"BPC 157 and blood vessels.","type":"article-journal","volume":"20"},"uris":["http://www.mendeley.com/documents/?uuid=58f78828-3983-4cbc-86f3-3b54e9721a52"]},{"id":"ITEM-4","itemData":{"ISSN":"1873-4286","PMID":"23755725","abstract":"We reviewed stable gastric pentadecapeptide BPC 157-NO-system-relation, its close participation in Moncada's (maintained vascular integrity, platelets control) homeostatic healing response of NO-system to injury. Namely, BPC 157's particular healing effect also affects all events after vascular integrity loss (dependent on circumstances, it reduces either thrombosis (abdominal aorta anastomosis) or bleeding/thrombocytopenia (amputation, heparin, warfarin, aspirin)) and in a series of different injurious models, acute and chronic, BPC 157 consistently advances healing after severe injuries in various tissues spontaneously unable to heal; stimulates egr-1 and naB2 genes; exhibits high safety (LD1 not achieved)). Hypothesis, that BPC 157 (since formed constitutively in the gastric mucosa, stable in human gastric juice, along with significance of NO-synthase and the basal formation of NO in stomach mucosa, greater than that seen in other tissues) exhibits a general, effective competing both with L-arginine analogues (i. e., L-NAME) and L-arginine, and that this has some physiologic importance (NO-generation), later, practically supports its beneficial effects illustrating BPC 157 and NOsystem mutual (with L-NAME/L-arginine; alone and together) relations in (i) gastric mucosa and mucosal protection, following alcohol lesions, in cytoprotection course, NO-generation, and blood pressure regulation; (ii) alcohol acute/chronic intoxication, and withdrawal; (iii) cardiovascular disturbances, chronic heart failure, pulmonary hypertension, and arrhythmias; (iv) disturbances after hypokalemia and hyperkalemia, and potassium-cell membrane dysfunction; and finally, in (v) complex healing failure, proved by the fistulas healing, colocutaneous and esophagocutaneous. However, how this advantage of modulating NO-system (i. e., particular effect on eNOS gene), may be practically translated into an enhanced clinical performance remains to be determined.","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tupnisek","given":"Mirjana","non-dropping-particle":"","parse-names":false,"suffix":""},{"dropping-particle":"","family":"Suran","given":"Jelena","non-dropping-particle":"","parse-names":false,"suffix":""},{"dropping-particle":"","family":"Barisic","given":"Ivan","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design","id":"ITEM-4","issue":"7","issued":{"date-parts":[["2014"]]},"page":"1126-35","title":"Stable gastric pentadecapeptide BPC 157-NO-system relation.","type":"article-journal","volume":"20"},"uris":["http://www.mendeley.com/documents/?uuid=74ead48f-0c75-446a-a19b-49bb02b31992"]},{"id":"ITEM-5","itemData":{"ISSN":"1873-4286","PMID":"22950504","abstract":"Stable gastric pentadecapeptide BPC 157 is an anti-ulcer peptidergic agent, proven in clinical trials to be both safe in inflammatory bowel disease (PL-10, PLD-116, PL 14736) and wound healing, stable in human gastric juice, with no toxicity being reported. Recently, we claim that BPC 157 may be used as an antidote against NSAIDs. We focused on BPC 157 beneficial effects on stomach, duodenum, intestine, liver and brain injuries, adjuvant arthritis, pain, hyper/hypothermia, obstructive thrombus formation and thrombolysis, blood vessel function, counteraction of prolonged bleeding and thrombocytopenia after application of various anticoagulants and antiplatelet agents and wound healing improvement. The arguments for BPC 157 antidote activity (i.e., the role of BPC 157 in cytoprotection, being a novel mediator of Robert's cytoprotection and BPC 157 beneficial effects on NSAIDs mediated lesions in the gastrointestinal tract, liver and brain and finally, counteraction of aspirin-induced prolonged bleeding and thrombocytopenia) obviously have a counteracting effect on several established side-effects of NSAIDs use. The mentioned variety of the beneficial effects portrayed by BPC 157 may well be a foundation for establishing BPC 157 as a NSAIDs antidote since no other single agent has portrayed a similar array of effects. Unlike NSAIDs, a very high safety (no reported toxicity (LD1 could be not achieved)) profile is reported for BPC 157. Also, unlike the different dosage levels of aspirin, as a NSAIDs prototype, which differ by a factor of about ten, all these beneficial and counteracting effects of BPC 157 were obtained using the equipotent dosage (μg, ng/kg) in parenteral or peroral regimens.","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afic","given":"Hana","non-dropping-particle":"","parse-names":false,"suffix":""},{"dropping-particle":"","family":"Suran","given":"Jelena","non-dropping-particle":"","parse-names":false,"suffix":""},{"dropping-particle":"","family":"Rak","given":"Davor","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design","id":"ITEM-5","issue":"1","issued":{"date-parts":[["2013"]]},"page":"76-83","title":"Toxicity by NSAIDs. Counteraction by stable gastric pentadecapeptide BPC 157.","type":"article-journal","volume":"19"},"uris":["http://www.mendeley.com/documents/?uuid=b4d81bb8-a391-4622-abb3-23195e4a65ff"]},{"id":"ITEM-6","itemData":{"DOI":"CMC-19-1-126 [pii]","ISBN":"0929-8673\\r1875-533X","ISSN":"09298673","PMID":"2012120682","abstract":"Stable gastric pentadecapeptide BPC 157 (GEPPPGKPADDAGLV, M.W. 1419) may be the new drug stable in human gastric juice, effective both in the upper and lower GI tract, and free of side effects. BPC 157, in addition to an antiulcer effect efficient in therapy of inflammatory bowel disease (IBD) (PL 14736) so far only tested in clinical phase II, has a very safe profile, and exhibited a particular wound healing effect. It also has shown to interact with the NO-system, providing endothelium protection and angiogenic effect, even in severely impaired conditions (i.e., it stimulated expression of early growth response 1 gene responsible for cytokine and growth factor generation and early extracellular matrix (collagen) formation (but also its repressor nerve growth factor 1- A binding protein-2)), important to counteract severe complications of advanced and poorly controlled IBD. Hopefully, the lessons from animal studies, particularly advanced intestinal anastomosis healing, reversed short bowel syndrome and fistula healing indicate BPC 157's high significance in further IBD therapy. Also, this supportive evidence (i.e., no toxic effect, limit test negative, LD1 not achieved, no side effect in trials) may counteract the problems commonly exercised in the use of peptidergic agents, particularly those used on a long-term basis. © 2012 Bentham Science Publishers.","author":[{"dropping-particle":"","family":"Sikiric","given":"P","non-dropping-particle":"","parse-names":false,"suffix":""},{"dropping-particle":"","family":"Seiwerth","given":"S","non-dropping-particle":"","parse-names":false,"suffix":""},{"dropping-particle":"","family":"Rucman","given":"R","non-dropping-particle":"","parse-names":false,"suffix":""},{"dropping-particle":"","family":"Turkovic","given":"B","non-dropping-particle":"","parse-names":false,"suffix":""},{"dropping-particle":"","family":"D","given":"S Rokotov","non-dropping-particle":"","parse-names":false,"suffix":""},{"dropping-particle":"","family":"Brcic","given":"L","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Drmic","given":"D","non-dropping-particle":"","parse-names":false,"suffix":""},{"dropping-particle":"","family":"Ilic","given":"S","non-dropping-particle":"","parse-names":false,"suffix":""},{"dropping-particle":"","family":"Kolenc","given":"D","non-dropping-particle":"","parse-names":false,"suffix":""},{"dropping-particle":"","family":"Stambolija","given":"V","non-dropping-particle":"","parse-names":false,"suffix":""},{"dropping-particle":"","family":"Zoricic","given":"Z","non-dropping-particle":"","parse-names":false,"suffix":""},{"dropping-particle":"","family":"Vrcic","given":"H","non-dropping-particle":"","parse-names":false,"suffix":""},{"dropping-particle":"","family":"Sebecic","given":"B","non-dropping-particle":"","parse-names":false,"suffix":""}],"container-title":"Current Medicinal Chemistry","id":"ITEM-6","issue":"1","issued":{"date-parts":[["2012"]]},"page":"126-132","title":"Focus on ulcerative colitis: Stable gastric pentadecapeptide BPC 157","type":"article-journal","volume":"19"},"uris":["http://www.mendeley.com/documents/?uuid=7b0917ea-0d35-4426-b536-aa3cf6522fbf"]},{"id":"ITEM-7","itemData":{"DOI":"10.2174/138161211796196954","ISBN":"1873-4286 (Electronic)\\n1381-6128 (Linking)","ISSN":"1873-4286","PMID":"21548867","abstract":"Stable gastric pentadecapeptide BPC 157 is an anti-ulcer peptidergic agent, safe in inflammatory bowel disease clinical trials (GEPPPGKPADDAGLV, M.W. 1419, PL 14736) and wound healing, stable in human gastric juice and has no reported toxicity. We focused on BPC 157 as a therapy in peridontitis, esophagus, stomach, duodenum, intestine, liver and pancreas lesions. Particularly, it has a prominent effect on alcohol-lesions (i.e., acute, chronic) and NSAIDs-lesions (interestingly, BPC 157 both prevents and reverses adjuvant arthritis). In rat esophagitis and failed function of both lower esophageal sphincter (LES) and pyloric sphincters (PS), BPC 157 increased pressure in both sphincters till normal and reduced esophagitis. However, in healthy rats, it may decrease (PS) or increase (LES) the pressure in sphincters. It has strong angiogenic potential, it acts protectively on endothelium, prevents and reverses thrombus formation after abdominal aorta anastomosis, affects many central disturbances (i.e., dopamine and 5-HT system), the NO-system (either L-arginine and L-NAME effects), endothelin, acts as a free radical scavenger (counteracting CCl4-, paracetamol-, diclofenac-injuries) and exhibits neuroprotective properties. BPC 157 successfully heals the intestinal anastomosis, gastrocutaneous, duodenocutaneous and colocutaneous fistulas in rats, as well as interacting with the NO-system. Interestingly, the fistula closure was achieved even when the BPC 157 therapy was postponed for one month. In short-bowel syndrome escalating throughout 4 weeks, the constant weight gain above preoperative values started immediately with peroral and parental BPC 157 therapy and the villus height, crypth depth and muscle thickness (inner (circular) muscular layer) additionally increased. Thus, BPC 157 may improve gastrointestinal tract therapy.","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Vrcic","given":"Hrvoje","non-dropping-particle":"","parse-names":false,"suffix":""},{"dropping-particle":"","family":"Sebecic","given":"Bozidar","non-dropping-particle":"","parse-names":false,"suffix":""}],"container-title":"Current pharmaceutical design","id":"ITEM-7","issue":"16","issued":{"date-parts":[["2011"]]},"page":"1612-32","title":"Stable gastric pentadecapeptide BPC 157: novel therapy in gastrointestinal tract.","type":"article-journal","volume":"17"},"uris":["http://www.mendeley.com/documents/?uuid=899df84f-aa5b-428d-b746-b746c53bb74c"]},{"id":"ITEM-8","itemData":{"ISSN":"1873-4286","PMID":"20166993","abstract":"The significance of cytoprotection and adaptive cytoprotection and the peptides importance remained to be not completely determined. BPC 157 is an anti-ulcer peptidergic agent, proven in clinical trials to be both safe in inflammatory bowel disease (PL-10, PLD-116, PL 14736) and wound healing, and stable in human gastric juice, with no toxicity being reported. It has a prominent effect on alcohol- lesions (i.e., induced acutely and chronically) and non-steroidal anti-inflammatory drugs-lesions (while interestingly BPC 157 may both prevent and reverse adjuvant arthritis). To review the importance of BPC 157, this review focused on Robert's cytoprotection concept described in rat stomach, reviewing our evidence that may resolve whether the cytoprotection and adaptive cytoprotection is an uniform phenomenon or not; whether the phenomenon or phenomena are endogenous or not, depending on nature of the irritants (mild or strong); whether this may contribute to stomach mucosa defense either when threaten by various ulcerogens or afforded by various antiulcer agents; whether these phenomena are uniform in whole gastrointestinal tract or not; whether they are interrelated or not. Finally, the importance of the cytoprotection phenomena and cytoprotection activity for skin wound healing, and wound healing in general was challenged. Thereby, this review focused on BPC 157 role in cytoprotection and adaptative cytoprotection suggesting that it may be the essential endogenous mediator able to mediate both cytoprotective and adaptive cytoprotective response in stomach and the whole gastrointestinal tract with significant importance in wound healing as well.","author":[{"dropping-particle":"","family":"Sikiric","given":"Predrag","non-dropping-particle":"","parse-names":false,"suffix":""},{"dropping-particle":"","family":"Seiwerth","given":"Sven","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container-title":"Current pharmaceutical design","id":"ITEM-8","issue":"10","issued":{"date-parts":[["2010"]]},"page":"1224-34","title":"Revised Robert's cytoprotection and adaptive cytoprotection and stable gastric pentadecapeptide BPC 157. Possible significance and implications for novel mediator.","type":"article-journal","volume":"16"},"uris":["http://www.mendeley.com/documents/?uuid=6164415b-2518-453f-82c4-4562e66e7572"]},{"id":"ITEM-9","itemData":{"DOI":"10.1007/s10787-006-1531-7","ISSN":"0925-4692","PMID":"17186181","abstract":"Gastric pentadecapeptide BPC 157 (GEPPPGKPADDAGLV, M.W. 1419, safe in clinical trials for inflammatory bowel disease (PL 10, PLD 116, PLD 14736, Pliva, Croatia)) has a particular cytoprotective/adaptive cytoprotective activity. The cytoprotective/adaptive cytoprotection researches largely neglect that stomach distension could per se jeopardize the mucosal integrity, with constantly stretched mucosa and blood vessels, and sphincters more prone for reflux induction. After absolute alcohol instillation in fully distended rat stomach, gastric, esophageal and duodenal lesions occur. Throughout next 3 min, left gastric artery blood vessels clearly disappear at the serosal site, indicative for loss of vessels both integrity and function. Contrary, constant vessels presentation could predict the beneficial effect of applied agent. After pentadecapeptide BPC 157 instillation into the stomach the vessels presentation remains constant, and lesions of stomach, esophagus, and duodenum are inhibited. Standards (atropine, ranitidine, omeprazole) could only slightly improve the vessels presentation compared to control values, and they have only a partial effect on the lesions. In this review we emphasize BPC 157 unusual stability, and some of its important effects: effectiveness against various lesions in gastrointestinal tract, on nitric oxide (NO)-system, and NO-agents effects, on somatosensory neurons, salivary glands function, recovery of AMP-ADP-ATP system, endothelium protection, effect on endothelin, and on angiogenesis promotion. It also antagonizes other alcohol effects, including acute and chronic intoxication. Given peripherally, it counteracts the consequence of central dopamine system disturbances (receptor blockade), and induces serotonin release in substantia nigra. Therapeutic potential of BPC 157 as a cytoprotective agent is also seen in its capability to heal various wounds. Given directly into the stomach, BPC 157 instantly recovers disturbed lower esophageal and pyloric sphincter pressure in rats after 12-20 months of untreated esophagitis. All these could be suggestive for its role as a natural protectant in gastric juice with particular function throughout stomach distension.","author":[{"dropping-particle":"","family":"Sikiric","given":"P","non-dropping-particle":"","parse-names":false,"suffix":""},{"dropping-particle":"","family":"Seiwerth","given":"S","non-dropping-particle":"","parse-names":false,"suffix":""},{"dropping-particle":"","family":"Brcic","given":"L","non-dropping-particle":"","parse-names":false,"suffix":""},{"dropping-particle":"","family":"Blagaic","given":"A B","non-dropping-particle":"","parse-names":false,"suffix":""},{"dropping-particle":"","family":"Zoricic","given":"I","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Keller","given":"N","non-dropping-particle":"","parse-names":false,"suffix":""},{"dropping-particle":"","family":"Sipos","given":"K","non-dropping-particle":"","parse-names":false,"suffix":""},{"dropping-particle":"","family":"Jakir","given":"A","non-dropping-particle":"","parse-names":false,"suffix":""},{"dropping-particle":"","family":"Udovicic","given":"M","non-dropping-particle":"","parse-names":false,"suffix":""},{"dropping-particle":"","family":"Tonkic","given":"A","non-dropping-particle":"","parse-names":false,"suffix":""},{"dropping-particle":"","family":"Kokic","given":"N","non-dropping-particle":"","parse-names":false,"suffix":""},{"dropping-particle":"","family":"Turkovic","given":"B","non-dropping-particle":"","parse-names":false,"suffix":""},{"dropping-particle":"","family":"Mise","given":"S","non-dropping-particle":"","parse-names":false,"suffix":""},{"dropping-particle":"","family":"Anic","given":"T","non-dropping-particle":"","parse-names":false,"suffix":""}],"container-title":"Inflammopharmacology","id":"ITEM-9","issue":"5-6","issued":{"date-parts":[["2006","12"]]},"page":"214-21","title":"Stable gastric pentadecapeptide BPC 157 in trials for inflammatory bowel disease (PL-10, PLD-116, PL 14736, Pliva, Croatia). Full and distended stomach, and vascular response.","type":"article-journal","volume":"14"},"uris":["http://www.mendeley.com/documents/?uuid=42aef3b5-c994-4583-beee-f11cd4b7859a"]},{"id":"ITEM-10","itemData":{"DOI":"10.1016/0928-4257(93)90038-U","ISSN":"0928-4257","PMID":"8298609","abstract":"The possibility that the stomach, affected by general stress, might initiate a counter-response has not until recently been considered in theories of stress. We suggest that the stomach, as the most sensitive part of the gastrointestinal tract and the largest neuroendocrine organ in the body, is crucial for the initiation of a full stress response against all noxious stress pathology. The end result would be a strong protection of all organs invaded by 'stress'. Consistent with this assumption, this coping response is best explained in terms of 'organoprotection'. Endogenous organoprotectors (eg prostaglandins, somatostatin, dopamine) are proposed as mediators. Such an endogenous counteraction could even be afforded by their suitable application. A new gastric juice peptide, M(r) 40,000, named BPC, was recently isolated. Herein, a 15 amino acid fragment (BPC 157), thought to be essential for its activity, has been fully characterized and investigated. As has been demonstrated for many organoprotective agents using different models of various tissue lesions, despite the poorly understood final mechanism, practically all organ systems appear to benefit from BPC activity. These effects have been achieved in many species using very low dosages (mostly microgram and ng/kg range) after ip, ig, and intramucosal (local) application. The effect was apparent already after one application. Long lasting activity was also demonstrated. BPC was highly effective when applied simultaneously with noxious agents or in already pathological, as well as chronical, conditions. Therefore, it seems that BPC treatment does not share any of the so far known limitations for 'conventional organoprotectors'. No influence on different basal parameters and no toxicity were observed. These findings provide a breakthrough in stress theory. BPC, as a possible endogenous free radical scavenger and organoprotection mediator, could be a useful prototype of a new class of drugs, organoprotective agents.","author":[{"dropping-particle":"","family":"Sikirić","given":"P.","non-dropping-particle":"","parse-names":false,"suffix":""},{"dropping-particle":"","family":"Petek","given":"M.","non-dropping-particle":"","parse-names":false,"suffix":""},{"dropping-particle":"","family":"Rucman","given":"R","non-dropping-particle":"","parse-names":false,"suffix":""},{"dropping-particle":"","family":"Seiwerth","given":"S.","non-dropping-particle":"","parse-names":false,"suffix":""},{"dropping-particle":"","family":"Grabarević","given":"Z.","non-dropping-particle":"","parse-names":false,"suffix":""},{"dropping-particle":"","family":"Rotkvić","given":"I.","non-dropping-particle":"","parse-names":false,"suffix":""},{"dropping-particle":"","family":"Turković","given":"B.","non-dropping-particle":"","parse-names":false,"suffix":""},{"dropping-particle":"","family":"Jagić","given":"V.","non-dropping-particle":"","parse-names":false,"suffix":""},{"dropping-particle":"","family":"Mildner","given":"B.","non-dropping-particle":"","parse-names":false,"suffix":""},{"dropping-particle":"","family":"Duvnjak","given":"M.","non-dropping-particle":"","parse-names":false,"suffix":""}],"container-title":"Journal of physiology, Paris","id":"ITEM-10","issue":"5","issued":{"date-parts":[["1993"]]},"page":"313-27","title":"A new gastric juice peptide, BPC. An overview of the stomach-stress-organoprotection hypothesis and beneficial effects of BPC.","type":"article-journal","volume":"87"},"uris":["http://www.mendeley.com/documents/?uuid=f738bbb1-8d16-31eb-a5d7-6f273100aa96"]},{"id":"ITEM-11","itemData":{"DOI":"10.3748/wjg.v23.i48.8465","ISSN":"2219-2840","PMID":"29358856","abstract":"AIM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gastroenterology","id":"ITEM-11","issue":"48","issued":{"date-parts":[["2017","12","28"]]},"page":"8465-8488","title":"Stable gastric pentadecapeptide BPC 157 in the treatment of colitis and ischemia and reperfusion in rats: New insights.","type":"article-journal","volume":"23"},"uris":["http://www.mendeley.com/documents/?uuid=2c34d292-0140-3a84-912b-63eda51db635"]},{"id":"ITEM-12","itemData":{"DOI":"10.1016/j.vph.2018.02.010","ISSN":"18793649","abstract":"©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Pharmacology","id":"ITEM-12","issued":{"date-parts":[["2018"]]},"page":"54-66","title":"Rat inferior caval vein (ICV) ligature and particular new insights with the stable gastric pentadecapeptide BPC 157","type":"article-journal","volume":"106"},"uris":["http://www.mendeley.com/documents/?uuid=0d4e894c-6fc1-3bed-bb8f-4b56e696ff06"]}],"mendeley":{"formattedCitation":"&lt;sup&gt;[10,11,20,21,12–19]&lt;/sup&gt;","plainTextFormattedCitation":"[10,11,20,21,12–19]","previouslyFormattedCitation":"&lt;sup&gt;[10,11,20,21,12–19]&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[10</w:t>
      </w:r>
      <w:r w:rsidR="00DA3ACD">
        <w:rPr>
          <w:rFonts w:ascii="Book Antiqua" w:hAnsi="Book Antiqua" w:cs="Times New Roman" w:hint="eastAsia"/>
          <w:noProof/>
          <w:sz w:val="24"/>
          <w:szCs w:val="24"/>
          <w:vertAlign w:val="superscript"/>
          <w:lang w:val="en-US" w:eastAsia="zh-CN"/>
        </w:rPr>
        <w:t>-</w:t>
      </w:r>
      <w:r w:rsidR="00DA3ACD">
        <w:rPr>
          <w:rFonts w:ascii="Book Antiqua" w:hAnsi="Book Antiqua" w:cs="Times New Roman"/>
          <w:noProof/>
          <w:sz w:val="24"/>
          <w:szCs w:val="24"/>
          <w:vertAlign w:val="superscript"/>
          <w:lang w:val="en-US"/>
        </w:rPr>
        <w:t>21</w:t>
      </w:r>
      <w:r w:rsidR="00AB3269" w:rsidRPr="00E47A42">
        <w:rPr>
          <w:rFonts w:ascii="Book Antiqua" w:hAnsi="Book Antiqua" w:cs="Times New Roman"/>
          <w:noProof/>
          <w:sz w:val="24"/>
          <w:szCs w:val="24"/>
          <w:vertAlign w:val="superscript"/>
          <w:lang w:val="en-US"/>
        </w:rPr>
        <w:t>]</w:t>
      </w:r>
      <w:r w:rsidR="00A13458" w:rsidRPr="00E47A42">
        <w:rPr>
          <w:rFonts w:ascii="Book Antiqua" w:hAnsi="Book Antiqua" w:cs="Times New Roman"/>
          <w:sz w:val="24"/>
          <w:szCs w:val="24"/>
          <w:lang w:val="en-US"/>
        </w:rPr>
        <w:fldChar w:fldCharType="end"/>
      </w:r>
      <w:r w:rsidR="00F955AB"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L-NAME and L-arginine were commercially purchased (Sigma, U</w:t>
      </w:r>
      <w:r w:rsidR="005450F5">
        <w:rPr>
          <w:rFonts w:ascii="Book Antiqua" w:hAnsi="Book Antiqua" w:cs="Times New Roman" w:hint="eastAsia"/>
          <w:sz w:val="24"/>
          <w:szCs w:val="24"/>
          <w:lang w:val="en-US" w:eastAsia="zh-CN"/>
        </w:rPr>
        <w:t>nited States</w:t>
      </w:r>
      <w:r w:rsidRPr="00E47A42">
        <w:rPr>
          <w:rFonts w:ascii="Book Antiqua" w:hAnsi="Book Antiqua" w:cs="Times New Roman"/>
          <w:sz w:val="24"/>
          <w:szCs w:val="24"/>
          <w:lang w:val="en-US"/>
        </w:rPr>
        <w:t>).</w:t>
      </w:r>
    </w:p>
    <w:p w14:paraId="477CFCA1" w14:textId="77777777" w:rsidR="00FA1A3B" w:rsidRPr="00E47A42" w:rsidRDefault="00FA1A3B" w:rsidP="00F73ADC">
      <w:pPr>
        <w:snapToGrid w:val="0"/>
        <w:spacing w:after="0" w:line="360" w:lineRule="auto"/>
        <w:jc w:val="both"/>
        <w:rPr>
          <w:rFonts w:ascii="Book Antiqua" w:hAnsi="Book Antiqua" w:cs="Times New Roman"/>
          <w:sz w:val="24"/>
          <w:szCs w:val="24"/>
          <w:lang w:val="en-US"/>
        </w:rPr>
      </w:pPr>
    </w:p>
    <w:p w14:paraId="721F8C77" w14:textId="77777777" w:rsidR="006E2F19" w:rsidRPr="005C4663" w:rsidRDefault="006E2F19" w:rsidP="00F73ADC">
      <w:pPr>
        <w:snapToGrid w:val="0"/>
        <w:spacing w:after="0" w:line="360" w:lineRule="auto"/>
        <w:jc w:val="both"/>
        <w:rPr>
          <w:rFonts w:ascii="Book Antiqua" w:hAnsi="Book Antiqua" w:cs="Times New Roman"/>
          <w:b/>
          <w:i/>
          <w:sz w:val="24"/>
          <w:szCs w:val="24"/>
          <w:lang w:val="en-US"/>
        </w:rPr>
      </w:pPr>
      <w:r w:rsidRPr="005C4663">
        <w:rPr>
          <w:rFonts w:ascii="Book Antiqua" w:hAnsi="Book Antiqua" w:cs="Times New Roman"/>
          <w:b/>
          <w:i/>
          <w:sz w:val="24"/>
          <w:szCs w:val="24"/>
          <w:lang w:val="en-US"/>
        </w:rPr>
        <w:t>Perforated defect creation, medication, assessment</w:t>
      </w:r>
    </w:p>
    <w:p w14:paraId="3F5C9556" w14:textId="3E5A062D" w:rsidR="006E2F19" w:rsidRPr="00E47A42" w:rsidRDefault="006E2F19" w:rsidP="005C4663">
      <w:pPr>
        <w:snapToGrid w:val="0"/>
        <w:spacing w:after="0"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lastRenderedPageBreak/>
        <w:t>In deeply anaesthetized rats (thiopental (</w:t>
      </w:r>
      <w:proofErr w:type="spellStart"/>
      <w:r w:rsidRPr="00E47A42">
        <w:rPr>
          <w:rFonts w:ascii="Book Antiqua" w:hAnsi="Book Antiqua" w:cs="Times New Roman"/>
          <w:sz w:val="24"/>
          <w:szCs w:val="24"/>
          <w:lang w:val="en-US"/>
        </w:rPr>
        <w:t>Rotexmedica</w:t>
      </w:r>
      <w:proofErr w:type="spellEnd"/>
      <w:r w:rsidRPr="00E47A42">
        <w:rPr>
          <w:rFonts w:ascii="Book Antiqua" w:hAnsi="Book Antiqua" w:cs="Times New Roman"/>
          <w:sz w:val="24"/>
          <w:szCs w:val="24"/>
          <w:lang w:val="en-US"/>
        </w:rPr>
        <w:t xml:space="preserve">, Germany) 40 mg/kg </w:t>
      </w:r>
      <w:r w:rsidRPr="00E47A42">
        <w:rPr>
          <w:rFonts w:ascii="Book Antiqua" w:hAnsi="Book Antiqua" w:cs="Times New Roman"/>
          <w:noProof/>
          <w:sz w:val="24"/>
          <w:szCs w:val="24"/>
          <w:lang w:val="en-US"/>
        </w:rPr>
        <w:t>ip</w:t>
      </w:r>
      <w:r w:rsidRPr="00E47A42">
        <w:rPr>
          <w:rFonts w:ascii="Book Antiqua" w:hAnsi="Book Antiqua" w:cs="Times New Roman"/>
          <w:sz w:val="24"/>
          <w:szCs w:val="24"/>
          <w:lang w:val="en-US"/>
        </w:rPr>
        <w:t>,</w:t>
      </w:r>
      <w:r w:rsidR="00CB6D86">
        <w:rPr>
          <w:rFonts w:ascii="Book Antiqua" w:hAnsi="Book Antiqua" w:cs="Times New Roman"/>
          <w:sz w:val="24"/>
          <w:szCs w:val="24"/>
          <w:lang w:val="en-US"/>
        </w:rPr>
        <w:t xml:space="preserve"> </w:t>
      </w:r>
      <w:r w:rsidRPr="00E47A42">
        <w:rPr>
          <w:rFonts w:ascii="Book Antiqua" w:hAnsi="Book Antiqua" w:cs="Times New Roman"/>
          <w:noProof/>
          <w:sz w:val="24"/>
          <w:szCs w:val="24"/>
          <w:lang w:val="en-US"/>
        </w:rPr>
        <w:t>apaurin</w:t>
      </w:r>
      <w:r w:rsidRPr="00E47A42">
        <w:rPr>
          <w:rFonts w:ascii="Book Antiqua" w:hAnsi="Book Antiqua" w:cs="Times New Roman"/>
          <w:sz w:val="24"/>
          <w:szCs w:val="24"/>
          <w:lang w:val="en-US"/>
        </w:rPr>
        <w:t xml:space="preserve"> (Krka, Slovenia) 10 mg/kg </w:t>
      </w:r>
      <w:r w:rsidRPr="00E47A42">
        <w:rPr>
          <w:rFonts w:ascii="Book Antiqua" w:hAnsi="Book Antiqua" w:cs="Times New Roman"/>
          <w:noProof/>
          <w:sz w:val="24"/>
          <w:szCs w:val="24"/>
          <w:lang w:val="en-US"/>
        </w:rPr>
        <w:t>ip</w:t>
      </w:r>
      <w:r w:rsidRPr="00E47A42">
        <w:rPr>
          <w:rFonts w:ascii="Book Antiqua" w:hAnsi="Book Antiqua" w:cs="Times New Roman"/>
          <w:sz w:val="24"/>
          <w:szCs w:val="24"/>
          <w:lang w:val="en-US"/>
        </w:rPr>
        <w:t>), the cecum was exposed, and a perforation (5</w:t>
      </w:r>
      <w:r w:rsidR="00D46AFD"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mm diameter) was made at the ventral </w:t>
      </w:r>
      <w:r w:rsidR="00852528" w:rsidRPr="00E47A42">
        <w:rPr>
          <w:rFonts w:ascii="Book Antiqua" w:hAnsi="Book Antiqua" w:cs="Times New Roman"/>
          <w:sz w:val="24"/>
          <w:szCs w:val="24"/>
          <w:lang w:val="en-US"/>
        </w:rPr>
        <w:t xml:space="preserve">aspect </w:t>
      </w:r>
      <w:r w:rsidRPr="00E47A42">
        <w:rPr>
          <w:rFonts w:ascii="Book Antiqua" w:hAnsi="Book Antiqua" w:cs="Times New Roman"/>
          <w:sz w:val="24"/>
          <w:szCs w:val="24"/>
          <w:lang w:val="en-US"/>
        </w:rPr>
        <w:t xml:space="preserve">of </w:t>
      </w:r>
      <w:r w:rsidR="00D46AFD"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 xml:space="preserve">basal region of </w:t>
      </w:r>
      <w:r w:rsidR="00D46AFD"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 xml:space="preserve">cecum close to the </w:t>
      </w:r>
      <w:r w:rsidR="00D46AFD" w:rsidRPr="00E47A42">
        <w:rPr>
          <w:rFonts w:ascii="Book Antiqua" w:hAnsi="Book Antiqua" w:cs="Times New Roman"/>
          <w:sz w:val="24"/>
          <w:szCs w:val="24"/>
          <w:lang w:val="en-US"/>
        </w:rPr>
        <w:t>lar</w:t>
      </w:r>
      <w:r w:rsidRPr="00E47A42">
        <w:rPr>
          <w:rFonts w:ascii="Book Antiqua" w:hAnsi="Book Antiqua" w:cs="Times New Roman"/>
          <w:sz w:val="24"/>
          <w:szCs w:val="24"/>
          <w:lang w:val="en-US"/>
        </w:rPr>
        <w:t xml:space="preserve">gest curvature; the rats were monitored for the next 15 minutes. </w:t>
      </w:r>
    </w:p>
    <w:p w14:paraId="5DD9D17E" w14:textId="6C0A1702" w:rsidR="006E2F19" w:rsidRPr="00E47A42" w:rsidRDefault="00BC3C35" w:rsidP="00F73ADC">
      <w:pPr>
        <w:snapToGrid w:val="0"/>
        <w:spacing w:after="0" w:line="360" w:lineRule="auto"/>
        <w:jc w:val="both"/>
        <w:rPr>
          <w:rFonts w:ascii="Book Antiqua" w:hAnsi="Book Antiqua" w:cs="Times New Roman"/>
          <w:sz w:val="24"/>
          <w:szCs w:val="24"/>
          <w:lang w:val="en-US"/>
        </w:rPr>
      </w:pPr>
      <w:r>
        <w:rPr>
          <w:rFonts w:ascii="Book Antiqua" w:hAnsi="Book Antiqua" w:cs="Times New Roman"/>
          <w:sz w:val="24"/>
          <w:szCs w:val="24"/>
          <w:lang w:val="en-US"/>
        </w:rPr>
        <w:t xml:space="preserve">  </w:t>
      </w:r>
      <w:r w:rsidR="00D46AFD" w:rsidRPr="00E47A42">
        <w:rPr>
          <w:rFonts w:ascii="Book Antiqua" w:hAnsi="Book Antiqua" w:cs="Times New Roman"/>
          <w:sz w:val="24"/>
          <w:szCs w:val="24"/>
          <w:lang w:val="en-US"/>
        </w:rPr>
        <w:t xml:space="preserve">After </w:t>
      </w:r>
      <w:r w:rsidR="0094634B" w:rsidRPr="00E47A42">
        <w:rPr>
          <w:rFonts w:ascii="Book Antiqua" w:hAnsi="Book Antiqua" w:cs="Times New Roman"/>
          <w:sz w:val="24"/>
          <w:szCs w:val="24"/>
          <w:lang w:val="en-US"/>
        </w:rPr>
        <w:t xml:space="preserve">1 min, </w:t>
      </w:r>
      <w:r w:rsidR="00D46AFD" w:rsidRPr="00E47A42">
        <w:rPr>
          <w:rFonts w:ascii="Book Antiqua" w:hAnsi="Book Antiqua" w:cs="Times New Roman"/>
          <w:sz w:val="24"/>
          <w:szCs w:val="24"/>
          <w:lang w:val="en-US"/>
        </w:rPr>
        <w:t xml:space="preserve">a </w:t>
      </w:r>
      <w:r w:rsidR="0094634B" w:rsidRPr="00E47A42">
        <w:rPr>
          <w:rFonts w:ascii="Book Antiqua" w:hAnsi="Book Antiqua" w:cs="Times New Roman"/>
          <w:sz w:val="24"/>
          <w:szCs w:val="24"/>
          <w:lang w:val="en-US"/>
        </w:rPr>
        <w:t xml:space="preserve">bath (1 ml/rat) </w:t>
      </w:r>
      <w:r w:rsidR="00B92E42" w:rsidRPr="00E47A42">
        <w:rPr>
          <w:rFonts w:ascii="Book Antiqua" w:hAnsi="Book Antiqua" w:cs="Times New Roman"/>
          <w:sz w:val="24"/>
          <w:szCs w:val="24"/>
          <w:lang w:val="en-US"/>
        </w:rPr>
        <w:t xml:space="preserve">containing </w:t>
      </w:r>
      <w:r w:rsidR="0094634B" w:rsidRPr="00E47A42">
        <w:rPr>
          <w:rFonts w:ascii="Book Antiqua" w:hAnsi="Book Antiqua" w:cs="Times New Roman"/>
          <w:sz w:val="24"/>
          <w:szCs w:val="24"/>
          <w:lang w:val="en-US"/>
        </w:rPr>
        <w:t>BPC 157 (0.01 mg</w:t>
      </w:r>
      <w:r w:rsidR="00E70E7C" w:rsidRPr="00E47A42">
        <w:rPr>
          <w:rFonts w:ascii="Book Antiqua" w:hAnsi="Book Antiqua" w:cs="Times New Roman"/>
          <w:sz w:val="24"/>
          <w:szCs w:val="24"/>
          <w:lang w:val="en-US"/>
        </w:rPr>
        <w:t>/kg</w:t>
      </w:r>
      <w:r w:rsidR="0094634B" w:rsidRPr="00E47A42">
        <w:rPr>
          <w:rFonts w:ascii="Book Antiqua" w:hAnsi="Book Antiqua" w:cs="Times New Roman"/>
          <w:sz w:val="24"/>
          <w:szCs w:val="24"/>
          <w:lang w:val="en-US"/>
        </w:rPr>
        <w:t>), NOS blocker L-NAME (5 mg</w:t>
      </w:r>
      <w:r w:rsidR="00E70E7C" w:rsidRPr="00E47A42">
        <w:rPr>
          <w:rFonts w:ascii="Book Antiqua" w:hAnsi="Book Antiqua" w:cs="Times New Roman"/>
          <w:sz w:val="24"/>
          <w:szCs w:val="24"/>
          <w:lang w:val="en-US"/>
        </w:rPr>
        <w:t>/kg</w:t>
      </w:r>
      <w:r w:rsidR="0094634B" w:rsidRPr="00E47A42">
        <w:rPr>
          <w:rFonts w:ascii="Book Antiqua" w:hAnsi="Book Antiqua" w:cs="Times New Roman"/>
          <w:sz w:val="24"/>
          <w:szCs w:val="24"/>
          <w:lang w:val="en-US"/>
        </w:rPr>
        <w:t>),</w:t>
      </w:r>
      <w:r w:rsidR="00E70E7C" w:rsidRPr="00E47A42">
        <w:rPr>
          <w:rFonts w:ascii="Book Antiqua" w:hAnsi="Book Antiqua" w:cs="Times New Roman"/>
          <w:sz w:val="24"/>
          <w:szCs w:val="24"/>
          <w:lang w:val="en-US"/>
        </w:rPr>
        <w:t xml:space="preserve"> or</w:t>
      </w:r>
      <w:r w:rsidR="0094634B" w:rsidRPr="00E47A42">
        <w:rPr>
          <w:rFonts w:ascii="Book Antiqua" w:hAnsi="Book Antiqua" w:cs="Times New Roman"/>
          <w:sz w:val="24"/>
          <w:szCs w:val="24"/>
          <w:lang w:val="en-US"/>
        </w:rPr>
        <w:t xml:space="preserve"> NOS substrate L-arginine (100 mg</w:t>
      </w:r>
      <w:r w:rsidR="00E70E7C" w:rsidRPr="00E47A42">
        <w:rPr>
          <w:rFonts w:ascii="Book Antiqua" w:hAnsi="Book Antiqua" w:cs="Times New Roman"/>
          <w:sz w:val="24"/>
          <w:szCs w:val="24"/>
          <w:lang w:val="en-US"/>
        </w:rPr>
        <w:t>/kg</w:t>
      </w:r>
      <w:r w:rsidR="0094634B" w:rsidRPr="00E47A42">
        <w:rPr>
          <w:rFonts w:ascii="Book Antiqua" w:hAnsi="Book Antiqua" w:cs="Times New Roman"/>
          <w:sz w:val="24"/>
          <w:szCs w:val="24"/>
          <w:lang w:val="en-US"/>
        </w:rPr>
        <w:t>) was directly applied to the perforated cecum</w:t>
      </w:r>
      <w:r w:rsidR="00852528" w:rsidRPr="00E47A42">
        <w:rPr>
          <w:rFonts w:ascii="Book Antiqua" w:hAnsi="Book Antiqua" w:cs="Times New Roman"/>
          <w:sz w:val="24"/>
          <w:szCs w:val="24"/>
          <w:lang w:val="en-US"/>
        </w:rPr>
        <w:t>, alone or combined</w:t>
      </w:r>
      <w:r w:rsidR="0094634B" w:rsidRPr="00E47A42">
        <w:rPr>
          <w:rFonts w:ascii="Book Antiqua" w:hAnsi="Book Antiqua" w:cs="Times New Roman"/>
          <w:sz w:val="24"/>
          <w:szCs w:val="24"/>
          <w:lang w:val="en-US"/>
        </w:rPr>
        <w:t xml:space="preserve">, </w:t>
      </w:r>
      <w:r w:rsidR="00852528" w:rsidRPr="00E47A42">
        <w:rPr>
          <w:rFonts w:ascii="Book Antiqua" w:hAnsi="Book Antiqua" w:cs="Times New Roman"/>
          <w:sz w:val="24"/>
          <w:szCs w:val="24"/>
          <w:lang w:val="en-US"/>
        </w:rPr>
        <w:t>and spread</w:t>
      </w:r>
      <w:r w:rsidR="0094634B" w:rsidRPr="00E47A42">
        <w:rPr>
          <w:rFonts w:ascii="Book Antiqua" w:hAnsi="Book Antiqua" w:cs="Times New Roman"/>
          <w:sz w:val="24"/>
          <w:szCs w:val="24"/>
          <w:lang w:val="en-US"/>
        </w:rPr>
        <w:t xml:space="preserve"> through </w:t>
      </w:r>
      <w:r w:rsidR="00E70E7C" w:rsidRPr="00E47A42">
        <w:rPr>
          <w:rFonts w:ascii="Book Antiqua" w:hAnsi="Book Antiqua" w:cs="Times New Roman"/>
          <w:sz w:val="24"/>
          <w:szCs w:val="24"/>
          <w:lang w:val="en-US"/>
        </w:rPr>
        <w:t xml:space="preserve">the </w:t>
      </w:r>
      <w:r w:rsidR="0094634B" w:rsidRPr="00E47A42">
        <w:rPr>
          <w:rFonts w:ascii="Book Antiqua" w:hAnsi="Book Antiqua" w:cs="Times New Roman"/>
          <w:sz w:val="24"/>
          <w:szCs w:val="24"/>
          <w:lang w:val="en-US"/>
        </w:rPr>
        <w:t>abdominal cavity</w:t>
      </w:r>
      <w:r w:rsidR="00E70E7C" w:rsidRPr="00E47A42">
        <w:rPr>
          <w:rFonts w:ascii="Book Antiqua" w:hAnsi="Book Antiqua" w:cs="Times New Roman"/>
          <w:sz w:val="24"/>
          <w:szCs w:val="24"/>
          <w:lang w:val="en-US"/>
        </w:rPr>
        <w:t>,</w:t>
      </w:r>
      <w:r w:rsidR="006E2F19" w:rsidRPr="00E47A42">
        <w:rPr>
          <w:rFonts w:ascii="Book Antiqua" w:hAnsi="Book Antiqua" w:cs="Times New Roman"/>
          <w:sz w:val="24"/>
          <w:szCs w:val="24"/>
          <w:lang w:val="en-US"/>
        </w:rPr>
        <w:t xml:space="preserve"> </w:t>
      </w:r>
      <w:r w:rsidR="0094634B" w:rsidRPr="00E47A42">
        <w:rPr>
          <w:rFonts w:ascii="Book Antiqua" w:hAnsi="Book Antiqua" w:cs="Times New Roman"/>
          <w:sz w:val="24"/>
          <w:szCs w:val="24"/>
          <w:lang w:val="en-US"/>
        </w:rPr>
        <w:t>whereas controls accordingly received</w:t>
      </w:r>
      <w:r w:rsidR="006E2F19" w:rsidRPr="00E47A42">
        <w:rPr>
          <w:rFonts w:ascii="Book Antiqua" w:hAnsi="Book Antiqua" w:cs="Times New Roman"/>
          <w:sz w:val="24"/>
          <w:szCs w:val="24"/>
          <w:lang w:val="en-US"/>
        </w:rPr>
        <w:t xml:space="preserve"> a saline bath of equal volume. </w:t>
      </w:r>
      <w:r w:rsidR="00B92E42" w:rsidRPr="00E47A42">
        <w:rPr>
          <w:rFonts w:ascii="Book Antiqua" w:hAnsi="Book Antiqua" w:cs="Times New Roman"/>
          <w:sz w:val="24"/>
          <w:szCs w:val="24"/>
          <w:lang w:val="en-US"/>
        </w:rPr>
        <w:t xml:space="preserve">Using </w:t>
      </w:r>
      <w:r w:rsidR="006E2F19" w:rsidRPr="00E47A42">
        <w:rPr>
          <w:rFonts w:ascii="Book Antiqua" w:hAnsi="Book Antiqua" w:cs="Times New Roman"/>
          <w:sz w:val="24"/>
          <w:szCs w:val="24"/>
          <w:lang w:val="en-US"/>
        </w:rPr>
        <w:t>a USB microscope camera (</w:t>
      </w:r>
      <w:proofErr w:type="spellStart"/>
      <w:r w:rsidR="006E2F19" w:rsidRPr="00E47A42">
        <w:rPr>
          <w:rFonts w:ascii="Book Antiqua" w:hAnsi="Book Antiqua" w:cs="Times New Roman"/>
          <w:sz w:val="24"/>
          <w:szCs w:val="24"/>
          <w:lang w:val="en-US"/>
        </w:rPr>
        <w:t>Veho</w:t>
      </w:r>
      <w:proofErr w:type="spellEnd"/>
      <w:r w:rsidR="006E2F19" w:rsidRPr="00E47A42">
        <w:rPr>
          <w:rFonts w:ascii="Book Antiqua" w:hAnsi="Book Antiqua" w:cs="Times New Roman"/>
          <w:sz w:val="24"/>
          <w:szCs w:val="24"/>
          <w:lang w:val="en-US"/>
        </w:rPr>
        <w:t xml:space="preserve"> discovery VMS-004D-400x USB microscope</w:t>
      </w:r>
      <w:r w:rsidR="00B92E42" w:rsidRPr="00E47A42">
        <w:rPr>
          <w:rFonts w:ascii="Book Antiqua" w:hAnsi="Book Antiqua" w:cs="Times New Roman"/>
          <w:sz w:val="24"/>
          <w:szCs w:val="24"/>
          <w:lang w:val="en-US"/>
        </w:rPr>
        <w:t xml:space="preserve">; </w:t>
      </w:r>
      <w:proofErr w:type="spellStart"/>
      <w:r w:rsidR="006E2F19" w:rsidRPr="00E47A42">
        <w:rPr>
          <w:rFonts w:ascii="Book Antiqua" w:hAnsi="Book Antiqua" w:cs="Times New Roman"/>
          <w:sz w:val="24"/>
          <w:szCs w:val="24"/>
          <w:lang w:val="en-US"/>
        </w:rPr>
        <w:t>Veho</w:t>
      </w:r>
      <w:proofErr w:type="spellEnd"/>
      <w:r w:rsidR="006E2F19" w:rsidRPr="00E47A42">
        <w:rPr>
          <w:rFonts w:ascii="Book Antiqua" w:hAnsi="Book Antiqua" w:cs="Times New Roman"/>
          <w:sz w:val="24"/>
          <w:szCs w:val="24"/>
          <w:lang w:val="en-US"/>
        </w:rPr>
        <w:t xml:space="preserve"> ®, UK), </w:t>
      </w:r>
      <w:r w:rsidR="00852528" w:rsidRPr="00E47A42">
        <w:rPr>
          <w:rFonts w:ascii="Book Antiqua" w:hAnsi="Book Antiqua" w:cs="Times New Roman"/>
          <w:sz w:val="24"/>
          <w:szCs w:val="24"/>
          <w:lang w:val="en-US"/>
        </w:rPr>
        <w:t>from</w:t>
      </w:r>
      <w:r w:rsidR="006E2F19" w:rsidRPr="00E47A42">
        <w:rPr>
          <w:rFonts w:ascii="Book Antiqua" w:hAnsi="Book Antiqua" w:cs="Times New Roman"/>
          <w:sz w:val="24"/>
          <w:szCs w:val="24"/>
          <w:lang w:val="en-US"/>
        </w:rPr>
        <w:t xml:space="preserve"> the point immediately before therapy, we recorded and assessed</w:t>
      </w:r>
      <w:r w:rsidR="00B92E42" w:rsidRPr="00E47A42">
        <w:rPr>
          <w:rFonts w:ascii="Book Antiqua" w:hAnsi="Book Antiqua" w:cs="Times New Roman"/>
          <w:sz w:val="24"/>
          <w:szCs w:val="24"/>
          <w:lang w:val="en-US"/>
        </w:rPr>
        <w:t xml:space="preserve"> the</w:t>
      </w:r>
      <w:r w:rsidR="006E2F19" w:rsidRPr="00E47A42">
        <w:rPr>
          <w:rFonts w:ascii="Book Antiqua" w:hAnsi="Book Antiqua" w:cs="Times New Roman"/>
          <w:sz w:val="24"/>
          <w:szCs w:val="24"/>
          <w:lang w:val="en-US"/>
        </w:rPr>
        <w:t xml:space="preserve"> blood vessels </w:t>
      </w:r>
      <w:r w:rsidR="0094634B" w:rsidRPr="00E47A42">
        <w:rPr>
          <w:rFonts w:ascii="Book Antiqua" w:hAnsi="Book Antiqua" w:cs="Times New Roman"/>
          <w:sz w:val="24"/>
          <w:szCs w:val="24"/>
          <w:lang w:val="en-US"/>
        </w:rPr>
        <w:t>(emptied</w:t>
      </w:r>
      <w:r w:rsidR="00B92E42" w:rsidRPr="00E47A42">
        <w:rPr>
          <w:rFonts w:ascii="Book Antiqua" w:hAnsi="Book Antiqua" w:cs="Times New Roman"/>
          <w:sz w:val="24"/>
          <w:szCs w:val="24"/>
          <w:lang w:val="en-US"/>
        </w:rPr>
        <w:t>/</w:t>
      </w:r>
      <w:r w:rsidR="0094634B" w:rsidRPr="00E47A42">
        <w:rPr>
          <w:rFonts w:ascii="Book Antiqua" w:hAnsi="Book Antiqua" w:cs="Times New Roman"/>
          <w:sz w:val="24"/>
          <w:szCs w:val="24"/>
          <w:lang w:val="en-US"/>
        </w:rPr>
        <w:t>disappeared; refilled</w:t>
      </w:r>
      <w:r w:rsidR="00B92E42" w:rsidRPr="00E47A42">
        <w:rPr>
          <w:rFonts w:ascii="Book Antiqua" w:hAnsi="Book Antiqua" w:cs="Times New Roman"/>
          <w:sz w:val="24"/>
          <w:szCs w:val="24"/>
          <w:lang w:val="en-US"/>
        </w:rPr>
        <w:t>/</w:t>
      </w:r>
      <w:r w:rsidR="0094634B" w:rsidRPr="00E47A42">
        <w:rPr>
          <w:rFonts w:ascii="Book Antiqua" w:hAnsi="Book Antiqua" w:cs="Times New Roman"/>
          <w:sz w:val="24"/>
          <w:szCs w:val="24"/>
          <w:lang w:val="en-US"/>
        </w:rPr>
        <w:t xml:space="preserve">reappeared) </w:t>
      </w:r>
      <w:r w:rsidR="006E2F19" w:rsidRPr="00E47A42">
        <w:rPr>
          <w:rFonts w:ascii="Book Antiqua" w:hAnsi="Book Antiqua" w:cs="Times New Roman"/>
          <w:sz w:val="24"/>
          <w:szCs w:val="24"/>
          <w:lang w:val="en-US"/>
        </w:rPr>
        <w:t xml:space="preserve">(total % of cecum vessel augmentation/reduction from proximal to distal end = [number of blood vessels (10 vessels assessed) /100] </w:t>
      </w:r>
      <w:r w:rsidR="00B92E42" w:rsidRPr="00E47A42">
        <w:rPr>
          <w:rFonts w:ascii="Book Antiqua" w:hAnsi="Book Antiqua" w:cs="Times New Roman"/>
          <w:sz w:val="24"/>
          <w:szCs w:val="24"/>
          <w:lang w:val="en-US"/>
        </w:rPr>
        <w:t>×</w:t>
      </w:r>
      <w:r w:rsidR="006E2F19" w:rsidRPr="00E47A42">
        <w:rPr>
          <w:rFonts w:ascii="Book Antiqua" w:hAnsi="Book Antiqua" w:cs="Times New Roman"/>
          <w:sz w:val="24"/>
          <w:szCs w:val="24"/>
          <w:lang w:val="en-US"/>
        </w:rPr>
        <w:t xml:space="preserve"> %) </w:t>
      </w:r>
      <w:r w:rsidR="008E6437" w:rsidRPr="00E47A42">
        <w:rPr>
          <w:rFonts w:ascii="Book Antiqua" w:hAnsi="Book Antiqua" w:cs="Times New Roman"/>
          <w:sz w:val="24"/>
          <w:szCs w:val="24"/>
          <w:lang w:val="en-US"/>
        </w:rPr>
        <w:t xml:space="preserve">in terms </w:t>
      </w:r>
      <w:r w:rsidR="006E2F19" w:rsidRPr="00E47A42">
        <w:rPr>
          <w:rFonts w:ascii="Book Antiqua" w:hAnsi="Book Antiqua" w:cs="Times New Roman"/>
          <w:sz w:val="24"/>
          <w:szCs w:val="24"/>
          <w:lang w:val="en-US"/>
        </w:rPr>
        <w:t>of augmentation/reduction of each vasa recta (0 as the point immediately before therapy)</w:t>
      </w:r>
      <w:r w:rsidR="008E6437" w:rsidRPr="00E47A42">
        <w:rPr>
          <w:rFonts w:ascii="Book Antiqua" w:hAnsi="Book Antiqua" w:cs="Times New Roman"/>
          <w:sz w:val="24"/>
          <w:szCs w:val="24"/>
          <w:lang w:val="en-US"/>
        </w:rPr>
        <w:t xml:space="preserve"> and</w:t>
      </w:r>
      <w:r w:rsidR="006E2F19" w:rsidRPr="00E47A42">
        <w:rPr>
          <w:rFonts w:ascii="Book Antiqua" w:hAnsi="Book Antiqua" w:cs="Times New Roman"/>
          <w:sz w:val="24"/>
          <w:szCs w:val="24"/>
          <w:lang w:val="en-US"/>
        </w:rPr>
        <w:t xml:space="preserve"> defect closing or widening (as % of presentation immediately before therapy) and at particular time points: A—after perforation (1 min), B—during application (2 min), C—period after application (2 minutes), D—next 5 min</w:t>
      </w:r>
      <w:r w:rsidR="005C4663">
        <w:rPr>
          <w:rFonts w:ascii="Book Antiqua" w:hAnsi="Book Antiqua" w:cs="Times New Roman" w:hint="eastAsia"/>
          <w:sz w:val="24"/>
          <w:szCs w:val="24"/>
          <w:lang w:val="en-US" w:eastAsia="zh-CN"/>
        </w:rPr>
        <w:t xml:space="preserve"> </w:t>
      </w:r>
      <w:r w:rsidR="006E2F19" w:rsidRPr="00E47A42">
        <w:rPr>
          <w:rFonts w:ascii="Book Antiqua" w:hAnsi="Book Antiqua" w:cs="Times New Roman"/>
          <w:sz w:val="24"/>
          <w:szCs w:val="24"/>
          <w:lang w:val="en-US"/>
        </w:rPr>
        <w:t>period and E—period until the end of observation (15 minutes). The bleeding time (sec) throughout that period was also assessed</w:t>
      </w:r>
      <w:r w:rsidR="00B92E42" w:rsidRPr="00E47A42">
        <w:rPr>
          <w:rFonts w:ascii="Book Antiqua" w:hAnsi="Book Antiqua" w:cs="Times New Roman"/>
          <w:sz w:val="24"/>
          <w:szCs w:val="24"/>
          <w:lang w:val="en-US"/>
        </w:rPr>
        <w:t>;</w:t>
      </w:r>
      <w:r w:rsidR="006E2F19" w:rsidRPr="00E47A42">
        <w:rPr>
          <w:rFonts w:ascii="Book Antiqua" w:hAnsi="Book Antiqua" w:cs="Times New Roman"/>
          <w:sz w:val="24"/>
          <w:szCs w:val="24"/>
          <w:lang w:val="en-US"/>
        </w:rPr>
        <w:t xml:space="preserve"> at 15 minutes, oxidative stress was measured by quantifying </w:t>
      </w:r>
      <w:proofErr w:type="spellStart"/>
      <w:r w:rsidR="006E2F19" w:rsidRPr="00E47A42">
        <w:rPr>
          <w:rFonts w:ascii="Book Antiqua" w:hAnsi="Book Antiqua" w:cs="Times New Roman"/>
          <w:sz w:val="24"/>
          <w:szCs w:val="24"/>
          <w:lang w:val="en-US"/>
        </w:rPr>
        <w:t>thiobarbituric</w:t>
      </w:r>
      <w:proofErr w:type="spellEnd"/>
      <w:r w:rsidR="006E2F19" w:rsidRPr="00E47A42">
        <w:rPr>
          <w:rFonts w:ascii="Book Antiqua" w:hAnsi="Book Antiqua" w:cs="Times New Roman"/>
          <w:sz w:val="24"/>
          <w:szCs w:val="24"/>
          <w:lang w:val="en-US"/>
        </w:rPr>
        <w:t xml:space="preserve"> acid (TBA) reactivity as malondialdehyde </w:t>
      </w:r>
      <w:r w:rsidR="002C514E" w:rsidRPr="00E47A42">
        <w:rPr>
          <w:rFonts w:ascii="Book Antiqua" w:hAnsi="Book Antiqua" w:cs="Times New Roman"/>
          <w:sz w:val="24"/>
          <w:szCs w:val="24"/>
          <w:lang w:val="en-US"/>
        </w:rPr>
        <w:t xml:space="preserve">(MDA) </w:t>
      </w:r>
      <w:r w:rsidR="006E2F19" w:rsidRPr="00E47A42">
        <w:rPr>
          <w:rFonts w:ascii="Book Antiqua" w:hAnsi="Book Antiqua" w:cs="Times New Roman"/>
          <w:sz w:val="24"/>
          <w:szCs w:val="24"/>
          <w:lang w:val="en-US"/>
        </w:rPr>
        <w:t>equivalents, and nitric oxide determination in cecum tissue was also carried out.</w:t>
      </w:r>
      <w:r w:rsidR="00CB6D86">
        <w:rPr>
          <w:rFonts w:ascii="Book Antiqua" w:hAnsi="Book Antiqua" w:cs="Times New Roman"/>
          <w:sz w:val="24"/>
          <w:szCs w:val="24"/>
          <w:lang w:val="en-US"/>
        </w:rPr>
        <w:t xml:space="preserve"> </w:t>
      </w:r>
    </w:p>
    <w:p w14:paraId="0846B308" w14:textId="29DBA99F" w:rsidR="006E2F19" w:rsidRPr="00E47A42" w:rsidRDefault="006E2F19" w:rsidP="005C4663">
      <w:pPr>
        <w:snapToGrid w:val="0"/>
        <w:spacing w:after="0"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At day 1 and day 7,</w:t>
      </w:r>
      <w:r w:rsidR="009B03BD" w:rsidRPr="00E47A42">
        <w:rPr>
          <w:rFonts w:ascii="Book Antiqua" w:hAnsi="Book Antiqua" w:cs="Times New Roman"/>
          <w:sz w:val="24"/>
          <w:szCs w:val="24"/>
          <w:lang w:val="en-US"/>
        </w:rPr>
        <w:t xml:space="preserve"> </w:t>
      </w:r>
      <w:r w:rsidR="002B3855" w:rsidRPr="00E47A42">
        <w:rPr>
          <w:rFonts w:ascii="Book Antiqua" w:hAnsi="Book Antiqua" w:cs="Times New Roman"/>
          <w:sz w:val="24"/>
          <w:szCs w:val="24"/>
          <w:lang w:val="en-US"/>
        </w:rPr>
        <w:t xml:space="preserve">rats were </w:t>
      </w:r>
      <w:proofErr w:type="spellStart"/>
      <w:r w:rsidR="001343DC" w:rsidRPr="00E47A42">
        <w:rPr>
          <w:rFonts w:ascii="Book Antiqua" w:hAnsi="Book Antiqua" w:cs="Times New Roman"/>
          <w:sz w:val="24"/>
          <w:szCs w:val="24"/>
          <w:lang w:val="en-US"/>
        </w:rPr>
        <w:t>relaparotimiezed</w:t>
      </w:r>
      <w:proofErr w:type="spellEnd"/>
      <w:r w:rsidR="001343DC" w:rsidRPr="00E47A42">
        <w:rPr>
          <w:rFonts w:ascii="Book Antiqua" w:hAnsi="Book Antiqua" w:cs="Times New Roman"/>
          <w:sz w:val="24"/>
          <w:szCs w:val="24"/>
          <w:lang w:val="en-US"/>
        </w:rPr>
        <w:t>, and w</w:t>
      </w:r>
      <w:r w:rsidR="009B03BD" w:rsidRPr="00E47A42">
        <w:rPr>
          <w:rFonts w:ascii="Book Antiqua" w:hAnsi="Book Antiqua" w:cs="Times New Roman"/>
          <w:sz w:val="24"/>
          <w:szCs w:val="24"/>
          <w:lang w:val="en-US"/>
        </w:rPr>
        <w:t>e assessed</w:t>
      </w:r>
      <w:r w:rsidRPr="00E47A42">
        <w:rPr>
          <w:rFonts w:ascii="Book Antiqua" w:hAnsi="Book Antiqua" w:cs="Times New Roman"/>
          <w:sz w:val="24"/>
          <w:szCs w:val="24"/>
          <w:lang w:val="en-US"/>
        </w:rPr>
        <w:t xml:space="preserve"> the </w:t>
      </w:r>
      <w:r w:rsidR="009B03BD" w:rsidRPr="00E47A42">
        <w:rPr>
          <w:rFonts w:ascii="Book Antiqua" w:hAnsi="Book Antiqua" w:cs="Times New Roman"/>
          <w:sz w:val="24"/>
          <w:szCs w:val="24"/>
          <w:lang w:val="en-US"/>
        </w:rPr>
        <w:t xml:space="preserve">serosal/mucosal </w:t>
      </w:r>
      <w:r w:rsidRPr="00E47A42">
        <w:rPr>
          <w:rFonts w:ascii="Book Antiqua" w:hAnsi="Book Antiqua" w:cs="Times New Roman"/>
          <w:sz w:val="24"/>
          <w:szCs w:val="24"/>
          <w:lang w:val="en-US"/>
        </w:rPr>
        <w:t xml:space="preserve">defect (longest lesion diameter, mm) and adhesion severity </w:t>
      </w:r>
      <w:r w:rsidR="009B03BD" w:rsidRPr="00E47A42">
        <w:rPr>
          <w:rFonts w:ascii="Book Antiqua" w:hAnsi="Book Antiqua" w:cs="Times New Roman"/>
          <w:sz w:val="24"/>
          <w:szCs w:val="24"/>
          <w:lang w:val="en-US"/>
        </w:rPr>
        <w:t>scoring</w:t>
      </w:r>
      <w:r w:rsidRPr="00E47A42">
        <w:rPr>
          <w:rFonts w:ascii="Book Antiqua" w:hAnsi="Book Antiqua" w:cs="Times New Roman"/>
          <w:sz w:val="24"/>
          <w:szCs w:val="24"/>
          <w:lang w:val="en-US"/>
        </w:rPr>
        <w:t xml:space="preserve"> (adhesions of the abdominal wall–1 point</w:t>
      </w:r>
      <w:r w:rsidR="009B03BD"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w:t>
      </w:r>
      <w:r w:rsidR="009B03BD" w:rsidRPr="00E47A42">
        <w:rPr>
          <w:rFonts w:ascii="Book Antiqua" w:hAnsi="Book Antiqua" w:cs="Times New Roman"/>
          <w:sz w:val="24"/>
          <w:szCs w:val="24"/>
          <w:lang w:val="en-US"/>
        </w:rPr>
        <w:t>a</w:t>
      </w:r>
      <w:r w:rsidRPr="00E47A42">
        <w:rPr>
          <w:rFonts w:ascii="Book Antiqua" w:hAnsi="Book Antiqua" w:cs="Times New Roman"/>
          <w:sz w:val="24"/>
          <w:szCs w:val="24"/>
          <w:lang w:val="en-US"/>
        </w:rPr>
        <w:t>dhesions of the intestine–1 point</w:t>
      </w:r>
      <w:r w:rsidR="009B03BD"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w:t>
      </w:r>
      <w:r w:rsidR="009B03BD" w:rsidRPr="00E47A42">
        <w:rPr>
          <w:rFonts w:ascii="Book Antiqua" w:hAnsi="Book Antiqua" w:cs="Times New Roman"/>
          <w:sz w:val="24"/>
          <w:szCs w:val="24"/>
          <w:lang w:val="en-US"/>
        </w:rPr>
        <w:t>a</w:t>
      </w:r>
      <w:r w:rsidRPr="00E47A42">
        <w:rPr>
          <w:rFonts w:ascii="Book Antiqua" w:hAnsi="Book Antiqua" w:cs="Times New Roman"/>
          <w:sz w:val="24"/>
          <w:szCs w:val="24"/>
          <w:lang w:val="en-US"/>
        </w:rPr>
        <w:t xml:space="preserve">dhesions of the </w:t>
      </w:r>
      <w:proofErr w:type="spellStart"/>
      <w:r w:rsidRPr="00E47A42">
        <w:rPr>
          <w:rFonts w:ascii="Book Antiqua" w:hAnsi="Book Antiqua" w:cs="Times New Roman"/>
          <w:sz w:val="24"/>
          <w:szCs w:val="24"/>
          <w:lang w:val="en-US"/>
        </w:rPr>
        <w:t>cecal</w:t>
      </w:r>
      <w:proofErr w:type="spellEnd"/>
      <w:r w:rsidRPr="00E47A42">
        <w:rPr>
          <w:rFonts w:ascii="Book Antiqua" w:hAnsi="Book Antiqua" w:cs="Times New Roman"/>
          <w:sz w:val="24"/>
          <w:szCs w:val="24"/>
          <w:lang w:val="en-US"/>
        </w:rPr>
        <w:t xml:space="preserve"> area: ventral side–1 point/dorsal side–1 point</w:t>
      </w:r>
      <w:r w:rsidR="009B03BD"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w:t>
      </w:r>
      <w:r w:rsidR="009B03BD" w:rsidRPr="00E47A42">
        <w:rPr>
          <w:rFonts w:ascii="Book Antiqua" w:hAnsi="Book Antiqua" w:cs="Times New Roman"/>
          <w:sz w:val="24"/>
          <w:szCs w:val="24"/>
          <w:lang w:val="en-US"/>
        </w:rPr>
        <w:t>a</w:t>
      </w:r>
      <w:r w:rsidRPr="00E47A42">
        <w:rPr>
          <w:rFonts w:ascii="Book Antiqua" w:hAnsi="Book Antiqua" w:cs="Times New Roman"/>
          <w:sz w:val="24"/>
          <w:szCs w:val="24"/>
          <w:lang w:val="en-US"/>
        </w:rPr>
        <w:t xml:space="preserve">dhesions involving both </w:t>
      </w:r>
      <w:r w:rsidR="008E6437"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intestine and colon–3 points) (resulting in a total maximum score of 7). Representative tissue sections were processed for further histological analysis as described previousl</w:t>
      </w:r>
      <w:r w:rsidR="009B03BD" w:rsidRPr="00E47A42">
        <w:rPr>
          <w:rFonts w:ascii="Book Antiqua" w:hAnsi="Book Antiqua" w:cs="Times New Roman"/>
          <w:sz w:val="24"/>
          <w:szCs w:val="24"/>
          <w:lang w:val="en-US"/>
        </w:rPr>
        <w:t>y</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10.2174/1381612823666170220163219","ISSN":"13816128","author":[{"dropping-particle":"","family":"Sikiric","given":"Predrag","non-dropping-particle":"","parse-names":false,"suffix":""},{"dropping-particle":"","family":"Seiwerth","given":"Sven","non-dropping-particle":"","parse-names":false,"suffix":""},{"dropping-particle":"","family":"Rucman","given":"Rudolf","non-dropping-particle":"","parse-names":false,"suffix":""},{"dropping-particle":"","family":"Drmic","given":"Domagoj","non-dropping-particle":"","parse-names":false,"suffix":""},{"dropping-particle":"","family":"Stupnisek","given":"Mirjana","non-dropping-particle":"","parse-names":false,"suffix":""},{"dropping-particle":"","family":"Kokot","given":"Antonio","non-dropping-particle":"","parse-names":false,"suffix":""},{"dropping-particle":"","family":"Sever","given":"Marko","non-dropping-particle":"","parse-names":false,"suffix":""},{"dropping-particle":"","family":"Zoricic","given":"Ivan","non-dropping-particle":"","parse-names":false,"suffix":""},{"dropping-particle":"","family":"Zoricic","given":"Zoran","non-dropping-particle":"","parse-names":false,"suffix":""},{"dropping-particle":"","family":"Batelja","given":"Lovorka","non-dropping-particle":"","parse-names":false,"suffix":""},{"dropping-particle":"","family":"Ziger","given":"Tihomil","non-dropping-particle":"","parse-names":false,"suffix":""},{"dropping-particle":"","family":"Luetic","given":"Kresimir","non-dropping-particle":"","parse-names":false,"suffix":""},{"dropping-particle":"","family":"Vlainic","given":"Josipa","non-dropping-particle":"","parse-names":false,"suffix":""},{"dropping-particle":"","family":"Rasic","given":"Zarko","non-dropping-particle":"","parse-names":false,"suffix":""},{"dropping-particle":"","family":"Bencic","given":"Martina Lovric","non-dropping-particle":"","parse-names":false,"suffix":""}],"container-title":"Current Pharmaceutical Design","id":"ITEM-1","issue":"27","issued":{"date-parts":[["2017","10","30"]]},"page":"4012-4028","title":"Stress in Gastrointestinal Tract and Stable Gastric Pentadecapeptide BPC 157. Finally, do we have a Solution?","type":"article-journal","volume":"23"},"uris":["http://www.mendeley.com/documents/?uuid=bb09abfa-dd18-4e07-99e3-5e0c5e908cc9"]},{"id":"ITEM-2","itemData":{"ISSN":"1875-6190","PMID":"27138887","abstract":"BACKGROUND Brain-gut interaction involves, among others, peptidergic growth factors which are native in GI tract and have strong antiulcer potency and thus could from periphery beneficially affect CNS-disorders. We focused on the stable gastric pentadecapeptide BPC 157, an antiulcer peptidergic agent, safe in inflammatory bowel disease trials and now in multiple sclerosis trial, native and stable in human gastric juice. METHODS Review of our research on BPC 157 in terms of brain-gut axis. RESULTS BPC 157 may serve as a novel mediator of Robert's cytoprotection, involved in maintaining of GI mucosa integrity, with no toxic effect. BPC 157 was successful in the therapy of GI tract, periodontitis, liver and pancreas lesions, and in the healing of various tissues and wounds. Stimulated Egr-1 gene, NAB2, FAK-paxillin and JAK-2 pathways are hitherto implicated. Initially corresponding beneficial central influence was seen when BPC 157 was given peripherally and a serotonin release in particular brain areas, mostly nigrostriatal, was changed. BPC 157 modulates serotonergic and dopaminergic systems, beneficially affects various behavioral disturbances that otherwise appeared due to specifically (over)stimulated/damaged neurotransmitters systems. Besides, BPC 157 has neuroprotective effects: protects somatosensory neurons; peripheral nerve regeneration appearent after transection; after traumatic brain injury counteracts the otherwise progressing course, in rat spinal cord compression with tail paralysis, axonal and neuronal necrosis, demyelination, cyst formation and rescues tail function in both short-terms and long-terms; after NSAIDs or insulin overdose or cuprizone encephalopathies were attenuated along with GI, liver and vascular injuries. CONCLUSION BPC 157, a gastric peptide, may serve as remedy in various CNS-disorders.","author":[{"dropping-particle":"","family":"Sikiric","given":"Predrag","non-dropping-particle":"","parse-names":false,"suffix":""},{"dropping-particle":"","family":"Seiwerth","given":"Sven","non-dropping-particle":"","parse-names":false,"suffix":""},{"dropping-particle":"","family":"Rucman","given":"Rudolf","non-dropping-particle":"","parse-names":false,"suffix":""},{"dropping-particle":"","family":"Kolenc","given":"Danijela","non-dropping-particle":"","parse-names":false,"suffix":""},{"dropping-particle":"","family":"Vuletic","given":"Lovorka Batelja","non-dropping-particle":"","parse-names":false,"suffix":""},{"dropping-particle":"","family":"Drmic","given":"Domagoj","non-dropping-particle":"","parse-names":false,"suffix":""},{"dropping-particle":"","family":"Grgic","given":"Tihomir","non-dropping-particle":"","parse-names":false,"suffix":""},{"dropping-particle":"","family":"Strbe","given":"Sanja","non-dropping-particle":"","parse-names":false,"suffix":""},{"dropping-particle":"","family":"Zukanovic","given":"Goran","non-dropping-particle":"","parse-names":false,"suffix":""},{"dropping-particle":"","family":"Crvenkovic","given":"Dalibor","non-dropping-particle":"","parse-names":false,"suffix":""},{"dropping-particle":"","family":"Madzarac","given":"Goran","non-dropping-particle":"","parse-names":false,"suffix":""},{"dropping-particle":"","family":"Rukavina","given":"Iva","non-dropping-particle":"","parse-names":false,"suffix":""},{"dropping-particle":"","family":"Sucic","given":"Mario","non-dropping-particle":"","parse-names":false,"suffix":""},{"dropping-particle":"","family":"Baric","given":"Marko","non-dropping-particle":"","parse-names":false,"suffix":""},{"dropping-particle":"","family":"Starcevic","given":"Neven","non-dropping-particle":"","parse-names":false,"suffix":""},{"dropping-particle":"","family":"Krstonijevic","given":"Zoran","non-dropping-particle":"","parse-names":false,"suffix":""},{"dropping-particle":"","family":"Bencic","given":"Martina Lovric","non-dropping-particle":"","parse-names":false,"suffix":""},{"dropping-particle":"","family":"Filipcic","given":"Igor","non-dropping-particle":"","parse-names":false,"suffix":""},{"dropping-particle":"","family":"Rokotov","given":"Dinko Stancic","non-dropping-particle":"","parse-names":false,"suffix":""},{"dropping-particle":"","family":"Vlainic","given":"Josipa","non-dropping-particle":"","parse-names":false,"suffix":""}],"container-title":"Current neuropharmacology","id":"ITEM-2","issue":"8","issued":{"date-parts":[["2016"]]},"page":"857-865","title":"Brain-gut Axis and Pentadecapeptide BPC 157: Theoretical and Practical Implications.","type":"article-journal","volume":"14"},"uris":["http://www.mendeley.com/documents/?uuid=b275ba93-1b42-319f-8107-0555cf4884b9"]},{"id":"ITEM-3","itemData":{"DOI":"10.2174/13816128113199990421","ISBN":"1873-4286 (Electronic)\\r1381-6128 (Linking)","ISSN":"1873-4286","PMID":"23782145","abstract":"This review focuses on the described effects of BPC 157 on blood vessels after different types of damage, and elucidate by investigating different aspects of vascular response to injury (endothelium damage, clotting, thrombosis, vasoconstriction, vasodilatation, vasculoneogenesis and edema formation) especially in connection to the healing processes. In this respect, BPC 157 was concluded to be the most potent angiomodulatory agent, acting through different vasoactive pathways and systems (e.g. NO, VEGF, FAK) and leading to optimization of the vascular response followed, as it has to be expected, by optimization of the healing process. Formation of new blood vessels involves two main, partly overlapping mechanisms, angiogenesis and vasculogenesis. The additional mechanism of arteriogenesis is involved in the formation of collaterals. In conjunction with blood vessel function, we at least have to consider leakage of fluid/proteins/plasma, resulting in edema/exudate formation as well as thrombogenesis. Blood vessels are also strongly involved in tumor biology. In this aspect, we have neoangiogenesis resulting in pathological vascularization, vascular invasion resulting in release of metastatic cells and the phenomenon of homing resulting in formation of secondary tumors--metastases.","author":[{"dropping-particle":"","family":"Seiwerth","given":"Sven","non-dropping-particle":"","parse-names":false,"suffix":""},{"dropping-particle":"","family":"Brcic","given":"Luka","non-dropping-particle":"","parse-names":false,"suffix":""},{"dropping-particle":"","family":"Vuletic","given":"Lovorka Batelja","non-dropping-particle":"","parse-names":false,"suffix":""},{"dropping-particle":"","family":"Kolenc","given":"Danijela","non-dropping-particle":"","parse-names":false,"suffix":""},{"dropping-particle":"","family":"Aralica","given":"Gorana","non-dropping-particle":"","parse-names":false,"suffix":""},{"dropping-particle":"","family":"Misic","given":"Marija","non-dropping-particle":"","parse-names":false,"suffix":""},{"dropping-particle":"","family":"Zenko","given":"Anita","non-dropping-particle":"","parse-names":false,"suffix":""},{"dropping-particle":"","family":"Drmic","given":"Domagoj","non-dropping-particle":"","parse-names":false,"suffix":""},{"dropping-particle":"","family":"Rucman","given":"Rudolf","non-dropping-particle":"","parse-names":false,"suffix":""},{"dropping-particle":"","family":"Sikiric","given":"Predrag","non-dropping-particle":"","parse-names":false,"suffix":""}],"container-title":"Current pharmaceutical design","id":"ITEM-3","issue":"7","issued":{"date-parts":[["2014"]]},"page":"1121-5","title":"BPC 157 and blood vessels.","type":"article-journal","volume":"20"},"uris":["http://www.mendeley.com/documents/?uuid=58f78828-3983-4cbc-86f3-3b54e9721a52"]},{"id":"ITEM-4","itemData":{"ISSN":"1873-4286","PMID":"23755725","abstract":"We reviewed stable gastric pentadecapeptide BPC 157-NO-system-relation, its close participation in Moncada's (maintained vascular integrity, platelets control) homeostatic healing response of NO-system to injury. Namely, BPC 157's particular healing effect also affects all events after vascular integrity loss (dependent on circumstances, it reduces either thrombosis (abdominal aorta anastomosis) or bleeding/thrombocytopenia (amputation, heparin, warfarin, aspirin)) and in a series of different injurious models, acute and chronic, BPC 157 consistently advances healing after severe injuries in various tissues spontaneously unable to heal; stimulates egr-1 and naB2 genes; exhibits high safety (LD1 not achieved)). Hypothesis, that BPC 157 (since formed constitutively in the gastric mucosa, stable in human gastric juice, along with significance of NO-synthase and the basal formation of NO in stomach mucosa, greater than that seen in other tissues) exhibits a general, effective competing both with L-arginine analogues (i. e., L-NAME) and L-arginine, and that this has some physiologic importance (NO-generation), later, practically supports its beneficial effects illustrating BPC 157 and NOsystem mutual (with L-NAME/L-arginine; alone and together) relations in (i) gastric mucosa and mucosal protection, following alcohol lesions, in cytoprotection course, NO-generation, and blood pressure regulation; (ii) alcohol acute/chronic intoxication, and withdrawal; (iii) cardiovascular disturbances, chronic heart failure, pulmonary hypertension, and arrhythmias; (iv) disturbances after hypokalemia and hyperkalemia, and potassium-cell membrane dysfunction; and finally, in (v) complex healing failure, proved by the fistulas healing, colocutaneous and esophagocutaneous. However, how this advantage of modulating NO-system (i. e., particular effect on eNOS gene), may be practically translated into an enhanced clinical performance remains to be determined.","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tupnisek","given":"Mirjana","non-dropping-particle":"","parse-names":false,"suffix":""},{"dropping-particle":"","family":"Suran","given":"Jelena","non-dropping-particle":"","parse-names":false,"suffix":""},{"dropping-particle":"","family":"Barisic","given":"Ivan","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design","id":"ITEM-4","issue":"7","issued":{"date-parts":[["2014"]]},"page":"1126-35","title":"Stable gastric pentadecapeptide BPC 157-NO-system relation.","type":"article-journal","volume":"20"},"uris":["http://www.mendeley.com/documents/?uuid=74ead48f-0c75-446a-a19b-49bb02b31992"]},{"id":"ITEM-5","itemData":{"ISSN":"1873-4286","PMID":"22950504","abstract":"Stable gastric pentadecapeptide BPC 157 is an anti-ulcer peptidergic agent, proven in clinical trials to be both safe in inflammatory bowel disease (PL-10, PLD-116, PL 14736) and wound healing, stable in human gastric juice, with no toxicity being reported. Recently, we claim that BPC 157 may be used as an antidote against NSAIDs. We focused on BPC 157 beneficial effects on stomach, duodenum, intestine, liver and brain injuries, adjuvant arthritis, pain, hyper/hypothermia, obstructive thrombus formation and thrombolysis, blood vessel function, counteraction of prolonged bleeding and thrombocytopenia after application of various anticoagulants and antiplatelet agents and wound healing improvement. The arguments for BPC 157 antidote activity (i.e., the role of BPC 157 in cytoprotection, being a novel mediator of Robert's cytoprotection and BPC 157 beneficial effects on NSAIDs mediated lesions in the gastrointestinal tract, liver and brain and finally, counteraction of aspirin-induced prolonged bleeding and thrombocytopenia) obviously have a counteracting effect on several established side-effects of NSAIDs use. The mentioned variety of the beneficial effects portrayed by BPC 157 may well be a foundation for establishing BPC 157 as a NSAIDs antidote since no other single agent has portrayed a similar array of effects. Unlike NSAIDs, a very high safety (no reported toxicity (LD1 could be not achieved)) profile is reported for BPC 157. Also, unlike the different dosage levels of aspirin, as a NSAIDs prototype, which differ by a factor of about ten, all these beneficial and counteracting effects of BPC 157 were obtained using the equipotent dosage (μg, ng/kg) in parenteral or peroral regimens.","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afic","given":"Hana","non-dropping-particle":"","parse-names":false,"suffix":""},{"dropping-particle":"","family":"Suran","given":"Jelena","non-dropping-particle":"","parse-names":false,"suffix":""},{"dropping-particle":"","family":"Rak","given":"Davor","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design","id":"ITEM-5","issue":"1","issued":{"date-parts":[["2013"]]},"page":"76-83","title":"Toxicity by NSAIDs. Counteraction by stable gastric pentadecapeptide BPC 157.","type":"article-journal","volume":"19"},"uris":["http://www.mendeley.com/documents/?uuid=b4d81bb8-a391-4622-abb3-23195e4a65ff"]},{"id":"ITEM-6","itemData":{"DOI":"CMC-19-1-126 [pii]","ISBN":"0929-8673\\r1875-533X","ISSN":"09298673","PMID":"2012120682","abstract":"Stable gastric pentadecapeptide BPC 157 (GEPPPGKPADDAGLV, M.W. 1419) may be the new drug stable in human gastric juice, effective both in the upper and lower GI tract, and free of side effects. BPC 157, in addition to an antiulcer effect efficient in therapy of inflammatory bowel disease (IBD) (PL 14736) so far only tested in clinical phase II, has a very safe profile, and exhibited a particular wound healing effect. It also has shown to interact with the NO-system, providing endothelium protection and angiogenic effect, even in severely impaired conditions (i.e., it stimulated expression of early growth response 1 gene responsible for cytokine and growth factor generation and early extracellular matrix (collagen) formation (but also its repressor nerve growth factor 1- A binding protein-2)), important to counteract severe complications of advanced and poorly controlled IBD. Hopefully, the lessons from animal studies, particularly advanced intestinal anastomosis healing, reversed short bowel syndrome and fistula healing indicate BPC 157's high significance in further IBD therapy. Also, this supportive evidence (i.e., no toxic effect, limit test negative, LD1 not achieved, no side effect in trials) may counteract the problems commonly exercised in the use of peptidergic agents, particularly those used on a long-term basis. © 2012 Bentham Science Publishers.","author":[{"dropping-particle":"","family":"Sikiric","given":"P","non-dropping-particle":"","parse-names":false,"suffix":""},{"dropping-particle":"","family":"Seiwerth","given":"S","non-dropping-particle":"","parse-names":false,"suffix":""},{"dropping-particle":"","family":"Rucman","given":"R","non-dropping-particle":"","parse-names":false,"suffix":""},{"dropping-particle":"","family":"Turkovic","given":"B","non-dropping-particle":"","parse-names":false,"suffix":""},{"dropping-particle":"","family":"D","given":"S Rokotov","non-dropping-particle":"","parse-names":false,"suffix":""},{"dropping-particle":"","family":"Brcic","given":"L","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Drmic","given":"D","non-dropping-particle":"","parse-names":false,"suffix":""},{"dropping-particle":"","family":"Ilic","given":"S","non-dropping-particle":"","parse-names":false,"suffix":""},{"dropping-particle":"","family":"Kolenc","given":"D","non-dropping-particle":"","parse-names":false,"suffix":""},{"dropping-particle":"","family":"Stambolija","given":"V","non-dropping-particle":"","parse-names":false,"suffix":""},{"dropping-particle":"","family":"Zoricic","given":"Z","non-dropping-particle":"","parse-names":false,"suffix":""},{"dropping-particle":"","family":"Vrcic","given":"H","non-dropping-particle":"","parse-names":false,"suffix":""},{"dropping-particle":"","family":"Sebecic","given":"B","non-dropping-particle":"","parse-names":false,"suffix":""}],"container-title":"Current Medicinal Chemistry","id":"ITEM-6","issue":"1","issued":{"date-parts":[["2012"]]},"page":"126-132","title":"Focus on ulcerative colitis: Stable gastric pentadecapeptide BPC 157","type":"article-journal","volume":"19"},"uris":["http://www.mendeley.com/documents/?uuid=7b0917ea-0d35-4426-b536-aa3cf6522fbf"]},{"id":"ITEM-7","itemData":{"DOI":"10.2174/138161211796196954","ISBN":"1873-4286 (Electronic)\\n1381-6128 (Linking)","ISSN":"1873-4286","PMID":"21548867","abstract":"Stable gastric pentadecapeptide BPC 157 is an anti-ulcer peptidergic agent, safe in inflammatory bowel disease clinical trials (GEPPPGKPADDAGLV, M.W. 1419, PL 14736) and wound healing, stable in human gastric juice and has no reported toxicity. We focused on BPC 157 as a therapy in peridontitis, esophagus, stomach, duodenum, intestine, liver and pancreas lesions. Particularly, it has a prominent effect on alcohol-lesions (i.e., acute, chronic) and NSAIDs-lesions (interestingly, BPC 157 both prevents and reverses adjuvant arthritis). In rat esophagitis and failed function of both lower esophageal sphincter (LES) and pyloric sphincters (PS), BPC 157 increased pressure in both sphincters till normal and reduced esophagitis. However, in healthy rats, it may decrease (PS) or increase (LES) the pressure in sphincters. It has strong angiogenic potential, it acts protectively on endothelium, prevents and reverses thrombus formation after abdominal aorta anastomosis, affects many central disturbances (i.e., dopamine and 5-HT system), the NO-system (either L-arginine and L-NAME effects), endothelin, acts as a free radical scavenger (counteracting CCl4-, paracetamol-, diclofenac-injuries) and exhibits neuroprotective properties. BPC 157 successfully heals the intestinal anastomosis, gastrocutaneous, duodenocutaneous and colocutaneous fistulas in rats, as well as interacting with the NO-system. Interestingly, the fistula closure was achieved even when the BPC 157 therapy was postponed for one month. In short-bowel syndrome escalating throughout 4 weeks, the constant weight gain above preoperative values started immediately with peroral and parental BPC 157 therapy and the villus height, crypth depth and muscle thickness (inner (circular) muscular layer) additionally increased. Thus, BPC 157 may improve gastrointestinal tract therapy.","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Vrcic","given":"Hrvoje","non-dropping-particle":"","parse-names":false,"suffix":""},{"dropping-particle":"","family":"Sebecic","given":"Bozidar","non-dropping-particle":"","parse-names":false,"suffix":""}],"container-title":"Current pharmaceutical design","id":"ITEM-7","issue":"16","issued":{"date-parts":[["2011"]]},"page":"1612-32","title":"Stable gastric pentadecapeptide BPC 157: novel therapy in gastrointestinal tract.","type":"article-journal","volume":"17"},"uris":["http://www.mendeley.com/documents/?uuid=899df84f-aa5b-428d-b746-b746c53bb74c"]},{"id":"ITEM-8","itemData":{"ISSN":"1873-4286","PMID":"20166993","abstract":"The significance of cytoprotection and adaptive cytoprotection and the peptides importance remained to be not completely determined. BPC 157 is an anti-ulcer peptidergic agent, proven in clinical trials to be both safe in inflammatory bowel disease (PL-10, PLD-116, PL 14736) and wound healing, and stable in human gastric juice, with no toxicity being reported. It has a prominent effect on alcohol- lesions (i.e., induced acutely and chronically) and non-steroidal anti-inflammatory drugs-lesions (while interestingly BPC 157 may both prevent and reverse adjuvant arthritis). To review the importance of BPC 157, this review focused on Robert's cytoprotection concept described in rat stomach, reviewing our evidence that may resolve whether the cytoprotection and adaptive cytoprotection is an uniform phenomenon or not; whether the phenomenon or phenomena are endogenous or not, depending on nature of the irritants (mild or strong); whether this may contribute to stomach mucosa defense either when threaten by various ulcerogens or afforded by various antiulcer agents; whether these phenomena are uniform in whole gastrointestinal tract or not; whether they are interrelated or not. Finally, the importance of the cytoprotection phenomena and cytoprotection activity for skin wound healing, and wound healing in general was challenged. Thereby, this review focused on BPC 157 role in cytoprotection and adaptative cytoprotection suggesting that it may be the essential endogenous mediator able to mediate both cytoprotective and adaptive cytoprotective response in stomach and the whole gastrointestinal tract with significant importance in wound healing as well.","author":[{"dropping-particle":"","family":"Sikiric","given":"Predrag","non-dropping-particle":"","parse-names":false,"suffix":""},{"dropping-particle":"","family":"Seiwerth","given":"Sven","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container-title":"Current pharmaceutical design","id":"ITEM-8","issue":"10","issued":{"date-parts":[["2010"]]},"page":"1224-34","title":"Revised Robert's cytoprotection and adaptive cytoprotection and stable gastric pentadecapeptide BPC 157. Possible significance and implications for novel mediator.","type":"article-journal","volume":"16"},"uris":["http://www.mendeley.com/documents/?uuid=6164415b-2518-453f-82c4-4562e66e7572"]},{"id":"ITEM-9","itemData":{"DOI":"10.1007/s10787-006-1531-7","ISSN":"0925-4692","PMID":"17186181","abstract":"Gastric pentadecapeptide BPC 157 (GEPPPGKPADDAGLV, M.W. 1419, safe in clinical trials for inflammatory bowel disease (PL 10, PLD 116, PLD 14736, Pliva, Croatia)) has a particular cytoprotective/adaptive cytoprotective activity. The cytoprotective/adaptive cytoprotection researches largely neglect that stomach distension could per se jeopardize the mucosal integrity, with constantly stretched mucosa and blood vessels, and sphincters more prone for reflux induction. After absolute alcohol instillation in fully distended rat stomach, gastric, esophageal and duodenal lesions occur. Throughout next 3 min, left gastric artery blood vessels clearly disappear at the serosal site, indicative for loss of vessels both integrity and function. Contrary, constant vessels presentation could predict the beneficial effect of applied agent. After pentadecapeptide BPC 157 instillation into the stomach the vessels presentation remains constant, and lesions of stomach, esophagus, and duodenum are inhibited. Standards (atropine, ranitidine, omeprazole) could only slightly improve the vessels presentation compared to control values, and they have only a partial effect on the lesions. In this review we emphasize BPC 157 unusual stability, and some of its important effects: effectiveness against various lesions in gastrointestinal tract, on nitric oxide (NO)-system, and NO-agents effects, on somatosensory neurons, salivary glands function, recovery of AMP-ADP-ATP system, endothelium protection, effect on endothelin, and on angiogenesis promotion. It also antagonizes other alcohol effects, including acute and chronic intoxication. Given peripherally, it counteracts the consequence of central dopamine system disturbances (receptor blockade), and induces serotonin release in substantia nigra. Therapeutic potential of BPC 157 as a cytoprotective agent is also seen in its capability to heal various wounds. Given directly into the stomach, BPC 157 instantly recovers disturbed lower esophageal and pyloric sphincter pressure in rats after 12-20 months of untreated esophagitis. All these could be suggestive for its role as a natural protectant in gastric juice with particular function throughout stomach distension.","author":[{"dropping-particle":"","family":"Sikiric","given":"P","non-dropping-particle":"","parse-names":false,"suffix":""},{"dropping-particle":"","family":"Seiwerth","given":"S","non-dropping-particle":"","parse-names":false,"suffix":""},{"dropping-particle":"","family":"Brcic","given":"L","non-dropping-particle":"","parse-names":false,"suffix":""},{"dropping-particle":"","family":"Blagaic","given":"A B","non-dropping-particle":"","parse-names":false,"suffix":""},{"dropping-particle":"","family":"Zoricic","given":"I","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Keller","given":"N","non-dropping-particle":"","parse-names":false,"suffix":""},{"dropping-particle":"","family":"Sipos","given":"K","non-dropping-particle":"","parse-names":false,"suffix":""},{"dropping-particle":"","family":"Jakir","given":"A","non-dropping-particle":"","parse-names":false,"suffix":""},{"dropping-particle":"","family":"Udovicic","given":"M","non-dropping-particle":"","parse-names":false,"suffix":""},{"dropping-particle":"","family":"Tonkic","given":"A","non-dropping-particle":"","parse-names":false,"suffix":""},{"dropping-particle":"","family":"Kokic","given":"N","non-dropping-particle":"","parse-names":false,"suffix":""},{"dropping-particle":"","family":"Turkovic","given":"B","non-dropping-particle":"","parse-names":false,"suffix":""},{"dropping-particle":"","family":"Mise","given":"S","non-dropping-particle":"","parse-names":false,"suffix":""},{"dropping-particle":"","family":"Anic","given":"T","non-dropping-particle":"","parse-names":false,"suffix":""}],"container-title":"Inflammopharmacology","id":"ITEM-9","issue":"5-6","issued":{"date-parts":[["2006","12"]]},"page":"214-21","title":"Stable gastric pentadecapeptide BPC 157 in trials for inflammatory bowel disease (PL-10, PLD-116, PL 14736, Pliva, Croatia). Full and distended stomach, and vascular response.","type":"article-journal","volume":"14"},"uris":["http://www.mendeley.com/documents/?uuid=42aef3b5-c994-4583-beee-f11cd4b7859a"]},{"id":"ITEM-10","itemData":{"DOI":"10.1016/0928-4257(93)90038-U","ISSN":"0928-4257","PMID":"8298609","abstract":"The possibility that the stomach, affected by general stress, might initiate a counter-response has not until recently been considered in theories of stress. We suggest that the stomach, as the most sensitive part of the gastrointestinal tract and the largest neuroendocrine organ in the body, is crucial for the initiation of a full stress response against all noxious stress pathology. The end result would be a strong protection of all organs invaded by 'stress'. Consistent with this assumption, this coping response is best explained in terms of 'organoprotection'. Endogenous organoprotectors (eg prostaglandins, somatostatin, dopamine) are proposed as mediators. Such an endogenous counteraction could even be afforded by their suitable application. A new gastric juice peptide, M(r) 40,000, named BPC, was recently isolated. Herein, a 15 amino acid fragment (BPC 157), thought to be essential for its activity, has been fully characterized and investigated. As has been demonstrated for many organoprotective agents using different models of various tissue lesions, despite the poorly understood final mechanism, practically all organ systems appear to benefit from BPC activity. These effects have been achieved in many species using very low dosages (mostly microgram and ng/kg range) after ip, ig, and intramucosal (local) application. The effect was apparent already after one application. Long lasting activity was also demonstrated. BPC was highly effective when applied simultaneously with noxious agents or in already pathological, as well as chronical, conditions. Therefore, it seems that BPC treatment does not share any of the so far known limitations for 'conventional organoprotectors'. No influence on different basal parameters and no toxicity were observed. These findings provide a breakthrough in stress theory. BPC, as a possible endogenous free radical scavenger and organoprotection mediator, could be a useful prototype of a new class of drugs, organoprotective agents.","author":[{"dropping-particle":"","family":"Sikirić","given":"P.","non-dropping-particle":"","parse-names":false,"suffix":""},{"dropping-particle":"","family":"Petek","given":"M.","non-dropping-particle":"","parse-names":false,"suffix":""},{"dropping-particle":"","family":"Rucman","given":"R","non-dropping-particle":"","parse-names":false,"suffix":""},{"dropping-particle":"","family":"Seiwerth","given":"S.","non-dropping-particle":"","parse-names":false,"suffix":""},{"dropping-particle":"","family":"Grabarević","given":"Z.","non-dropping-particle":"","parse-names":false,"suffix":""},{"dropping-particle":"","family":"Rotkvić","given":"I.","non-dropping-particle":"","parse-names":false,"suffix":""},{"dropping-particle":"","family":"Turković","given":"B.","non-dropping-particle":"","parse-names":false,"suffix":""},{"dropping-particle":"","family":"Jagić","given":"V.","non-dropping-particle":"","parse-names":false,"suffix":""},{"dropping-particle":"","family":"Mildner","given":"B.","non-dropping-particle":"","parse-names":false,"suffix":""},{"dropping-particle":"","family":"Duvnjak","given":"M.","non-dropping-particle":"","parse-names":false,"suffix":""}],"container-title":"Journal of physiology, Paris","id":"ITEM-10","issue":"5","issued":{"date-parts":[["1993"]]},"page":"313-27","title":"A new gastric juice peptide, BPC. An overview of the stomach-stress-organoprotection hypothesis and beneficial effects of BPC.","type":"article-journal","volume":"87"},"uris":["http://www.mendeley.com/documents/?uuid=f738bbb1-8d16-31eb-a5d7-6f273100aa96"]},{"id":"ITEM-11","itemData":{"DOI":"10.3748/wjg.v23.i48.8465","ISSN":"2219-2840","PMID":"29358856","abstract":"AIM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gastroenterology","id":"ITEM-11","issue":"48","issued":{"date-parts":[["2017","12","28"]]},"page":"8465-8488","title":"Stable gastric pentadecapeptide BPC 157 in the treatment of colitis and ischemia and reperfusion in rats: New insights.","type":"article-journal","volume":"23"},"uris":["http://www.mendeley.com/documents/?uuid=2c34d292-0140-3a84-912b-63eda51db635"]},{"id":"ITEM-12","itemData":{"DOI":"10.1016/j.vph.2018.02.010","ISSN":"18793649","abstract":"©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Pharmacology","id":"ITEM-12","issued":{"date-parts":[["2018"]]},"page":"54-66","title":"Rat inferior caval vein (ICV) ligature and particular new insights with the stable gastric pentadecapeptide BPC 157","type":"article-journal","volume":"106"},"uris":["http://www.mendeley.com/documents/?uuid=0d4e894c-6fc1-3bed-bb8f-4b56e696ff06"]}],"mendeley":{"formattedCitation":"&lt;sup&gt;[10,11,20,21,12–19]&lt;/sup&gt;","plainTextFormattedCitation":"[10,11,20,21,12–19]","previouslyFormattedCitation":"&lt;sup&gt;[10,11,20,21,12–19]&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[10</w:t>
      </w:r>
      <w:r w:rsidR="004416D7">
        <w:rPr>
          <w:rFonts w:ascii="Book Antiqua" w:hAnsi="Book Antiqua" w:cs="Times New Roman" w:hint="eastAsia"/>
          <w:noProof/>
          <w:sz w:val="24"/>
          <w:szCs w:val="24"/>
          <w:vertAlign w:val="superscript"/>
          <w:lang w:val="en-US" w:eastAsia="zh-CN"/>
        </w:rPr>
        <w:t>-</w:t>
      </w:r>
      <w:r w:rsidR="004416D7">
        <w:rPr>
          <w:rFonts w:ascii="Book Antiqua" w:hAnsi="Book Antiqua" w:cs="Times New Roman"/>
          <w:noProof/>
          <w:sz w:val="24"/>
          <w:szCs w:val="24"/>
          <w:vertAlign w:val="superscript"/>
          <w:lang w:val="en-US"/>
        </w:rPr>
        <w:t>21</w:t>
      </w:r>
      <w:r w:rsidR="00AB3269" w:rsidRPr="00E47A42">
        <w:rPr>
          <w:rFonts w:ascii="Book Antiqua" w:hAnsi="Book Antiqua" w:cs="Times New Roman"/>
          <w:noProof/>
          <w:sz w:val="24"/>
          <w:szCs w:val="24"/>
          <w:vertAlign w:val="superscript"/>
          <w:lang w:val="en-US"/>
        </w:rPr>
        <w:t>]</w:t>
      </w:r>
      <w:r w:rsidR="00A13458"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w:t>
      </w:r>
    </w:p>
    <w:p w14:paraId="1B4EEEBC" w14:textId="77777777" w:rsidR="009B03BD" w:rsidRPr="00E47A42" w:rsidRDefault="009B03BD" w:rsidP="00F73ADC">
      <w:pPr>
        <w:snapToGrid w:val="0"/>
        <w:spacing w:after="0" w:line="360" w:lineRule="auto"/>
        <w:jc w:val="both"/>
        <w:rPr>
          <w:rFonts w:ascii="Book Antiqua" w:hAnsi="Book Antiqua" w:cs="Times New Roman"/>
          <w:sz w:val="24"/>
          <w:szCs w:val="24"/>
          <w:lang w:val="en-US"/>
        </w:rPr>
      </w:pPr>
    </w:p>
    <w:p w14:paraId="3E2957F2" w14:textId="77777777" w:rsidR="006E2F19" w:rsidRPr="005C4663" w:rsidRDefault="006E2F19" w:rsidP="00F73ADC">
      <w:pPr>
        <w:snapToGrid w:val="0"/>
        <w:spacing w:after="0" w:line="360" w:lineRule="auto"/>
        <w:jc w:val="both"/>
        <w:rPr>
          <w:rFonts w:ascii="Book Antiqua" w:hAnsi="Book Antiqua" w:cs="Times New Roman"/>
          <w:b/>
          <w:i/>
          <w:sz w:val="24"/>
          <w:szCs w:val="24"/>
          <w:lang w:val="en-US"/>
        </w:rPr>
      </w:pPr>
      <w:r w:rsidRPr="005C4663">
        <w:rPr>
          <w:rFonts w:ascii="Book Antiqua" w:hAnsi="Book Antiqua" w:cs="Times New Roman"/>
          <w:b/>
          <w:i/>
          <w:sz w:val="24"/>
          <w:szCs w:val="24"/>
          <w:lang w:val="en-US"/>
        </w:rPr>
        <w:t>Oxidative stress in cecum tissue</w:t>
      </w:r>
    </w:p>
    <w:p w14:paraId="531FBADA" w14:textId="09C1F414" w:rsidR="006E2F19" w:rsidRPr="00E47A42" w:rsidRDefault="006E2F19" w:rsidP="005C4663">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sz w:val="24"/>
          <w:szCs w:val="24"/>
          <w:lang w:val="en-US"/>
        </w:rPr>
        <w:lastRenderedPageBreak/>
        <w:t>At 15 min</w:t>
      </w:r>
      <w:r w:rsidR="005C4663">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post</w:t>
      </w:r>
      <w:r w:rsidR="008E6437"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injury, oxidative stress in </w:t>
      </w:r>
      <w:r w:rsidR="008B306C"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tissue samples (1 cm</w:t>
      </w:r>
      <w:r w:rsidRPr="00E47A42">
        <w:rPr>
          <w:rFonts w:ascii="Book Antiqua" w:hAnsi="Book Antiqua" w:cs="Times New Roman"/>
          <w:sz w:val="24"/>
          <w:szCs w:val="24"/>
          <w:vertAlign w:val="superscript"/>
          <w:lang w:val="en-US"/>
        </w:rPr>
        <w:t>2</w:t>
      </w:r>
      <w:r w:rsidRPr="00E47A42">
        <w:rPr>
          <w:rFonts w:ascii="Book Antiqua" w:hAnsi="Book Antiqua" w:cs="Times New Roman"/>
          <w:sz w:val="24"/>
          <w:szCs w:val="24"/>
          <w:lang w:val="en-US"/>
        </w:rPr>
        <w:t xml:space="preserve"> around</w:t>
      </w:r>
      <w:r w:rsidR="00B96467" w:rsidRPr="00E47A42">
        <w:rPr>
          <w:rFonts w:ascii="Book Antiqua" w:hAnsi="Book Antiqua" w:cs="Times New Roman"/>
          <w:sz w:val="24"/>
          <w:szCs w:val="24"/>
          <w:lang w:val="en-US"/>
        </w:rPr>
        <w:t xml:space="preserve"> the</w:t>
      </w:r>
      <w:r w:rsidRPr="00E47A42">
        <w:rPr>
          <w:rFonts w:ascii="Book Antiqua" w:hAnsi="Book Antiqua" w:cs="Times New Roman"/>
          <w:sz w:val="24"/>
          <w:szCs w:val="24"/>
          <w:lang w:val="en-US"/>
        </w:rPr>
        <w:t xml:space="preserve"> defect) was assessed by quantifying </w:t>
      </w:r>
      <w:proofErr w:type="spellStart"/>
      <w:r w:rsidRPr="00E47A42">
        <w:rPr>
          <w:rFonts w:ascii="Book Antiqua" w:hAnsi="Book Antiqua" w:cs="Times New Roman"/>
          <w:sz w:val="24"/>
          <w:szCs w:val="24"/>
          <w:lang w:val="en-US"/>
        </w:rPr>
        <w:t>thiobarbituric</w:t>
      </w:r>
      <w:proofErr w:type="spellEnd"/>
      <w:r w:rsidRPr="00E47A42">
        <w:rPr>
          <w:rFonts w:ascii="Book Antiqua" w:hAnsi="Book Antiqua" w:cs="Times New Roman"/>
          <w:sz w:val="24"/>
          <w:szCs w:val="24"/>
          <w:lang w:val="en-US"/>
        </w:rPr>
        <w:t xml:space="preserve"> acid (TBA) reactivity as malondialdehyde</w:t>
      </w:r>
      <w:r w:rsidR="008B306C" w:rsidRPr="00E47A42">
        <w:rPr>
          <w:rFonts w:ascii="Book Antiqua" w:hAnsi="Book Antiqua" w:cs="Times New Roman"/>
          <w:sz w:val="24"/>
          <w:szCs w:val="24"/>
          <w:lang w:val="en-US"/>
        </w:rPr>
        <w:t xml:space="preserve"> (MDA)</w:t>
      </w:r>
      <w:r w:rsidRPr="00E47A42">
        <w:rPr>
          <w:rFonts w:ascii="Book Antiqua" w:hAnsi="Book Antiqua" w:cs="Times New Roman"/>
          <w:sz w:val="24"/>
          <w:szCs w:val="24"/>
          <w:lang w:val="en-US"/>
        </w:rPr>
        <w:t xml:space="preserve"> equivalents. Trichloroacetic acid (TCA) was added to homogenize</w:t>
      </w:r>
      <w:r w:rsidR="008B306C" w:rsidRPr="00E47A42">
        <w:rPr>
          <w:rFonts w:ascii="Book Antiqua" w:hAnsi="Book Antiqua" w:cs="Times New Roman"/>
          <w:sz w:val="24"/>
          <w:szCs w:val="24"/>
          <w:lang w:val="en-US"/>
        </w:rPr>
        <w:t xml:space="preserve"> the</w:t>
      </w:r>
      <w:r w:rsidRPr="00E47A42">
        <w:rPr>
          <w:rFonts w:ascii="Book Antiqua" w:hAnsi="Book Antiqua" w:cs="Times New Roman"/>
          <w:sz w:val="24"/>
          <w:szCs w:val="24"/>
          <w:lang w:val="en-US"/>
        </w:rPr>
        <w:t xml:space="preserve"> tissue samples</w:t>
      </w:r>
      <w:r w:rsidR="008B306C" w:rsidRPr="00E47A42">
        <w:rPr>
          <w:rFonts w:ascii="Book Antiqua" w:hAnsi="Book Antiqua" w:cs="Times New Roman"/>
          <w:sz w:val="24"/>
          <w:szCs w:val="24"/>
          <w:lang w:val="en-US"/>
        </w:rPr>
        <w:t>, which were then</w:t>
      </w:r>
      <w:r w:rsidR="005C4663">
        <w:rPr>
          <w:rFonts w:ascii="Book Antiqua" w:hAnsi="Book Antiqua" w:cs="Times New Roman"/>
          <w:sz w:val="24"/>
          <w:szCs w:val="24"/>
          <w:lang w:val="en-US"/>
        </w:rPr>
        <w:t xml:space="preserve"> centrifuged (3</w:t>
      </w:r>
      <w:r w:rsidRPr="00E47A42">
        <w:rPr>
          <w:rFonts w:ascii="Book Antiqua" w:hAnsi="Book Antiqua" w:cs="Times New Roman"/>
          <w:sz w:val="24"/>
          <w:szCs w:val="24"/>
          <w:lang w:val="en-US"/>
        </w:rPr>
        <w:t xml:space="preserve">000 rpm, 5 min), and the supernatant was collected. Thereafter, 1% TBA was added, and </w:t>
      </w:r>
      <w:r w:rsidR="008B306C"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samples were boiled (95</w:t>
      </w:r>
      <w:r w:rsidR="005C4663">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°C, 60 min). The tubes were kept on ice for 10 min, and the absorbance was determined at the wavelengths of 532 and 570 nm. The concentration of MDA was read from a standard calibration curve plotted using 1,1,3,3’-tetra-ethoxy propane (TEP). The extent of lipid peroxidation was expressed as MDA using a molar extinction coefficient for MDA of 1.56 × 10</w:t>
      </w:r>
      <w:r w:rsidRPr="00E47A42">
        <w:rPr>
          <w:rFonts w:ascii="Book Antiqua" w:hAnsi="Book Antiqua" w:cs="Times New Roman"/>
          <w:sz w:val="24"/>
          <w:szCs w:val="24"/>
          <w:vertAlign w:val="superscript"/>
          <w:lang w:val="en-US"/>
        </w:rPr>
        <w:t>5</w:t>
      </w:r>
      <w:r w:rsidRPr="00E47A42">
        <w:rPr>
          <w:rFonts w:ascii="Times New Roman" w:hAnsi="Times New Roman" w:cs="Times New Roman"/>
          <w:sz w:val="24"/>
          <w:szCs w:val="24"/>
          <w:lang w:val="en-US"/>
        </w:rPr>
        <w:t> </w:t>
      </w:r>
      <w:r w:rsidRPr="00E47A42">
        <w:rPr>
          <w:rFonts w:ascii="Book Antiqua" w:hAnsi="Book Antiqua" w:cs="Times New Roman"/>
          <w:sz w:val="24"/>
          <w:szCs w:val="24"/>
          <w:lang w:val="en-US"/>
        </w:rPr>
        <w:t>mol/L/cm. The results are expressed in nmol/mg of protein</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w:t>
      </w:r>
    </w:p>
    <w:p w14:paraId="0350122B" w14:textId="77777777" w:rsidR="009B03BD" w:rsidRPr="00E47A42" w:rsidRDefault="009B03BD" w:rsidP="00F73ADC">
      <w:pPr>
        <w:snapToGrid w:val="0"/>
        <w:spacing w:after="0" w:line="360" w:lineRule="auto"/>
        <w:jc w:val="both"/>
        <w:rPr>
          <w:rFonts w:ascii="Book Antiqua" w:hAnsi="Book Antiqua" w:cs="Times New Roman"/>
          <w:sz w:val="24"/>
          <w:szCs w:val="24"/>
          <w:lang w:val="en-US"/>
        </w:rPr>
      </w:pPr>
    </w:p>
    <w:p w14:paraId="31D5AE59" w14:textId="77777777" w:rsidR="006E2F19" w:rsidRPr="00E9767F" w:rsidRDefault="006E2F19" w:rsidP="00F73ADC">
      <w:pPr>
        <w:snapToGrid w:val="0"/>
        <w:spacing w:after="0" w:line="360" w:lineRule="auto"/>
        <w:jc w:val="both"/>
        <w:rPr>
          <w:rFonts w:ascii="Book Antiqua" w:hAnsi="Book Antiqua" w:cs="Times New Roman"/>
          <w:b/>
          <w:i/>
          <w:sz w:val="24"/>
          <w:szCs w:val="24"/>
          <w:lang w:val="en-US"/>
        </w:rPr>
      </w:pPr>
      <w:r w:rsidRPr="00E9767F">
        <w:rPr>
          <w:rFonts w:ascii="Book Antiqua" w:hAnsi="Book Antiqua" w:cs="Times New Roman"/>
          <w:b/>
          <w:i/>
          <w:sz w:val="24"/>
          <w:szCs w:val="24"/>
          <w:lang w:val="en-US"/>
        </w:rPr>
        <w:t>Nitric oxide determination in cecum tissue</w:t>
      </w:r>
    </w:p>
    <w:p w14:paraId="6D8E650C" w14:textId="2A3CA08A" w:rsidR="006E2F19" w:rsidRPr="00E47A42" w:rsidRDefault="006E2F19" w:rsidP="00E9767F">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sz w:val="24"/>
          <w:szCs w:val="24"/>
          <w:lang w:val="en-US"/>
        </w:rPr>
        <w:t>At 15 min</w:t>
      </w:r>
      <w:r w:rsidR="00E9767F">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 xml:space="preserve">post-injury, we determined </w:t>
      </w:r>
      <w:r w:rsidR="008B306C"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 xml:space="preserve">nitric oxide (NO) levels in cecum tissue samples using the Griess reaction (Griess Reagent System, Promega, USA). Sulfanilamide was </w:t>
      </w:r>
      <w:r w:rsidR="008B306C" w:rsidRPr="00E47A42">
        <w:rPr>
          <w:rFonts w:ascii="Book Antiqua" w:hAnsi="Book Antiqua" w:cs="Times New Roman"/>
          <w:sz w:val="24"/>
          <w:szCs w:val="24"/>
          <w:lang w:val="en-US"/>
        </w:rPr>
        <w:t>then incubated with</w:t>
      </w:r>
      <w:r w:rsidRPr="00E47A42">
        <w:rPr>
          <w:rFonts w:ascii="Book Antiqua" w:hAnsi="Book Antiqua" w:cs="Times New Roman"/>
          <w:sz w:val="24"/>
          <w:szCs w:val="24"/>
          <w:lang w:val="en-US"/>
        </w:rPr>
        <w:t xml:space="preserve"> the homogenized tissue</w:t>
      </w:r>
      <w:r w:rsidR="008B306C"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and then</w:t>
      </w:r>
      <w:r w:rsidR="008E6437"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N-1-</w:t>
      </w:r>
      <w:r w:rsidRPr="00E47A42">
        <w:rPr>
          <w:rFonts w:ascii="Book Antiqua" w:hAnsi="Book Antiqua" w:cs="Times New Roman"/>
          <w:noProof/>
          <w:sz w:val="24"/>
          <w:szCs w:val="24"/>
          <w:lang w:val="en-US"/>
        </w:rPr>
        <w:t>naphthylethylenediamine</w:t>
      </w:r>
      <w:r w:rsidRPr="00E47A42">
        <w:rPr>
          <w:rFonts w:ascii="Book Antiqua" w:hAnsi="Book Antiqua" w:cs="Times New Roman"/>
          <w:sz w:val="24"/>
          <w:szCs w:val="24"/>
          <w:lang w:val="en-US"/>
        </w:rPr>
        <w:t xml:space="preserve"> dihydrochloride was added. The Griess reaction is based on a diazotization reaction in which acidified nitrite reacts with diazonium ions and</w:t>
      </w:r>
      <w:r w:rsidR="008B306C"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in a further step</w:t>
      </w:r>
      <w:r w:rsidR="008B306C"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are coupled to N-1-</w:t>
      </w:r>
      <w:r w:rsidRPr="00E47A42">
        <w:rPr>
          <w:rFonts w:ascii="Book Antiqua" w:hAnsi="Book Antiqua" w:cs="Times New Roman"/>
          <w:noProof/>
          <w:sz w:val="24"/>
          <w:szCs w:val="24"/>
          <w:lang w:val="en-US"/>
        </w:rPr>
        <w:t>naphthylethylenediamine</w:t>
      </w:r>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dihydrochloride</w:t>
      </w:r>
      <w:proofErr w:type="spellEnd"/>
      <w:r w:rsidR="008E6437"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forming</w:t>
      </w:r>
      <w:r w:rsidR="008B306C" w:rsidRPr="00E47A42">
        <w:rPr>
          <w:rFonts w:ascii="Book Antiqua" w:hAnsi="Book Antiqua" w:cs="Times New Roman"/>
          <w:sz w:val="24"/>
          <w:szCs w:val="24"/>
          <w:lang w:val="en-US"/>
        </w:rPr>
        <w:t xml:space="preserve"> a</w:t>
      </w:r>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chromophoric</w:t>
      </w:r>
      <w:proofErr w:type="spellEnd"/>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azo</w:t>
      </w:r>
      <w:proofErr w:type="spellEnd"/>
      <w:r w:rsidRPr="00E47A42">
        <w:rPr>
          <w:rFonts w:ascii="Book Antiqua" w:hAnsi="Book Antiqua" w:cs="Times New Roman"/>
          <w:sz w:val="24"/>
          <w:szCs w:val="24"/>
          <w:lang w:val="en-US"/>
        </w:rPr>
        <w:t xml:space="preserve"> derivate. </w:t>
      </w:r>
      <w:r w:rsidR="008B306C" w:rsidRPr="00E47A42">
        <w:rPr>
          <w:rFonts w:ascii="Book Antiqua" w:hAnsi="Book Antiqua" w:cs="Times New Roman"/>
          <w:sz w:val="24"/>
          <w:szCs w:val="24"/>
          <w:lang w:val="en-US"/>
        </w:rPr>
        <w:t>The a</w:t>
      </w:r>
      <w:r w:rsidRPr="00E47A42">
        <w:rPr>
          <w:rFonts w:ascii="Book Antiqua" w:hAnsi="Book Antiqua" w:cs="Times New Roman"/>
          <w:sz w:val="24"/>
          <w:szCs w:val="24"/>
          <w:lang w:val="en-US"/>
        </w:rPr>
        <w:t xml:space="preserve">bsorbance was measured at 540 nm using sodium nitrite solution as the standard. NO levels are reported in µmol/mg protein. </w:t>
      </w:r>
      <w:r w:rsidR="008B306C" w:rsidRPr="00E47A42">
        <w:rPr>
          <w:rFonts w:ascii="Book Antiqua" w:hAnsi="Book Antiqua" w:cs="Times New Roman"/>
          <w:sz w:val="24"/>
          <w:szCs w:val="24"/>
          <w:lang w:val="en-US"/>
        </w:rPr>
        <w:t>The p</w:t>
      </w:r>
      <w:r w:rsidRPr="00E47A42">
        <w:rPr>
          <w:rFonts w:ascii="Book Antiqua" w:hAnsi="Book Antiqua" w:cs="Times New Roman"/>
          <w:sz w:val="24"/>
          <w:szCs w:val="24"/>
          <w:lang w:val="en-US"/>
        </w:rPr>
        <w:t>rotein concentrations were determined using a commercial kit (</w:t>
      </w:r>
      <w:proofErr w:type="spellStart"/>
      <w:r w:rsidRPr="00E47A42">
        <w:rPr>
          <w:rFonts w:ascii="Book Antiqua" w:hAnsi="Book Antiqua" w:cs="Times New Roman"/>
          <w:sz w:val="24"/>
          <w:szCs w:val="24"/>
          <w:lang w:val="en-US"/>
        </w:rPr>
        <w:t>BioRad</w:t>
      </w:r>
      <w:proofErr w:type="spellEnd"/>
      <w:r w:rsidRPr="00E47A42">
        <w:rPr>
          <w:rFonts w:ascii="Book Antiqua" w:hAnsi="Book Antiqua" w:cs="Times New Roman"/>
          <w:sz w:val="24"/>
          <w:szCs w:val="24"/>
          <w:lang w:val="en-US"/>
        </w:rPr>
        <w:t xml:space="preserve"> Protein DR Assay Reagent Kit, U</w:t>
      </w:r>
      <w:r w:rsidR="0053735E">
        <w:rPr>
          <w:rFonts w:ascii="Book Antiqua" w:hAnsi="Book Antiqua" w:cs="Times New Roman" w:hint="eastAsia"/>
          <w:sz w:val="24"/>
          <w:szCs w:val="24"/>
          <w:lang w:val="en-US" w:eastAsia="zh-CN"/>
        </w:rPr>
        <w:t>nited States</w:t>
      </w:r>
      <w:r w:rsidRPr="00E47A42">
        <w:rPr>
          <w:rFonts w:ascii="Book Antiqua" w:hAnsi="Book Antiqua" w:cs="Times New Roman"/>
          <w:sz w:val="24"/>
          <w:szCs w:val="24"/>
          <w:lang w:val="en-US"/>
        </w:rPr>
        <w:t>)</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w:t>
      </w:r>
    </w:p>
    <w:p w14:paraId="2765DE01" w14:textId="77777777" w:rsidR="0022476E" w:rsidRPr="00E47A42" w:rsidRDefault="0022476E" w:rsidP="00F73ADC">
      <w:pPr>
        <w:snapToGrid w:val="0"/>
        <w:spacing w:after="0" w:line="360" w:lineRule="auto"/>
        <w:ind w:firstLine="720"/>
        <w:jc w:val="both"/>
        <w:rPr>
          <w:rFonts w:ascii="Book Antiqua" w:hAnsi="Book Antiqua" w:cs="Times New Roman"/>
          <w:sz w:val="24"/>
          <w:szCs w:val="24"/>
          <w:lang w:val="en-US"/>
        </w:rPr>
      </w:pPr>
    </w:p>
    <w:p w14:paraId="0AC7709A" w14:textId="77777777" w:rsidR="006E2F19" w:rsidRPr="00006E2F" w:rsidRDefault="006E2F19" w:rsidP="00F73ADC">
      <w:pPr>
        <w:snapToGrid w:val="0"/>
        <w:spacing w:after="0" w:line="360" w:lineRule="auto"/>
        <w:jc w:val="both"/>
        <w:rPr>
          <w:rFonts w:ascii="Book Antiqua" w:hAnsi="Book Antiqua" w:cs="Times New Roman"/>
          <w:b/>
          <w:i/>
          <w:sz w:val="24"/>
          <w:szCs w:val="24"/>
          <w:lang w:val="en-US"/>
        </w:rPr>
      </w:pPr>
      <w:r w:rsidRPr="00006E2F">
        <w:rPr>
          <w:rFonts w:ascii="Book Antiqua" w:hAnsi="Book Antiqua" w:cs="Times New Roman"/>
          <w:b/>
          <w:i/>
          <w:sz w:val="24"/>
          <w:szCs w:val="24"/>
          <w:lang w:val="en-US"/>
        </w:rPr>
        <w:t xml:space="preserve">Statistical analyses </w:t>
      </w:r>
    </w:p>
    <w:p w14:paraId="20378583" w14:textId="6175DB51" w:rsidR="006E2F19" w:rsidRPr="00E47A42" w:rsidRDefault="006E2F19" w:rsidP="00006E2F">
      <w:pPr>
        <w:snapToGrid w:val="0"/>
        <w:spacing w:after="0" w:line="360" w:lineRule="auto"/>
        <w:jc w:val="both"/>
        <w:rPr>
          <w:rFonts w:ascii="Book Antiqua" w:hAnsi="Book Antiqua" w:cs="Times New Roman"/>
          <w:sz w:val="24"/>
          <w:szCs w:val="24"/>
          <w:lang w:val="en-US" w:eastAsia="zh-CN"/>
        </w:rPr>
      </w:pPr>
      <w:r w:rsidRPr="00E47A42">
        <w:rPr>
          <w:rFonts w:ascii="Book Antiqua" w:hAnsi="Book Antiqua" w:cs="Times New Roman"/>
          <w:sz w:val="24"/>
          <w:szCs w:val="24"/>
          <w:lang w:val="en-US"/>
        </w:rPr>
        <w:t xml:space="preserve">Statistical analysis was performed by parametric one-way ANOVA with </w:t>
      </w:r>
      <w:r w:rsidR="008B306C" w:rsidRPr="00E47A42">
        <w:rPr>
          <w:rFonts w:ascii="Book Antiqua" w:hAnsi="Book Antiqua" w:cs="Times New Roman"/>
          <w:sz w:val="24"/>
          <w:szCs w:val="24"/>
          <w:lang w:val="en-US"/>
        </w:rPr>
        <w:t xml:space="preserve">the </w:t>
      </w:r>
      <w:r w:rsidRPr="00E47A42">
        <w:rPr>
          <w:rFonts w:ascii="Book Antiqua" w:hAnsi="Book Antiqua" w:cs="Times New Roman"/>
          <w:noProof/>
          <w:sz w:val="24"/>
          <w:szCs w:val="24"/>
          <w:lang w:val="en-US"/>
        </w:rPr>
        <w:t>post</w:t>
      </w:r>
      <w:r w:rsidR="008B306C" w:rsidRPr="00E47A42">
        <w:rPr>
          <w:rFonts w:ascii="Book Antiqua" w:hAnsi="Book Antiqua" w:cs="Times New Roman"/>
          <w:noProof/>
          <w:sz w:val="24"/>
          <w:szCs w:val="24"/>
          <w:lang w:val="en-US"/>
        </w:rPr>
        <w:t>-</w:t>
      </w:r>
      <w:r w:rsidRPr="00E47A42">
        <w:rPr>
          <w:rFonts w:ascii="Book Antiqua" w:hAnsi="Book Antiqua" w:cs="Times New Roman"/>
          <w:noProof/>
          <w:sz w:val="24"/>
          <w:szCs w:val="24"/>
          <w:lang w:val="en-US"/>
        </w:rPr>
        <w:t>hoc</w:t>
      </w:r>
      <w:r w:rsidRPr="00E47A42">
        <w:rPr>
          <w:rFonts w:ascii="Book Antiqua" w:hAnsi="Book Antiqua" w:cs="Times New Roman"/>
          <w:sz w:val="24"/>
          <w:szCs w:val="24"/>
          <w:lang w:val="en-US"/>
        </w:rPr>
        <w:t xml:space="preserve"> Newman-</w:t>
      </w:r>
      <w:proofErr w:type="spellStart"/>
      <w:r w:rsidRPr="00E47A42">
        <w:rPr>
          <w:rFonts w:ascii="Book Antiqua" w:hAnsi="Book Antiqua" w:cs="Times New Roman"/>
          <w:sz w:val="24"/>
          <w:szCs w:val="24"/>
          <w:lang w:val="en-US"/>
        </w:rPr>
        <w:t>Keuls</w:t>
      </w:r>
      <w:proofErr w:type="spellEnd"/>
      <w:r w:rsidRPr="00E47A42">
        <w:rPr>
          <w:rFonts w:ascii="Book Antiqua" w:hAnsi="Book Antiqua" w:cs="Times New Roman"/>
          <w:sz w:val="24"/>
          <w:szCs w:val="24"/>
          <w:lang w:val="en-US"/>
        </w:rPr>
        <w:t xml:space="preserve"> test and non-parametric Kruskal-Wallis and subsequent Mann-Whitney </w:t>
      </w:r>
      <w:r w:rsidRPr="00340C53">
        <w:rPr>
          <w:rFonts w:ascii="Book Antiqua" w:hAnsi="Book Antiqua" w:cs="Times New Roman"/>
          <w:i/>
          <w:sz w:val="24"/>
          <w:szCs w:val="24"/>
          <w:lang w:val="en-US"/>
        </w:rPr>
        <w:t>U</w:t>
      </w:r>
      <w:r w:rsidRPr="00E47A42">
        <w:rPr>
          <w:rFonts w:ascii="Book Antiqua" w:hAnsi="Book Antiqua" w:cs="Times New Roman"/>
          <w:sz w:val="24"/>
          <w:szCs w:val="24"/>
          <w:lang w:val="en-US"/>
        </w:rPr>
        <w:t xml:space="preserve">-tests to compare </w:t>
      </w:r>
      <w:r w:rsidR="008B306C"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 xml:space="preserve">groups. </w:t>
      </w:r>
      <w:r w:rsidR="008B306C" w:rsidRPr="00E47A42">
        <w:rPr>
          <w:rFonts w:ascii="Book Antiqua" w:hAnsi="Book Antiqua" w:cs="Times New Roman"/>
          <w:sz w:val="24"/>
          <w:szCs w:val="24"/>
          <w:lang w:val="en-US"/>
        </w:rPr>
        <w:t>The v</w:t>
      </w:r>
      <w:r w:rsidRPr="00E47A42">
        <w:rPr>
          <w:rFonts w:ascii="Book Antiqua" w:hAnsi="Book Antiqua" w:cs="Times New Roman"/>
          <w:sz w:val="24"/>
          <w:szCs w:val="24"/>
          <w:lang w:val="en-US"/>
        </w:rPr>
        <w:t>alues are represented as mean</w:t>
      </w:r>
      <w:r w:rsidR="008B306C" w:rsidRPr="00E47A42">
        <w:rPr>
          <w:rFonts w:ascii="Book Antiqua" w:hAnsi="Book Antiqua" w:cs="Times New Roman"/>
          <w:sz w:val="24"/>
          <w:szCs w:val="24"/>
          <w:lang w:val="en-US"/>
        </w:rPr>
        <w:t>s</w:t>
      </w:r>
      <w:r w:rsidR="00BC3C35">
        <w:rPr>
          <w:rFonts w:ascii="Book Antiqua" w:hAnsi="Book Antiqua" w:cs="Times New Roman"/>
          <w:sz w:val="24"/>
          <w:szCs w:val="24"/>
          <w:lang w:val="en-US"/>
        </w:rPr>
        <w:t xml:space="preserve"> ± </w:t>
      </w:r>
      <w:r w:rsidRPr="00E47A42">
        <w:rPr>
          <w:rFonts w:ascii="Book Antiqua" w:hAnsi="Book Antiqua" w:cs="Times New Roman"/>
          <w:sz w:val="24"/>
          <w:szCs w:val="24"/>
          <w:lang w:val="en-US"/>
        </w:rPr>
        <w:t>SD and minimum/median/maximum. The results</w:t>
      </w:r>
      <w:r w:rsidR="008B306C" w:rsidRPr="00E47A42">
        <w:rPr>
          <w:rFonts w:ascii="Book Antiqua" w:hAnsi="Book Antiqua" w:cs="Times New Roman"/>
          <w:sz w:val="24"/>
          <w:szCs w:val="24"/>
          <w:lang w:val="en-US"/>
        </w:rPr>
        <w:t xml:space="preserve"> </w:t>
      </w:r>
      <w:r w:rsidR="008E6437" w:rsidRPr="00E47A42">
        <w:rPr>
          <w:rFonts w:ascii="Book Antiqua" w:hAnsi="Book Antiqua" w:cs="Times New Roman"/>
          <w:sz w:val="24"/>
          <w:szCs w:val="24"/>
          <w:lang w:val="en-US"/>
        </w:rPr>
        <w:t>with</w:t>
      </w:r>
      <w:r w:rsidRPr="00E47A42">
        <w:rPr>
          <w:rFonts w:ascii="Book Antiqua" w:hAnsi="Book Antiqua" w:cs="Times New Roman"/>
          <w:sz w:val="24"/>
          <w:szCs w:val="24"/>
          <w:lang w:val="en-US"/>
        </w:rPr>
        <w:t xml:space="preserve"> </w:t>
      </w:r>
      <w:r w:rsidRPr="00006E2F">
        <w:rPr>
          <w:rFonts w:ascii="Book Antiqua" w:hAnsi="Book Antiqua" w:cs="Times New Roman"/>
          <w:i/>
          <w:sz w:val="24"/>
          <w:szCs w:val="24"/>
          <w:lang w:val="en-US"/>
        </w:rPr>
        <w:t>P</w:t>
      </w:r>
      <w:r w:rsidR="00006E2F" w:rsidRPr="00006E2F">
        <w:rPr>
          <w:rFonts w:ascii="Book Antiqua" w:hAnsi="Book Antiqua" w:cs="Times New Roman" w:hint="eastAsia"/>
          <w:i/>
          <w:sz w:val="24"/>
          <w:szCs w:val="24"/>
          <w:lang w:val="en-US" w:eastAsia="zh-CN"/>
        </w:rPr>
        <w:t xml:space="preserve"> </w:t>
      </w:r>
      <w:r w:rsidRPr="00E47A42">
        <w:rPr>
          <w:rFonts w:ascii="Book Antiqua" w:hAnsi="Book Antiqua" w:cs="Times New Roman"/>
          <w:sz w:val="24"/>
          <w:szCs w:val="24"/>
          <w:lang w:val="en-US"/>
        </w:rPr>
        <w:t>&lt;</w:t>
      </w:r>
      <w:r w:rsidR="00006E2F">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0.05 were considered significant.</w:t>
      </w:r>
      <w:r w:rsidR="00006E2F">
        <w:rPr>
          <w:rFonts w:ascii="Book Antiqua" w:hAnsi="Book Antiqua" w:cs="Times New Roman" w:hint="eastAsia"/>
          <w:sz w:val="24"/>
          <w:szCs w:val="24"/>
          <w:lang w:val="en-US" w:eastAsia="zh-CN"/>
        </w:rPr>
        <w:t xml:space="preserve"> </w:t>
      </w:r>
    </w:p>
    <w:p w14:paraId="0D09A399" w14:textId="77777777" w:rsidR="006E2F19" w:rsidRPr="00E47A42" w:rsidRDefault="006E2F19" w:rsidP="00F73ADC">
      <w:pPr>
        <w:snapToGrid w:val="0"/>
        <w:spacing w:after="0" w:line="360" w:lineRule="auto"/>
        <w:ind w:firstLine="720"/>
        <w:jc w:val="both"/>
        <w:rPr>
          <w:rFonts w:ascii="Book Antiqua" w:hAnsi="Book Antiqua" w:cs="Times New Roman"/>
          <w:sz w:val="24"/>
          <w:szCs w:val="24"/>
          <w:lang w:val="en-US"/>
        </w:rPr>
      </w:pPr>
    </w:p>
    <w:p w14:paraId="45D5D01E" w14:textId="78A04149" w:rsidR="009B03BD" w:rsidRPr="00E47A42" w:rsidRDefault="0022476E" w:rsidP="00F73ADC">
      <w:pPr>
        <w:snapToGrid w:val="0"/>
        <w:spacing w:after="0" w:line="360" w:lineRule="auto"/>
        <w:jc w:val="both"/>
        <w:rPr>
          <w:rFonts w:ascii="Book Antiqua" w:hAnsi="Book Antiqua" w:cs="Times New Roman"/>
          <w:b/>
          <w:sz w:val="24"/>
          <w:szCs w:val="24"/>
          <w:lang w:val="en-US"/>
        </w:rPr>
      </w:pPr>
      <w:r w:rsidRPr="00E47A42">
        <w:rPr>
          <w:rFonts w:ascii="Book Antiqua" w:hAnsi="Book Antiqua" w:cs="Times New Roman"/>
          <w:b/>
          <w:sz w:val="24"/>
          <w:szCs w:val="24"/>
          <w:lang w:val="en-US"/>
        </w:rPr>
        <w:lastRenderedPageBreak/>
        <w:t>RESULTS</w:t>
      </w:r>
    </w:p>
    <w:p w14:paraId="369DD6D5" w14:textId="58D2DBE6" w:rsidR="009B03BD" w:rsidRPr="00E47A42" w:rsidRDefault="009B03BD" w:rsidP="004A46B7">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sz w:val="24"/>
          <w:szCs w:val="24"/>
          <w:lang w:val="en-US"/>
        </w:rPr>
        <w:t xml:space="preserve">After direct administration of the agents to the </w:t>
      </w:r>
      <w:r w:rsidR="00852528" w:rsidRPr="00E47A42">
        <w:rPr>
          <w:rFonts w:ascii="Book Antiqua" w:hAnsi="Book Antiqua" w:cs="Times New Roman"/>
          <w:sz w:val="24"/>
          <w:szCs w:val="24"/>
          <w:lang w:val="en-US"/>
        </w:rPr>
        <w:t xml:space="preserve">site of injury </w:t>
      </w:r>
      <w:r w:rsidRPr="00E47A42">
        <w:rPr>
          <w:rFonts w:ascii="Book Antiqua" w:hAnsi="Book Antiqua" w:cs="Times New Roman"/>
          <w:sz w:val="24"/>
          <w:szCs w:val="24"/>
          <w:lang w:val="en-US"/>
        </w:rPr>
        <w:t xml:space="preserve">one minute after cecum perforation, the results obtained can clearly describe the ongoing events. Of note, after the </w:t>
      </w:r>
      <w:r w:rsidR="00852528" w:rsidRPr="00E47A42">
        <w:rPr>
          <w:rFonts w:ascii="Book Antiqua" w:hAnsi="Book Antiqua" w:cs="Times New Roman"/>
          <w:sz w:val="24"/>
          <w:szCs w:val="24"/>
          <w:lang w:val="en-US"/>
        </w:rPr>
        <w:t xml:space="preserve">administration of the drug directly to the </w:t>
      </w:r>
      <w:r w:rsidRPr="00E47A42">
        <w:rPr>
          <w:rFonts w:ascii="Book Antiqua" w:hAnsi="Book Antiqua" w:cs="Times New Roman"/>
          <w:sz w:val="24"/>
          <w:szCs w:val="24"/>
          <w:lang w:val="en-US"/>
        </w:rPr>
        <w:t>lesion, the solution spread through the abdominal cavity</w:t>
      </w:r>
      <w:r w:rsidR="008B306C" w:rsidRPr="00E47A42">
        <w:rPr>
          <w:rFonts w:ascii="Book Antiqua" w:hAnsi="Book Antiqua" w:cs="Times New Roman"/>
          <w:sz w:val="24"/>
          <w:szCs w:val="24"/>
          <w:lang w:val="en-US"/>
        </w:rPr>
        <w:t>;</w:t>
      </w:r>
      <w:r w:rsidR="00852528" w:rsidRPr="00E47A42">
        <w:rPr>
          <w:rFonts w:ascii="Book Antiqua" w:hAnsi="Book Antiqua" w:cs="Times New Roman"/>
          <w:sz w:val="24"/>
          <w:szCs w:val="24"/>
          <w:lang w:val="en-US"/>
        </w:rPr>
        <w:t xml:space="preserve"> </w:t>
      </w:r>
      <w:r w:rsidR="008B306C" w:rsidRPr="00E47A42">
        <w:rPr>
          <w:rFonts w:ascii="Book Antiqua" w:hAnsi="Book Antiqua" w:cs="Times New Roman"/>
          <w:sz w:val="24"/>
          <w:szCs w:val="24"/>
          <w:lang w:val="en-US"/>
        </w:rPr>
        <w:t>however</w:t>
      </w:r>
      <w:r w:rsidRPr="00E47A42">
        <w:rPr>
          <w:rFonts w:ascii="Book Antiqua" w:hAnsi="Book Antiqua" w:cs="Times New Roman"/>
          <w:sz w:val="24"/>
          <w:szCs w:val="24"/>
          <w:lang w:val="en-US"/>
        </w:rPr>
        <w:t xml:space="preserve">, </w:t>
      </w:r>
      <w:r w:rsidR="00A173B6" w:rsidRPr="00E47A42">
        <w:rPr>
          <w:rFonts w:ascii="Book Antiqua" w:hAnsi="Book Antiqua" w:cs="Times New Roman"/>
          <w:sz w:val="24"/>
          <w:szCs w:val="24"/>
          <w:lang w:val="en-US"/>
        </w:rPr>
        <w:t xml:space="preserve">its </w:t>
      </w:r>
      <w:r w:rsidRPr="00E47A42">
        <w:rPr>
          <w:rFonts w:ascii="Book Antiqua" w:hAnsi="Book Antiqua" w:cs="Times New Roman"/>
          <w:sz w:val="24"/>
          <w:szCs w:val="24"/>
          <w:lang w:val="en-US"/>
        </w:rPr>
        <w:t xml:space="preserve">effect can </w:t>
      </w:r>
      <w:r w:rsidR="008B306C" w:rsidRPr="00E47A42">
        <w:rPr>
          <w:rFonts w:ascii="Book Antiqua" w:hAnsi="Book Antiqua" w:cs="Times New Roman"/>
          <w:sz w:val="24"/>
          <w:szCs w:val="24"/>
          <w:lang w:val="en-US"/>
        </w:rPr>
        <w:t xml:space="preserve">still </w:t>
      </w:r>
      <w:r w:rsidRPr="00E47A42">
        <w:rPr>
          <w:rFonts w:ascii="Book Antiqua" w:hAnsi="Book Antiqua" w:cs="Times New Roman"/>
          <w:sz w:val="24"/>
          <w:szCs w:val="24"/>
          <w:lang w:val="en-US"/>
        </w:rPr>
        <w:t>be directly correlated with the injury course (aggravated, regular, reversed), particularly in the earliest period, and then</w:t>
      </w:r>
      <w:r w:rsidR="00A173B6"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the final outcome is seen at one week after surgery and medication application.</w:t>
      </w:r>
    </w:p>
    <w:p w14:paraId="02E792B8" w14:textId="6F964335" w:rsidR="00F82C98" w:rsidRPr="00E47A42" w:rsidRDefault="00CB471C" w:rsidP="004A46B7">
      <w:pPr>
        <w:snapToGrid w:val="0"/>
        <w:spacing w:after="0"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The numerous negative changes</w:t>
      </w:r>
      <w:r w:rsidR="006A5C3B" w:rsidRPr="00E47A42">
        <w:rPr>
          <w:rFonts w:ascii="Book Antiqua" w:hAnsi="Book Antiqua" w:cs="Times New Roman"/>
          <w:sz w:val="24"/>
          <w:szCs w:val="24"/>
          <w:lang w:val="en-US"/>
        </w:rPr>
        <w:t xml:space="preserve"> </w:t>
      </w:r>
      <w:r w:rsidR="00695CC8">
        <w:rPr>
          <w:rFonts w:ascii="Book Antiqua" w:hAnsi="Book Antiqua" w:cs="Times New Roman" w:hint="eastAsia"/>
          <w:sz w:val="24"/>
          <w:szCs w:val="24"/>
          <w:lang w:val="en-US" w:eastAsia="zh-CN"/>
        </w:rPr>
        <w:t>[</w:t>
      </w:r>
      <w:r w:rsidR="006A5C3B" w:rsidRPr="00E47A42">
        <w:rPr>
          <w:rFonts w:ascii="Book Antiqua" w:hAnsi="Book Antiqua" w:cs="Times New Roman"/>
          <w:i/>
          <w:sz w:val="24"/>
          <w:szCs w:val="24"/>
          <w:lang w:val="en-US"/>
        </w:rPr>
        <w:t>i.e.,</w:t>
      </w:r>
      <w:r w:rsidR="006A5C3B" w:rsidRPr="00E47A42">
        <w:rPr>
          <w:rFonts w:ascii="Book Antiqua" w:hAnsi="Book Antiqua" w:cs="Times New Roman"/>
          <w:sz w:val="24"/>
          <w:szCs w:val="24"/>
          <w:lang w:val="en-US"/>
        </w:rPr>
        <w:t xml:space="preserve"> initial course: vessel presentation (</w:t>
      </w:r>
      <w:r w:rsidR="004A46B7" w:rsidRPr="00E47A42">
        <w:rPr>
          <w:rFonts w:ascii="Book Antiqua" w:hAnsi="Book Antiqua" w:cs="Times New Roman"/>
          <w:sz w:val="24"/>
          <w:szCs w:val="24"/>
          <w:lang w:val="en-US"/>
        </w:rPr>
        <w:t>Fig</w:t>
      </w:r>
      <w:r w:rsidR="004A46B7">
        <w:rPr>
          <w:rFonts w:ascii="Book Antiqua" w:hAnsi="Book Antiqua" w:cs="Times New Roman" w:hint="eastAsia"/>
          <w:sz w:val="24"/>
          <w:szCs w:val="24"/>
          <w:lang w:val="en-US" w:eastAsia="zh-CN"/>
        </w:rPr>
        <w:t>ure</w:t>
      </w:r>
      <w:r w:rsidR="006A5C3B" w:rsidRPr="00E47A42">
        <w:rPr>
          <w:rFonts w:ascii="Book Antiqua" w:hAnsi="Book Antiqua" w:cs="Times New Roman"/>
          <w:sz w:val="24"/>
          <w:szCs w:val="24"/>
          <w:lang w:val="en-US"/>
        </w:rPr>
        <w:t xml:space="preserve"> 1), defect closing or widening (</w:t>
      </w:r>
      <w:r w:rsidR="004A46B7" w:rsidRPr="00E47A42">
        <w:rPr>
          <w:rFonts w:ascii="Book Antiqua" w:hAnsi="Book Antiqua" w:cs="Times New Roman"/>
          <w:sz w:val="24"/>
          <w:szCs w:val="24"/>
          <w:lang w:val="en-US"/>
        </w:rPr>
        <w:t>Fig</w:t>
      </w:r>
      <w:r w:rsidR="004A46B7">
        <w:rPr>
          <w:rFonts w:ascii="Book Antiqua" w:hAnsi="Book Antiqua" w:cs="Times New Roman" w:hint="eastAsia"/>
          <w:sz w:val="24"/>
          <w:szCs w:val="24"/>
          <w:lang w:val="en-US" w:eastAsia="zh-CN"/>
        </w:rPr>
        <w:t>ure</w:t>
      </w:r>
      <w:r w:rsidR="006A5C3B" w:rsidRPr="00E47A42">
        <w:rPr>
          <w:rFonts w:ascii="Book Antiqua" w:hAnsi="Book Antiqua" w:cs="Times New Roman"/>
          <w:sz w:val="24"/>
          <w:szCs w:val="24"/>
          <w:lang w:val="en-US"/>
        </w:rPr>
        <w:t xml:space="preserve"> 2), bleeding time (Fig</w:t>
      </w:r>
      <w:r w:rsidR="004A46B7">
        <w:rPr>
          <w:rFonts w:ascii="Book Antiqua" w:hAnsi="Book Antiqua" w:cs="Times New Roman" w:hint="eastAsia"/>
          <w:sz w:val="24"/>
          <w:szCs w:val="24"/>
          <w:lang w:val="en-US" w:eastAsia="zh-CN"/>
        </w:rPr>
        <w:t xml:space="preserve">ure </w:t>
      </w:r>
      <w:r w:rsidR="006A5C3B" w:rsidRPr="00E47A42">
        <w:rPr>
          <w:rFonts w:ascii="Book Antiqua" w:hAnsi="Book Antiqua" w:cs="Times New Roman"/>
          <w:sz w:val="24"/>
          <w:szCs w:val="24"/>
          <w:lang w:val="en-US"/>
        </w:rPr>
        <w:t>3), NO-cecum level (</w:t>
      </w:r>
      <w:r w:rsidR="004A46B7" w:rsidRPr="00E47A42">
        <w:rPr>
          <w:rFonts w:ascii="Book Antiqua" w:hAnsi="Book Antiqua" w:cs="Times New Roman"/>
          <w:sz w:val="24"/>
          <w:szCs w:val="24"/>
          <w:lang w:val="en-US"/>
        </w:rPr>
        <w:t>Fig</w:t>
      </w:r>
      <w:r w:rsidR="004A46B7">
        <w:rPr>
          <w:rFonts w:ascii="Book Antiqua" w:hAnsi="Book Antiqua" w:cs="Times New Roman" w:hint="eastAsia"/>
          <w:sz w:val="24"/>
          <w:szCs w:val="24"/>
          <w:lang w:val="en-US" w:eastAsia="zh-CN"/>
        </w:rPr>
        <w:t>ure</w:t>
      </w:r>
      <w:r w:rsidR="004A46B7" w:rsidRPr="00E47A42">
        <w:rPr>
          <w:rFonts w:ascii="Book Antiqua" w:hAnsi="Book Antiqua" w:cs="Times New Roman"/>
          <w:sz w:val="24"/>
          <w:szCs w:val="24"/>
          <w:lang w:val="en-US"/>
        </w:rPr>
        <w:t xml:space="preserve"> </w:t>
      </w:r>
      <w:r w:rsidR="006A5C3B" w:rsidRPr="00E47A42">
        <w:rPr>
          <w:rFonts w:ascii="Book Antiqua" w:hAnsi="Book Antiqua" w:cs="Times New Roman"/>
          <w:sz w:val="24"/>
          <w:szCs w:val="24"/>
          <w:lang w:val="en-US"/>
        </w:rPr>
        <w:t>4), MDA-cecum level (</w:t>
      </w:r>
      <w:r w:rsidR="004A46B7" w:rsidRPr="00E47A42">
        <w:rPr>
          <w:rFonts w:ascii="Book Antiqua" w:hAnsi="Book Antiqua" w:cs="Times New Roman"/>
          <w:sz w:val="24"/>
          <w:szCs w:val="24"/>
          <w:lang w:val="en-US"/>
        </w:rPr>
        <w:t>Fig</w:t>
      </w:r>
      <w:r w:rsidR="004A46B7">
        <w:rPr>
          <w:rFonts w:ascii="Book Antiqua" w:hAnsi="Book Antiqua" w:cs="Times New Roman" w:hint="eastAsia"/>
          <w:sz w:val="24"/>
          <w:szCs w:val="24"/>
          <w:lang w:val="en-US" w:eastAsia="zh-CN"/>
        </w:rPr>
        <w:t xml:space="preserve">ure </w:t>
      </w:r>
      <w:r w:rsidR="006A5C3B" w:rsidRPr="00E47A42">
        <w:rPr>
          <w:rFonts w:ascii="Book Antiqua" w:hAnsi="Book Antiqua" w:cs="Times New Roman"/>
          <w:sz w:val="24"/>
          <w:szCs w:val="24"/>
          <w:lang w:val="en-US"/>
        </w:rPr>
        <w:t>5); and final course</w:t>
      </w:r>
      <w:r w:rsidRPr="00E47A42">
        <w:rPr>
          <w:rFonts w:ascii="Book Antiqua" w:hAnsi="Book Antiqua" w:cs="Times New Roman"/>
          <w:sz w:val="24"/>
          <w:szCs w:val="24"/>
          <w:lang w:val="en-US"/>
        </w:rPr>
        <w:t xml:space="preserve"> of the injury</w:t>
      </w:r>
      <w:r w:rsidR="006A5C3B" w:rsidRPr="00E47A42">
        <w:rPr>
          <w:rFonts w:ascii="Book Antiqua" w:hAnsi="Book Antiqua" w:cs="Times New Roman"/>
          <w:sz w:val="24"/>
          <w:szCs w:val="24"/>
          <w:lang w:val="en-US"/>
        </w:rPr>
        <w:t>: cecum defect and adhesions at 1 or 7 days (Table 1)</w:t>
      </w:r>
      <w:r w:rsidR="00695CC8">
        <w:rPr>
          <w:rFonts w:ascii="Book Antiqua" w:hAnsi="Book Antiqua" w:cs="Times New Roman" w:hint="eastAsia"/>
          <w:sz w:val="24"/>
          <w:szCs w:val="24"/>
          <w:lang w:val="en-US" w:eastAsia="zh-CN"/>
        </w:rPr>
        <w:t>]</w:t>
      </w:r>
      <w:r w:rsidR="006A5C3B" w:rsidRPr="00E47A42">
        <w:rPr>
          <w:rFonts w:ascii="Book Antiqua" w:hAnsi="Book Antiqua" w:cs="Times New Roman"/>
          <w:sz w:val="24"/>
          <w:szCs w:val="24"/>
          <w:lang w:val="en-US"/>
        </w:rPr>
        <w:t xml:space="preserve"> are significant in several respects. </w:t>
      </w:r>
    </w:p>
    <w:p w14:paraId="1E421BEC" w14:textId="3F2DD141" w:rsidR="006A5C3B" w:rsidRPr="00E47A42" w:rsidRDefault="006729D6" w:rsidP="00C14212">
      <w:pPr>
        <w:snapToGrid w:val="0"/>
        <w:spacing w:after="0"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D</w:t>
      </w:r>
      <w:r w:rsidR="00763AE7" w:rsidRPr="00E47A42">
        <w:rPr>
          <w:rFonts w:ascii="Book Antiqua" w:hAnsi="Book Antiqua" w:cs="Times New Roman"/>
          <w:sz w:val="24"/>
          <w:szCs w:val="24"/>
          <w:lang w:val="en-US"/>
        </w:rPr>
        <w:t>epending on the agent appli</w:t>
      </w:r>
      <w:r w:rsidRPr="00E47A42">
        <w:rPr>
          <w:rFonts w:ascii="Book Antiqua" w:hAnsi="Book Antiqua" w:cs="Times New Roman"/>
          <w:sz w:val="24"/>
          <w:szCs w:val="24"/>
          <w:lang w:val="en-US"/>
        </w:rPr>
        <w:t>ed</w:t>
      </w:r>
      <w:r w:rsidR="00763AE7" w:rsidRPr="00E47A42">
        <w:rPr>
          <w:rFonts w:ascii="Book Antiqua" w:hAnsi="Book Antiqua" w:cs="Times New Roman"/>
          <w:sz w:val="24"/>
          <w:szCs w:val="24"/>
          <w:lang w:val="en-US"/>
        </w:rPr>
        <w:t xml:space="preserve">, </w:t>
      </w:r>
      <w:r w:rsidR="006A5C3B" w:rsidRPr="00E47A42">
        <w:rPr>
          <w:rFonts w:ascii="Book Antiqua" w:hAnsi="Book Antiqua" w:cs="Times New Roman"/>
          <w:sz w:val="24"/>
          <w:szCs w:val="24"/>
          <w:lang w:val="en-US"/>
        </w:rPr>
        <w:t>the initial defensive response confers blood vessel presentation (emptied/disappeared; refilled/reappeared) and augmentation/reduction (</w:t>
      </w:r>
      <w:r w:rsidR="00C54837" w:rsidRPr="00E47A42">
        <w:rPr>
          <w:rFonts w:ascii="Book Antiqua" w:hAnsi="Book Antiqua" w:cs="Times New Roman"/>
          <w:sz w:val="24"/>
          <w:szCs w:val="24"/>
          <w:lang w:val="en-US"/>
        </w:rPr>
        <w:t>Fig</w:t>
      </w:r>
      <w:r w:rsidR="00C54837">
        <w:rPr>
          <w:rFonts w:ascii="Book Antiqua" w:hAnsi="Book Antiqua" w:cs="Times New Roman" w:hint="eastAsia"/>
          <w:sz w:val="24"/>
          <w:szCs w:val="24"/>
          <w:lang w:val="en-US" w:eastAsia="zh-CN"/>
        </w:rPr>
        <w:t>ure</w:t>
      </w:r>
      <w:r w:rsidR="006A5C3B" w:rsidRPr="00E47A42">
        <w:rPr>
          <w:rFonts w:ascii="Book Antiqua" w:hAnsi="Book Antiqua" w:cs="Times New Roman"/>
          <w:sz w:val="24"/>
          <w:szCs w:val="24"/>
          <w:lang w:val="en-US"/>
        </w:rPr>
        <w:t xml:space="preserve"> 1, </w:t>
      </w:r>
      <w:r w:rsidR="00C54837" w:rsidRPr="00E47A42">
        <w:rPr>
          <w:rFonts w:ascii="Book Antiqua" w:hAnsi="Book Antiqua" w:cs="Times New Roman"/>
          <w:sz w:val="24"/>
          <w:szCs w:val="24"/>
          <w:lang w:val="en-US"/>
        </w:rPr>
        <w:t>Fig</w:t>
      </w:r>
      <w:r w:rsidR="00C54837">
        <w:rPr>
          <w:rFonts w:ascii="Book Antiqua" w:hAnsi="Book Antiqua" w:cs="Times New Roman" w:hint="eastAsia"/>
          <w:sz w:val="24"/>
          <w:szCs w:val="24"/>
          <w:lang w:val="en-US" w:eastAsia="zh-CN"/>
        </w:rPr>
        <w:t>ure</w:t>
      </w:r>
      <w:r w:rsidR="006A5C3B" w:rsidRPr="00E47A42">
        <w:rPr>
          <w:rFonts w:ascii="Book Antiqua" w:hAnsi="Book Antiqua" w:cs="Times New Roman"/>
          <w:sz w:val="24"/>
          <w:szCs w:val="24"/>
          <w:lang w:val="en-US"/>
        </w:rPr>
        <w:t xml:space="preserve"> 6, </w:t>
      </w:r>
      <w:r w:rsidR="00C54837" w:rsidRPr="00E47A42">
        <w:rPr>
          <w:rFonts w:ascii="Book Antiqua" w:hAnsi="Book Antiqua" w:cs="Times New Roman"/>
          <w:sz w:val="24"/>
          <w:szCs w:val="24"/>
          <w:lang w:val="en-US"/>
        </w:rPr>
        <w:t>Fig</w:t>
      </w:r>
      <w:r w:rsidR="00C54837">
        <w:rPr>
          <w:rFonts w:ascii="Book Antiqua" w:hAnsi="Book Antiqua" w:cs="Times New Roman" w:hint="eastAsia"/>
          <w:sz w:val="24"/>
          <w:szCs w:val="24"/>
          <w:lang w:val="en-US" w:eastAsia="zh-CN"/>
        </w:rPr>
        <w:t>ure</w:t>
      </w:r>
      <w:r w:rsidR="006A5C3B" w:rsidRPr="00E47A42">
        <w:rPr>
          <w:rFonts w:ascii="Book Antiqua" w:hAnsi="Book Antiqua" w:cs="Times New Roman"/>
          <w:sz w:val="24"/>
          <w:szCs w:val="24"/>
          <w:lang w:val="en-US"/>
        </w:rPr>
        <w:t xml:space="preserve"> 7), defect </w:t>
      </w:r>
      <w:r w:rsidR="00763AE7" w:rsidRPr="00E47A42">
        <w:rPr>
          <w:rFonts w:ascii="Book Antiqua" w:hAnsi="Book Antiqua" w:cs="Times New Roman"/>
          <w:sz w:val="24"/>
          <w:szCs w:val="24"/>
          <w:lang w:val="en-US"/>
        </w:rPr>
        <w:t>closing or widening</w:t>
      </w:r>
      <w:r w:rsidR="006A5C3B" w:rsidRPr="00E47A42">
        <w:rPr>
          <w:rFonts w:ascii="Book Antiqua" w:hAnsi="Book Antiqua" w:cs="Times New Roman"/>
          <w:sz w:val="24"/>
          <w:szCs w:val="24"/>
          <w:lang w:val="en-US"/>
        </w:rPr>
        <w:t xml:space="preserve"> (Fig. 2) and bleeding </w:t>
      </w:r>
      <w:r w:rsidR="00763AE7" w:rsidRPr="00E47A42">
        <w:rPr>
          <w:rFonts w:ascii="Book Antiqua" w:hAnsi="Book Antiqua" w:cs="Times New Roman"/>
          <w:sz w:val="24"/>
          <w:szCs w:val="24"/>
          <w:lang w:val="en-US"/>
        </w:rPr>
        <w:t xml:space="preserve">prolongation or shortening </w:t>
      </w:r>
      <w:r w:rsidR="006A5C3B" w:rsidRPr="00E47A42">
        <w:rPr>
          <w:rFonts w:ascii="Book Antiqua" w:hAnsi="Book Antiqua" w:cs="Times New Roman"/>
          <w:sz w:val="24"/>
          <w:szCs w:val="24"/>
          <w:lang w:val="en-US"/>
        </w:rPr>
        <w:t>(Fig. 3, Fig. 7). MDA oxidative stress (Fig. 5) and NO levels (Fig. 4) were determined in the cecum tissue as well.</w:t>
      </w:r>
      <w:r w:rsidR="00763AE7" w:rsidRPr="00E47A42">
        <w:rPr>
          <w:rFonts w:ascii="Book Antiqua" w:hAnsi="Book Antiqua" w:cs="Times New Roman"/>
          <w:sz w:val="24"/>
          <w:szCs w:val="24"/>
          <w:lang w:val="en-US"/>
        </w:rPr>
        <w:t xml:space="preserve"> They permit combining of initial response to </w:t>
      </w:r>
      <w:r w:rsidRPr="00E47A42">
        <w:rPr>
          <w:rFonts w:ascii="Book Antiqua" w:hAnsi="Book Antiqua" w:cs="Times New Roman"/>
          <w:sz w:val="24"/>
          <w:szCs w:val="24"/>
          <w:lang w:val="en-US"/>
        </w:rPr>
        <w:t>the</w:t>
      </w:r>
      <w:r w:rsidR="00763AE7" w:rsidRPr="00E47A42">
        <w:rPr>
          <w:rFonts w:ascii="Book Antiqua" w:hAnsi="Book Antiqua" w:cs="Times New Roman"/>
          <w:sz w:val="24"/>
          <w:szCs w:val="24"/>
          <w:lang w:val="en-US"/>
        </w:rPr>
        <w:t xml:space="preserve"> final response (cecum defect and adhesions at 1 or 7 days (Table 1)).</w:t>
      </w:r>
    </w:p>
    <w:p w14:paraId="77C14F6C" w14:textId="77777777" w:rsidR="00F82C98" w:rsidRPr="00E47A42" w:rsidRDefault="00F82C98" w:rsidP="00F73ADC">
      <w:pPr>
        <w:snapToGrid w:val="0"/>
        <w:spacing w:after="0" w:line="360" w:lineRule="auto"/>
        <w:jc w:val="both"/>
        <w:rPr>
          <w:rFonts w:ascii="Book Antiqua" w:hAnsi="Book Antiqua" w:cs="Times New Roman"/>
          <w:i/>
          <w:sz w:val="24"/>
          <w:szCs w:val="24"/>
          <w:lang w:val="en-US" w:eastAsia="zh-CN"/>
        </w:rPr>
      </w:pPr>
    </w:p>
    <w:p w14:paraId="2EE9F667" w14:textId="6EE07709" w:rsidR="009B03BD" w:rsidRPr="00C54837" w:rsidRDefault="009B03BD" w:rsidP="00F73ADC">
      <w:pPr>
        <w:snapToGrid w:val="0"/>
        <w:spacing w:after="0" w:line="360" w:lineRule="auto"/>
        <w:jc w:val="both"/>
        <w:rPr>
          <w:rFonts w:ascii="Book Antiqua" w:hAnsi="Book Antiqua" w:cs="Times New Roman"/>
          <w:b/>
          <w:sz w:val="24"/>
          <w:szCs w:val="24"/>
          <w:lang w:val="en-US"/>
        </w:rPr>
      </w:pPr>
      <w:r w:rsidRPr="00C54837">
        <w:rPr>
          <w:rFonts w:ascii="Book Antiqua" w:hAnsi="Book Antiqua" w:cs="Times New Roman"/>
          <w:b/>
          <w:i/>
          <w:sz w:val="24"/>
          <w:szCs w:val="24"/>
          <w:lang w:val="en-US"/>
        </w:rPr>
        <w:t xml:space="preserve">Initial course, blood vessel presentation, bleeding, and defect contraction </w:t>
      </w:r>
    </w:p>
    <w:p w14:paraId="609E8ED4" w14:textId="5A8B8045" w:rsidR="009B03BD" w:rsidRPr="00E47A42" w:rsidRDefault="009B03BD" w:rsidP="00C54837">
      <w:pPr>
        <w:snapToGrid w:val="0"/>
        <w:spacing w:after="0" w:line="360" w:lineRule="auto"/>
        <w:jc w:val="both"/>
        <w:rPr>
          <w:rFonts w:ascii="Book Antiqua" w:hAnsi="Book Antiqua" w:cs="Times New Roman"/>
          <w:sz w:val="24"/>
          <w:szCs w:val="24"/>
          <w:lang w:val="en-US"/>
        </w:rPr>
      </w:pPr>
      <w:r w:rsidRPr="00C54837">
        <w:rPr>
          <w:rFonts w:ascii="Book Antiqua" w:hAnsi="Book Antiqua" w:cs="Times New Roman"/>
          <w:b/>
          <w:sz w:val="24"/>
          <w:szCs w:val="24"/>
          <w:lang w:val="en-US"/>
        </w:rPr>
        <w:t>Controls</w:t>
      </w:r>
      <w:r w:rsidR="00C54837" w:rsidRPr="00C54837">
        <w:rPr>
          <w:rFonts w:ascii="Book Antiqua" w:hAnsi="Book Antiqua" w:cs="Times New Roman" w:hint="eastAsia"/>
          <w:b/>
          <w:sz w:val="24"/>
          <w:szCs w:val="24"/>
          <w:lang w:val="en-US" w:eastAsia="zh-CN"/>
        </w:rPr>
        <w:t>:</w:t>
      </w:r>
      <w:r w:rsidR="00C54837">
        <w:rPr>
          <w:rFonts w:ascii="Book Antiqua" w:hAnsi="Book Antiqua" w:cs="Times New Roman" w:hint="eastAsia"/>
          <w:i/>
          <w:sz w:val="24"/>
          <w:szCs w:val="24"/>
          <w:lang w:val="en-US" w:eastAsia="zh-CN"/>
        </w:rPr>
        <w:t xml:space="preserve"> </w:t>
      </w:r>
      <w:r w:rsidRPr="00E47A42">
        <w:rPr>
          <w:rFonts w:ascii="Book Antiqua" w:hAnsi="Book Antiqua" w:cs="Times New Roman"/>
          <w:sz w:val="24"/>
          <w:szCs w:val="24"/>
          <w:lang w:val="en-US"/>
        </w:rPr>
        <w:t>In rats that received a saline bath, the initial course was progressive vessel disappearance</w:t>
      </w:r>
      <w:r w:rsidR="008B306C" w:rsidRPr="00E47A42">
        <w:rPr>
          <w:rFonts w:ascii="Book Antiqua" w:hAnsi="Book Antiqua" w:cs="Times New Roman"/>
          <w:sz w:val="24"/>
          <w:szCs w:val="24"/>
          <w:lang w:val="en-US"/>
        </w:rPr>
        <w:t xml:space="preserve"> and</w:t>
      </w:r>
      <w:r w:rsidRPr="00E47A42">
        <w:rPr>
          <w:rFonts w:ascii="Book Antiqua" w:hAnsi="Book Antiqua" w:cs="Times New Roman"/>
          <w:sz w:val="24"/>
          <w:szCs w:val="24"/>
          <w:lang w:val="en-US"/>
        </w:rPr>
        <w:t xml:space="preserve"> very poor vessel branching, which occurred during application (Fig</w:t>
      </w:r>
      <w:r w:rsidR="00C54837">
        <w:rPr>
          <w:rFonts w:ascii="Book Antiqua" w:hAnsi="Book Antiqua" w:cs="Times New Roman" w:hint="eastAsia"/>
          <w:sz w:val="24"/>
          <w:szCs w:val="24"/>
          <w:lang w:val="en-US" w:eastAsia="zh-CN"/>
        </w:rPr>
        <w:t xml:space="preserve">ure </w:t>
      </w:r>
      <w:r w:rsidRPr="00E47A42">
        <w:rPr>
          <w:rFonts w:ascii="Book Antiqua" w:hAnsi="Book Antiqua" w:cs="Times New Roman"/>
          <w:sz w:val="24"/>
          <w:szCs w:val="24"/>
          <w:lang w:val="en-US"/>
        </w:rPr>
        <w:t xml:space="preserve">1, </w:t>
      </w:r>
      <w:r w:rsidR="00C54837" w:rsidRPr="00E47A42">
        <w:rPr>
          <w:rFonts w:ascii="Book Antiqua" w:hAnsi="Book Antiqua" w:cs="Times New Roman"/>
          <w:sz w:val="24"/>
          <w:szCs w:val="24"/>
          <w:lang w:val="en-US"/>
        </w:rPr>
        <w:t>Fig</w:t>
      </w:r>
      <w:r w:rsidR="00C54837">
        <w:rPr>
          <w:rFonts w:ascii="Book Antiqua" w:hAnsi="Book Antiqua" w:cs="Times New Roman" w:hint="eastAsia"/>
          <w:sz w:val="24"/>
          <w:szCs w:val="24"/>
          <w:lang w:val="en-US" w:eastAsia="zh-CN"/>
        </w:rPr>
        <w:t>ure</w:t>
      </w:r>
      <w:r w:rsidR="00C54837"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6). </w:t>
      </w:r>
      <w:r w:rsidR="008B306C" w:rsidRPr="00E47A42">
        <w:rPr>
          <w:rFonts w:ascii="Book Antiqua" w:hAnsi="Book Antiqua" w:cs="Times New Roman"/>
          <w:sz w:val="24"/>
          <w:szCs w:val="24"/>
          <w:lang w:val="en-US"/>
        </w:rPr>
        <w:t>T</w:t>
      </w:r>
      <w:r w:rsidRPr="00E47A42">
        <w:rPr>
          <w:rFonts w:ascii="Book Antiqua" w:hAnsi="Book Antiqua" w:cs="Times New Roman"/>
          <w:sz w:val="24"/>
          <w:szCs w:val="24"/>
          <w:lang w:val="en-US"/>
        </w:rPr>
        <w:t>hereafter, the defect only had a small initial contraction (</w:t>
      </w:r>
      <w:r w:rsidR="000B12C8" w:rsidRPr="00E47A42">
        <w:rPr>
          <w:rFonts w:ascii="Book Antiqua" w:hAnsi="Book Antiqua" w:cs="Times New Roman"/>
          <w:sz w:val="24"/>
          <w:szCs w:val="24"/>
          <w:lang w:val="en-US"/>
        </w:rPr>
        <w:t>Fig</w:t>
      </w:r>
      <w:r w:rsidR="000B12C8">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2) and then continuous widening. A</w:t>
      </w:r>
      <w:r w:rsidR="008B306C" w:rsidRPr="00E47A42">
        <w:rPr>
          <w:rFonts w:ascii="Book Antiqua" w:hAnsi="Book Antiqua" w:cs="Times New Roman"/>
          <w:sz w:val="24"/>
          <w:szCs w:val="24"/>
          <w:lang w:val="en-US"/>
        </w:rPr>
        <w:t>dditionally</w:t>
      </w:r>
      <w:r w:rsidRPr="00E47A42">
        <w:rPr>
          <w:rFonts w:ascii="Book Antiqua" w:hAnsi="Book Antiqua" w:cs="Times New Roman"/>
          <w:sz w:val="24"/>
          <w:szCs w:val="24"/>
          <w:lang w:val="en-US"/>
        </w:rPr>
        <w:t>, there was a significant bleeding period (</w:t>
      </w:r>
      <w:r w:rsidR="00C54837" w:rsidRPr="00E47A42">
        <w:rPr>
          <w:rFonts w:ascii="Book Antiqua" w:hAnsi="Book Antiqua" w:cs="Times New Roman"/>
          <w:sz w:val="24"/>
          <w:szCs w:val="24"/>
          <w:lang w:val="en-US"/>
        </w:rPr>
        <w:t>Fig</w:t>
      </w:r>
      <w:r w:rsidR="00C54837">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3, </w:t>
      </w:r>
      <w:r w:rsidR="00C54837" w:rsidRPr="00E47A42">
        <w:rPr>
          <w:rFonts w:ascii="Book Antiqua" w:hAnsi="Book Antiqua" w:cs="Times New Roman"/>
          <w:sz w:val="24"/>
          <w:szCs w:val="24"/>
          <w:lang w:val="en-US"/>
        </w:rPr>
        <w:t>Fig</w:t>
      </w:r>
      <w:r w:rsidR="00C54837">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7).</w:t>
      </w:r>
    </w:p>
    <w:p w14:paraId="34C4C237" w14:textId="77777777" w:rsidR="000B12C8" w:rsidRDefault="000B12C8" w:rsidP="000B12C8">
      <w:pPr>
        <w:snapToGrid w:val="0"/>
        <w:spacing w:after="0" w:line="360" w:lineRule="auto"/>
        <w:jc w:val="both"/>
        <w:rPr>
          <w:rFonts w:ascii="Book Antiqua" w:hAnsi="Book Antiqua" w:cs="Times New Roman"/>
          <w:i/>
          <w:sz w:val="24"/>
          <w:szCs w:val="24"/>
          <w:lang w:val="en-US" w:eastAsia="zh-CN"/>
        </w:rPr>
      </w:pPr>
    </w:p>
    <w:p w14:paraId="3DDA4ACF" w14:textId="7CD5CC59" w:rsidR="009B03BD" w:rsidRPr="00E47A42" w:rsidRDefault="009B03BD" w:rsidP="000B12C8">
      <w:pPr>
        <w:snapToGrid w:val="0"/>
        <w:spacing w:after="0" w:line="360" w:lineRule="auto"/>
        <w:jc w:val="both"/>
        <w:rPr>
          <w:rFonts w:ascii="Book Antiqua" w:hAnsi="Book Antiqua" w:cs="Times New Roman"/>
          <w:sz w:val="24"/>
          <w:szCs w:val="24"/>
          <w:lang w:val="en-US"/>
        </w:rPr>
      </w:pPr>
      <w:r w:rsidRPr="000B12C8">
        <w:rPr>
          <w:rFonts w:ascii="Book Antiqua" w:hAnsi="Book Antiqua" w:cs="Times New Roman"/>
          <w:b/>
          <w:sz w:val="24"/>
          <w:szCs w:val="24"/>
          <w:lang w:val="en-US"/>
        </w:rPr>
        <w:t>BPC 157 therapy</w:t>
      </w:r>
      <w:r w:rsidR="000B12C8">
        <w:rPr>
          <w:rFonts w:ascii="Book Antiqua" w:hAnsi="Book Antiqua" w:cs="Times New Roman" w:hint="eastAsia"/>
          <w:b/>
          <w:sz w:val="24"/>
          <w:szCs w:val="24"/>
          <w:lang w:val="en-US" w:eastAsia="zh-CN"/>
        </w:rPr>
        <w:t>:</w:t>
      </w:r>
      <w:r w:rsidRPr="000B12C8">
        <w:rPr>
          <w:rFonts w:ascii="Book Antiqua" w:hAnsi="Book Antiqua" w:cs="Times New Roman"/>
          <w:b/>
          <w:sz w:val="24"/>
          <w:szCs w:val="24"/>
          <w:lang w:val="en-US"/>
        </w:rPr>
        <w:t xml:space="preserve"> </w:t>
      </w:r>
      <w:r w:rsidRPr="00E47A42">
        <w:rPr>
          <w:rFonts w:ascii="Book Antiqua" w:hAnsi="Book Antiqua" w:cs="Times New Roman"/>
          <w:sz w:val="24"/>
          <w:szCs w:val="24"/>
          <w:lang w:val="en-US"/>
        </w:rPr>
        <w:t>Rats with a perforated cecum that underwent a BPC 157 bath exhibited progressive vessel</w:t>
      </w:r>
      <w:r w:rsidR="006729D6" w:rsidRPr="00E47A42">
        <w:rPr>
          <w:rFonts w:ascii="Book Antiqua" w:hAnsi="Book Antiqua" w:cs="Times New Roman"/>
          <w:sz w:val="24"/>
          <w:szCs w:val="24"/>
          <w:lang w:val="en-US"/>
        </w:rPr>
        <w:t xml:space="preserve"> presentation toward the injury</w:t>
      </w:r>
      <w:r w:rsidRPr="00E47A42">
        <w:rPr>
          <w:rFonts w:ascii="Book Antiqua" w:hAnsi="Book Antiqua" w:cs="Times New Roman"/>
          <w:sz w:val="24"/>
          <w:szCs w:val="24"/>
          <w:lang w:val="en-US"/>
        </w:rPr>
        <w:t xml:space="preserve"> </w:t>
      </w:r>
      <w:r w:rsidR="006729D6" w:rsidRPr="00E47A42">
        <w:rPr>
          <w:rFonts w:ascii="Book Antiqua" w:hAnsi="Book Antiqua" w:cs="Times New Roman"/>
          <w:sz w:val="24"/>
          <w:szCs w:val="24"/>
          <w:lang w:val="en-US"/>
        </w:rPr>
        <w:t>(</w:t>
      </w:r>
      <w:r w:rsidR="006729D6" w:rsidRPr="006F1A45">
        <w:rPr>
          <w:rFonts w:ascii="Book Antiqua" w:hAnsi="Book Antiqua" w:cs="Times New Roman"/>
          <w:i/>
          <w:sz w:val="24"/>
          <w:szCs w:val="24"/>
          <w:lang w:val="en-US"/>
        </w:rPr>
        <w:t>i.e.</w:t>
      </w:r>
      <w:r w:rsidR="006F1A45">
        <w:rPr>
          <w:rFonts w:ascii="Book Antiqua" w:hAnsi="Book Antiqua" w:cs="Times New Roman" w:hint="eastAsia"/>
          <w:sz w:val="24"/>
          <w:szCs w:val="24"/>
          <w:lang w:val="en-US" w:eastAsia="zh-CN"/>
        </w:rPr>
        <w:t>,</w:t>
      </w:r>
      <w:r w:rsidR="006729D6"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a network of small vessels branching around the injury</w:t>
      </w:r>
      <w:r w:rsidR="006729D6"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w:t>
      </w:r>
      <w:r w:rsidR="000B12C8" w:rsidRPr="00E47A42">
        <w:rPr>
          <w:rFonts w:ascii="Book Antiqua" w:hAnsi="Book Antiqua" w:cs="Times New Roman"/>
          <w:sz w:val="24"/>
          <w:szCs w:val="24"/>
          <w:lang w:val="en-US"/>
        </w:rPr>
        <w:t>Fig</w:t>
      </w:r>
      <w:r w:rsidR="000B12C8">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1, </w:t>
      </w:r>
      <w:r w:rsidR="000B12C8" w:rsidRPr="00E47A42">
        <w:rPr>
          <w:rFonts w:ascii="Book Antiqua" w:hAnsi="Book Antiqua" w:cs="Times New Roman"/>
          <w:sz w:val="24"/>
          <w:szCs w:val="24"/>
          <w:lang w:val="en-US"/>
        </w:rPr>
        <w:t>Fig</w:t>
      </w:r>
      <w:r w:rsidR="000B12C8">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6). The defect contract</w:t>
      </w:r>
      <w:r w:rsidR="006729D6" w:rsidRPr="00E47A42">
        <w:rPr>
          <w:rFonts w:ascii="Book Antiqua" w:hAnsi="Book Antiqua" w:cs="Times New Roman"/>
          <w:sz w:val="24"/>
          <w:szCs w:val="24"/>
          <w:lang w:val="en-US"/>
        </w:rPr>
        <w:t>ed during application (</w:t>
      </w:r>
      <w:r w:rsidR="000B12C8" w:rsidRPr="00E47A42">
        <w:rPr>
          <w:rFonts w:ascii="Book Antiqua" w:hAnsi="Book Antiqua" w:cs="Times New Roman"/>
          <w:sz w:val="24"/>
          <w:szCs w:val="24"/>
          <w:lang w:val="en-US"/>
        </w:rPr>
        <w:t>Fig</w:t>
      </w:r>
      <w:r w:rsidR="000B12C8">
        <w:rPr>
          <w:rFonts w:ascii="Book Antiqua" w:hAnsi="Book Antiqua" w:cs="Times New Roman" w:hint="eastAsia"/>
          <w:sz w:val="24"/>
          <w:szCs w:val="24"/>
          <w:lang w:val="en-US" w:eastAsia="zh-CN"/>
        </w:rPr>
        <w:t>ure</w:t>
      </w:r>
      <w:r w:rsidR="006729D6" w:rsidRPr="00E47A42">
        <w:rPr>
          <w:rFonts w:ascii="Book Antiqua" w:hAnsi="Book Antiqua" w:cs="Times New Roman"/>
          <w:sz w:val="24"/>
          <w:szCs w:val="24"/>
          <w:lang w:val="en-US"/>
        </w:rPr>
        <w:t xml:space="preserve"> 2) and </w:t>
      </w:r>
      <w:r w:rsidRPr="00E47A42">
        <w:rPr>
          <w:rFonts w:ascii="Book Antiqua" w:hAnsi="Book Antiqua" w:cs="Times New Roman"/>
          <w:sz w:val="24"/>
          <w:szCs w:val="24"/>
          <w:lang w:val="en-US"/>
        </w:rPr>
        <w:t>the bleeding period was significantly shortened</w:t>
      </w:r>
      <w:r w:rsidR="006729D6" w:rsidRPr="00E47A42">
        <w:rPr>
          <w:rFonts w:ascii="Book Antiqua" w:hAnsi="Book Antiqua" w:cs="Times New Roman"/>
          <w:sz w:val="24"/>
          <w:szCs w:val="24"/>
          <w:lang w:val="en-US"/>
        </w:rPr>
        <w:t xml:space="preserve"> thereafter</w:t>
      </w:r>
      <w:r w:rsidRPr="00E47A42">
        <w:rPr>
          <w:rFonts w:ascii="Book Antiqua" w:hAnsi="Book Antiqua" w:cs="Times New Roman"/>
          <w:sz w:val="24"/>
          <w:szCs w:val="24"/>
          <w:lang w:val="en-US"/>
        </w:rPr>
        <w:t xml:space="preserve"> (</w:t>
      </w:r>
      <w:r w:rsidR="000B12C8" w:rsidRPr="00E47A42">
        <w:rPr>
          <w:rFonts w:ascii="Book Antiqua" w:hAnsi="Book Antiqua" w:cs="Times New Roman"/>
          <w:sz w:val="24"/>
          <w:szCs w:val="24"/>
          <w:lang w:val="en-US"/>
        </w:rPr>
        <w:t>Fig</w:t>
      </w:r>
      <w:r w:rsidR="000B12C8">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3). </w:t>
      </w:r>
    </w:p>
    <w:p w14:paraId="1209F980" w14:textId="77777777" w:rsidR="00077DB0" w:rsidRDefault="00077DB0" w:rsidP="00077DB0">
      <w:pPr>
        <w:snapToGrid w:val="0"/>
        <w:spacing w:after="0" w:line="360" w:lineRule="auto"/>
        <w:jc w:val="both"/>
        <w:rPr>
          <w:rFonts w:ascii="Book Antiqua" w:hAnsi="Book Antiqua" w:cs="Times New Roman"/>
          <w:i/>
          <w:sz w:val="24"/>
          <w:szCs w:val="24"/>
          <w:lang w:val="en-US" w:eastAsia="zh-CN"/>
        </w:rPr>
      </w:pPr>
    </w:p>
    <w:p w14:paraId="7A74C156" w14:textId="73888240" w:rsidR="009B03BD" w:rsidRPr="00E47A42" w:rsidRDefault="009B03BD" w:rsidP="00077DB0">
      <w:pPr>
        <w:snapToGrid w:val="0"/>
        <w:spacing w:after="0" w:line="360" w:lineRule="auto"/>
        <w:jc w:val="both"/>
        <w:rPr>
          <w:rFonts w:ascii="Book Antiqua" w:hAnsi="Book Antiqua" w:cs="Times New Roman"/>
          <w:sz w:val="24"/>
          <w:szCs w:val="24"/>
          <w:lang w:val="en-US"/>
        </w:rPr>
      </w:pPr>
      <w:r w:rsidRPr="00077DB0">
        <w:rPr>
          <w:rFonts w:ascii="Book Antiqua" w:hAnsi="Book Antiqua" w:cs="Times New Roman"/>
          <w:b/>
          <w:sz w:val="24"/>
          <w:szCs w:val="24"/>
          <w:lang w:val="en-US"/>
        </w:rPr>
        <w:t>L-arginine therapy</w:t>
      </w:r>
      <w:r w:rsidR="00077DB0">
        <w:rPr>
          <w:rFonts w:ascii="Book Antiqua" w:hAnsi="Book Antiqua" w:cs="Times New Roman" w:hint="eastAsia"/>
          <w:b/>
          <w:sz w:val="24"/>
          <w:szCs w:val="24"/>
          <w:lang w:val="en-US" w:eastAsia="zh-CN"/>
        </w:rPr>
        <w:t>:</w:t>
      </w:r>
      <w:r w:rsidR="00077DB0">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After application of L-arginine, rats with a perforated cecum exhibited less vessel disappearance (</w:t>
      </w:r>
      <w:r w:rsidR="00077DB0" w:rsidRPr="00E47A42">
        <w:rPr>
          <w:rFonts w:ascii="Book Antiqua" w:hAnsi="Book Antiqua" w:cs="Times New Roman"/>
          <w:sz w:val="24"/>
          <w:szCs w:val="24"/>
          <w:lang w:val="en-US"/>
        </w:rPr>
        <w:t>Fig</w:t>
      </w:r>
      <w:r w:rsidR="00077DB0">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1). We noted </w:t>
      </w:r>
      <w:r w:rsidR="00F955AB" w:rsidRPr="00E47A42">
        <w:rPr>
          <w:rFonts w:ascii="Book Antiqua" w:hAnsi="Book Antiqua" w:cs="Times New Roman"/>
          <w:sz w:val="24"/>
          <w:szCs w:val="24"/>
          <w:lang w:val="en-US"/>
        </w:rPr>
        <w:t>counteracted defect widening</w:t>
      </w:r>
      <w:r w:rsidRPr="00E47A42">
        <w:rPr>
          <w:rFonts w:ascii="Book Antiqua" w:hAnsi="Book Antiqua" w:cs="Times New Roman"/>
          <w:sz w:val="24"/>
          <w:szCs w:val="24"/>
          <w:lang w:val="en-US"/>
        </w:rPr>
        <w:t xml:space="preserve"> (</w:t>
      </w:r>
      <w:r w:rsidR="00077DB0" w:rsidRPr="00E47A42">
        <w:rPr>
          <w:rFonts w:ascii="Book Antiqua" w:hAnsi="Book Antiqua" w:cs="Times New Roman"/>
          <w:sz w:val="24"/>
          <w:szCs w:val="24"/>
          <w:lang w:val="en-US"/>
        </w:rPr>
        <w:t>Fig</w:t>
      </w:r>
      <w:r w:rsidR="00077DB0">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2)</w:t>
      </w:r>
      <w:r w:rsidR="008B306C" w:rsidRPr="00E47A42">
        <w:rPr>
          <w:rFonts w:ascii="Book Antiqua" w:hAnsi="Book Antiqua" w:cs="Times New Roman"/>
          <w:sz w:val="24"/>
          <w:szCs w:val="24"/>
          <w:lang w:val="en-US"/>
        </w:rPr>
        <w:t>, and t</w:t>
      </w:r>
      <w:r w:rsidRPr="00E47A42">
        <w:rPr>
          <w:rFonts w:ascii="Book Antiqua" w:hAnsi="Book Antiqua" w:cs="Times New Roman"/>
          <w:sz w:val="24"/>
          <w:szCs w:val="24"/>
          <w:lang w:val="en-US"/>
        </w:rPr>
        <w:t>he bleeding period was significantly prolonged (</w:t>
      </w:r>
      <w:r w:rsidR="00077DB0" w:rsidRPr="00E47A42">
        <w:rPr>
          <w:rFonts w:ascii="Book Antiqua" w:hAnsi="Book Antiqua" w:cs="Times New Roman"/>
          <w:sz w:val="24"/>
          <w:szCs w:val="24"/>
          <w:lang w:val="en-US"/>
        </w:rPr>
        <w:t>Fig</w:t>
      </w:r>
      <w:r w:rsidR="00077DB0">
        <w:rPr>
          <w:rFonts w:ascii="Book Antiqua" w:hAnsi="Book Antiqua" w:cs="Times New Roman" w:hint="eastAsia"/>
          <w:sz w:val="24"/>
          <w:szCs w:val="24"/>
          <w:lang w:val="en-US" w:eastAsia="zh-CN"/>
        </w:rPr>
        <w:t>ure</w:t>
      </w:r>
      <w:r w:rsidR="00077DB0"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3).</w:t>
      </w:r>
    </w:p>
    <w:p w14:paraId="3747341A" w14:textId="77777777" w:rsidR="00077DB0" w:rsidRDefault="00077DB0" w:rsidP="00077DB0">
      <w:pPr>
        <w:snapToGrid w:val="0"/>
        <w:spacing w:after="0" w:line="360" w:lineRule="auto"/>
        <w:jc w:val="both"/>
        <w:rPr>
          <w:rFonts w:ascii="Book Antiqua" w:hAnsi="Book Antiqua" w:cs="Times New Roman"/>
          <w:i/>
          <w:sz w:val="24"/>
          <w:szCs w:val="24"/>
          <w:lang w:val="en-US" w:eastAsia="zh-CN"/>
        </w:rPr>
      </w:pPr>
    </w:p>
    <w:p w14:paraId="6C29EDC9" w14:textId="42CCF778" w:rsidR="009B03BD" w:rsidRPr="00E47A42" w:rsidRDefault="009B03BD" w:rsidP="00077DB0">
      <w:pPr>
        <w:snapToGrid w:val="0"/>
        <w:spacing w:after="0" w:line="360" w:lineRule="auto"/>
        <w:jc w:val="both"/>
        <w:rPr>
          <w:rFonts w:ascii="Book Antiqua" w:hAnsi="Book Antiqua" w:cs="Times New Roman"/>
          <w:sz w:val="24"/>
          <w:szCs w:val="24"/>
          <w:lang w:val="en-US"/>
        </w:rPr>
      </w:pPr>
      <w:r w:rsidRPr="00077DB0">
        <w:rPr>
          <w:rFonts w:ascii="Book Antiqua" w:hAnsi="Book Antiqua" w:cs="Times New Roman"/>
          <w:b/>
          <w:sz w:val="24"/>
          <w:szCs w:val="24"/>
          <w:lang w:val="en-US"/>
        </w:rPr>
        <w:t>L-NAME therapy</w:t>
      </w:r>
      <w:r w:rsidR="00077DB0">
        <w:rPr>
          <w:rFonts w:ascii="Book Antiqua" w:hAnsi="Book Antiqua" w:cs="Times New Roman" w:hint="eastAsia"/>
          <w:b/>
          <w:sz w:val="24"/>
          <w:szCs w:val="24"/>
          <w:lang w:val="en-US" w:eastAsia="zh-CN"/>
        </w:rPr>
        <w:t xml:space="preserve">: </w:t>
      </w:r>
      <w:r w:rsidRPr="00E47A42">
        <w:rPr>
          <w:rFonts w:ascii="Book Antiqua" w:hAnsi="Book Antiqua" w:cs="Times New Roman"/>
          <w:sz w:val="24"/>
          <w:szCs w:val="24"/>
          <w:lang w:val="en-US"/>
        </w:rPr>
        <w:t>After application of L-NAME, rats with a perforated cecum exhibited vessel disappearance similar to controls (</w:t>
      </w:r>
      <w:r w:rsidR="00184239" w:rsidRPr="00E47A42">
        <w:rPr>
          <w:rFonts w:ascii="Book Antiqua" w:hAnsi="Book Antiqua" w:cs="Times New Roman"/>
          <w:sz w:val="24"/>
          <w:szCs w:val="24"/>
          <w:lang w:val="en-US"/>
        </w:rPr>
        <w:t>Fig</w:t>
      </w:r>
      <w:r w:rsidR="00184239">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1). There was </w:t>
      </w:r>
      <w:r w:rsidR="002C14F0" w:rsidRPr="00E47A42">
        <w:rPr>
          <w:rFonts w:ascii="Book Antiqua" w:hAnsi="Book Antiqua" w:cs="Times New Roman"/>
          <w:sz w:val="24"/>
          <w:szCs w:val="24"/>
          <w:lang w:val="en-US"/>
        </w:rPr>
        <w:t>counteraction of defect widening</w:t>
      </w:r>
      <w:r w:rsidR="009E7736"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w:t>
      </w:r>
      <w:r w:rsidR="00184239" w:rsidRPr="00E47A42">
        <w:rPr>
          <w:rFonts w:ascii="Book Antiqua" w:hAnsi="Book Antiqua" w:cs="Times New Roman"/>
          <w:sz w:val="24"/>
          <w:szCs w:val="24"/>
          <w:lang w:val="en-US"/>
        </w:rPr>
        <w:t>Fig</w:t>
      </w:r>
      <w:r w:rsidR="00184239">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2)</w:t>
      </w:r>
      <w:r w:rsidR="008B306C" w:rsidRPr="00E47A42">
        <w:rPr>
          <w:rFonts w:ascii="Book Antiqua" w:hAnsi="Book Antiqua" w:cs="Times New Roman"/>
          <w:sz w:val="24"/>
          <w:szCs w:val="24"/>
          <w:lang w:val="en-US"/>
        </w:rPr>
        <w:t>, and</w:t>
      </w:r>
      <w:r w:rsidRPr="00E47A42">
        <w:rPr>
          <w:rFonts w:ascii="Book Antiqua" w:hAnsi="Book Antiqua" w:cs="Times New Roman"/>
          <w:sz w:val="24"/>
          <w:szCs w:val="24"/>
          <w:lang w:val="en-US"/>
        </w:rPr>
        <w:t xml:space="preserve"> </w:t>
      </w:r>
      <w:r w:rsidR="008B306C" w:rsidRPr="00E47A42">
        <w:rPr>
          <w:rFonts w:ascii="Book Antiqua" w:hAnsi="Book Antiqua" w:cs="Times New Roman"/>
          <w:sz w:val="24"/>
          <w:szCs w:val="24"/>
          <w:lang w:val="en-US"/>
        </w:rPr>
        <w:t>t</w:t>
      </w:r>
      <w:r w:rsidRPr="00E47A42">
        <w:rPr>
          <w:rFonts w:ascii="Book Antiqua" w:hAnsi="Book Antiqua" w:cs="Times New Roman"/>
          <w:sz w:val="24"/>
          <w:szCs w:val="24"/>
          <w:lang w:val="en-US"/>
        </w:rPr>
        <w:t>he bleeding period was shortened (</w:t>
      </w:r>
      <w:r w:rsidR="00184239" w:rsidRPr="00E47A42">
        <w:rPr>
          <w:rFonts w:ascii="Book Antiqua" w:hAnsi="Book Antiqua" w:cs="Times New Roman"/>
          <w:sz w:val="24"/>
          <w:szCs w:val="24"/>
          <w:lang w:val="en-US"/>
        </w:rPr>
        <w:t>Fig</w:t>
      </w:r>
      <w:r w:rsidR="00184239">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3).</w:t>
      </w:r>
    </w:p>
    <w:p w14:paraId="53103E3F" w14:textId="77777777" w:rsidR="00184239" w:rsidRDefault="00184239" w:rsidP="00184239">
      <w:pPr>
        <w:snapToGrid w:val="0"/>
        <w:spacing w:after="0" w:line="360" w:lineRule="auto"/>
        <w:jc w:val="both"/>
        <w:rPr>
          <w:rFonts w:ascii="Book Antiqua" w:hAnsi="Book Antiqua" w:cs="Times New Roman"/>
          <w:i/>
          <w:sz w:val="24"/>
          <w:szCs w:val="24"/>
          <w:lang w:val="en-US" w:eastAsia="zh-CN"/>
        </w:rPr>
      </w:pPr>
    </w:p>
    <w:p w14:paraId="1F942771" w14:textId="41134785" w:rsidR="009B03BD" w:rsidRPr="00E47A42" w:rsidRDefault="009B03BD" w:rsidP="00184239">
      <w:pPr>
        <w:snapToGrid w:val="0"/>
        <w:spacing w:after="0" w:line="360" w:lineRule="auto"/>
        <w:jc w:val="both"/>
        <w:rPr>
          <w:rFonts w:ascii="Book Antiqua" w:hAnsi="Book Antiqua" w:cs="Times New Roman"/>
          <w:sz w:val="24"/>
          <w:szCs w:val="24"/>
          <w:lang w:val="en-US"/>
        </w:rPr>
      </w:pPr>
      <w:r w:rsidRPr="00184239">
        <w:rPr>
          <w:rFonts w:ascii="Book Antiqua" w:hAnsi="Book Antiqua" w:cs="Times New Roman"/>
          <w:b/>
          <w:sz w:val="24"/>
          <w:szCs w:val="24"/>
          <w:lang w:val="en-US"/>
        </w:rPr>
        <w:t>Combination therapy of L-arginine and L-NAME</w:t>
      </w:r>
      <w:r w:rsidR="00184239">
        <w:rPr>
          <w:rFonts w:ascii="Book Antiqua" w:hAnsi="Book Antiqua" w:cs="Times New Roman" w:hint="eastAsia"/>
          <w:b/>
          <w:sz w:val="24"/>
          <w:szCs w:val="24"/>
          <w:lang w:val="en-US" w:eastAsia="zh-CN"/>
        </w:rPr>
        <w:t xml:space="preserve">: </w:t>
      </w:r>
      <w:r w:rsidRPr="00E47A42">
        <w:rPr>
          <w:rFonts w:ascii="Book Antiqua" w:hAnsi="Book Antiqua" w:cs="Times New Roman"/>
          <w:sz w:val="24"/>
          <w:szCs w:val="24"/>
          <w:lang w:val="en-US"/>
        </w:rPr>
        <w:t>After application of L-arginine and L-NAME, rats with a perforated cecum exhibited a combined effect, with less vessel disappearance (</w:t>
      </w:r>
      <w:r w:rsidR="00184239" w:rsidRPr="00E47A42">
        <w:rPr>
          <w:rFonts w:ascii="Book Antiqua" w:hAnsi="Book Antiqua" w:cs="Times New Roman"/>
          <w:sz w:val="24"/>
          <w:szCs w:val="24"/>
          <w:lang w:val="en-US"/>
        </w:rPr>
        <w:t>Fig</w:t>
      </w:r>
      <w:r w:rsidR="00184239">
        <w:rPr>
          <w:rFonts w:ascii="Book Antiqua" w:hAnsi="Book Antiqua" w:cs="Times New Roman" w:hint="eastAsia"/>
          <w:sz w:val="24"/>
          <w:szCs w:val="24"/>
          <w:lang w:val="en-US" w:eastAsia="zh-CN"/>
        </w:rPr>
        <w:t>ure</w:t>
      </w:r>
      <w:r w:rsidR="00184239"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1), </w:t>
      </w:r>
      <w:r w:rsidR="002C14F0" w:rsidRPr="00E47A42">
        <w:rPr>
          <w:rFonts w:ascii="Book Antiqua" w:hAnsi="Book Antiqua" w:cs="Times New Roman"/>
          <w:sz w:val="24"/>
          <w:szCs w:val="24"/>
          <w:lang w:val="en-US"/>
        </w:rPr>
        <w:t>counteracted defect widening</w:t>
      </w:r>
      <w:r w:rsidRPr="00E47A42">
        <w:rPr>
          <w:rFonts w:ascii="Book Antiqua" w:hAnsi="Book Antiqua" w:cs="Times New Roman"/>
          <w:sz w:val="24"/>
          <w:szCs w:val="24"/>
          <w:lang w:val="en-US"/>
        </w:rPr>
        <w:t xml:space="preserve"> (</w:t>
      </w:r>
      <w:r w:rsidR="00184239" w:rsidRPr="00E47A42">
        <w:rPr>
          <w:rFonts w:ascii="Book Antiqua" w:hAnsi="Book Antiqua" w:cs="Times New Roman"/>
          <w:sz w:val="24"/>
          <w:szCs w:val="24"/>
          <w:lang w:val="en-US"/>
        </w:rPr>
        <w:t>Fig</w:t>
      </w:r>
      <w:r w:rsidR="00184239">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2) and a bleeding period in the range of </w:t>
      </w:r>
      <w:r w:rsidR="00A173B6" w:rsidRPr="00E47A42">
        <w:rPr>
          <w:rFonts w:ascii="Book Antiqua" w:hAnsi="Book Antiqua" w:cs="Times New Roman"/>
          <w:sz w:val="24"/>
          <w:szCs w:val="24"/>
          <w:lang w:val="en-US"/>
        </w:rPr>
        <w:t xml:space="preserve">that for </w:t>
      </w:r>
      <w:r w:rsidRPr="00E47A42">
        <w:rPr>
          <w:rFonts w:ascii="Book Antiqua" w:hAnsi="Book Antiqua" w:cs="Times New Roman"/>
          <w:sz w:val="24"/>
          <w:szCs w:val="24"/>
          <w:lang w:val="en-US"/>
        </w:rPr>
        <w:t>the control animals (</w:t>
      </w:r>
      <w:r w:rsidR="00184239" w:rsidRPr="00E47A42">
        <w:rPr>
          <w:rFonts w:ascii="Book Antiqua" w:hAnsi="Book Antiqua" w:cs="Times New Roman"/>
          <w:sz w:val="24"/>
          <w:szCs w:val="24"/>
          <w:lang w:val="en-US"/>
        </w:rPr>
        <w:t>Fig</w:t>
      </w:r>
      <w:r w:rsidR="00184239">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3).</w:t>
      </w:r>
    </w:p>
    <w:p w14:paraId="6C1CBD5F" w14:textId="77777777" w:rsidR="00184239" w:rsidRDefault="00184239" w:rsidP="00184239">
      <w:pPr>
        <w:snapToGrid w:val="0"/>
        <w:spacing w:after="0" w:line="360" w:lineRule="auto"/>
        <w:jc w:val="both"/>
        <w:rPr>
          <w:rFonts w:ascii="Book Antiqua" w:hAnsi="Book Antiqua" w:cs="Times New Roman"/>
          <w:i/>
          <w:sz w:val="24"/>
          <w:szCs w:val="24"/>
          <w:lang w:val="en-US" w:eastAsia="zh-CN"/>
        </w:rPr>
      </w:pPr>
    </w:p>
    <w:p w14:paraId="11B9D16D" w14:textId="7820852C" w:rsidR="009B03BD" w:rsidRPr="00E47A42" w:rsidRDefault="009B03BD" w:rsidP="00184239">
      <w:pPr>
        <w:snapToGrid w:val="0"/>
        <w:spacing w:after="0" w:line="360" w:lineRule="auto"/>
        <w:jc w:val="both"/>
        <w:rPr>
          <w:rFonts w:ascii="Book Antiqua" w:hAnsi="Book Antiqua" w:cs="Times New Roman"/>
          <w:sz w:val="24"/>
          <w:szCs w:val="24"/>
          <w:lang w:val="en-US"/>
        </w:rPr>
      </w:pPr>
      <w:r w:rsidRPr="00184239">
        <w:rPr>
          <w:rFonts w:ascii="Book Antiqua" w:hAnsi="Book Antiqua" w:cs="Times New Roman"/>
          <w:b/>
          <w:sz w:val="24"/>
          <w:szCs w:val="24"/>
          <w:lang w:val="en-US"/>
        </w:rPr>
        <w:t>Combined therapy of L-arginine and/or L-NAME with BPC 157</w:t>
      </w:r>
      <w:r w:rsidR="00184239">
        <w:rPr>
          <w:rFonts w:ascii="Book Antiqua" w:hAnsi="Book Antiqua" w:cs="Times New Roman" w:hint="eastAsia"/>
          <w:b/>
          <w:sz w:val="24"/>
          <w:szCs w:val="24"/>
          <w:lang w:val="en-US" w:eastAsia="zh-CN"/>
        </w:rPr>
        <w:t>:</w:t>
      </w:r>
      <w:r w:rsidRPr="00E47A42">
        <w:rPr>
          <w:rFonts w:ascii="Book Antiqua" w:hAnsi="Book Antiqua" w:cs="Times New Roman"/>
          <w:sz w:val="24"/>
          <w:szCs w:val="24"/>
          <w:lang w:val="en-US"/>
        </w:rPr>
        <w:t xml:space="preserve"> After application of BPC 157 with L-arginine and/or L-NAME, rats with a perforated cecum that underwent combined BPC 157 therapy (L-NAME</w:t>
      </w:r>
      <w:r w:rsidR="00184239">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w:t>
      </w:r>
      <w:r w:rsidR="00184239">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BPC 157; L-arginine</w:t>
      </w:r>
      <w:r w:rsidR="00184239">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w:t>
      </w:r>
      <w:r w:rsidR="00184239">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BPC 157; L-NAME</w:t>
      </w:r>
      <w:r w:rsidR="00184239">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w:t>
      </w:r>
      <w:r w:rsidR="00184239">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L-arginine</w:t>
      </w:r>
      <w:r w:rsidR="00184239">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w:t>
      </w:r>
      <w:r w:rsidR="00184239">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BPC 157) regularly exhibited progressive vessel presentation (</w:t>
      </w:r>
      <w:r w:rsidR="00184239" w:rsidRPr="00E47A42">
        <w:rPr>
          <w:rFonts w:ascii="Book Antiqua" w:hAnsi="Book Antiqua" w:cs="Times New Roman"/>
          <w:sz w:val="24"/>
          <w:szCs w:val="24"/>
          <w:lang w:val="en-US"/>
        </w:rPr>
        <w:t>Fig</w:t>
      </w:r>
      <w:r w:rsidR="00184239">
        <w:rPr>
          <w:rFonts w:ascii="Book Antiqua" w:hAnsi="Book Antiqua" w:cs="Times New Roman" w:hint="eastAsia"/>
          <w:sz w:val="24"/>
          <w:szCs w:val="24"/>
          <w:lang w:val="en-US" w:eastAsia="zh-CN"/>
        </w:rPr>
        <w:t>ure</w:t>
      </w:r>
      <w:r w:rsidR="00184239"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1) and a shortened bleeding time (</w:t>
      </w:r>
      <w:r w:rsidR="00184239" w:rsidRPr="00E47A42">
        <w:rPr>
          <w:rFonts w:ascii="Book Antiqua" w:hAnsi="Book Antiqua" w:cs="Times New Roman"/>
          <w:sz w:val="24"/>
          <w:szCs w:val="24"/>
          <w:lang w:val="en-US"/>
        </w:rPr>
        <w:t>Fig</w:t>
      </w:r>
      <w:r w:rsidR="00184239">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3), similar to the rats that receive</w:t>
      </w:r>
      <w:r w:rsidR="008B306C" w:rsidRPr="00E47A42">
        <w:rPr>
          <w:rFonts w:ascii="Book Antiqua" w:hAnsi="Book Antiqua" w:cs="Times New Roman"/>
          <w:sz w:val="24"/>
          <w:szCs w:val="24"/>
          <w:lang w:val="en-US"/>
        </w:rPr>
        <w:t>d</w:t>
      </w:r>
      <w:r w:rsidRPr="00E47A42">
        <w:rPr>
          <w:rFonts w:ascii="Book Antiqua" w:hAnsi="Book Antiqua" w:cs="Times New Roman"/>
          <w:sz w:val="24"/>
          <w:szCs w:val="24"/>
          <w:lang w:val="en-US"/>
        </w:rPr>
        <w:t xml:space="preserve"> BPC 157 alone. </w:t>
      </w:r>
      <w:r w:rsidR="009858B7" w:rsidRPr="00E47A42">
        <w:rPr>
          <w:rFonts w:ascii="Book Antiqua" w:hAnsi="Book Antiqua" w:cs="Times New Roman"/>
          <w:sz w:val="24"/>
          <w:szCs w:val="24"/>
          <w:lang w:val="en-US"/>
        </w:rPr>
        <w:t xml:space="preserve">All rats </w:t>
      </w:r>
      <w:r w:rsidR="00492A9B" w:rsidRPr="00E47A42">
        <w:rPr>
          <w:rFonts w:ascii="Book Antiqua" w:hAnsi="Book Antiqua" w:cs="Times New Roman"/>
          <w:sz w:val="24"/>
          <w:szCs w:val="24"/>
          <w:lang w:val="en-US"/>
        </w:rPr>
        <w:t>exhibited counteraction of defect widening (</w:t>
      </w:r>
      <w:r w:rsidR="00184239" w:rsidRPr="00E47A42">
        <w:rPr>
          <w:rFonts w:ascii="Book Antiqua" w:hAnsi="Book Antiqua" w:cs="Times New Roman"/>
          <w:sz w:val="24"/>
          <w:szCs w:val="24"/>
          <w:lang w:val="en-US"/>
        </w:rPr>
        <w:t>Fig</w:t>
      </w:r>
      <w:r w:rsidR="00184239">
        <w:rPr>
          <w:rFonts w:ascii="Book Antiqua" w:hAnsi="Book Antiqua" w:cs="Times New Roman" w:hint="eastAsia"/>
          <w:sz w:val="24"/>
          <w:szCs w:val="24"/>
          <w:lang w:val="en-US" w:eastAsia="zh-CN"/>
        </w:rPr>
        <w:t>ure</w:t>
      </w:r>
      <w:r w:rsidR="00184239" w:rsidRPr="00E47A42">
        <w:rPr>
          <w:rFonts w:ascii="Book Antiqua" w:hAnsi="Book Antiqua" w:cs="Times New Roman"/>
          <w:sz w:val="24"/>
          <w:szCs w:val="24"/>
          <w:lang w:val="en-US"/>
        </w:rPr>
        <w:t xml:space="preserve"> </w:t>
      </w:r>
      <w:r w:rsidR="00492A9B" w:rsidRPr="00E47A42">
        <w:rPr>
          <w:rFonts w:ascii="Book Antiqua" w:hAnsi="Book Antiqua" w:cs="Times New Roman"/>
          <w:sz w:val="24"/>
          <w:szCs w:val="24"/>
          <w:lang w:val="en-US"/>
        </w:rPr>
        <w:t>2).</w:t>
      </w:r>
    </w:p>
    <w:p w14:paraId="20A3FEFE" w14:textId="77777777" w:rsidR="009B03BD" w:rsidRPr="00E47A42" w:rsidRDefault="009B03BD" w:rsidP="00F73ADC">
      <w:pPr>
        <w:snapToGrid w:val="0"/>
        <w:spacing w:after="0" w:line="360" w:lineRule="auto"/>
        <w:jc w:val="both"/>
        <w:rPr>
          <w:rFonts w:ascii="Book Antiqua" w:hAnsi="Book Antiqua" w:cs="Times New Roman"/>
          <w:i/>
          <w:sz w:val="24"/>
          <w:szCs w:val="24"/>
          <w:lang w:val="en-US"/>
        </w:rPr>
      </w:pPr>
    </w:p>
    <w:p w14:paraId="4E7A192F" w14:textId="34284FAC" w:rsidR="009B03BD" w:rsidRPr="006905E1" w:rsidRDefault="009B03BD" w:rsidP="00F73ADC">
      <w:pPr>
        <w:snapToGrid w:val="0"/>
        <w:spacing w:after="0" w:line="360" w:lineRule="auto"/>
        <w:jc w:val="both"/>
        <w:rPr>
          <w:rFonts w:ascii="Book Antiqua" w:hAnsi="Book Antiqua" w:cs="Times New Roman"/>
          <w:b/>
          <w:i/>
          <w:sz w:val="24"/>
          <w:szCs w:val="24"/>
          <w:lang w:val="en-US"/>
        </w:rPr>
      </w:pPr>
      <w:r w:rsidRPr="006905E1">
        <w:rPr>
          <w:rFonts w:ascii="Book Antiqua" w:hAnsi="Book Antiqua" w:cs="Times New Roman"/>
          <w:b/>
          <w:i/>
          <w:noProof/>
          <w:sz w:val="24"/>
          <w:szCs w:val="24"/>
          <w:lang w:val="en-US"/>
        </w:rPr>
        <w:t>Final</w:t>
      </w:r>
      <w:r w:rsidRPr="006905E1">
        <w:rPr>
          <w:rFonts w:ascii="Book Antiqua" w:hAnsi="Book Antiqua" w:cs="Times New Roman"/>
          <w:b/>
          <w:i/>
          <w:sz w:val="24"/>
          <w:szCs w:val="24"/>
          <w:lang w:val="en-US"/>
        </w:rPr>
        <w:t xml:space="preserve"> course, defect and adhesion presentation at one day and one week of follow up</w:t>
      </w:r>
    </w:p>
    <w:p w14:paraId="3D2501C8" w14:textId="5FC2DEB5" w:rsidR="009B03BD" w:rsidRPr="00E47A42" w:rsidRDefault="009B03BD" w:rsidP="006905E1">
      <w:pPr>
        <w:snapToGrid w:val="0"/>
        <w:spacing w:after="0" w:line="360" w:lineRule="auto"/>
        <w:jc w:val="both"/>
        <w:rPr>
          <w:rFonts w:ascii="Book Antiqua" w:hAnsi="Book Antiqua" w:cs="Times New Roman"/>
          <w:sz w:val="24"/>
          <w:szCs w:val="24"/>
          <w:lang w:val="en-US"/>
        </w:rPr>
      </w:pPr>
      <w:r w:rsidRPr="006905E1">
        <w:rPr>
          <w:rFonts w:ascii="Book Antiqua" w:hAnsi="Book Antiqua" w:cs="Times New Roman"/>
          <w:b/>
          <w:sz w:val="24"/>
          <w:szCs w:val="24"/>
          <w:lang w:val="en-US"/>
        </w:rPr>
        <w:t>Controls</w:t>
      </w:r>
      <w:r w:rsidR="006905E1">
        <w:rPr>
          <w:rFonts w:ascii="Book Antiqua" w:hAnsi="Book Antiqua" w:cs="Times New Roman" w:hint="eastAsia"/>
          <w:b/>
          <w:sz w:val="24"/>
          <w:szCs w:val="24"/>
          <w:lang w:val="en-US" w:eastAsia="zh-CN"/>
        </w:rPr>
        <w:t>:</w:t>
      </w:r>
      <w:r w:rsidR="006905E1">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 xml:space="preserve">Regularly, after one day or one week, rats that underwent cecum perforation presented with a significant defect (Table 1, Fig. 8) that remained open and </w:t>
      </w:r>
      <w:r w:rsidR="008B306C" w:rsidRPr="00E47A42">
        <w:rPr>
          <w:rFonts w:ascii="Book Antiqua" w:hAnsi="Book Antiqua" w:cs="Times New Roman"/>
          <w:sz w:val="24"/>
          <w:szCs w:val="24"/>
          <w:lang w:val="en-US"/>
        </w:rPr>
        <w:t>showed</w:t>
      </w:r>
      <w:r w:rsidRPr="00E47A42">
        <w:rPr>
          <w:rFonts w:ascii="Book Antiqua" w:hAnsi="Book Antiqua" w:cs="Times New Roman"/>
          <w:sz w:val="24"/>
          <w:szCs w:val="24"/>
          <w:lang w:val="en-US"/>
        </w:rPr>
        <w:t xml:space="preserve"> significant adhesions (Table 1).</w:t>
      </w:r>
    </w:p>
    <w:p w14:paraId="51E6A9A2" w14:textId="77777777" w:rsidR="006905E1" w:rsidRDefault="006905E1" w:rsidP="006905E1">
      <w:pPr>
        <w:snapToGrid w:val="0"/>
        <w:spacing w:after="0" w:line="360" w:lineRule="auto"/>
        <w:jc w:val="both"/>
        <w:rPr>
          <w:rFonts w:ascii="Book Antiqua" w:hAnsi="Book Antiqua" w:cs="Times New Roman"/>
          <w:i/>
          <w:sz w:val="24"/>
          <w:szCs w:val="24"/>
          <w:lang w:val="en-US" w:eastAsia="zh-CN"/>
        </w:rPr>
      </w:pPr>
    </w:p>
    <w:p w14:paraId="4FC22A1A" w14:textId="665C17A0" w:rsidR="009B03BD" w:rsidRPr="00E47A42" w:rsidRDefault="009B03BD" w:rsidP="006905E1">
      <w:pPr>
        <w:snapToGrid w:val="0"/>
        <w:spacing w:after="0" w:line="360" w:lineRule="auto"/>
        <w:jc w:val="both"/>
        <w:rPr>
          <w:rFonts w:ascii="Book Antiqua" w:hAnsi="Book Antiqua" w:cs="Times New Roman"/>
          <w:sz w:val="24"/>
          <w:szCs w:val="24"/>
          <w:lang w:val="en-US"/>
        </w:rPr>
      </w:pPr>
      <w:r w:rsidRPr="006905E1">
        <w:rPr>
          <w:rFonts w:ascii="Book Antiqua" w:hAnsi="Book Antiqua" w:cs="Times New Roman"/>
          <w:b/>
          <w:sz w:val="24"/>
          <w:szCs w:val="24"/>
          <w:lang w:val="en-US"/>
        </w:rPr>
        <w:t>BPC 157 therapy</w:t>
      </w:r>
      <w:r w:rsidR="006905E1">
        <w:rPr>
          <w:rFonts w:ascii="Book Antiqua" w:hAnsi="Book Antiqua" w:cs="Times New Roman" w:hint="eastAsia"/>
          <w:b/>
          <w:sz w:val="24"/>
          <w:szCs w:val="24"/>
          <w:lang w:val="en-US" w:eastAsia="zh-CN"/>
        </w:rPr>
        <w:t>:</w:t>
      </w:r>
      <w:r w:rsidRPr="006905E1">
        <w:rPr>
          <w:rFonts w:ascii="Book Antiqua" w:hAnsi="Book Antiqua" w:cs="Times New Roman"/>
          <w:sz w:val="24"/>
          <w:szCs w:val="24"/>
          <w:lang w:val="en-US"/>
        </w:rPr>
        <w:t xml:space="preserve"> </w:t>
      </w:r>
      <w:r w:rsidRPr="00E47A42">
        <w:rPr>
          <w:rFonts w:ascii="Book Antiqua" w:hAnsi="Book Antiqua" w:cs="Times New Roman"/>
          <w:sz w:val="24"/>
          <w:szCs w:val="24"/>
          <w:lang w:val="en-US"/>
        </w:rPr>
        <w:t>Rats with a perforated cecum that underwent a BPC 157 bath exhibited an attenua</w:t>
      </w:r>
      <w:r w:rsidR="009858B7" w:rsidRPr="00E47A42">
        <w:rPr>
          <w:rFonts w:ascii="Book Antiqua" w:hAnsi="Book Antiqua" w:cs="Times New Roman"/>
          <w:sz w:val="24"/>
          <w:szCs w:val="24"/>
          <w:lang w:val="en-US"/>
        </w:rPr>
        <w:t>ted defect and finally,</w:t>
      </w:r>
      <w:r w:rsidRPr="00E47A42">
        <w:rPr>
          <w:rFonts w:ascii="Book Antiqua" w:hAnsi="Book Antiqua" w:cs="Times New Roman"/>
          <w:sz w:val="24"/>
          <w:szCs w:val="24"/>
          <w:lang w:val="en-US"/>
        </w:rPr>
        <w:t xml:space="preserve"> no</w:t>
      </w:r>
      <w:r w:rsidR="009858B7" w:rsidRPr="00E47A42">
        <w:rPr>
          <w:rFonts w:ascii="Book Antiqua" w:hAnsi="Book Antiqua" w:cs="Times New Roman"/>
          <w:sz w:val="24"/>
          <w:szCs w:val="24"/>
          <w:lang w:val="en-US"/>
        </w:rPr>
        <w:t xml:space="preserve"> gross</w:t>
      </w:r>
      <w:r w:rsidRPr="00E47A42">
        <w:rPr>
          <w:rFonts w:ascii="Book Antiqua" w:hAnsi="Book Antiqua" w:cs="Times New Roman"/>
          <w:sz w:val="24"/>
          <w:szCs w:val="24"/>
          <w:lang w:val="en-US"/>
        </w:rPr>
        <w:t xml:space="preserve"> defect (Table 1, </w:t>
      </w:r>
      <w:r w:rsidR="00827922" w:rsidRPr="00E47A42">
        <w:rPr>
          <w:rFonts w:ascii="Book Antiqua" w:hAnsi="Book Antiqua" w:cs="Times New Roman"/>
          <w:sz w:val="24"/>
          <w:szCs w:val="24"/>
          <w:lang w:val="en-US"/>
        </w:rPr>
        <w:t>Fig</w:t>
      </w:r>
      <w:r w:rsidR="00827922">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8)</w:t>
      </w:r>
      <w:r w:rsidR="00844520"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and markedly fewer adhesions were present. </w:t>
      </w:r>
    </w:p>
    <w:p w14:paraId="200EAF09" w14:textId="77777777" w:rsidR="002F61DE" w:rsidRPr="00E47A42" w:rsidRDefault="002F61DE" w:rsidP="00827922">
      <w:pPr>
        <w:snapToGrid w:val="0"/>
        <w:spacing w:after="0" w:line="360" w:lineRule="auto"/>
        <w:jc w:val="both"/>
        <w:rPr>
          <w:rFonts w:ascii="Book Antiqua" w:hAnsi="Book Antiqua" w:cs="Times New Roman"/>
          <w:sz w:val="24"/>
          <w:szCs w:val="24"/>
          <w:lang w:val="en-US" w:eastAsia="zh-CN"/>
        </w:rPr>
      </w:pPr>
    </w:p>
    <w:p w14:paraId="66D5F61E" w14:textId="749A9AFA" w:rsidR="009B03BD" w:rsidRPr="00E47A42" w:rsidRDefault="009B03BD" w:rsidP="00827922">
      <w:pPr>
        <w:snapToGrid w:val="0"/>
        <w:spacing w:after="0" w:line="360" w:lineRule="auto"/>
        <w:jc w:val="both"/>
        <w:rPr>
          <w:rFonts w:ascii="Book Antiqua" w:hAnsi="Book Antiqua" w:cs="Times New Roman"/>
          <w:sz w:val="24"/>
          <w:szCs w:val="24"/>
          <w:lang w:val="en-US"/>
        </w:rPr>
      </w:pPr>
      <w:r w:rsidRPr="00827922">
        <w:rPr>
          <w:rFonts w:ascii="Book Antiqua" w:hAnsi="Book Antiqua" w:cs="Times New Roman"/>
          <w:b/>
          <w:sz w:val="24"/>
          <w:szCs w:val="24"/>
          <w:lang w:val="en-US"/>
        </w:rPr>
        <w:lastRenderedPageBreak/>
        <w:t>L-arginine therapy</w:t>
      </w:r>
      <w:r w:rsidR="00827922">
        <w:rPr>
          <w:rFonts w:ascii="Book Antiqua" w:hAnsi="Book Antiqua" w:cs="Times New Roman" w:hint="eastAsia"/>
          <w:b/>
          <w:sz w:val="24"/>
          <w:szCs w:val="24"/>
          <w:lang w:val="en-US" w:eastAsia="zh-CN"/>
        </w:rPr>
        <w:t>:</w:t>
      </w:r>
      <w:r w:rsidRPr="00827922">
        <w:rPr>
          <w:rFonts w:ascii="Book Antiqua" w:hAnsi="Book Antiqua" w:cs="Times New Roman"/>
          <w:b/>
          <w:sz w:val="24"/>
          <w:szCs w:val="24"/>
          <w:lang w:val="en-US"/>
        </w:rPr>
        <w:t xml:space="preserve"> </w:t>
      </w:r>
      <w:r w:rsidRPr="00E47A42">
        <w:rPr>
          <w:rFonts w:ascii="Book Antiqua" w:hAnsi="Book Antiqua" w:cs="Times New Roman"/>
          <w:sz w:val="24"/>
          <w:szCs w:val="24"/>
          <w:lang w:val="en-US"/>
        </w:rPr>
        <w:t>Rats with a perforated cecum that underwent an L-arginine bath initially exhibited an open defect larger than in the controls, and markedly more adhesions were present (Table 1).</w:t>
      </w:r>
    </w:p>
    <w:p w14:paraId="6A384FFF" w14:textId="77777777" w:rsidR="00827922" w:rsidRDefault="00827922" w:rsidP="00827922">
      <w:pPr>
        <w:snapToGrid w:val="0"/>
        <w:spacing w:after="0" w:line="360" w:lineRule="auto"/>
        <w:jc w:val="both"/>
        <w:rPr>
          <w:rFonts w:ascii="Book Antiqua" w:hAnsi="Book Antiqua" w:cs="Times New Roman"/>
          <w:i/>
          <w:sz w:val="24"/>
          <w:szCs w:val="24"/>
          <w:lang w:val="en-US" w:eastAsia="zh-CN"/>
        </w:rPr>
      </w:pPr>
    </w:p>
    <w:p w14:paraId="394FD276" w14:textId="73FBBEE2" w:rsidR="009B03BD" w:rsidRPr="00E47A42" w:rsidRDefault="009B03BD" w:rsidP="00827922">
      <w:pPr>
        <w:snapToGrid w:val="0"/>
        <w:spacing w:after="0" w:line="360" w:lineRule="auto"/>
        <w:jc w:val="both"/>
        <w:rPr>
          <w:rFonts w:ascii="Book Antiqua" w:hAnsi="Book Antiqua" w:cs="Times New Roman"/>
          <w:sz w:val="24"/>
          <w:szCs w:val="24"/>
          <w:lang w:val="en-US"/>
        </w:rPr>
      </w:pPr>
      <w:r w:rsidRPr="00827922">
        <w:rPr>
          <w:rFonts w:ascii="Book Antiqua" w:hAnsi="Book Antiqua" w:cs="Times New Roman"/>
          <w:b/>
          <w:sz w:val="24"/>
          <w:szCs w:val="24"/>
          <w:lang w:val="en-US"/>
        </w:rPr>
        <w:t>L-NAME therapy</w:t>
      </w:r>
      <w:r w:rsidR="00827922">
        <w:rPr>
          <w:rFonts w:ascii="Book Antiqua" w:hAnsi="Book Antiqua" w:cs="Times New Roman" w:hint="eastAsia"/>
          <w:b/>
          <w:sz w:val="24"/>
          <w:szCs w:val="24"/>
          <w:lang w:val="en-US" w:eastAsia="zh-CN"/>
        </w:rPr>
        <w:t xml:space="preserve">: </w:t>
      </w:r>
      <w:r w:rsidRPr="00E47A42">
        <w:rPr>
          <w:rFonts w:ascii="Book Antiqua" w:hAnsi="Book Antiqua" w:cs="Times New Roman"/>
          <w:sz w:val="24"/>
          <w:szCs w:val="24"/>
          <w:lang w:val="en-US"/>
        </w:rPr>
        <w:t>Rats with a perforated cecum that underwent an L-NAME bath exhibited an open defect larger than</w:t>
      </w:r>
      <w:r w:rsidR="00844520" w:rsidRPr="00E47A42">
        <w:rPr>
          <w:rFonts w:ascii="Book Antiqua" w:hAnsi="Book Antiqua" w:cs="Times New Roman"/>
          <w:sz w:val="24"/>
          <w:szCs w:val="24"/>
          <w:lang w:val="en-US"/>
        </w:rPr>
        <w:t xml:space="preserve"> that</w:t>
      </w:r>
      <w:r w:rsidRPr="00E47A42">
        <w:rPr>
          <w:rFonts w:ascii="Book Antiqua" w:hAnsi="Book Antiqua" w:cs="Times New Roman"/>
          <w:sz w:val="24"/>
          <w:szCs w:val="24"/>
          <w:lang w:val="en-US"/>
        </w:rPr>
        <w:t xml:space="preserve"> in the controls, and markedly more adhesions were present (Table 1).</w:t>
      </w:r>
    </w:p>
    <w:p w14:paraId="1BD6C9A2" w14:textId="77777777" w:rsidR="00827922" w:rsidRDefault="00827922" w:rsidP="00827922">
      <w:pPr>
        <w:snapToGrid w:val="0"/>
        <w:spacing w:after="0" w:line="360" w:lineRule="auto"/>
        <w:jc w:val="both"/>
        <w:rPr>
          <w:rFonts w:ascii="Book Antiqua" w:hAnsi="Book Antiqua" w:cs="Times New Roman"/>
          <w:i/>
          <w:sz w:val="24"/>
          <w:szCs w:val="24"/>
          <w:lang w:val="en-US" w:eastAsia="zh-CN"/>
        </w:rPr>
      </w:pPr>
    </w:p>
    <w:p w14:paraId="4649D27B" w14:textId="5A6502E9" w:rsidR="009B03BD" w:rsidRPr="00E47A42" w:rsidRDefault="009B03BD" w:rsidP="00827922">
      <w:pPr>
        <w:snapToGrid w:val="0"/>
        <w:spacing w:after="0" w:line="360" w:lineRule="auto"/>
        <w:jc w:val="both"/>
        <w:rPr>
          <w:rFonts w:ascii="Book Antiqua" w:hAnsi="Book Antiqua" w:cs="Times New Roman"/>
          <w:sz w:val="24"/>
          <w:szCs w:val="24"/>
          <w:lang w:val="en-US"/>
        </w:rPr>
      </w:pPr>
      <w:r w:rsidRPr="00827922">
        <w:rPr>
          <w:rFonts w:ascii="Book Antiqua" w:hAnsi="Book Antiqua" w:cs="Times New Roman"/>
          <w:b/>
          <w:sz w:val="24"/>
          <w:szCs w:val="24"/>
          <w:lang w:val="en-US"/>
        </w:rPr>
        <w:t>Combined therapy of L-arginine and L-NAME</w:t>
      </w:r>
      <w:r w:rsidR="00827922">
        <w:rPr>
          <w:rFonts w:ascii="Book Antiqua" w:hAnsi="Book Antiqua" w:cs="Times New Roman" w:hint="eastAsia"/>
          <w:b/>
          <w:sz w:val="24"/>
          <w:szCs w:val="24"/>
          <w:lang w:val="en-US" w:eastAsia="zh-CN"/>
        </w:rPr>
        <w:t>:</w:t>
      </w:r>
      <w:r w:rsidRPr="00E47A42">
        <w:rPr>
          <w:rFonts w:ascii="Book Antiqua" w:hAnsi="Book Antiqua" w:cs="Times New Roman"/>
          <w:i/>
          <w:sz w:val="24"/>
          <w:szCs w:val="24"/>
          <w:lang w:val="en-US"/>
        </w:rPr>
        <w:t xml:space="preserve"> </w:t>
      </w:r>
      <w:r w:rsidRPr="00E47A42">
        <w:rPr>
          <w:rFonts w:ascii="Book Antiqua" w:hAnsi="Book Antiqua" w:cs="Times New Roman"/>
          <w:sz w:val="24"/>
          <w:szCs w:val="24"/>
          <w:lang w:val="en-US"/>
        </w:rPr>
        <w:t>Rats with a perforated cecum that underwent this combined therapy exhibited an open defect that was found to be larger than</w:t>
      </w:r>
      <w:r w:rsidR="00844520" w:rsidRPr="00E47A42">
        <w:rPr>
          <w:rFonts w:ascii="Book Antiqua" w:hAnsi="Book Antiqua" w:cs="Times New Roman"/>
          <w:sz w:val="24"/>
          <w:szCs w:val="24"/>
          <w:lang w:val="en-US"/>
        </w:rPr>
        <w:t xml:space="preserve"> that</w:t>
      </w:r>
      <w:r w:rsidRPr="00E47A42">
        <w:rPr>
          <w:rFonts w:ascii="Book Antiqua" w:hAnsi="Book Antiqua" w:cs="Times New Roman"/>
          <w:sz w:val="24"/>
          <w:szCs w:val="24"/>
          <w:lang w:val="en-US"/>
        </w:rPr>
        <w:t xml:space="preserve"> in the controls, and markedly more adhesions were present (Table 1).</w:t>
      </w:r>
    </w:p>
    <w:p w14:paraId="702D82D4" w14:textId="77777777" w:rsidR="00827922" w:rsidRDefault="00827922" w:rsidP="00827922">
      <w:pPr>
        <w:snapToGrid w:val="0"/>
        <w:spacing w:after="0" w:line="360" w:lineRule="auto"/>
        <w:jc w:val="both"/>
        <w:rPr>
          <w:rFonts w:ascii="Book Antiqua" w:hAnsi="Book Antiqua" w:cs="Times New Roman"/>
          <w:i/>
          <w:sz w:val="24"/>
          <w:szCs w:val="24"/>
          <w:lang w:val="en-US" w:eastAsia="zh-CN"/>
        </w:rPr>
      </w:pPr>
    </w:p>
    <w:p w14:paraId="191C9BD1" w14:textId="466665E4" w:rsidR="009B03BD" w:rsidRPr="00E47A42" w:rsidRDefault="009B03BD" w:rsidP="00827922">
      <w:pPr>
        <w:snapToGrid w:val="0"/>
        <w:spacing w:after="0" w:line="360" w:lineRule="auto"/>
        <w:jc w:val="both"/>
        <w:rPr>
          <w:rFonts w:ascii="Book Antiqua" w:hAnsi="Book Antiqua" w:cs="Times New Roman"/>
          <w:sz w:val="24"/>
          <w:szCs w:val="24"/>
          <w:lang w:val="en-US"/>
        </w:rPr>
      </w:pPr>
      <w:r w:rsidRPr="00827922">
        <w:rPr>
          <w:rFonts w:ascii="Book Antiqua" w:hAnsi="Book Antiqua" w:cs="Times New Roman"/>
          <w:b/>
          <w:sz w:val="24"/>
          <w:szCs w:val="24"/>
          <w:lang w:val="en-US"/>
        </w:rPr>
        <w:t>Combined therapy of L-arginine and/or L-NAME with BPC 157</w:t>
      </w:r>
      <w:r w:rsidR="00827922">
        <w:rPr>
          <w:rFonts w:ascii="Book Antiqua" w:hAnsi="Book Antiqua" w:cs="Times New Roman" w:hint="eastAsia"/>
          <w:b/>
          <w:sz w:val="24"/>
          <w:szCs w:val="24"/>
          <w:lang w:val="en-US" w:eastAsia="zh-CN"/>
        </w:rPr>
        <w:t>:</w:t>
      </w:r>
      <w:r w:rsidRPr="00827922">
        <w:rPr>
          <w:rFonts w:ascii="Book Antiqua" w:hAnsi="Book Antiqua" w:cs="Times New Roman"/>
          <w:b/>
          <w:sz w:val="24"/>
          <w:szCs w:val="24"/>
          <w:lang w:val="en-US"/>
        </w:rPr>
        <w:t xml:space="preserve"> </w:t>
      </w:r>
      <w:r w:rsidRPr="00E47A42">
        <w:rPr>
          <w:rFonts w:ascii="Book Antiqua" w:hAnsi="Book Antiqua" w:cs="Times New Roman"/>
          <w:sz w:val="24"/>
          <w:szCs w:val="24"/>
          <w:lang w:val="en-US"/>
        </w:rPr>
        <w:t xml:space="preserve">BPC 157 with L-arginine and/or L-NAME (L-NAME+BPC 157; </w:t>
      </w:r>
      <w:proofErr w:type="spellStart"/>
      <w:r w:rsidRPr="00E47A42">
        <w:rPr>
          <w:rFonts w:ascii="Book Antiqua" w:hAnsi="Book Antiqua" w:cs="Times New Roman"/>
          <w:sz w:val="24"/>
          <w:szCs w:val="24"/>
          <w:lang w:val="en-US"/>
        </w:rPr>
        <w:t>L-arginine+BPC</w:t>
      </w:r>
      <w:proofErr w:type="spellEnd"/>
      <w:r w:rsidRPr="00E47A42">
        <w:rPr>
          <w:rFonts w:ascii="Book Antiqua" w:hAnsi="Book Antiqua" w:cs="Times New Roman"/>
          <w:sz w:val="24"/>
          <w:szCs w:val="24"/>
          <w:lang w:val="en-US"/>
        </w:rPr>
        <w:t xml:space="preserve"> 157; </w:t>
      </w:r>
      <w:proofErr w:type="spellStart"/>
      <w:r w:rsidRPr="00E47A42">
        <w:rPr>
          <w:rFonts w:ascii="Book Antiqua" w:hAnsi="Book Antiqua" w:cs="Times New Roman"/>
          <w:sz w:val="24"/>
          <w:szCs w:val="24"/>
          <w:lang w:val="en-US"/>
        </w:rPr>
        <w:t>L-NAME+L-arginine+BPC</w:t>
      </w:r>
      <w:proofErr w:type="spellEnd"/>
      <w:r w:rsidRPr="00E47A42">
        <w:rPr>
          <w:rFonts w:ascii="Book Antiqua" w:hAnsi="Book Antiqua" w:cs="Times New Roman"/>
          <w:sz w:val="24"/>
          <w:szCs w:val="24"/>
          <w:lang w:val="en-US"/>
        </w:rPr>
        <w:t xml:space="preserve"> 157) le</w:t>
      </w:r>
      <w:r w:rsidR="00844520" w:rsidRPr="00E47A42">
        <w:rPr>
          <w:rFonts w:ascii="Book Antiqua" w:hAnsi="Book Antiqua" w:cs="Times New Roman"/>
          <w:sz w:val="24"/>
          <w:szCs w:val="24"/>
          <w:lang w:val="en-US"/>
        </w:rPr>
        <w:t>d</w:t>
      </w:r>
      <w:r w:rsidRPr="00E47A42">
        <w:rPr>
          <w:rFonts w:ascii="Book Antiqua" w:hAnsi="Book Antiqua" w:cs="Times New Roman"/>
          <w:sz w:val="24"/>
          <w:szCs w:val="24"/>
          <w:lang w:val="en-US"/>
        </w:rPr>
        <w:t xml:space="preserve"> to defect attenuation and eventually no defect grossly present with fewer adhesions, similar to the rats that receive</w:t>
      </w:r>
      <w:r w:rsidR="005F62B1" w:rsidRPr="00E47A42">
        <w:rPr>
          <w:rFonts w:ascii="Book Antiqua" w:hAnsi="Book Antiqua" w:cs="Times New Roman"/>
          <w:sz w:val="24"/>
          <w:szCs w:val="24"/>
          <w:lang w:val="en-US"/>
        </w:rPr>
        <w:t>d</w:t>
      </w:r>
      <w:r w:rsidRPr="00E47A42">
        <w:rPr>
          <w:rFonts w:ascii="Book Antiqua" w:hAnsi="Book Antiqua" w:cs="Times New Roman"/>
          <w:sz w:val="24"/>
          <w:szCs w:val="24"/>
          <w:lang w:val="en-US"/>
        </w:rPr>
        <w:t xml:space="preserve"> BPC 157 alone (Table 1).</w:t>
      </w:r>
      <w:r w:rsidR="00CB6D86">
        <w:rPr>
          <w:rFonts w:ascii="Book Antiqua" w:hAnsi="Book Antiqua" w:cs="Times New Roman"/>
          <w:sz w:val="24"/>
          <w:szCs w:val="24"/>
          <w:lang w:val="en-US"/>
        </w:rPr>
        <w:t xml:space="preserve"> </w:t>
      </w:r>
    </w:p>
    <w:p w14:paraId="79926050" w14:textId="77777777" w:rsidR="009B03BD" w:rsidRPr="00E47A42" w:rsidRDefault="009B03BD" w:rsidP="00F73ADC">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sz w:val="24"/>
          <w:szCs w:val="24"/>
          <w:lang w:val="en-US"/>
        </w:rPr>
        <w:t>NO level</w:t>
      </w:r>
    </w:p>
    <w:p w14:paraId="7F85D086" w14:textId="6187B8E7" w:rsidR="009B03BD" w:rsidRPr="00E47A42" w:rsidRDefault="009B03BD" w:rsidP="00827922">
      <w:pPr>
        <w:snapToGrid w:val="0"/>
        <w:spacing w:after="0"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 xml:space="preserve">In the early term, NO level assessment demonstrated a </w:t>
      </w:r>
      <w:r w:rsidR="005F62B1" w:rsidRPr="00E47A42">
        <w:rPr>
          <w:rFonts w:ascii="Book Antiqua" w:hAnsi="Book Antiqua" w:cs="Times New Roman"/>
          <w:sz w:val="24"/>
          <w:szCs w:val="24"/>
          <w:lang w:val="en-US"/>
        </w:rPr>
        <w:t>reduction</w:t>
      </w:r>
      <w:r w:rsidRPr="00E47A42">
        <w:rPr>
          <w:rFonts w:ascii="Book Antiqua" w:hAnsi="Book Antiqua" w:cs="Times New Roman"/>
          <w:sz w:val="24"/>
          <w:szCs w:val="24"/>
          <w:lang w:val="en-US"/>
        </w:rPr>
        <w:t xml:space="preserve"> in the levels in rats that underwent cecum perforation, but the NO values in rats with a perforated cecum that underwent BPC 157 medication were similar to th</w:t>
      </w:r>
      <w:r w:rsidR="005F62B1" w:rsidRPr="00E47A42">
        <w:rPr>
          <w:rFonts w:ascii="Book Antiqua" w:hAnsi="Book Antiqua" w:cs="Times New Roman"/>
          <w:sz w:val="24"/>
          <w:szCs w:val="24"/>
          <w:lang w:val="en-US"/>
        </w:rPr>
        <w:t>ose</w:t>
      </w:r>
      <w:r w:rsidRPr="00E47A42">
        <w:rPr>
          <w:rFonts w:ascii="Book Antiqua" w:hAnsi="Book Antiqua" w:cs="Times New Roman"/>
          <w:sz w:val="24"/>
          <w:szCs w:val="24"/>
          <w:lang w:val="en-US"/>
        </w:rPr>
        <w:t xml:space="preserve"> in healthy rats (</w:t>
      </w:r>
      <w:r w:rsidR="00AE4E06" w:rsidRPr="00E47A42">
        <w:rPr>
          <w:rFonts w:ascii="Book Antiqua" w:hAnsi="Book Antiqua" w:cs="Times New Roman"/>
          <w:sz w:val="24"/>
          <w:szCs w:val="24"/>
          <w:lang w:val="en-US"/>
        </w:rPr>
        <w:t>Fig</w:t>
      </w:r>
      <w:r w:rsidR="00AE4E06">
        <w:rPr>
          <w:rFonts w:ascii="Book Antiqua" w:hAnsi="Book Antiqua" w:cs="Times New Roman" w:hint="eastAsia"/>
          <w:sz w:val="24"/>
          <w:szCs w:val="24"/>
          <w:lang w:val="en-US" w:eastAsia="zh-CN"/>
        </w:rPr>
        <w:t xml:space="preserve">ure </w:t>
      </w:r>
      <w:r w:rsidRPr="00E47A42">
        <w:rPr>
          <w:rFonts w:ascii="Book Antiqua" w:hAnsi="Book Antiqua" w:cs="Times New Roman"/>
          <w:sz w:val="24"/>
          <w:szCs w:val="24"/>
          <w:lang w:val="en-US"/>
        </w:rPr>
        <w:t>4).</w:t>
      </w:r>
    </w:p>
    <w:p w14:paraId="7224B29F" w14:textId="77777777" w:rsidR="00AE4E06" w:rsidRPr="00AE4E06" w:rsidRDefault="00AE4E06" w:rsidP="00F73ADC">
      <w:pPr>
        <w:snapToGrid w:val="0"/>
        <w:spacing w:after="0" w:line="360" w:lineRule="auto"/>
        <w:jc w:val="both"/>
        <w:rPr>
          <w:rFonts w:ascii="Book Antiqua" w:hAnsi="Book Antiqua" w:cs="Times New Roman"/>
          <w:sz w:val="24"/>
          <w:szCs w:val="24"/>
          <w:lang w:val="en-US" w:eastAsia="zh-CN"/>
        </w:rPr>
      </w:pPr>
    </w:p>
    <w:p w14:paraId="4B9DA16F" w14:textId="77777777" w:rsidR="009B03BD" w:rsidRPr="00AE4E06" w:rsidRDefault="009B03BD" w:rsidP="00F73ADC">
      <w:pPr>
        <w:snapToGrid w:val="0"/>
        <w:spacing w:after="0" w:line="360" w:lineRule="auto"/>
        <w:jc w:val="both"/>
        <w:rPr>
          <w:rFonts w:ascii="Book Antiqua" w:hAnsi="Book Antiqua" w:cs="Times New Roman"/>
          <w:b/>
          <w:i/>
          <w:sz w:val="24"/>
          <w:szCs w:val="24"/>
          <w:lang w:val="en-US"/>
        </w:rPr>
      </w:pPr>
      <w:r w:rsidRPr="00AE4E06">
        <w:rPr>
          <w:rFonts w:ascii="Book Antiqua" w:hAnsi="Book Antiqua" w:cs="Times New Roman"/>
          <w:b/>
          <w:i/>
          <w:sz w:val="24"/>
          <w:szCs w:val="24"/>
          <w:lang w:val="en-US"/>
        </w:rPr>
        <w:t>Lipid peroxidation</w:t>
      </w:r>
    </w:p>
    <w:p w14:paraId="794709CB" w14:textId="77777777" w:rsidR="009B03BD" w:rsidRPr="00E47A42" w:rsidRDefault="009B03BD" w:rsidP="00AE4E06">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sz w:val="24"/>
          <w:szCs w:val="24"/>
          <w:lang w:val="en-US"/>
        </w:rPr>
        <w:t xml:space="preserve">In the early stages, lipid peroxidation assessment demonstrated a huge increase in rats that underwent cecum perforation but no MDA oxidative stress in rats with a </w:t>
      </w:r>
      <w:r w:rsidRPr="00E47A42">
        <w:rPr>
          <w:rFonts w:ascii="Book Antiqua" w:hAnsi="Book Antiqua" w:cs="Times New Roman"/>
          <w:noProof/>
          <w:sz w:val="24"/>
          <w:szCs w:val="24"/>
          <w:lang w:val="en-US"/>
        </w:rPr>
        <w:t>perforate</w:t>
      </w:r>
      <w:r w:rsidRPr="00E47A42">
        <w:rPr>
          <w:rFonts w:ascii="Book Antiqua" w:hAnsi="Book Antiqua" w:cs="Times New Roman"/>
          <w:sz w:val="24"/>
          <w:szCs w:val="24"/>
          <w:lang w:val="en-US"/>
        </w:rPr>
        <w:t xml:space="preserve"> cecum that underwent BPC 157 medication (Fig. 5).</w:t>
      </w:r>
    </w:p>
    <w:p w14:paraId="04E566E4" w14:textId="77777777" w:rsidR="00AE4E06" w:rsidRDefault="00AE4E06" w:rsidP="00F73ADC">
      <w:pPr>
        <w:snapToGrid w:val="0"/>
        <w:spacing w:after="0" w:line="360" w:lineRule="auto"/>
        <w:jc w:val="both"/>
        <w:rPr>
          <w:rFonts w:ascii="Book Antiqua" w:hAnsi="Book Antiqua" w:cs="Times New Roman"/>
          <w:sz w:val="24"/>
          <w:szCs w:val="24"/>
          <w:lang w:val="en-US" w:eastAsia="zh-CN"/>
        </w:rPr>
      </w:pPr>
    </w:p>
    <w:p w14:paraId="354FB538" w14:textId="77777777" w:rsidR="009B03BD" w:rsidRPr="00AE4E06" w:rsidRDefault="009B03BD" w:rsidP="00F73ADC">
      <w:pPr>
        <w:snapToGrid w:val="0"/>
        <w:spacing w:after="0" w:line="360" w:lineRule="auto"/>
        <w:jc w:val="both"/>
        <w:rPr>
          <w:rFonts w:ascii="Book Antiqua" w:hAnsi="Book Antiqua" w:cs="Times New Roman"/>
          <w:b/>
          <w:i/>
          <w:sz w:val="24"/>
          <w:szCs w:val="24"/>
          <w:lang w:val="en-US"/>
        </w:rPr>
      </w:pPr>
      <w:r w:rsidRPr="00AE4E06">
        <w:rPr>
          <w:rFonts w:ascii="Book Antiqua" w:hAnsi="Book Antiqua" w:cs="Times New Roman"/>
          <w:b/>
          <w:i/>
          <w:sz w:val="24"/>
          <w:szCs w:val="24"/>
          <w:lang w:val="en-US"/>
        </w:rPr>
        <w:t>Microscopy</w:t>
      </w:r>
    </w:p>
    <w:p w14:paraId="11141F0F" w14:textId="155718B4" w:rsidR="00F82C98" w:rsidRPr="00E47A42" w:rsidRDefault="009B03BD" w:rsidP="00AE4E06">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sz w:val="24"/>
          <w:szCs w:val="24"/>
          <w:lang w:val="en-US"/>
        </w:rPr>
        <w:t xml:space="preserve">At the first day post-injury, controls exhibited intensive </w:t>
      </w:r>
      <w:r w:rsidRPr="00E47A42">
        <w:rPr>
          <w:rFonts w:ascii="Book Antiqua" w:hAnsi="Book Antiqua" w:cs="Times New Roman"/>
          <w:noProof/>
          <w:sz w:val="24"/>
          <w:szCs w:val="24"/>
          <w:lang w:val="en-US"/>
        </w:rPr>
        <w:t>edema</w:t>
      </w:r>
      <w:r w:rsidRPr="00E47A42">
        <w:rPr>
          <w:rFonts w:ascii="Book Antiqua" w:hAnsi="Book Antiqua" w:cs="Times New Roman"/>
          <w:sz w:val="24"/>
          <w:szCs w:val="24"/>
          <w:lang w:val="en-US"/>
        </w:rPr>
        <w:t xml:space="preserve">, loss of glands in the vicinity of the perforation, scarce inflammation, and neutrophils. </w:t>
      </w:r>
      <w:r w:rsidR="005F62B1" w:rsidRPr="00E47A42">
        <w:rPr>
          <w:rFonts w:ascii="Book Antiqua" w:hAnsi="Book Antiqua" w:cs="Times New Roman"/>
          <w:sz w:val="24"/>
          <w:szCs w:val="24"/>
          <w:lang w:val="en-US"/>
        </w:rPr>
        <w:t>By</w:t>
      </w:r>
      <w:r w:rsidRPr="00E47A42">
        <w:rPr>
          <w:rFonts w:ascii="Book Antiqua" w:hAnsi="Book Antiqua" w:cs="Times New Roman"/>
          <w:sz w:val="24"/>
          <w:szCs w:val="24"/>
          <w:lang w:val="en-US"/>
        </w:rPr>
        <w:t xml:space="preserve"> contrast, BPC </w:t>
      </w:r>
      <w:r w:rsidRPr="00E47A42">
        <w:rPr>
          <w:rFonts w:ascii="Book Antiqua" w:hAnsi="Book Antiqua" w:cs="Times New Roman"/>
          <w:sz w:val="24"/>
          <w:szCs w:val="24"/>
          <w:lang w:val="en-US"/>
        </w:rPr>
        <w:lastRenderedPageBreak/>
        <w:t xml:space="preserve">157-treated animals had much less </w:t>
      </w:r>
      <w:r w:rsidRPr="00E47A42">
        <w:rPr>
          <w:rFonts w:ascii="Book Antiqua" w:hAnsi="Book Antiqua" w:cs="Times New Roman"/>
          <w:noProof/>
          <w:sz w:val="24"/>
          <w:szCs w:val="24"/>
          <w:lang w:val="en-US"/>
        </w:rPr>
        <w:t>edema</w:t>
      </w:r>
      <w:r w:rsidRPr="00E47A42">
        <w:rPr>
          <w:rFonts w:ascii="Book Antiqua" w:hAnsi="Book Antiqua" w:cs="Times New Roman"/>
          <w:sz w:val="24"/>
          <w:szCs w:val="24"/>
          <w:lang w:val="en-US"/>
        </w:rPr>
        <w:t>, intensive inflammation (mixed</w:t>
      </w:r>
      <w:r w:rsidR="00907686" w:rsidRPr="00E47A42">
        <w:rPr>
          <w:rFonts w:ascii="Book Antiqua" w:hAnsi="Book Antiqua" w:cs="Times New Roman"/>
          <w:sz w:val="24"/>
          <w:szCs w:val="24"/>
          <w:lang w:val="en-US"/>
        </w:rPr>
        <w:t xml:space="preserve"> </w:t>
      </w:r>
      <w:r w:rsidRPr="00E47A42">
        <w:rPr>
          <w:rFonts w:ascii="Book Antiqua" w:hAnsi="Book Antiqua" w:cs="Times New Roman"/>
          <w:noProof/>
          <w:sz w:val="24"/>
          <w:szCs w:val="24"/>
          <w:lang w:val="en-US"/>
        </w:rPr>
        <w:t>neutro</w:t>
      </w:r>
      <w:r w:rsidRPr="00E47A42">
        <w:rPr>
          <w:rFonts w:ascii="Book Antiqua" w:hAnsi="Book Antiqua" w:cs="Times New Roman"/>
          <w:sz w:val="24"/>
          <w:szCs w:val="24"/>
          <w:lang w:val="en-US"/>
        </w:rPr>
        <w:t xml:space="preserve"> and mono) and a fibrin cloth attached to the defect (‘holding’ the edges) (</w:t>
      </w:r>
      <w:r w:rsidR="00AE4E06" w:rsidRPr="00E47A42">
        <w:rPr>
          <w:rFonts w:ascii="Book Antiqua" w:hAnsi="Book Antiqua" w:cs="Times New Roman"/>
          <w:sz w:val="24"/>
          <w:szCs w:val="24"/>
          <w:lang w:val="en-US"/>
        </w:rPr>
        <w:t>Fig</w:t>
      </w:r>
      <w:r w:rsidR="00AE4E06">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9). </w:t>
      </w:r>
    </w:p>
    <w:p w14:paraId="4DE80494" w14:textId="29B4803E" w:rsidR="009B03BD" w:rsidRPr="00E47A42" w:rsidRDefault="00D72C63" w:rsidP="00AE4E06">
      <w:pPr>
        <w:snapToGrid w:val="0"/>
        <w:spacing w:after="0" w:line="360" w:lineRule="auto"/>
        <w:ind w:firstLineChars="100" w:firstLine="240"/>
        <w:jc w:val="both"/>
        <w:rPr>
          <w:rFonts w:ascii="Book Antiqua" w:hAnsi="Book Antiqua" w:cs="Times New Roman"/>
          <w:sz w:val="24"/>
          <w:szCs w:val="24"/>
          <w:lang w:val="en-US"/>
        </w:rPr>
      </w:pPr>
      <w:r>
        <w:rPr>
          <w:rFonts w:ascii="Book Antiqua" w:hAnsi="Book Antiqua" w:cs="Times New Roman"/>
          <w:sz w:val="24"/>
          <w:szCs w:val="24"/>
          <w:lang w:val="en-US"/>
        </w:rPr>
        <w:t>In control animals, after 7 d</w:t>
      </w:r>
      <w:r w:rsidR="009B03BD" w:rsidRPr="00E47A42">
        <w:rPr>
          <w:rFonts w:ascii="Book Antiqua" w:hAnsi="Book Antiqua" w:cs="Times New Roman"/>
          <w:sz w:val="24"/>
          <w:szCs w:val="24"/>
          <w:lang w:val="en-US"/>
        </w:rPr>
        <w:t xml:space="preserve">, the perforation showed communication between the lumen and peritoneal cavity that was partly closed by a loose clot with </w:t>
      </w:r>
      <w:r w:rsidR="00907686" w:rsidRPr="00E47A42">
        <w:rPr>
          <w:rFonts w:ascii="Book Antiqua" w:hAnsi="Book Antiqua" w:cs="Times New Roman"/>
          <w:sz w:val="24"/>
          <w:szCs w:val="24"/>
          <w:lang w:val="en-US"/>
        </w:rPr>
        <w:t xml:space="preserve">much </w:t>
      </w:r>
      <w:r w:rsidR="009B03BD" w:rsidRPr="00E47A42">
        <w:rPr>
          <w:rFonts w:ascii="Book Antiqua" w:hAnsi="Book Antiqua" w:cs="Times New Roman"/>
          <w:sz w:val="24"/>
          <w:szCs w:val="24"/>
          <w:lang w:val="en-US"/>
        </w:rPr>
        <w:t xml:space="preserve">debris and </w:t>
      </w:r>
      <w:r w:rsidR="00907686" w:rsidRPr="00E47A42">
        <w:rPr>
          <w:rFonts w:ascii="Book Antiqua" w:hAnsi="Book Antiqua" w:cs="Times New Roman"/>
          <w:sz w:val="24"/>
          <w:szCs w:val="24"/>
          <w:lang w:val="en-US"/>
        </w:rPr>
        <w:t xml:space="preserve">many </w:t>
      </w:r>
      <w:r w:rsidR="009B03BD" w:rsidRPr="00E47A42">
        <w:rPr>
          <w:rFonts w:ascii="Book Antiqua" w:hAnsi="Book Antiqua" w:cs="Times New Roman"/>
          <w:sz w:val="24"/>
          <w:szCs w:val="24"/>
          <w:lang w:val="en-US"/>
        </w:rPr>
        <w:t>inflammatory cells (</w:t>
      </w:r>
      <w:r w:rsidR="00AE4E06" w:rsidRPr="00E47A42">
        <w:rPr>
          <w:rFonts w:ascii="Book Antiqua" w:hAnsi="Book Antiqua" w:cs="Times New Roman"/>
          <w:sz w:val="24"/>
          <w:szCs w:val="24"/>
          <w:lang w:val="en-US"/>
        </w:rPr>
        <w:t>Fig</w:t>
      </w:r>
      <w:r w:rsidR="00AE4E06">
        <w:rPr>
          <w:rFonts w:ascii="Book Antiqua" w:hAnsi="Book Antiqua" w:cs="Times New Roman" w:hint="eastAsia"/>
          <w:sz w:val="24"/>
          <w:szCs w:val="24"/>
          <w:lang w:val="en-US" w:eastAsia="zh-CN"/>
        </w:rPr>
        <w:t>ure</w:t>
      </w:r>
      <w:r w:rsidR="005C3032">
        <w:rPr>
          <w:rFonts w:ascii="Book Antiqua" w:hAnsi="Book Antiqua" w:cs="Times New Roman" w:hint="eastAsia"/>
          <w:sz w:val="24"/>
          <w:szCs w:val="24"/>
          <w:lang w:val="en-US" w:eastAsia="zh-CN"/>
        </w:rPr>
        <w:t xml:space="preserve"> </w:t>
      </w:r>
      <w:r w:rsidR="009B03BD" w:rsidRPr="00E47A42">
        <w:rPr>
          <w:rFonts w:ascii="Book Antiqua" w:hAnsi="Book Antiqua" w:cs="Times New Roman"/>
          <w:sz w:val="24"/>
          <w:szCs w:val="24"/>
          <w:lang w:val="en-US"/>
        </w:rPr>
        <w:t>10). In treated animals, the defect was sealed with well-formed granulation tissue. The surrounding mucosa in controls was edematous, and the epithelium showed practically no regenerative activity</w:t>
      </w:r>
      <w:r w:rsidR="005F62B1" w:rsidRPr="00E47A42">
        <w:rPr>
          <w:rFonts w:ascii="Book Antiqua" w:hAnsi="Book Antiqua" w:cs="Times New Roman"/>
          <w:sz w:val="24"/>
          <w:szCs w:val="24"/>
          <w:lang w:val="en-US"/>
        </w:rPr>
        <w:t>.</w:t>
      </w:r>
      <w:r w:rsidR="009B03BD" w:rsidRPr="00E47A42">
        <w:rPr>
          <w:rFonts w:ascii="Book Antiqua" w:hAnsi="Book Antiqua" w:cs="Times New Roman"/>
          <w:sz w:val="24"/>
          <w:szCs w:val="24"/>
          <w:lang w:val="en-US"/>
        </w:rPr>
        <w:t xml:space="preserve"> </w:t>
      </w:r>
      <w:r w:rsidR="005F62B1" w:rsidRPr="00E47A42">
        <w:rPr>
          <w:rFonts w:ascii="Book Antiqua" w:hAnsi="Book Antiqua" w:cs="Times New Roman"/>
          <w:sz w:val="24"/>
          <w:szCs w:val="24"/>
          <w:lang w:val="en-US"/>
        </w:rPr>
        <w:t>However,</w:t>
      </w:r>
      <w:r w:rsidR="009B03BD" w:rsidRPr="00E47A42">
        <w:rPr>
          <w:rFonts w:ascii="Book Antiqua" w:hAnsi="Book Antiqua" w:cs="Times New Roman"/>
          <w:sz w:val="24"/>
          <w:szCs w:val="24"/>
          <w:lang w:val="en-US"/>
        </w:rPr>
        <w:t xml:space="preserve"> in treated animals, the </w:t>
      </w:r>
      <w:r w:rsidR="009B03BD" w:rsidRPr="00E47A42">
        <w:rPr>
          <w:rFonts w:ascii="Book Antiqua" w:hAnsi="Book Antiqua" w:cs="Times New Roman"/>
          <w:noProof/>
          <w:sz w:val="24"/>
          <w:szCs w:val="24"/>
          <w:lang w:val="en-US"/>
        </w:rPr>
        <w:t>edema</w:t>
      </w:r>
      <w:r w:rsidR="009B03BD" w:rsidRPr="00E47A42">
        <w:rPr>
          <w:rFonts w:ascii="Book Antiqua" w:hAnsi="Book Antiqua" w:cs="Times New Roman"/>
          <w:sz w:val="24"/>
          <w:szCs w:val="24"/>
          <w:lang w:val="en-US"/>
        </w:rPr>
        <w:t xml:space="preserve"> was much less pronounced</w:t>
      </w:r>
      <w:r w:rsidR="005F62B1" w:rsidRPr="00E47A42">
        <w:rPr>
          <w:rFonts w:ascii="Book Antiqua" w:hAnsi="Book Antiqua" w:cs="Times New Roman"/>
          <w:sz w:val="24"/>
          <w:szCs w:val="24"/>
          <w:lang w:val="en-US"/>
        </w:rPr>
        <w:t>,</w:t>
      </w:r>
      <w:r w:rsidR="009B03BD" w:rsidRPr="00E47A42">
        <w:rPr>
          <w:rFonts w:ascii="Book Antiqua" w:hAnsi="Book Antiqua" w:cs="Times New Roman"/>
          <w:sz w:val="24"/>
          <w:szCs w:val="24"/>
          <w:lang w:val="en-US"/>
        </w:rPr>
        <w:t xml:space="preserve"> and the surface epithelium </w:t>
      </w:r>
      <w:r w:rsidR="00907686" w:rsidRPr="00E47A42">
        <w:rPr>
          <w:rFonts w:ascii="Book Antiqua" w:hAnsi="Book Antiqua" w:cs="Times New Roman"/>
          <w:sz w:val="24"/>
          <w:szCs w:val="24"/>
          <w:lang w:val="en-US"/>
        </w:rPr>
        <w:t xml:space="preserve">began </w:t>
      </w:r>
      <w:r w:rsidR="009B03BD" w:rsidRPr="00E47A42">
        <w:rPr>
          <w:rFonts w:ascii="Book Antiqua" w:hAnsi="Book Antiqua" w:cs="Times New Roman"/>
          <w:sz w:val="24"/>
          <w:szCs w:val="24"/>
          <w:lang w:val="en-US"/>
        </w:rPr>
        <w:t>to migrate over the defect.</w:t>
      </w:r>
    </w:p>
    <w:p w14:paraId="72D38DD7" w14:textId="3184F581" w:rsidR="00BE6650" w:rsidRPr="00E47A42" w:rsidRDefault="00BE6650" w:rsidP="00AE4E06">
      <w:pPr>
        <w:snapToGrid w:val="0"/>
        <w:spacing w:after="0"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However, no lethal outcome was noted during the experiment.</w:t>
      </w:r>
    </w:p>
    <w:p w14:paraId="1B5B5651" w14:textId="77777777" w:rsidR="002F61DE" w:rsidRPr="00E47A42" w:rsidRDefault="002F61DE" w:rsidP="00F73ADC">
      <w:pPr>
        <w:snapToGrid w:val="0"/>
        <w:spacing w:after="0" w:line="360" w:lineRule="auto"/>
        <w:jc w:val="both"/>
        <w:rPr>
          <w:rFonts w:ascii="Book Antiqua" w:hAnsi="Book Antiqua" w:cs="Times New Roman"/>
          <w:sz w:val="24"/>
          <w:szCs w:val="24"/>
          <w:lang w:val="en-US" w:eastAsia="zh-CN"/>
        </w:rPr>
      </w:pPr>
    </w:p>
    <w:p w14:paraId="10457E1F" w14:textId="7E2E5B18" w:rsidR="00A302B4" w:rsidRPr="00E47A42" w:rsidRDefault="0022476E" w:rsidP="00F73ADC">
      <w:pPr>
        <w:pStyle w:val="a3"/>
        <w:snapToGrid w:val="0"/>
        <w:spacing w:line="360" w:lineRule="auto"/>
        <w:jc w:val="both"/>
        <w:rPr>
          <w:rFonts w:ascii="Book Antiqua" w:hAnsi="Book Antiqua" w:cs="Times New Roman"/>
          <w:b/>
          <w:sz w:val="24"/>
          <w:szCs w:val="24"/>
          <w:lang w:val="en-US"/>
        </w:rPr>
      </w:pPr>
      <w:r w:rsidRPr="00E47A42">
        <w:rPr>
          <w:rFonts w:ascii="Book Antiqua" w:hAnsi="Book Antiqua" w:cs="Times New Roman"/>
          <w:b/>
          <w:sz w:val="24"/>
          <w:szCs w:val="24"/>
          <w:lang w:val="en-US"/>
        </w:rPr>
        <w:t>DISCUSSION</w:t>
      </w:r>
    </w:p>
    <w:p w14:paraId="507BF5BC" w14:textId="5D045114" w:rsidR="00AF42FF" w:rsidRPr="00E47A42" w:rsidRDefault="00BE7057" w:rsidP="00F73ADC">
      <w:pPr>
        <w:pStyle w:val="a3"/>
        <w:snapToGrid w:val="0"/>
        <w:spacing w:line="360" w:lineRule="auto"/>
        <w:jc w:val="both"/>
        <w:rPr>
          <w:rFonts w:ascii="Book Antiqua" w:hAnsi="Book Antiqua" w:cs="Times New Roman"/>
          <w:sz w:val="24"/>
          <w:szCs w:val="24"/>
          <w:lang w:val="en-US"/>
        </w:rPr>
      </w:pPr>
      <w:r w:rsidRPr="00E47A42">
        <w:rPr>
          <w:rFonts w:ascii="Book Antiqua" w:hAnsi="Book Antiqua" w:cs="Times New Roman"/>
          <w:sz w:val="24"/>
          <w:szCs w:val="24"/>
          <w:lang w:val="en-US"/>
        </w:rPr>
        <w:t xml:space="preserve">Major </w:t>
      </w:r>
      <w:r w:rsidR="00495E6D" w:rsidRPr="00E47A42">
        <w:rPr>
          <w:rFonts w:ascii="Book Antiqua" w:hAnsi="Book Antiqua" w:cs="Times New Roman"/>
          <w:sz w:val="24"/>
          <w:szCs w:val="24"/>
          <w:lang w:val="en-US"/>
        </w:rPr>
        <w:t>disturbance</w:t>
      </w:r>
      <w:r w:rsidR="009234D0" w:rsidRPr="00E47A42">
        <w:rPr>
          <w:rFonts w:ascii="Book Antiqua" w:hAnsi="Book Antiqua" w:cs="Times New Roman"/>
          <w:sz w:val="24"/>
          <w:szCs w:val="24"/>
          <w:lang w:val="en-US"/>
        </w:rPr>
        <w:t>s</w:t>
      </w:r>
      <w:r w:rsidRPr="00E47A42">
        <w:rPr>
          <w:rFonts w:ascii="Book Antiqua" w:hAnsi="Book Antiqua" w:cs="Times New Roman"/>
          <w:sz w:val="24"/>
          <w:szCs w:val="24"/>
          <w:lang w:val="en-US"/>
        </w:rPr>
        <w:t xml:space="preserve"> in a</w:t>
      </w:r>
      <w:r w:rsidR="00EC0007" w:rsidRPr="00E47A42">
        <w:rPr>
          <w:rFonts w:ascii="Book Antiqua" w:hAnsi="Book Antiqua" w:cs="Times New Roman"/>
          <w:sz w:val="24"/>
          <w:szCs w:val="24"/>
          <w:lang w:val="en-US"/>
        </w:rPr>
        <w:t xml:space="preserve">n immediate post-injury period </w:t>
      </w:r>
      <w:r w:rsidR="009234D0" w:rsidRPr="00E47A42">
        <w:rPr>
          <w:rFonts w:ascii="Book Antiqua" w:hAnsi="Book Antiqua" w:cs="Times New Roman"/>
          <w:sz w:val="24"/>
          <w:szCs w:val="24"/>
          <w:lang w:val="en-US"/>
        </w:rPr>
        <w:t xml:space="preserve">also </w:t>
      </w:r>
      <w:r w:rsidRPr="00E47A42">
        <w:rPr>
          <w:rFonts w:ascii="Book Antiqua" w:hAnsi="Book Antiqua" w:cs="Times New Roman"/>
          <w:noProof/>
          <w:sz w:val="24"/>
          <w:szCs w:val="24"/>
          <w:lang w:val="en-US"/>
        </w:rPr>
        <w:t>entails</w:t>
      </w:r>
      <w:r w:rsidR="00E17A75"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the</w:t>
      </w:r>
      <w:r w:rsidR="00E17A75" w:rsidRPr="00E47A42">
        <w:rPr>
          <w:rFonts w:ascii="Book Antiqua" w:hAnsi="Book Antiqua" w:cs="Times New Roman"/>
          <w:sz w:val="24"/>
          <w:szCs w:val="24"/>
          <w:lang w:val="en-US"/>
        </w:rPr>
        <w:t xml:space="preserve"> possible injury reversal</w:t>
      </w:r>
      <w:r w:rsidR="00EC0007" w:rsidRPr="00E47A42">
        <w:rPr>
          <w:rFonts w:ascii="Book Antiqua" w:hAnsi="Book Antiqua" w:cs="Times New Roman"/>
          <w:sz w:val="24"/>
          <w:szCs w:val="24"/>
          <w:lang w:val="en-US"/>
        </w:rPr>
        <w:t xml:space="preserve"> in studies of ischemic colitis and inferior </w:t>
      </w:r>
      <w:r w:rsidR="00EC0007" w:rsidRPr="00E47A42">
        <w:rPr>
          <w:rFonts w:ascii="Book Antiqua" w:hAnsi="Book Antiqua" w:cs="Times New Roman"/>
          <w:noProof/>
          <w:sz w:val="24"/>
          <w:szCs w:val="24"/>
          <w:lang w:val="en-US"/>
        </w:rPr>
        <w:t>caval</w:t>
      </w:r>
      <w:r w:rsidR="00EC0007" w:rsidRPr="00E47A42">
        <w:rPr>
          <w:rFonts w:ascii="Book Antiqua" w:hAnsi="Book Antiqua" w:cs="Times New Roman"/>
          <w:sz w:val="24"/>
          <w:szCs w:val="24"/>
          <w:lang w:val="en-US"/>
        </w:rPr>
        <w:t xml:space="preserve"> vein occlusion</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00EC0007" w:rsidRPr="00E47A42">
        <w:rPr>
          <w:rFonts w:ascii="Book Antiqua" w:hAnsi="Book Antiqua" w:cs="Times New Roman"/>
          <w:sz w:val="24"/>
          <w:szCs w:val="24"/>
          <w:lang w:val="en-US"/>
        </w:rPr>
        <w:t>.</w:t>
      </w:r>
      <w:r w:rsidR="00E17A75" w:rsidRPr="00E47A42">
        <w:rPr>
          <w:rFonts w:ascii="Book Antiqua" w:hAnsi="Book Antiqua" w:cs="Times New Roman"/>
          <w:sz w:val="24"/>
          <w:szCs w:val="24"/>
          <w:lang w:val="en-US"/>
        </w:rPr>
        <w:t xml:space="preserve"> Th</w:t>
      </w:r>
      <w:r w:rsidR="003A308D" w:rsidRPr="00E47A42">
        <w:rPr>
          <w:rFonts w:ascii="Book Antiqua" w:hAnsi="Book Antiqua" w:cs="Times New Roman"/>
          <w:sz w:val="24"/>
          <w:szCs w:val="24"/>
          <w:lang w:val="en-US"/>
        </w:rPr>
        <w:t>us</w:t>
      </w:r>
      <w:r w:rsidR="00E17A75" w:rsidRPr="00E47A42">
        <w:rPr>
          <w:rFonts w:ascii="Book Antiqua" w:hAnsi="Book Antiqua" w:cs="Times New Roman"/>
          <w:sz w:val="24"/>
          <w:szCs w:val="24"/>
          <w:lang w:val="en-US"/>
        </w:rPr>
        <w:t>, t</w:t>
      </w:r>
      <w:r w:rsidR="00A302B4" w:rsidRPr="00E47A42">
        <w:rPr>
          <w:rFonts w:ascii="Book Antiqua" w:hAnsi="Book Antiqua" w:cs="Times New Roman"/>
          <w:sz w:val="24"/>
          <w:szCs w:val="24"/>
          <w:lang w:val="en-US"/>
        </w:rPr>
        <w:t xml:space="preserve">o reverse the immediate post-perforation threat in </w:t>
      </w:r>
      <w:r w:rsidR="003A308D" w:rsidRPr="00E47A42">
        <w:rPr>
          <w:rFonts w:ascii="Book Antiqua" w:hAnsi="Book Antiqua" w:cs="Times New Roman"/>
          <w:sz w:val="24"/>
          <w:szCs w:val="24"/>
          <w:lang w:val="en-US"/>
        </w:rPr>
        <w:t xml:space="preserve">the </w:t>
      </w:r>
      <w:r w:rsidR="00A302B4" w:rsidRPr="00E47A42">
        <w:rPr>
          <w:rFonts w:ascii="Book Antiqua" w:hAnsi="Book Antiqua" w:cs="Times New Roman"/>
          <w:sz w:val="24"/>
          <w:szCs w:val="24"/>
          <w:lang w:val="en-US"/>
        </w:rPr>
        <w:t>cecum (and</w:t>
      </w:r>
      <w:r w:rsidR="00802EF1"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 xml:space="preserve"> therefore</w:t>
      </w:r>
      <w:r w:rsidR="00802EF1"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 xml:space="preserve"> the complete downhill course) we </w:t>
      </w:r>
      <w:r w:rsidR="00802EF1" w:rsidRPr="00E47A42">
        <w:rPr>
          <w:rFonts w:ascii="Book Antiqua" w:hAnsi="Book Antiqua" w:cs="Times New Roman"/>
          <w:sz w:val="24"/>
          <w:szCs w:val="24"/>
          <w:lang w:val="en-US"/>
        </w:rPr>
        <w:t>focused on</w:t>
      </w:r>
      <w:r w:rsidR="00A302B4" w:rsidRPr="00E47A42">
        <w:rPr>
          <w:rFonts w:ascii="Book Antiqua" w:hAnsi="Book Antiqua" w:cs="Times New Roman"/>
          <w:sz w:val="24"/>
          <w:szCs w:val="24"/>
          <w:lang w:val="en-US"/>
        </w:rPr>
        <w:t xml:space="preserve"> th</w:t>
      </w:r>
      <w:r w:rsidR="009234D0" w:rsidRPr="00E47A42">
        <w:rPr>
          <w:rFonts w:ascii="Book Antiqua" w:hAnsi="Book Antiqua" w:cs="Times New Roman"/>
          <w:sz w:val="24"/>
          <w:szCs w:val="24"/>
          <w:lang w:val="en-US"/>
        </w:rPr>
        <w:t>e</w:t>
      </w:r>
      <w:r w:rsidR="00A302B4" w:rsidRPr="00E47A42">
        <w:rPr>
          <w:rFonts w:ascii="Book Antiqua" w:hAnsi="Book Antiqua" w:cs="Times New Roman"/>
          <w:sz w:val="24"/>
          <w:szCs w:val="24"/>
          <w:lang w:val="en-US"/>
        </w:rPr>
        <w:t xml:space="preserve"> immediate post-perforation period</w:t>
      </w:r>
      <w:r w:rsidR="00EC0007" w:rsidRPr="00E47A42">
        <w:rPr>
          <w:rFonts w:ascii="Book Antiqua" w:hAnsi="Book Antiqua" w:cs="Times New Roman"/>
          <w:sz w:val="24"/>
          <w:szCs w:val="24"/>
          <w:lang w:val="en-US"/>
        </w:rPr>
        <w:t xml:space="preserve">. We also </w:t>
      </w:r>
      <w:r w:rsidR="00802EF1" w:rsidRPr="00E47A42">
        <w:rPr>
          <w:rFonts w:ascii="Book Antiqua" w:hAnsi="Book Antiqua" w:cs="Times New Roman"/>
          <w:sz w:val="24"/>
          <w:szCs w:val="24"/>
          <w:lang w:val="en-US"/>
        </w:rPr>
        <w:t>addressed</w:t>
      </w:r>
      <w:r w:rsidR="00A302B4" w:rsidRPr="00E47A42">
        <w:rPr>
          <w:rFonts w:ascii="Book Antiqua" w:hAnsi="Book Antiqua" w:cs="Times New Roman"/>
          <w:sz w:val="24"/>
          <w:szCs w:val="24"/>
          <w:lang w:val="en-US"/>
        </w:rPr>
        <w:t xml:space="preserve"> the novel aspect of vascular rescue </w:t>
      </w:r>
      <w:r w:rsidR="00907686" w:rsidRPr="00E47A42">
        <w:rPr>
          <w:rFonts w:ascii="Book Antiqua" w:hAnsi="Book Antiqua" w:cs="Times New Roman"/>
          <w:sz w:val="24"/>
          <w:szCs w:val="24"/>
          <w:lang w:val="en-US"/>
        </w:rPr>
        <w:t xml:space="preserve">through </w:t>
      </w:r>
      <w:r w:rsidR="003A308D" w:rsidRPr="00E47A42">
        <w:rPr>
          <w:rFonts w:ascii="Book Antiqua" w:hAnsi="Book Antiqua" w:cs="Times New Roman"/>
          <w:sz w:val="24"/>
          <w:szCs w:val="24"/>
          <w:lang w:val="en-US"/>
        </w:rPr>
        <w:t xml:space="preserve">the </w:t>
      </w:r>
      <w:r w:rsidR="00A302B4" w:rsidRPr="00E47A42">
        <w:rPr>
          <w:rFonts w:ascii="Book Antiqua" w:hAnsi="Book Antiqua" w:cs="Times New Roman"/>
          <w:sz w:val="24"/>
          <w:szCs w:val="24"/>
          <w:lang w:val="en-US"/>
        </w:rPr>
        <w:t>application of cytoprotective agents, known</w:t>
      </w:r>
      <w:r w:rsidR="00802EF1"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 xml:space="preserve"> as a class</w:t>
      </w:r>
      <w:r w:rsidR="00802EF1" w:rsidRPr="00E47A42">
        <w:rPr>
          <w:rFonts w:ascii="Book Antiqua" w:hAnsi="Book Antiqua" w:cs="Times New Roman"/>
          <w:sz w:val="24"/>
          <w:szCs w:val="24"/>
          <w:lang w:val="en-US"/>
        </w:rPr>
        <w:t>, to</w:t>
      </w:r>
      <w:r w:rsidR="007840FD" w:rsidRPr="00E47A42">
        <w:rPr>
          <w:rFonts w:ascii="Book Antiqua" w:hAnsi="Book Antiqua" w:cs="Times New Roman"/>
          <w:sz w:val="24"/>
          <w:szCs w:val="24"/>
          <w:lang w:val="en-US"/>
        </w:rPr>
        <w:t xml:space="preserve"> </w:t>
      </w:r>
      <w:r w:rsidR="00802EF1" w:rsidRPr="00E47A42">
        <w:rPr>
          <w:rFonts w:ascii="Book Antiqua" w:hAnsi="Book Antiqua" w:cs="Times New Roman"/>
          <w:sz w:val="24"/>
          <w:szCs w:val="24"/>
          <w:lang w:val="en-US"/>
        </w:rPr>
        <w:t xml:space="preserve">function </w:t>
      </w:r>
      <w:r w:rsidR="003A308D" w:rsidRPr="00E47A42">
        <w:rPr>
          <w:rFonts w:ascii="Book Antiqua" w:hAnsi="Book Antiqua" w:cs="Times New Roman"/>
          <w:sz w:val="24"/>
          <w:szCs w:val="24"/>
          <w:lang w:val="en-US"/>
        </w:rPr>
        <w:t>in</w:t>
      </w:r>
      <w:r w:rsidR="00A302B4" w:rsidRPr="00E47A42">
        <w:rPr>
          <w:rFonts w:ascii="Book Antiqua" w:hAnsi="Book Antiqua" w:cs="Times New Roman"/>
          <w:sz w:val="24"/>
          <w:szCs w:val="24"/>
          <w:lang w:val="en-US"/>
        </w:rPr>
        <w:t xml:space="preserve"> endothelium maintenance in</w:t>
      </w:r>
      <w:r w:rsidR="003A308D" w:rsidRPr="00E47A42">
        <w:rPr>
          <w:rFonts w:ascii="Book Antiqua" w:hAnsi="Book Antiqua" w:cs="Times New Roman"/>
          <w:sz w:val="24"/>
          <w:szCs w:val="24"/>
          <w:lang w:val="en-US"/>
        </w:rPr>
        <w:t xml:space="preserve"> the</w:t>
      </w:r>
      <w:r w:rsidR="00A302B4" w:rsidRPr="00E47A42">
        <w:rPr>
          <w:rFonts w:ascii="Book Antiqua" w:hAnsi="Book Antiqua" w:cs="Times New Roman"/>
          <w:sz w:val="24"/>
          <w:szCs w:val="24"/>
          <w:lang w:val="en-US"/>
        </w:rPr>
        <w:t xml:space="preserve"> gastrointestinal tract (and</w:t>
      </w:r>
      <w:r w:rsidR="003A308D"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 xml:space="preserve"> th</w:t>
      </w:r>
      <w:r w:rsidR="003A308D" w:rsidRPr="00E47A42">
        <w:rPr>
          <w:rFonts w:ascii="Book Antiqua" w:hAnsi="Book Antiqua" w:cs="Times New Roman"/>
          <w:sz w:val="24"/>
          <w:szCs w:val="24"/>
          <w:lang w:val="en-US"/>
        </w:rPr>
        <w:t>us</w:t>
      </w:r>
      <w:r w:rsidR="00A302B4" w:rsidRPr="00E47A42">
        <w:rPr>
          <w:rFonts w:ascii="Book Antiqua" w:hAnsi="Book Antiqua" w:cs="Times New Roman"/>
          <w:sz w:val="24"/>
          <w:szCs w:val="24"/>
          <w:lang w:val="en-US"/>
        </w:rPr>
        <w:t>, mucosal maintenance)</w:t>
      </w:r>
      <w:r w:rsidR="003A6A7D"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{"citationItems":[{"id":"ITEM-1","itemData":{"ISSN":"0016-5085","PMID":"38173","author":[{"dropping-particle":"","family":"Robert","given":"A","non-dropping-particle":"","parse-names":false,"suffix":""}],"container-title":"Gastroenterology","id":"ITEM-1","issue":"4 Pt 1","issued":{"date-parts":[["1979","10"]]},"page":"761-7","title":"Cytoprotection by prostaglandins.","type":"article-journal","volume":"77"},"uris":["http://www.mendeley.com/documents/?uuid=49342c62-22fb-4e9e-8e1d-0c66f6f8fd98"]},{"id":"ITEM-2","itemData":{"DOI":"10.1016/0024-3205(94)00796-9","ISSN":"00243205","abstract":"The protection of stomach and duodenum in conjecture with anti-inflammatory effect was demonstrated for a novel 15 amino acid peptide, coded BPC 157, a fragment of the recently discovered gastric juice peptide BPC. BPC 157 (i.p./i.g.) was investigated in rats in comparison with several reference standards in three experimental ulcer models (48 h-restriant stress, subcutaneous cysteamine, intragastrical 96% ethanol ulcer tests) (pre-/co-/post-treatment). Only BPC 157 regimes were consistently effective in all of the tested models. On the other hand, bromocriptine, amantadine, famotidine, cimetidine and somatostatin were in effective (restraint stress). A dose-dependent protection (cysteamine) and/or partial positive effect (related to treatment conditions) (ethanol), was obtained with glucagon, NPY and secretin whereas CCK/26- 30/ was not effective. Based on Monastral blue studies BPC 157 beneficial effect appears to be related to a strong endothelial protection. © 1993.","author":[{"dropping-particle":"","family":"Sikiric","given":"P.","non-dropping-particle":"","parse-names":false,"suffix":""},{"dropping-particle":"","family":"Seiwerth","given":"S.","non-dropping-particle":"","parse-names":false,"suffix":""},{"dropping-particle":"","family":"Grabarevic","given":"Z.","non-dropping-particle":"","parse-names":false,"suffix":""},{"dropping-particle":"","family":"Petek","given":"M.","non-dropping-particle":"","parse-names":false,"suffix":""},{"dropping-particle":"","family":"Rucman","given":"R.","non-dropping-particle":"","parse-names":false,"suffix":""},{"dropping-particle":"","family":"Turkovic","given":"B.","non-dropping-particle":"","parse-names":false,"suffix":""},{"dropping-particle":"","family":"Rotkvic","given":"I.","non-dropping-particle":"","parse-names":false,"suffix":""},{"dropping-particle":"","family":"Jagic","given":"V.","non-dropping-particle":"","parse-names":false,"suffix":""},{"dropping-particle":"","family":"Duvnjak","given":"M.","non-dropping-particle":"","parse-names":false,"suffix":""},{"dropping-particle":"","family":"Mise","given":"S.","non-dropping-particle":"","parse-names":false,"suffix":""},{"dropping-particle":"","family":"Djacic","given":"S.","non-dropping-particle":"","parse-names":false,"suffix":""},{"dropping-particle":"","family":"Separovic","given":"J.","non-dropping-particle":"","parse-names":false,"suffix":""},{"dropping-particle":"","family":"Veljaca","given":"M.","non-dropping-particle":"","parse-names":false,"suffix":""},{"dropping-particle":"","family":"Sallmani","given":"A.","non-dropping-particle":"","parse-names":false,"suffix":""},{"dropping-particle":"","family":"Banic","given":"M.","non-dropping-particle":"","parse-names":false,"suffix":""},{"dropping-particle":"","family":"Brkic","given":"T.","non-dropping-particle":"","parse-names":false,"suffix":""}],"container-title":"Life Sciences","id":"ITEM-2","issue":"5","issued":{"date-parts":[["1994"]]},"title":"The beneficial effect of BPC 157, a 15 amino acid peptide BPC fragment, on gastric and duodenal lesions induced by restraint stress, cysteamine and 96% ethanol in rats. A comparative study with H&lt;inf&gt;2&lt;/inf&gt; receptor antagonists, dopamine promotors and gu","type":"article-journal","volume":"54"},"uris":["http://www.mendeley.com/documents/?uuid=72c1326c-4932-3348-bdfb-2924965ab9c5"]},{"id":"ITEM-3","itemData":{"DOI":"10.1007/978-1-4684-5697-4","ISBN":"978-1-4684-5699-8","author":[{"dropping-particle":"","family":"Szabo","given":"Sandor","non-dropping-particle":"","parse-names":false,"suffix":""}],"container-title":"Gastric cytoprotection. A clinician's guide","edition":"1. st","editor":[{"dropping-particle":"","family":"Hollander","given":"Daniel","non-dropping-particle":"","parse-names":false,"suffix":""},{"dropping-particle":"","family":"Tarnawski","given":"Andrzej S.","non-dropping-particle":"","parse-names":false,"suffix":""}],"id":"ITEM-3","issued":{"date-parts":[["1989"]]},"number-of-pages":"49-90","publisher":"Springer US","publisher-place":"Boston, MA","title":"Gastric Cytoprotection","type":"book"},"uris":["http://www.mendeley.com/documents/?uuid=b6143da9-cfd4-4cc4-9ba5-11dff6b9ff7e"]},{"id":"ITEM-4","itemData":{"ISSN":"0016-5085","PMID":"3871087","abstract":"The hypothesis that vascular injury contributes to the development of hemorrhagic erosions after intragastric administration of ethanol has been examined in the rat using vascular tracers. Extravasation of intravenously injected Evans blue into the gastric wall and into gastric contents was used as an indicator of vascular permeability. India ink and monastral blue, which label damaged blood vessels, were used to demonstrate vascular injury morphologically. Intragastric instillation of 75% and 100% ethanol induced increased vascular permeability within 1-3 min and resulted in monastral blue labeling of vessels in 13% and 17%, respectively, of the glandular mucosa within 1 min. After 1 h of 100% ethanol exposure, the areal density of monastral blue-stained blood vessels did not increase compared with that seen at 1 min, but the areal density of grossly visible hemorrhagic lesions increased strikingly and approximated that of vessel staining. The hemorrhagic erosions consistently occurred in regions of glandular mucosa where vessels were stained with monastral blue. Pretreatment with prostaglandin F2 beta or cysteamine reduced ethanol-induced Evans blue extravasation and monastral blue staining of mucosal blood vessels but did not reduce histologic evidence of gastric surface cell damage in the glandular mucosa. As increased vascular permeability and morphologically detectable vascular lesions consistently preceded the development of grossly visible hemorrhagic erosions in the glandular mucosa, we suggest that vascular injury is an early pathogenetic factor in the development of ethanol-induced gastric hemorrhagic erosions. The data also indicate that the degree of vascular damage, unlike the injury to surface epithelial cells, is reduced by pretreatment with prostaglandin F2 beta or the sulfhydryl cysteamine.","author":[{"dropping-particle":"","family":"Szabo","given":"S","non-dropping-particle":"","parse-names":false,"suffix":""},{"dropping-particle":"","family":"Trier","given":"J S","non-dropping-particle":"","parse-names":false,"suffix":""},{"dropping-particle":"","family":"Brown","given":"A","non-dropping-particle":"","parse-names":false,"suffix":""},{"dropping-particle":"","family":"Schnoor","given":"J","non-dropping-particle":"","parse-names":false,"suffix":""}],"container-title":"Gastroenterology","id":"ITEM-4","issue":"1 Pt 2","issued":{"date-parts":[["1985","1"]]},"page":"228-36","title":"Early vascular injury and increased vascular permeability in gastric mucosal injury caused by ethanol in the rat.","type":"article-journal","volume":"88"},"uris":["http://www.mendeley.com/documents/?uuid=a3272911-ef25-495c-85d1-1b71d1d7f12e"]},{"id":"ITEM-5","itemData":{"author":[{"dropping-particle":"","family":"Szabo","given":"Sandor","non-dropping-particle":"","parse-names":false,"suffix":""},{"dropping-particle":"","family":"Trier","given":"JS","non-dropping-particle":"","parse-names":false,"suffix":""}],"container-title":"Mechanism of mucosal protection in the upper gastrointestinal tract","editor":[{"dropping-particle":"","family":"Allen","given":"A","non-dropping-particle":"","parse-names":false,"suffix":""},{"dropping-particle":"","family":"Flemstrom","given":"G","non-dropping-particle":"","parse-names":false,"suffix":""},{"dropping-particle":"","family":"Garner","given":"A","non-dropping-particle":"","parse-names":false,"suffix":""},{"dropping-particle":"","family":"Silen","given":"W","non-dropping-particle":"","parse-names":false,"suffix":""},{"dropping-particle":"","family":"Turnberg","given":"LA","non-dropping-particle":"","parse-names":false,"suffix":""}],"id":"ITEM-5","issued":{"date-parts":[["1984"]]},"page":"387-393","publisher":"Raven","publisher-place":"New York","title":"Pathogenesis of acute gastric mucosal injury: Sulfhydrils as a protector, adrenal cortex as a modulator, and vascular endothelium as a target","type":"chapter"},"uris":["http://www.mendeley.com/documents/?uuid=21df94ec-a5e2-4420-85db-5334a540ef21"]},{"id":"ITEM-6","itemData":{"ISSN":"0016-5085","PMID":"3781180","abstract":"Impairment of the mucosal microcirculation may contribute to ethanol-induced gastric mucosal damage. In this report, we describe diffuse and severe ultrastructural damage to the capillaries of the gastric glandular mucosa of the rat that occurred within 1 min after intragastric instillation of 100% ethanol. There was a gradient of damage in that endothelial cell structure was most severely disrupted in profiles of capillaries located close to the luminal surface but some morphologic evidence of damage was evident in the wall of capillary profiles to a mean depth of 256 micron. Capillary structure was generally normal in the deeper regions of the mucosa. Pretreatment with intragastric cysteamine, 30 mg/100 g, or intragastric prostaglandin F2 beta, 0.5 mg/100 g, significantly reduced the depth in the mucosa to which damage to capillaries extended. Pretreatment with intragastric prostaglandin F2 beta, 0.2 mg/100 g, afforded no significant protection. We conclude that a 1-min exposure to 100% ethanol induces striking damage to the microcirculation of glandular mucosa of the rat stomach with severe damage to capillary profiles near the lumen and sparing of capillary profiles near the muscularis mucosa, and pretreatment with the sulfhydryl agent, cysteamine, or with a large dose of prostaglandin F2 beta reduces the extent of but does not abolish ethanol-induced damage to gastric mucosal capillaries.","author":[{"dropping-particle":"","family":"Trier","given":"JS","non-dropping-particle":"","parse-names":false,"suffix":""},{"dropping-particle":"","family":"Szabo","given":"S","non-dropping-particle":"","parse-names":false,"suffix":""},{"dropping-particle":"","family":"Allan","given":"CH","non-dropping-particle":"","parse-names":false,"suffix":""}],"container-title":"Gastroenterology","id":"ITEM-6","issue":"1","issued":{"date-parts":[["1987","1"]]},"page":"13-22","title":"Ethanol-induced damage to mucosal capillaries of rat stomach. Ultrastructural features and effects of prostaglandin F2 beta and cysteamine.","type":"article-journal","volume":"92"},"uris":["http://www.mendeley.com/documents/?uuid=c3f098f1-f060-4c67-9911-5ab2b4c90217"]}],"mendeley":{"formattedCitation":"&lt;sup&gt;[4–9]&lt;/sup&gt;","plainTextFormattedCitation":"[4–9]","previouslyFormattedCitation":"&lt;sup&gt;[4–9]&lt;/sup&gt;"},"properties":{"noteIndex":0},"schema":"https://github.com/citation-style-language/schema/raw/master/csl-citation.json"}</w:instrText>
      </w:r>
      <w:r w:rsidR="003A6A7D"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[4–9]</w:t>
      </w:r>
      <w:r w:rsidR="003A6A7D"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 xml:space="preserve"> </w:t>
      </w:r>
      <w:r w:rsidR="009234D0" w:rsidRPr="00E47A42">
        <w:rPr>
          <w:rFonts w:ascii="Book Antiqua" w:hAnsi="Book Antiqua" w:cs="Times New Roman"/>
          <w:sz w:val="24"/>
          <w:szCs w:val="24"/>
          <w:lang w:val="en-US"/>
        </w:rPr>
        <w:t>I</w:t>
      </w:r>
      <w:r w:rsidR="00A302B4" w:rsidRPr="00E47A42">
        <w:rPr>
          <w:rFonts w:ascii="Book Antiqua" w:hAnsi="Book Antiqua" w:cs="Times New Roman"/>
          <w:sz w:val="24"/>
          <w:szCs w:val="24"/>
          <w:lang w:val="en-US"/>
        </w:rPr>
        <w:t xml:space="preserve">nstant application of the stable gastric </w:t>
      </w:r>
      <w:proofErr w:type="spellStart"/>
      <w:r w:rsidR="00A302B4" w:rsidRPr="00E47A42">
        <w:rPr>
          <w:rFonts w:ascii="Book Antiqua" w:hAnsi="Book Antiqua" w:cs="Times New Roman"/>
          <w:sz w:val="24"/>
          <w:szCs w:val="24"/>
          <w:lang w:val="en-US"/>
        </w:rPr>
        <w:t>pentadecapeptide</w:t>
      </w:r>
      <w:proofErr w:type="spellEnd"/>
      <w:r w:rsidR="00A302B4" w:rsidRPr="00E47A42">
        <w:rPr>
          <w:rFonts w:ascii="Book Antiqua" w:hAnsi="Book Antiqua" w:cs="Times New Roman"/>
          <w:sz w:val="24"/>
          <w:szCs w:val="24"/>
          <w:lang w:val="en-US"/>
        </w:rPr>
        <w:t xml:space="preserve"> BPC 157 </w:t>
      </w:r>
      <w:r w:rsidR="009234D0" w:rsidRPr="00E47A42">
        <w:rPr>
          <w:rFonts w:ascii="Book Antiqua" w:hAnsi="Book Antiqua" w:cs="Times New Roman"/>
          <w:sz w:val="24"/>
          <w:szCs w:val="24"/>
          <w:lang w:val="en-US"/>
        </w:rPr>
        <w:t xml:space="preserve">was used </w:t>
      </w:r>
      <w:r w:rsidR="00A302B4" w:rsidRPr="00E47A42">
        <w:rPr>
          <w:rFonts w:ascii="Book Antiqua" w:hAnsi="Book Antiqua" w:cs="Times New Roman"/>
          <w:sz w:val="24"/>
          <w:szCs w:val="24"/>
          <w:lang w:val="en-US"/>
        </w:rPr>
        <w:t>as a prototype agent rapidly acting on endothelium integrity maintenance</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10.2174/1381612823666170220163219","ISSN":"13816128","author":[{"dropping-particle":"","family":"Sikiric","given":"Predrag","non-dropping-particle":"","parse-names":false,"suffix":""},{"dropping-particle":"","family":"Seiwerth","given":"Sven","non-dropping-particle":"","parse-names":false,"suffix":""},{"dropping-particle":"","family":"Rucman","given":"Rudolf","non-dropping-particle":"","parse-names":false,"suffix":""},{"dropping-particle":"","family":"Drmic","given":"Domagoj","non-dropping-particle":"","parse-names":false,"suffix":""},{"dropping-particle":"","family":"Stupnisek","given":"Mirjana","non-dropping-particle":"","parse-names":false,"suffix":""},{"dropping-particle":"","family":"Kokot","given":"Antonio","non-dropping-particle":"","parse-names":false,"suffix":""},{"dropping-particle":"","family":"Sever","given":"Marko","non-dropping-particle":"","parse-names":false,"suffix":""},{"dropping-particle":"","family":"Zoricic","given":"Ivan","non-dropping-particle":"","parse-names":false,"suffix":""},{"dropping-particle":"","family":"Zoricic","given":"Zoran","non-dropping-particle":"","parse-names":false,"suffix":""},{"dropping-particle":"","family":"Batelja","given":"Lovorka","non-dropping-particle":"","parse-names":false,"suffix":""},{"dropping-particle":"","family":"Ziger","given":"Tihomil","non-dropping-particle":"","parse-names":false,"suffix":""},{"dropping-particle":"","family":"Luetic","given":"Kresimir","non-dropping-particle":"","parse-names":false,"suffix":""},{"dropping-particle":"","family":"Vlainic","given":"Josipa","non-dropping-particle":"","parse-names":false,"suffix":""},{"dropping-particle":"","family":"Rasic","given":"Zarko","non-dropping-particle":"","parse-names":false,"suffix":""},{"dropping-particle":"","family":"Bencic","given":"Martina Lovric","non-dropping-particle":"","parse-names":false,"suffix":""}],"container-title":"Current Pharmaceutical Design","id":"ITEM-1","issue":"27","issued":{"date-parts":[["2017","10","30"]]},"page":"4012-4028","title":"Stress in Gastrointestinal Tract and Stable Gastric Pentadecapeptide BPC 157. Finally, do we have a Solution?","type":"article-journal","volume":"23"},"uris":["http://www.mendeley.com/documents/?uuid=bb09abfa-dd18-4e07-99e3-5e0c5e908cc9"]},{"id":"ITEM-2","itemData":{"ISSN":"1875-6190","PMID":"27138887","abstract":"BACKGROUND Brain-gut interaction involves, among others, peptidergic growth factors which are native in GI tract and have strong antiulcer potency and thus could from periphery beneficially affect CNS-disorders. We focused on the stable gastric pentadecapeptide BPC 157, an antiulcer peptidergic agent, safe in inflammatory bowel disease trials and now in multiple sclerosis trial, native and stable in human gastric juice. METHODS Review of our research on BPC 157 in terms of brain-gut axis. RESULTS BPC 157 may serve as a novel mediator of Robert's cytoprotection, involved in maintaining of GI mucosa integrity, with no toxic effect. BPC 157 was successful in the therapy of GI tract, periodontitis, liver and pancreas lesions, and in the healing of various tissues and wounds. Stimulated Egr-1 gene, NAB2, FAK-paxillin and JAK-2 pathways are hitherto implicated. Initially corresponding beneficial central influence was seen when BPC 157 was given peripherally and a serotonin release in particular brain areas, mostly nigrostriatal, was changed. BPC 157 modulates serotonergic and dopaminergic systems, beneficially affects various behavioral disturbances that otherwise appeared due to specifically (over)stimulated/damaged neurotransmitters systems. Besides, BPC 157 has neuroprotective effects: protects somatosensory neurons; peripheral nerve regeneration appearent after transection; after traumatic brain injury counteracts the otherwise progressing course, in rat spinal cord compression with tail paralysis, axonal and neuronal necrosis, demyelination, cyst formation and rescues tail function in both short-terms and long-terms; after NSAIDs or insulin overdose or cuprizone encephalopathies were attenuated along with GI, liver and vascular injuries. CONCLUSION BPC 157, a gastric peptide, may serve as remedy in various CNS-disorders.","author":[{"dropping-particle":"","family":"Sikiric","given":"Predrag","non-dropping-particle":"","parse-names":false,"suffix":""},{"dropping-particle":"","family":"Seiwerth","given":"Sven","non-dropping-particle":"","parse-names":false,"suffix":""},{"dropping-particle":"","family":"Rucman","given":"Rudolf","non-dropping-particle":"","parse-names":false,"suffix":""},{"dropping-particle":"","family":"Kolenc","given":"Danijela","non-dropping-particle":"","parse-names":false,"suffix":""},{"dropping-particle":"","family":"Vuletic","given":"Lovorka Batelja","non-dropping-particle":"","parse-names":false,"suffix":""},{"dropping-particle":"","family":"Drmic","given":"Domagoj","non-dropping-particle":"","parse-names":false,"suffix":""},{"dropping-particle":"","family":"Grgic","given":"Tihomir","non-dropping-particle":"","parse-names":false,"suffix":""},{"dropping-particle":"","family":"Strbe","given":"Sanja","non-dropping-particle":"","parse-names":false,"suffix":""},{"dropping-particle":"","family":"Zukanovic","given":"Goran","non-dropping-particle":"","parse-names":false,"suffix":""},{"dropping-particle":"","family":"Crvenkovic","given":"Dalibor","non-dropping-particle":"","parse-names":false,"suffix":""},{"dropping-particle":"","family":"Madzarac","given":"Goran","non-dropping-particle":"","parse-names":false,"suffix":""},{"dropping-particle":"","family":"Rukavina","given":"Iva","non-dropping-particle":"","parse-names":false,"suffix":""},{"dropping-particle":"","family":"Sucic","given":"Mario","non-dropping-particle":"","parse-names":false,"suffix":""},{"dropping-particle":"","family":"Baric","given":"Marko","non-dropping-particle":"","parse-names":false,"suffix":""},{"dropping-particle":"","family":"Starcevic","given":"Neven","non-dropping-particle":"","parse-names":false,"suffix":""},{"dropping-particle":"","family":"Krstonijevic","given":"Zoran","non-dropping-particle":"","parse-names":false,"suffix":""},{"dropping-particle":"","family":"Bencic","given":"Martina Lovric","non-dropping-particle":"","parse-names":false,"suffix":""},{"dropping-particle":"","family":"Filipcic","given":"Igor","non-dropping-particle":"","parse-names":false,"suffix":""},{"dropping-particle":"","family":"Rokotov","given":"Dinko Stancic","non-dropping-particle":"","parse-names":false,"suffix":""},{"dropping-particle":"","family":"Vlainic","given":"Josipa","non-dropping-particle":"","parse-names":false,"suffix":""}],"container-title":"Current neuropharmacology","id":"ITEM-2","issue":"8","issued":{"date-parts":[["2016"]]},"page":"857-865","title":"Brain-gut Axis and Pentadecapeptide BPC 157: Theoretical and Practical Implications.","type":"article-journal","volume":"14"},"uris":["http://www.mendeley.com/documents/?uuid=b275ba93-1b42-319f-8107-0555cf4884b9"]},{"id":"ITEM-3","itemData":{"DOI":"10.2174/13816128113199990421","ISBN":"1873-4286 (Electronic)\\r1381-6128 (Linking)","ISSN":"1873-4286","PMID":"23782145","abstract":"This review focuses on the described effects of BPC 157 on blood vessels after different types of damage, and elucidate by investigating different aspects of vascular response to injury (endothelium damage, clotting, thrombosis, vasoconstriction, vasodilatation, vasculoneogenesis and edema formation) especially in connection to the healing processes. In this respect, BPC 157 was concluded to be the most potent angiomodulatory agent, acting through different vasoactive pathways and systems (e.g. NO, VEGF, FAK) and leading to optimization of the vascular response followed, as it has to be expected, by optimization of the healing process. Formation of new blood vessels involves two main, partly overlapping mechanisms, angiogenesis and vasculogenesis. The additional mechanism of arteriogenesis is involved in the formation of collaterals. In conjunction with blood vessel function, we at least have to consider leakage of fluid/proteins/plasma, resulting in edema/exudate formation as well as thrombogenesis. Blood vessels are also strongly involved in tumor biology. In this aspect, we have neoangiogenesis resulting in pathological vascularization, vascular invasion resulting in release of metastatic cells and the phenomenon of homing resulting in formation of secondary tumors--metastases.","author":[{"dropping-particle":"","family":"Seiwerth","given":"Sven","non-dropping-particle":"","parse-names":false,"suffix":""},{"dropping-particle":"","family":"Brcic","given":"Luka","non-dropping-particle":"","parse-names":false,"suffix":""},{"dropping-particle":"","family":"Vuletic","given":"Lovorka Batelja","non-dropping-particle":"","parse-names":false,"suffix":""},{"dropping-particle":"","family":"Kolenc","given":"Danijela","non-dropping-particle":"","parse-names":false,"suffix":""},{"dropping-particle":"","family":"Aralica","given":"Gorana","non-dropping-particle":"","parse-names":false,"suffix":""},{"dropping-particle":"","family":"Misic","given":"Marija","non-dropping-particle":"","parse-names":false,"suffix":""},{"dropping-particle":"","family":"Zenko","given":"Anita","non-dropping-particle":"","parse-names":false,"suffix":""},{"dropping-particle":"","family":"Drmic","given":"Domagoj","non-dropping-particle":"","parse-names":false,"suffix":""},{"dropping-particle":"","family":"Rucman","given":"Rudolf","non-dropping-particle":"","parse-names":false,"suffix":""},{"dropping-particle":"","family":"Sikiric","given":"Predrag","non-dropping-particle":"","parse-names":false,"suffix":""}],"container-title":"Current pharmaceutical design","id":"ITEM-3","issue":"7","issued":{"date-parts":[["2014"]]},"page":"1121-5","title":"BPC 157 and blood vessels.","type":"article-journal","volume":"20"},"uris":["http://www.mendeley.com/documents/?uuid=58f78828-3983-4cbc-86f3-3b54e9721a52"]},{"id":"ITEM-4","itemData":{"ISSN":"1873-4286","PMID":"23755725","abstract":"We reviewed stable gastric pentadecapeptide BPC 157-NO-system-relation, its close participation in Moncada's (maintained vascular integrity, platelets control) homeostatic healing response of NO-system to injury. Namely, BPC 157's particular healing effect also affects all events after vascular integrity loss (dependent on circumstances, it reduces either thrombosis (abdominal aorta anastomosis) or bleeding/thrombocytopenia (amputation, heparin, warfarin, aspirin)) and in a series of different injurious models, acute and chronic, BPC 157 consistently advances healing after severe injuries in various tissues spontaneously unable to heal; stimulates egr-1 and naB2 genes; exhibits high safety (LD1 not achieved)). Hypothesis, that BPC 157 (since formed constitutively in the gastric mucosa, stable in human gastric juice, along with significance of NO-synthase and the basal formation of NO in stomach mucosa, greater than that seen in other tissues) exhibits a general, effective competing both with L-arginine analogues (i. e., L-NAME) and L-arginine, and that this has some physiologic importance (NO-generation), later, practically supports its beneficial effects illustrating BPC 157 and NOsystem mutual (with L-NAME/L-arginine; alone and together) relations in (i) gastric mucosa and mucosal protection, following alcohol lesions, in cytoprotection course, NO-generation, and blood pressure regulation; (ii) alcohol acute/chronic intoxication, and withdrawal; (iii) cardiovascular disturbances, chronic heart failure, pulmonary hypertension, and arrhythmias; (iv) disturbances after hypokalemia and hyperkalemia, and potassium-cell membrane dysfunction; and finally, in (v) complex healing failure, proved by the fistulas healing, colocutaneous and esophagocutaneous. However, how this advantage of modulating NO-system (i. e., particular effect on eNOS gene), may be practically translated into an enhanced clinical performance remains to be determined.","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tupnisek","given":"Mirjana","non-dropping-particle":"","parse-names":false,"suffix":""},{"dropping-particle":"","family":"Suran","given":"Jelena","non-dropping-particle":"","parse-names":false,"suffix":""},{"dropping-particle":"","family":"Barisic","given":"Ivan","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design","id":"ITEM-4","issue":"7","issued":{"date-parts":[["2014"]]},"page":"1126-35","title":"Stable gastric pentadecapeptide BPC 157-NO-system relation.","type":"article-journal","volume":"20"},"uris":["http://www.mendeley.com/documents/?uuid=74ead48f-0c75-446a-a19b-49bb02b31992"]},{"id":"ITEM-5","itemData":{"ISSN":"1873-4286","PMID":"22950504","abstract":"Stable gastric pentadecapeptide BPC 157 is an anti-ulcer peptidergic agent, proven in clinical trials to be both safe in inflammatory bowel disease (PL-10, PLD-116, PL 14736) and wound healing, stable in human gastric juice, with no toxicity being reported. Recently, we claim that BPC 157 may be used as an antidote against NSAIDs. We focused on BPC 157 beneficial effects on stomach, duodenum, intestine, liver and brain injuries, adjuvant arthritis, pain, hyper/hypothermia, obstructive thrombus formation and thrombolysis, blood vessel function, counteraction of prolonged bleeding and thrombocytopenia after application of various anticoagulants and antiplatelet agents and wound healing improvement. The arguments for BPC 157 antidote activity (i.e., the role of BPC 157 in cytoprotection, being a novel mediator of Robert's cytoprotection and BPC 157 beneficial effects on NSAIDs mediated lesions in the gastrointestinal tract, liver and brain and finally, counteraction of aspirin-induced prolonged bleeding and thrombocytopenia) obviously have a counteracting effect on several established side-effects of NSAIDs use. The mentioned variety of the beneficial effects portrayed by BPC 157 may well be a foundation for establishing BPC 157 as a NSAIDs antidote since no other single agent has portrayed a similar array of effects. Unlike NSAIDs, a very high safety (no reported toxicity (LD1 could be not achieved)) profile is reported for BPC 157. Also, unlike the different dosage levels of aspirin, as a NSAIDs prototype, which differ by a factor of about ten, all these beneficial and counteracting effects of BPC 157 were obtained using the equipotent dosage (μg, ng/kg) in parenteral or peroral regimens.","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afic","given":"Hana","non-dropping-particle":"","parse-names":false,"suffix":""},{"dropping-particle":"","family":"Suran","given":"Jelena","non-dropping-particle":"","parse-names":false,"suffix":""},{"dropping-particle":"","family":"Rak","given":"Davor","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design","id":"ITEM-5","issue":"1","issued":{"date-parts":[["2013"]]},"page":"76-83","title":"Toxicity by NSAIDs. Counteraction by stable gastric pentadecapeptide BPC 157.","type":"article-journal","volume":"19"},"uris":["http://www.mendeley.com/documents/?uuid=b4d81bb8-a391-4622-abb3-23195e4a65ff"]},{"id":"ITEM-6","itemData":{"DOI":"CMC-19-1-126 [pii]","ISBN":"0929-8673\\r1875-533X","ISSN":"09298673","PMID":"2012120682","abstract":"Stable gastric pentadecapeptide BPC 157 (GEPPPGKPADDAGLV, M.W. 1419) may be the new drug stable in human gastric juice, effective both in the upper and lower GI tract, and free of side effects. BPC 157, in addition to an antiulcer effect efficient in therapy of inflammatory bowel disease (IBD) (PL 14736) so far only tested in clinical phase II, has a very safe profile, and exhibited a particular wound healing effect. It also has shown to interact with the NO-system, providing endothelium protection and angiogenic effect, even in severely impaired conditions (i.e., it stimulated expression of early growth response 1 gene responsible for cytokine and growth factor generation and early extracellular matrix (collagen) formation (but also its repressor nerve growth factor 1- A binding protein-2)), important to counteract severe complications of advanced and poorly controlled IBD. Hopefully, the lessons from animal studies, particularly advanced intestinal anastomosis healing, reversed short bowel syndrome and fistula healing indicate BPC 157's high significance in further IBD therapy. Also, this supportive evidence (i.e., no toxic effect, limit test negative, LD1 not achieved, no side effect in trials) may counteract the problems commonly exercised in the use of peptidergic agents, particularly those used on a long-term basis. © 2012 Bentham Science Publishers.","author":[{"dropping-particle":"","family":"Sikiric","given":"P","non-dropping-particle":"","parse-names":false,"suffix":""},{"dropping-particle":"","family":"Seiwerth","given":"S","non-dropping-particle":"","parse-names":false,"suffix":""},{"dropping-particle":"","family":"Rucman","given":"R","non-dropping-particle":"","parse-names":false,"suffix":""},{"dropping-particle":"","family":"Turkovic","given":"B","non-dropping-particle":"","parse-names":false,"suffix":""},{"dropping-particle":"","family":"D","given":"S Rokotov","non-dropping-particle":"","parse-names":false,"suffix":""},{"dropping-particle":"","family":"Brcic","given":"L","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Drmic","given":"D","non-dropping-particle":"","parse-names":false,"suffix":""},{"dropping-particle":"","family":"Ilic","given":"S","non-dropping-particle":"","parse-names":false,"suffix":""},{"dropping-particle":"","family":"Kolenc","given":"D","non-dropping-particle":"","parse-names":false,"suffix":""},{"dropping-particle":"","family":"Stambolija","given":"V","non-dropping-particle":"","parse-names":false,"suffix":""},{"dropping-particle":"","family":"Zoricic","given":"Z","non-dropping-particle":"","parse-names":false,"suffix":""},{"dropping-particle":"","family":"Vrcic","given":"H","non-dropping-particle":"","parse-names":false,"suffix":""},{"dropping-particle":"","family":"Sebecic","given":"B","non-dropping-particle":"","parse-names":false,"suffix":""}],"container-title":"Current Medicinal Chemistry","id":"ITEM-6","issue":"1","issued":{"date-parts":[["2012"]]},"page":"126-132","title":"Focus on ulcerative colitis: Stable gastric pentadecapeptide BPC 157","type":"article-journal","volume":"19"},"uris":["http://www.mendeley.com/documents/?uuid=7b0917ea-0d35-4426-b536-aa3cf6522fbf"]},{"id":"ITEM-7","itemData":{"DOI":"10.2174/138161211796196954","ISBN":"1873-4286 (Electronic)\\n1381-6128 (Linking)","ISSN":"1873-4286","PMID":"21548867","abstract":"Stable gastric pentadecapeptide BPC 157 is an anti-ulcer peptidergic agent, safe in inflammatory bowel disease clinical trials (GEPPPGKPADDAGLV, M.W. 1419, PL 14736) and wound healing, stable in human gastric juice and has no reported toxicity. We focused on BPC 157 as a therapy in peridontitis, esophagus, stomach, duodenum, intestine, liver and pancreas lesions. Particularly, it has a prominent effect on alcohol-lesions (i.e., acute, chronic) and NSAIDs-lesions (interestingly, BPC 157 both prevents and reverses adjuvant arthritis). In rat esophagitis and failed function of both lower esophageal sphincter (LES) and pyloric sphincters (PS), BPC 157 increased pressure in both sphincters till normal and reduced esophagitis. However, in healthy rats, it may decrease (PS) or increase (LES) the pressure in sphincters. It has strong angiogenic potential, it acts protectively on endothelium, prevents and reverses thrombus formation after abdominal aorta anastomosis, affects many central disturbances (i.e., dopamine and 5-HT system), the NO-system (either L-arginine and L-NAME effects), endothelin, acts as a free radical scavenger (counteracting CCl4-, paracetamol-, diclofenac-injuries) and exhibits neuroprotective properties. BPC 157 successfully heals the intestinal anastomosis, gastrocutaneous, duodenocutaneous and colocutaneous fistulas in rats, as well as interacting with the NO-system. Interestingly, the fistula closure was achieved even when the BPC 157 therapy was postponed for one month. In short-bowel syndrome escalating throughout 4 weeks, the constant weight gain above preoperative values started immediately with peroral and parental BPC 157 therapy and the villus height, crypth depth and muscle thickness (inner (circular) muscular layer) additionally increased. Thus, BPC 157 may improve gastrointestinal tract therapy.","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Vrcic","given":"Hrvoje","non-dropping-particle":"","parse-names":false,"suffix":""},{"dropping-particle":"","family":"Sebecic","given":"Bozidar","non-dropping-particle":"","parse-names":false,"suffix":""}],"container-title":"Current pharmaceutical design","id":"ITEM-7","issue":"16","issued":{"date-parts":[["2011"]]},"page":"1612-32","title":"Stable gastric pentadecapeptide BPC 157: novel therapy in gastrointestinal tract.","type":"article-journal","volume":"17"},"uris":["http://www.mendeley.com/documents/?uuid=899df84f-aa5b-428d-b746-b746c53bb74c"]},{"id":"ITEM-8","itemData":{"ISSN":"1873-4286","PMID":"20166993","abstract":"The significance of cytoprotection and adaptive cytoprotection and the peptides importance remained to be not completely determined. BPC 157 is an anti-ulcer peptidergic agent, proven in clinical trials to be both safe in inflammatory bowel disease (PL-10, PLD-116, PL 14736) and wound healing, and stable in human gastric juice, with no toxicity being reported. It has a prominent effect on alcohol- lesions (i.e., induced acutely and chronically) and non-steroidal anti-inflammatory drugs-lesions (while interestingly BPC 157 may both prevent and reverse adjuvant arthritis). To review the importance of BPC 157, this review focused on Robert's cytoprotection concept described in rat stomach, reviewing our evidence that may resolve whether the cytoprotection and adaptive cytoprotection is an uniform phenomenon or not; whether the phenomenon or phenomena are endogenous or not, depending on nature of the irritants (mild or strong); whether this may contribute to stomach mucosa defense either when threaten by various ulcerogens or afforded by various antiulcer agents; whether these phenomena are uniform in whole gastrointestinal tract or not; whether they are interrelated or not. Finally, the importance of the cytoprotection phenomena and cytoprotection activity for skin wound healing, and wound healing in general was challenged. Thereby, this review focused on BPC 157 role in cytoprotection and adaptative cytoprotection suggesting that it may be the essential endogenous mediator able to mediate both cytoprotective and adaptive cytoprotective response in stomach and the whole gastrointestinal tract with significant importance in wound healing as well.","author":[{"dropping-particle":"","family":"Sikiric","given":"Predrag","non-dropping-particle":"","parse-names":false,"suffix":""},{"dropping-particle":"","family":"Seiwerth","given":"Sven","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container-title":"Current pharmaceutical design","id":"ITEM-8","issue":"10","issued":{"date-parts":[["2010"]]},"page":"1224-34","title":"Revised Robert's cytoprotection and adaptive cytoprotection and stable gastric pentadecapeptide BPC 157. Possible significance and implications for novel mediator.","type":"article-journal","volume":"16"},"uris":["http://www.mendeley.com/documents/?uuid=6164415b-2518-453f-82c4-4562e66e7572"]},{"id":"ITEM-9","itemData":{"DOI":"10.1007/s10787-006-1531-7","ISSN":"0925-4692","PMID":"17186181","abstract":"Gastric pentadecapeptide BPC 157 (GEPPPGKPADDAGLV, M.W. 1419, safe in clinical trials for inflammatory bowel disease (PL 10, PLD 116, PLD 14736, Pliva, Croatia)) has a particular cytoprotective/adaptive cytoprotective activity. The cytoprotective/adaptive cytoprotection researches largely neglect that stomach distension could per se jeopardize the mucosal integrity, with constantly stretched mucosa and blood vessels, and sphincters more prone for reflux induction. After absolute alcohol instillation in fully distended rat stomach, gastric, esophageal and duodenal lesions occur. Throughout next 3 min, left gastric artery blood vessels clearly disappear at the serosal site, indicative for loss of vessels both integrity and function. Contrary, constant vessels presentation could predict the beneficial effect of applied agent. After pentadecapeptide BPC 157 instillation into the stomach the vessels presentation remains constant, and lesions of stomach, esophagus, and duodenum are inhibited. Standards (atropine, ranitidine, omeprazole) could only slightly improve the vessels presentation compared to control values, and they have only a partial effect on the lesions. In this review we emphasize BPC 157 unusual stability, and some of its important effects: effectiveness against various lesions in gastrointestinal tract, on nitric oxide (NO)-system, and NO-agents effects, on somatosensory neurons, salivary glands function, recovery of AMP-ADP-ATP system, endothelium protection, effect on endothelin, and on angiogenesis promotion. It also antagonizes other alcohol effects, including acute and chronic intoxication. Given peripherally, it counteracts the consequence of central dopamine system disturbances (receptor blockade), and induces serotonin release in substantia nigra. Therapeutic potential of BPC 157 as a cytoprotective agent is also seen in its capability to heal various wounds. Given directly into the stomach, BPC 157 instantly recovers disturbed lower esophageal and pyloric sphincter pressure in rats after 12-20 months of untreated esophagitis. All these could be suggestive for its role as a natural protectant in gastric juice with particular function throughout stomach distension.","author":[{"dropping-particle":"","family":"Sikiric","given":"P","non-dropping-particle":"","parse-names":false,"suffix":""},{"dropping-particle":"","family":"Seiwerth","given":"S","non-dropping-particle":"","parse-names":false,"suffix":""},{"dropping-particle":"","family":"Brcic","given":"L","non-dropping-particle":"","parse-names":false,"suffix":""},{"dropping-particle":"","family":"Blagaic","given":"A B","non-dropping-particle":"","parse-names":false,"suffix":""},{"dropping-particle":"","family":"Zoricic","given":"I","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Keller","given":"N","non-dropping-particle":"","parse-names":false,"suffix":""},{"dropping-particle":"","family":"Sipos","given":"K","non-dropping-particle":"","parse-names":false,"suffix":""},{"dropping-particle":"","family":"Jakir","given":"A","non-dropping-particle":"","parse-names":false,"suffix":""},{"dropping-particle":"","family":"Udovicic","given":"M","non-dropping-particle":"","parse-names":false,"suffix":""},{"dropping-particle":"","family":"Tonkic","given":"A","non-dropping-particle":"","parse-names":false,"suffix":""},{"dropping-particle":"","family":"Kokic","given":"N","non-dropping-particle":"","parse-names":false,"suffix":""},{"dropping-particle":"","family":"Turkovic","given":"B","non-dropping-particle":"","parse-names":false,"suffix":""},{"dropping-particle":"","family":"Mise","given":"S","non-dropping-particle":"","parse-names":false,"suffix":""},{"dropping-particle":"","family":"Anic","given":"T","non-dropping-particle":"","parse-names":false,"suffix":""}],"container-title":"Inflammopharmacology","id":"ITEM-9","issue":"5-6","issued":{"date-parts":[["2006","12"]]},"page":"214-21","title":"Stable gastric pentadecapeptide BPC 157 in trials for inflammatory bowel disease (PL-10, PLD-116, PL 14736, Pliva, Croatia). Full and distended stomach, and vascular response.","type":"article-journal","volume":"14"},"uris":["http://www.mendeley.com/documents/?uuid=42aef3b5-c994-4583-beee-f11cd4b7859a"]},{"id":"ITEM-10","itemData":{"DOI":"10.1016/0928-4257(93)90038-U","ISSN":"0928-4257","PMID":"8298609","abstract":"The possibility that the stomach, affected by general stress, might initiate a counter-response has not until recently been considered in theories of stress. We suggest that the stomach, as the most sensitive part of the gastrointestinal tract and the largest neuroendocrine organ in the body, is crucial for the initiation of a full stress response against all noxious stress pathology. The end result would be a strong protection of all organs invaded by 'stress'. Consistent with this assumption, this coping response is best explained in terms of 'organoprotection'. Endogenous organoprotectors (eg prostaglandins, somatostatin, dopamine) are proposed as mediators. Such an endogenous counteraction could even be afforded by their suitable application. A new gastric juice peptide, M(r) 40,000, named BPC, was recently isolated. Herein, a 15 amino acid fragment (BPC 157), thought to be essential for its activity, has been fully characterized and investigated. As has been demonstrated for many organoprotective agents using different models of various tissue lesions, despite the poorly understood final mechanism, practically all organ systems appear to benefit from BPC activity. These effects have been achieved in many species using very low dosages (mostly microgram and ng/kg range) after ip, ig, and intramucosal (local) application. The effect was apparent already after one application. Long lasting activity was also demonstrated. BPC was highly effective when applied simultaneously with noxious agents or in already pathological, as well as chronical, conditions. Therefore, it seems that BPC treatment does not share any of the so far known limitations for 'conventional organoprotectors'. No influence on different basal parameters and no toxicity were observed. These findings provide a breakthrough in stress theory. BPC, as a possible endogenous free radical scavenger and organoprotection mediator, could be a useful prototype of a new class of drugs, organoprotective agents.","author":[{"dropping-particle":"","family":"Sikirić","given":"P.","non-dropping-particle":"","parse-names":false,"suffix":""},{"dropping-particle":"","family":"Petek","given":"M.","non-dropping-particle":"","parse-names":false,"suffix":""},{"dropping-particle":"","family":"Rucman","given":"R","non-dropping-particle":"","parse-names":false,"suffix":""},{"dropping-particle":"","family":"Seiwerth","given":"S.","non-dropping-particle":"","parse-names":false,"suffix":""},{"dropping-particle":"","family":"Grabarević","given":"Z.","non-dropping-particle":"","parse-names":false,"suffix":""},{"dropping-particle":"","family":"Rotkvić","given":"I.","non-dropping-particle":"","parse-names":false,"suffix":""},{"dropping-particle":"","family":"Turković","given":"B.","non-dropping-particle":"","parse-names":false,"suffix":""},{"dropping-particle":"","family":"Jagić","given":"V.","non-dropping-particle":"","parse-names":false,"suffix":""},{"dropping-particle":"","family":"Mildner","given":"B.","non-dropping-particle":"","parse-names":false,"suffix":""},{"dropping-particle":"","family":"Duvnjak","given":"M.","non-dropping-particle":"","parse-names":false,"suffix":""}],"container-title":"Journal of physiology, Paris","id":"ITEM-10","issue":"5","issued":{"date-parts":[["1993"]]},"page":"313-27","title":"A new gastric juice peptide, BPC. An overview of the stomach-stress-organoprotection hypothesis and beneficial effects of BPC.","type":"article-journal","volume":"87"},"uris":["http://www.mendeley.com/documents/?uuid=f738bbb1-8d16-31eb-a5d7-6f273100aa96"]}],"mendeley":{"formattedCitation":"&lt;sup&gt;[10–19]&lt;/sup&gt;","plainTextFormattedCitation":"[10–19]","previouslyFormattedCitation":"&lt;sup&gt;[10–19]&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[10–19]</w:t>
      </w:r>
      <w:r w:rsidR="00A13458" w:rsidRPr="00E47A42">
        <w:rPr>
          <w:rFonts w:ascii="Book Antiqua" w:hAnsi="Book Antiqua" w:cs="Times New Roman"/>
          <w:sz w:val="24"/>
          <w:szCs w:val="24"/>
          <w:lang w:val="en-US"/>
        </w:rPr>
        <w:fldChar w:fldCharType="end"/>
      </w:r>
      <w:r w:rsidR="00907686"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 xml:space="preserve"> </w:t>
      </w:r>
      <w:r w:rsidR="00907686" w:rsidRPr="00E47A42">
        <w:rPr>
          <w:rFonts w:ascii="Book Antiqua" w:hAnsi="Book Antiqua" w:cs="Times New Roman"/>
          <w:sz w:val="24"/>
          <w:szCs w:val="24"/>
          <w:lang w:val="en-US"/>
        </w:rPr>
        <w:t>which</w:t>
      </w:r>
      <w:r w:rsidR="00802EF1" w:rsidRPr="00E47A42">
        <w:rPr>
          <w:rFonts w:ascii="Book Antiqua" w:hAnsi="Book Antiqua" w:cs="Times New Roman"/>
          <w:sz w:val="24"/>
          <w:szCs w:val="24"/>
          <w:lang w:val="en-US"/>
        </w:rPr>
        <w:t xml:space="preserve"> is </w:t>
      </w:r>
      <w:r w:rsidR="00EC0007" w:rsidRPr="00E47A42">
        <w:rPr>
          <w:rFonts w:ascii="Book Antiqua" w:hAnsi="Book Antiqua" w:cs="Times New Roman"/>
          <w:sz w:val="24"/>
          <w:szCs w:val="24"/>
          <w:lang w:val="en-US"/>
        </w:rPr>
        <w:t xml:space="preserve">known to be of therapeutic value in rats with ischemic colitis and inferior </w:t>
      </w:r>
      <w:r w:rsidR="00EC0007" w:rsidRPr="00E47A42">
        <w:rPr>
          <w:rFonts w:ascii="Book Antiqua" w:hAnsi="Book Antiqua" w:cs="Times New Roman"/>
          <w:noProof/>
          <w:sz w:val="24"/>
          <w:szCs w:val="24"/>
          <w:lang w:val="en-US"/>
        </w:rPr>
        <w:t>caval</w:t>
      </w:r>
      <w:r w:rsidR="00EC0007" w:rsidRPr="00E47A42">
        <w:rPr>
          <w:rFonts w:ascii="Book Antiqua" w:hAnsi="Book Antiqua" w:cs="Times New Roman"/>
          <w:sz w:val="24"/>
          <w:szCs w:val="24"/>
          <w:lang w:val="en-US"/>
        </w:rPr>
        <w:t xml:space="preserve"> vein ligation</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00EC0007" w:rsidRPr="00E47A42">
        <w:rPr>
          <w:rFonts w:ascii="Book Antiqua" w:hAnsi="Book Antiqua" w:cs="Times New Roman"/>
          <w:sz w:val="24"/>
          <w:szCs w:val="24"/>
          <w:lang w:val="en-US"/>
        </w:rPr>
        <w:t xml:space="preserve">. </w:t>
      </w:r>
    </w:p>
    <w:p w14:paraId="744763CE" w14:textId="5E16702D" w:rsidR="006162EC" w:rsidRPr="00E47A42" w:rsidRDefault="00A302B4" w:rsidP="00D72C63">
      <w:pPr>
        <w:pStyle w:val="a3"/>
        <w:snapToGrid w:val="0"/>
        <w:spacing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Of note, the whole initial syndrome (in particular</w:t>
      </w:r>
      <w:r w:rsidR="003A308D"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instantly emptied blo</w:t>
      </w:r>
      <w:r w:rsidR="009234D0" w:rsidRPr="00E47A42">
        <w:rPr>
          <w:rFonts w:ascii="Book Antiqua" w:hAnsi="Book Antiqua" w:cs="Times New Roman"/>
          <w:sz w:val="24"/>
          <w:szCs w:val="24"/>
          <w:lang w:val="en-US"/>
        </w:rPr>
        <w:t xml:space="preserve">od vessels at the cecum serosa and </w:t>
      </w:r>
      <w:r w:rsidRPr="00E47A42">
        <w:rPr>
          <w:rFonts w:ascii="Book Antiqua" w:hAnsi="Book Antiqua" w:cs="Times New Roman"/>
          <w:sz w:val="24"/>
          <w:szCs w:val="24"/>
          <w:lang w:val="en-US"/>
        </w:rPr>
        <w:t>th</w:t>
      </w:r>
      <w:r w:rsidR="003A308D" w:rsidRPr="00E47A42">
        <w:rPr>
          <w:rFonts w:ascii="Book Antiqua" w:hAnsi="Book Antiqua" w:cs="Times New Roman"/>
          <w:sz w:val="24"/>
          <w:szCs w:val="24"/>
          <w:lang w:val="en-US"/>
        </w:rPr>
        <w:t>us</w:t>
      </w:r>
      <w:r w:rsidRPr="00E47A42">
        <w:rPr>
          <w:rFonts w:ascii="Book Antiqua" w:hAnsi="Book Antiqua" w:cs="Times New Roman"/>
          <w:sz w:val="24"/>
          <w:szCs w:val="24"/>
          <w:lang w:val="en-US"/>
        </w:rPr>
        <w:t xml:space="preserve"> </w:t>
      </w:r>
      <w:r w:rsidR="009234D0" w:rsidRPr="00E47A42">
        <w:rPr>
          <w:rFonts w:ascii="Book Antiqua" w:hAnsi="Book Antiqua" w:cs="Times New Roman"/>
          <w:sz w:val="24"/>
          <w:szCs w:val="24"/>
          <w:lang w:val="en-US"/>
        </w:rPr>
        <w:t>the rapid “disappearance” of</w:t>
      </w:r>
      <w:r w:rsidRPr="00E47A42">
        <w:rPr>
          <w:rFonts w:ascii="Book Antiqua" w:hAnsi="Book Antiqua" w:cs="Times New Roman"/>
          <w:sz w:val="24"/>
          <w:szCs w:val="24"/>
          <w:lang w:val="en-US"/>
        </w:rPr>
        <w:t xml:space="preserve"> existing ves</w:t>
      </w:r>
      <w:r w:rsidR="009234D0" w:rsidRPr="00E47A42">
        <w:rPr>
          <w:rFonts w:ascii="Book Antiqua" w:hAnsi="Book Antiqua" w:cs="Times New Roman"/>
          <w:sz w:val="24"/>
          <w:szCs w:val="24"/>
          <w:lang w:val="en-US"/>
        </w:rPr>
        <w:t>sels and failure of vessel function</w:t>
      </w:r>
      <w:r w:rsidRPr="00E47A42">
        <w:rPr>
          <w:rFonts w:ascii="Book Antiqua" w:hAnsi="Book Antiqua" w:cs="Times New Roman"/>
          <w:sz w:val="24"/>
          <w:szCs w:val="24"/>
          <w:lang w:val="en-US"/>
        </w:rPr>
        <w:t xml:space="preserve"> upon injury</w:t>
      </w:r>
      <w:r w:rsidR="00AF42FF"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and</w:t>
      </w:r>
      <w:r w:rsidR="003A308D"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consequently</w:t>
      </w:r>
      <w:r w:rsidR="003A308D"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perforation defect enlargement and fluid leak</w:t>
      </w:r>
      <w:r w:rsidR="00057402" w:rsidRPr="00E47A42">
        <w:rPr>
          <w:rFonts w:ascii="Book Antiqua" w:hAnsi="Book Antiqua" w:cs="Times New Roman"/>
          <w:sz w:val="24"/>
          <w:szCs w:val="24"/>
          <w:lang w:val="en-US"/>
        </w:rPr>
        <w:t>age</w:t>
      </w:r>
      <w:r w:rsidR="003A308D"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profuse bleeding</w:t>
      </w:r>
      <w:r w:rsidR="003A308D"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increased oxidative stress and disturbed NO level</w:t>
      </w:r>
      <w:r w:rsidR="003A308D" w:rsidRPr="00E47A42">
        <w:rPr>
          <w:rFonts w:ascii="Book Antiqua" w:hAnsi="Book Antiqua" w:cs="Times New Roman"/>
          <w:sz w:val="24"/>
          <w:szCs w:val="24"/>
          <w:lang w:val="en-US"/>
        </w:rPr>
        <w:t>s</w:t>
      </w:r>
      <w:r w:rsidRPr="00E47A42">
        <w:rPr>
          <w:rFonts w:ascii="Book Antiqua" w:hAnsi="Book Antiqua" w:cs="Times New Roman"/>
          <w:sz w:val="24"/>
          <w:szCs w:val="24"/>
          <w:lang w:val="en-US"/>
        </w:rPr>
        <w:t xml:space="preserve"> in cecum tissue w</w:t>
      </w:r>
      <w:r w:rsidR="00057402" w:rsidRPr="00E47A42">
        <w:rPr>
          <w:rFonts w:ascii="Book Antiqua" w:hAnsi="Book Antiqua" w:cs="Times New Roman"/>
          <w:sz w:val="24"/>
          <w:szCs w:val="24"/>
          <w:lang w:val="en-US"/>
        </w:rPr>
        <w:t xml:space="preserve">ere </w:t>
      </w:r>
      <w:r w:rsidRPr="00E47A42">
        <w:rPr>
          <w:rFonts w:ascii="Book Antiqua" w:hAnsi="Book Antiqua" w:cs="Times New Roman"/>
          <w:sz w:val="24"/>
          <w:szCs w:val="24"/>
          <w:lang w:val="en-US"/>
        </w:rPr>
        <w:t>accordingly affected.</w:t>
      </w:r>
      <w:r w:rsidR="006162EC" w:rsidRPr="00E47A42">
        <w:rPr>
          <w:rFonts w:ascii="Book Antiqua" w:hAnsi="Book Antiqua" w:cs="Times New Roman"/>
          <w:sz w:val="24"/>
          <w:szCs w:val="24"/>
          <w:lang w:val="en-US"/>
        </w:rPr>
        <w:t xml:space="preserve"> </w:t>
      </w:r>
    </w:p>
    <w:p w14:paraId="55041FA3" w14:textId="377AD1B9" w:rsidR="00A302B4" w:rsidRPr="00E47A42" w:rsidRDefault="006162EC" w:rsidP="00D72C63">
      <w:pPr>
        <w:pStyle w:val="a3"/>
        <w:snapToGrid w:val="0"/>
        <w:spacing w:line="360" w:lineRule="auto"/>
        <w:ind w:firstLineChars="100" w:firstLine="240"/>
        <w:jc w:val="both"/>
        <w:rPr>
          <w:rFonts w:ascii="Book Antiqua" w:hAnsi="Book Antiqua" w:cs="Times New Roman"/>
          <w:sz w:val="24"/>
          <w:szCs w:val="24"/>
          <w:lang w:val="en-US" w:eastAsia="zh-CN"/>
        </w:rPr>
      </w:pPr>
      <w:r w:rsidRPr="00E47A42">
        <w:rPr>
          <w:rFonts w:ascii="Book Antiqua" w:hAnsi="Book Antiqua" w:cs="Times New Roman"/>
          <w:sz w:val="24"/>
          <w:szCs w:val="24"/>
          <w:lang w:val="en-US"/>
        </w:rPr>
        <w:t xml:space="preserve">We suggest </w:t>
      </w:r>
      <w:r w:rsidR="00A302B4" w:rsidRPr="00E47A42">
        <w:rPr>
          <w:rFonts w:ascii="Book Antiqua" w:hAnsi="Book Antiqua" w:cs="Times New Roman"/>
          <w:sz w:val="24"/>
          <w:szCs w:val="24"/>
          <w:lang w:val="en-US"/>
        </w:rPr>
        <w:t xml:space="preserve">that this </w:t>
      </w:r>
      <w:r w:rsidR="009234D0" w:rsidRPr="00E47A42">
        <w:rPr>
          <w:rFonts w:ascii="Book Antiqua" w:hAnsi="Book Antiqua" w:cs="Times New Roman"/>
          <w:sz w:val="24"/>
          <w:szCs w:val="24"/>
          <w:lang w:val="en-US"/>
        </w:rPr>
        <w:t>effect should be</w:t>
      </w:r>
      <w:r w:rsidR="00907686"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seen</w:t>
      </w:r>
      <w:r w:rsidR="009234D0"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 xml:space="preserve"> </w:t>
      </w:r>
      <w:r w:rsidR="009234D0" w:rsidRPr="00E47A42">
        <w:rPr>
          <w:rFonts w:ascii="Book Antiqua" w:hAnsi="Book Antiqua" w:cs="Times New Roman"/>
          <w:sz w:val="24"/>
          <w:szCs w:val="24"/>
          <w:lang w:val="en-US"/>
        </w:rPr>
        <w:t>based on evidence of BPC 157 rapidly activating</w:t>
      </w:r>
      <w:r w:rsidR="00A302B4" w:rsidRPr="00E47A42">
        <w:rPr>
          <w:rFonts w:ascii="Book Antiqua" w:hAnsi="Book Antiqua" w:cs="Times New Roman"/>
          <w:sz w:val="24"/>
          <w:szCs w:val="24"/>
          <w:lang w:val="en-US"/>
        </w:rPr>
        <w:t xml:space="preserve"> </w:t>
      </w:r>
      <w:r w:rsidR="00AF42FF" w:rsidRPr="00E47A42">
        <w:rPr>
          <w:rFonts w:ascii="Book Antiqua" w:hAnsi="Book Antiqua" w:cs="Times New Roman"/>
          <w:sz w:val="24"/>
          <w:szCs w:val="24"/>
          <w:lang w:val="en-US"/>
        </w:rPr>
        <w:t xml:space="preserve">the collateral circulation </w:t>
      </w:r>
      <w:r w:rsidR="00A302B4" w:rsidRPr="00E47A42">
        <w:rPr>
          <w:rFonts w:ascii="Book Antiqua" w:hAnsi="Book Antiqua" w:cs="Times New Roman"/>
          <w:sz w:val="24"/>
          <w:szCs w:val="24"/>
          <w:lang w:val="en-US"/>
        </w:rPr>
        <w:t>from existing vessels</w:t>
      </w:r>
      <w:r w:rsidR="003A308D"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in rats with ischemic colitis</w:t>
      </w:r>
      <w:r w:rsidR="00A75220"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mendeley":{"formattedCitation":"&lt;sup&gt;[20]&lt;/sup&gt;","plainTextFormattedCitation":"[20]","previouslyFormattedCitation":"&lt;sup&gt;[20]&lt;/sup&gt;"},"properties":{"noteIndex":0},"schema":"https://github.com/citation-style-language/schema/raw/master/csl-citation.json"}</w:instrText>
      </w:r>
      <w:r w:rsidR="00A75220"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w:t>
      </w:r>
      <w:r w:rsidR="00A75220" w:rsidRPr="00E47A42">
        <w:rPr>
          <w:rFonts w:ascii="Book Antiqua" w:hAnsi="Book Antiqua" w:cs="Times New Roman"/>
          <w:sz w:val="24"/>
          <w:szCs w:val="24"/>
          <w:lang w:val="en-US"/>
        </w:rPr>
        <w:fldChar w:fldCharType="end"/>
      </w:r>
      <w:r w:rsidR="00A302B4" w:rsidRPr="00E47A42">
        <w:rPr>
          <w:rFonts w:ascii="Book Antiqua" w:hAnsi="Book Antiqua" w:cs="Times New Roman"/>
          <w:sz w:val="24"/>
          <w:szCs w:val="24"/>
          <w:lang w:val="en-US"/>
        </w:rPr>
        <w:t xml:space="preserve"> or inferior </w:t>
      </w:r>
      <w:r w:rsidR="00A302B4" w:rsidRPr="00E47A42">
        <w:rPr>
          <w:rFonts w:ascii="Book Antiqua" w:hAnsi="Book Antiqua" w:cs="Times New Roman"/>
          <w:noProof/>
          <w:sz w:val="24"/>
          <w:szCs w:val="24"/>
          <w:lang w:val="en-US"/>
        </w:rPr>
        <w:t>caval</w:t>
      </w:r>
      <w:r w:rsidR="00A302B4" w:rsidRPr="00E47A42">
        <w:rPr>
          <w:rFonts w:ascii="Book Antiqua" w:hAnsi="Book Antiqua" w:cs="Times New Roman"/>
          <w:sz w:val="24"/>
          <w:szCs w:val="24"/>
          <w:lang w:val="en-US"/>
        </w:rPr>
        <w:t xml:space="preserve"> vein occlusion</w:t>
      </w:r>
      <w:r w:rsidR="00B62926"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Pharmacology","id":"ITEM-1","issued":{"date-parts":[["2018"]]},"page":"54-66","title":"Rat inferior caval vein (ICV) ligature and particular new insights with the stable gastric pentadecapeptide BPC 157","type":"article-journal","volume":"106"},"uris":["http://www.mendeley.com/documents/?uuid=0d4e894c-6fc1-3bed-bb8f-4b56e696ff06"]}],"mendeley":{"formattedCitation":"&lt;sup&gt;[21]&lt;/sup&gt;","plainTextFormattedCitation":"[21]","previouslyFormattedCitation":"&lt;sup&gt;[21]&lt;/sup&gt;"},"properties":{"noteIndex":0},"schema":"https://github.com/citation-style-language/schema/raw/master/csl-citation.json"}</w:instrText>
      </w:r>
      <w:r w:rsidR="00B62926"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[21]</w:t>
      </w:r>
      <w:r w:rsidR="00B62926" w:rsidRPr="00E47A42">
        <w:rPr>
          <w:rFonts w:ascii="Book Antiqua" w:hAnsi="Book Antiqua" w:cs="Times New Roman"/>
          <w:sz w:val="24"/>
          <w:szCs w:val="24"/>
          <w:lang w:val="en-US"/>
        </w:rPr>
        <w:fldChar w:fldCharType="end"/>
      </w:r>
      <w:r w:rsidR="00A302B4" w:rsidRPr="00E47A42">
        <w:rPr>
          <w:rFonts w:ascii="Book Antiqua" w:hAnsi="Book Antiqua" w:cs="Times New Roman"/>
          <w:sz w:val="24"/>
          <w:szCs w:val="24"/>
          <w:lang w:val="en-US"/>
        </w:rPr>
        <w:t>. Th</w:t>
      </w:r>
      <w:r w:rsidR="003A308D" w:rsidRPr="00E47A42">
        <w:rPr>
          <w:rFonts w:ascii="Book Antiqua" w:hAnsi="Book Antiqua" w:cs="Times New Roman"/>
          <w:sz w:val="24"/>
          <w:szCs w:val="24"/>
          <w:lang w:val="en-US"/>
        </w:rPr>
        <w:t>us</w:t>
      </w:r>
      <w:r w:rsidR="00A302B4" w:rsidRPr="00E47A42">
        <w:rPr>
          <w:rFonts w:ascii="Book Antiqua" w:hAnsi="Book Antiqua" w:cs="Times New Roman"/>
          <w:sz w:val="24"/>
          <w:szCs w:val="24"/>
          <w:lang w:val="en-US"/>
        </w:rPr>
        <w:t>, the essential findings (</w:t>
      </w:r>
      <w:r w:rsidR="00A302B4" w:rsidRPr="00E47A42">
        <w:rPr>
          <w:rFonts w:ascii="Book Antiqua" w:hAnsi="Book Antiqua" w:cs="Times New Roman"/>
          <w:i/>
          <w:sz w:val="24"/>
          <w:szCs w:val="24"/>
          <w:lang w:val="en-US"/>
        </w:rPr>
        <w:t>i.e</w:t>
      </w:r>
      <w:r w:rsidR="00A302B4" w:rsidRPr="00E47A42">
        <w:rPr>
          <w:rFonts w:ascii="Book Antiqua" w:hAnsi="Book Antiqua" w:cs="Times New Roman"/>
          <w:sz w:val="24"/>
          <w:szCs w:val="24"/>
          <w:lang w:val="en-US"/>
        </w:rPr>
        <w:t xml:space="preserve">., cecum perforation syndrome </w:t>
      </w:r>
      <w:r w:rsidR="00AA1218" w:rsidRPr="00E47A42">
        <w:rPr>
          <w:rFonts w:ascii="Book Antiqua" w:hAnsi="Book Antiqua" w:cs="Times New Roman"/>
          <w:noProof/>
          <w:sz w:val="24"/>
          <w:szCs w:val="24"/>
          <w:lang w:val="en-US"/>
        </w:rPr>
        <w:t>occu</w:t>
      </w:r>
      <w:r w:rsidR="005B46CC" w:rsidRPr="00E47A42">
        <w:rPr>
          <w:rFonts w:ascii="Book Antiqua" w:hAnsi="Book Antiqua" w:cs="Times New Roman"/>
          <w:noProof/>
          <w:sz w:val="24"/>
          <w:szCs w:val="24"/>
          <w:lang w:val="en-US"/>
        </w:rPr>
        <w:t>r</w:t>
      </w:r>
      <w:r w:rsidR="00AA1218" w:rsidRPr="00E47A42">
        <w:rPr>
          <w:rFonts w:ascii="Book Antiqua" w:hAnsi="Book Antiqua" w:cs="Times New Roman"/>
          <w:noProof/>
          <w:sz w:val="24"/>
          <w:szCs w:val="24"/>
          <w:lang w:val="en-US"/>
        </w:rPr>
        <w:t>ring</w:t>
      </w:r>
      <w:r w:rsidR="00907686"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in BPC 157</w:t>
      </w:r>
      <w:r w:rsidR="00907686"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 xml:space="preserve">treated rats </w:t>
      </w:r>
      <w:r w:rsidR="00AA1218" w:rsidRPr="00E47A42">
        <w:rPr>
          <w:rFonts w:ascii="Book Antiqua" w:hAnsi="Book Antiqua" w:cs="Times New Roman"/>
          <w:sz w:val="24"/>
          <w:szCs w:val="24"/>
          <w:lang w:val="en-US"/>
        </w:rPr>
        <w:t>shows</w:t>
      </w:r>
      <w:r w:rsidR="00A302B4" w:rsidRPr="00E47A42">
        <w:rPr>
          <w:rFonts w:ascii="Book Antiqua" w:hAnsi="Book Antiqua" w:cs="Times New Roman"/>
          <w:sz w:val="24"/>
          <w:szCs w:val="24"/>
          <w:lang w:val="en-US"/>
        </w:rPr>
        <w:t xml:space="preserve"> attenuation and </w:t>
      </w:r>
      <w:r w:rsidR="00A302B4" w:rsidRPr="00E47A42">
        <w:rPr>
          <w:rFonts w:ascii="Book Antiqua" w:hAnsi="Book Antiqua" w:cs="Times New Roman"/>
          <w:sz w:val="24"/>
          <w:szCs w:val="24"/>
          <w:lang w:val="en-US"/>
        </w:rPr>
        <w:lastRenderedPageBreak/>
        <w:t>reversal of the consequent tissue damages) indicate the rapidly activated bypassing loops (</w:t>
      </w:r>
      <w:r w:rsidR="00A302B4" w:rsidRPr="00E47A42">
        <w:rPr>
          <w:rFonts w:ascii="Book Antiqua" w:hAnsi="Book Antiqua" w:cs="Times New Roman"/>
          <w:i/>
          <w:sz w:val="24"/>
          <w:szCs w:val="24"/>
          <w:lang w:val="en-US"/>
        </w:rPr>
        <w:t>i.e</w:t>
      </w:r>
      <w:r w:rsidR="00A302B4" w:rsidRPr="00E47A42">
        <w:rPr>
          <w:rFonts w:ascii="Book Antiqua" w:hAnsi="Book Antiqua" w:cs="Times New Roman"/>
          <w:sz w:val="24"/>
          <w:szCs w:val="24"/>
          <w:lang w:val="en-US"/>
        </w:rPr>
        <w:t>., through arcade vessels or</w:t>
      </w:r>
      <w:r w:rsidR="008D5461" w:rsidRPr="00E47A42">
        <w:rPr>
          <w:rFonts w:ascii="Book Antiqua" w:hAnsi="Book Antiqua" w:cs="Times New Roman"/>
          <w:sz w:val="24"/>
          <w:szCs w:val="24"/>
          <w:lang w:val="en-US"/>
        </w:rPr>
        <w:t xml:space="preserve"> the</w:t>
      </w:r>
      <w:r w:rsidR="00A302B4" w:rsidRPr="00E47A42">
        <w:rPr>
          <w:rFonts w:ascii="Book Antiqua" w:hAnsi="Book Antiqua" w:cs="Times New Roman"/>
          <w:sz w:val="24"/>
          <w:szCs w:val="24"/>
          <w:lang w:val="en-US"/>
        </w:rPr>
        <w:t xml:space="preserve"> left ovarian vein and other veins</w:t>
      </w:r>
      <w:r w:rsidR="00907686" w:rsidRPr="00E47A42">
        <w:rPr>
          <w:rFonts w:ascii="Book Antiqua" w:hAnsi="Book Antiqua" w:cs="Times New Roman"/>
          <w:sz w:val="24"/>
          <w:szCs w:val="24"/>
          <w:lang w:val="en-US"/>
        </w:rPr>
        <w:t>)</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008D5461" w:rsidRPr="00E47A42">
        <w:rPr>
          <w:rFonts w:ascii="Book Antiqua" w:hAnsi="Book Antiqua" w:cs="Times New Roman"/>
          <w:sz w:val="24"/>
          <w:szCs w:val="24"/>
          <w:lang w:val="en-US"/>
        </w:rPr>
        <w:t>,</w:t>
      </w:r>
      <w:r w:rsidR="00E17A75"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 xml:space="preserve">corresponding to </w:t>
      </w:r>
      <w:r w:rsidR="008D5461" w:rsidRPr="00E47A42">
        <w:rPr>
          <w:rFonts w:ascii="Book Antiqua" w:hAnsi="Book Antiqua" w:cs="Times New Roman"/>
          <w:sz w:val="24"/>
          <w:szCs w:val="24"/>
          <w:lang w:val="en-US"/>
        </w:rPr>
        <w:t xml:space="preserve">the </w:t>
      </w:r>
      <w:r w:rsidR="00A302B4" w:rsidRPr="00E47A42">
        <w:rPr>
          <w:rFonts w:ascii="Book Antiqua" w:hAnsi="Book Antiqua" w:cs="Times New Roman"/>
          <w:sz w:val="24"/>
          <w:szCs w:val="24"/>
          <w:lang w:val="en-US"/>
        </w:rPr>
        <w:t xml:space="preserve">prompt </w:t>
      </w:r>
      <w:r w:rsidR="00AA1218" w:rsidRPr="00E47A42">
        <w:rPr>
          <w:rFonts w:ascii="Book Antiqua" w:hAnsi="Book Antiqua" w:cs="Times New Roman"/>
          <w:sz w:val="24"/>
          <w:szCs w:val="24"/>
          <w:lang w:val="en-US"/>
        </w:rPr>
        <w:t>reperfusion</w:t>
      </w:r>
      <w:r w:rsidR="00A302B4" w:rsidRPr="00E47A42">
        <w:rPr>
          <w:rFonts w:ascii="Book Antiqua" w:hAnsi="Book Antiqua" w:cs="Times New Roman"/>
          <w:sz w:val="24"/>
          <w:szCs w:val="24"/>
          <w:lang w:val="en-US"/>
        </w:rPr>
        <w:t xml:space="preserve"> seen after perforation. </w:t>
      </w:r>
      <w:r w:rsidR="00AA1218" w:rsidRPr="00E47A42">
        <w:rPr>
          <w:rFonts w:ascii="Book Antiqua" w:hAnsi="Book Antiqua" w:cs="Times New Roman"/>
          <w:sz w:val="24"/>
          <w:szCs w:val="24"/>
          <w:lang w:val="en-US"/>
        </w:rPr>
        <w:t>Reperfusion</w:t>
      </w:r>
      <w:r w:rsidR="00A302B4" w:rsidRPr="00E47A42">
        <w:rPr>
          <w:rFonts w:ascii="Book Antiqua" w:hAnsi="Book Antiqua" w:cs="Times New Roman"/>
          <w:sz w:val="24"/>
          <w:szCs w:val="24"/>
          <w:lang w:val="en-US"/>
        </w:rPr>
        <w:t xml:space="preserve"> may be </w:t>
      </w:r>
      <w:r w:rsidR="00AA1218" w:rsidRPr="00E47A42">
        <w:rPr>
          <w:rFonts w:ascii="Book Antiqua" w:hAnsi="Book Antiqua" w:cs="Times New Roman"/>
          <w:sz w:val="24"/>
          <w:szCs w:val="24"/>
          <w:lang w:val="en-US"/>
        </w:rPr>
        <w:t xml:space="preserve">observed by </w:t>
      </w:r>
      <w:r w:rsidR="00A302B4" w:rsidRPr="00E47A42">
        <w:rPr>
          <w:rFonts w:ascii="Book Antiqua" w:hAnsi="Book Antiqua" w:cs="Times New Roman"/>
          <w:sz w:val="24"/>
          <w:szCs w:val="24"/>
          <w:lang w:val="en-US"/>
        </w:rPr>
        <w:t>vessel</w:t>
      </w:r>
      <w:r w:rsidR="00057402" w:rsidRPr="00E47A42">
        <w:rPr>
          <w:rFonts w:ascii="Book Antiqua" w:hAnsi="Book Antiqua" w:cs="Times New Roman"/>
          <w:sz w:val="24"/>
          <w:szCs w:val="24"/>
          <w:lang w:val="en-US"/>
        </w:rPr>
        <w:t>s</w:t>
      </w:r>
      <w:r w:rsidR="00A302B4" w:rsidRPr="00E47A42">
        <w:rPr>
          <w:rFonts w:ascii="Book Antiqua" w:hAnsi="Book Antiqua" w:cs="Times New Roman"/>
          <w:sz w:val="24"/>
          <w:szCs w:val="24"/>
          <w:lang w:val="en-US"/>
        </w:rPr>
        <w:t xml:space="preserve"> “running” toward the defect (vessel</w:t>
      </w:r>
      <w:r w:rsidR="00AA1218" w:rsidRPr="00E47A42">
        <w:rPr>
          <w:rFonts w:ascii="Book Antiqua" w:hAnsi="Book Antiqua" w:cs="Times New Roman"/>
          <w:sz w:val="24"/>
          <w:szCs w:val="24"/>
          <w:lang w:val="en-US"/>
        </w:rPr>
        <w:t>s</w:t>
      </w:r>
      <w:r w:rsidR="00A302B4" w:rsidRPr="00E47A42">
        <w:rPr>
          <w:rFonts w:ascii="Book Antiqua" w:hAnsi="Book Antiqua" w:cs="Times New Roman"/>
          <w:sz w:val="24"/>
          <w:szCs w:val="24"/>
          <w:lang w:val="en-US"/>
        </w:rPr>
        <w:t xml:space="preserve"> filled</w:t>
      </w:r>
      <w:r w:rsidR="008D5461"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 xml:space="preserve">reappeared), </w:t>
      </w:r>
      <w:r w:rsidR="008D5461" w:rsidRPr="00E47A42">
        <w:rPr>
          <w:rFonts w:ascii="Book Antiqua" w:hAnsi="Book Antiqua" w:cs="Times New Roman"/>
          <w:sz w:val="24"/>
          <w:szCs w:val="24"/>
          <w:lang w:val="en-US"/>
        </w:rPr>
        <w:t xml:space="preserve">and a </w:t>
      </w:r>
      <w:r w:rsidR="00A302B4" w:rsidRPr="00E47A42">
        <w:rPr>
          <w:rFonts w:ascii="Book Antiqua" w:hAnsi="Book Antiqua" w:cs="Times New Roman"/>
          <w:sz w:val="24"/>
          <w:szCs w:val="24"/>
          <w:lang w:val="en-US"/>
        </w:rPr>
        <w:t>small</w:t>
      </w:r>
      <w:r w:rsidR="008D5461" w:rsidRPr="00E47A42">
        <w:rPr>
          <w:rFonts w:ascii="Book Antiqua" w:hAnsi="Book Antiqua" w:cs="Times New Roman"/>
          <w:sz w:val="24"/>
          <w:szCs w:val="24"/>
          <w:lang w:val="en-US"/>
        </w:rPr>
        <w:t>-</w:t>
      </w:r>
      <w:r w:rsidR="00AA1218" w:rsidRPr="00E47A42">
        <w:rPr>
          <w:rFonts w:ascii="Book Antiqua" w:hAnsi="Book Antiqua" w:cs="Times New Roman"/>
          <w:sz w:val="24"/>
          <w:szCs w:val="24"/>
          <w:lang w:val="en-US"/>
        </w:rPr>
        <w:t>vessel network appearing</w:t>
      </w:r>
      <w:r w:rsidR="00A302B4" w:rsidRPr="00E47A42">
        <w:rPr>
          <w:rFonts w:ascii="Book Antiqua" w:hAnsi="Book Antiqua" w:cs="Times New Roman"/>
          <w:sz w:val="24"/>
          <w:szCs w:val="24"/>
          <w:lang w:val="en-US"/>
        </w:rPr>
        <w:t xml:space="preserve"> around the perforated defect with BPC 157 bath administration. </w:t>
      </w:r>
      <w:r w:rsidR="00C901D5" w:rsidRPr="00E47A42">
        <w:rPr>
          <w:rFonts w:ascii="Book Antiqua" w:hAnsi="Book Antiqua" w:cs="Times New Roman"/>
          <w:sz w:val="24"/>
          <w:szCs w:val="24"/>
          <w:lang w:val="en-US"/>
        </w:rPr>
        <w:t>E</w:t>
      </w:r>
      <w:r w:rsidR="00B43B28" w:rsidRPr="00E47A42">
        <w:rPr>
          <w:rFonts w:ascii="Book Antiqua" w:hAnsi="Book Antiqua" w:cs="Times New Roman"/>
          <w:sz w:val="24"/>
          <w:szCs w:val="24"/>
          <w:lang w:val="en-US"/>
        </w:rPr>
        <w:t>ach</w:t>
      </w:r>
      <w:r w:rsidR="00A302B4" w:rsidRPr="00E47A42">
        <w:rPr>
          <w:rFonts w:ascii="Book Antiqua" w:hAnsi="Book Antiqua" w:cs="Times New Roman"/>
          <w:sz w:val="24"/>
          <w:szCs w:val="24"/>
          <w:lang w:val="en-US"/>
        </w:rPr>
        <w:t xml:space="preserve"> </w:t>
      </w:r>
      <w:r w:rsidR="00B43B28" w:rsidRPr="00E47A42">
        <w:rPr>
          <w:rFonts w:ascii="Book Antiqua" w:hAnsi="Book Antiqua" w:cs="Times New Roman"/>
          <w:sz w:val="24"/>
          <w:szCs w:val="24"/>
          <w:lang w:val="en-US"/>
        </w:rPr>
        <w:t xml:space="preserve">considered </w:t>
      </w:r>
      <w:r w:rsidR="00A302B4" w:rsidRPr="00E47A42">
        <w:rPr>
          <w:rFonts w:ascii="Book Antiqua" w:hAnsi="Book Antiqua" w:cs="Times New Roman"/>
          <w:sz w:val="24"/>
          <w:szCs w:val="24"/>
          <w:lang w:val="en-US"/>
        </w:rPr>
        <w:t>a break of blood flow</w:t>
      </w:r>
      <w:r w:rsidR="00E148F3"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 xml:space="preserve"> </w:t>
      </w:r>
      <w:r w:rsidR="00AA1218" w:rsidRPr="00E47A42">
        <w:rPr>
          <w:rFonts w:ascii="Book Antiqua" w:hAnsi="Book Antiqua" w:cs="Times New Roman"/>
          <w:sz w:val="24"/>
          <w:szCs w:val="24"/>
          <w:lang w:val="en-US"/>
        </w:rPr>
        <w:t xml:space="preserve">this </w:t>
      </w:r>
      <w:r w:rsidR="00A302B4" w:rsidRPr="00E47A42">
        <w:rPr>
          <w:rFonts w:ascii="Book Antiqua" w:hAnsi="Book Antiqua" w:cs="Times New Roman"/>
          <w:sz w:val="24"/>
          <w:szCs w:val="24"/>
          <w:lang w:val="en-US"/>
        </w:rPr>
        <w:t>suggest</w:t>
      </w:r>
      <w:r w:rsidR="00B43B28" w:rsidRPr="00E47A42">
        <w:rPr>
          <w:rFonts w:ascii="Book Antiqua" w:hAnsi="Book Antiqua" w:cs="Times New Roman"/>
          <w:sz w:val="24"/>
          <w:szCs w:val="24"/>
          <w:lang w:val="en-US"/>
        </w:rPr>
        <w:t>s</w:t>
      </w:r>
      <w:r w:rsidR="00A302B4" w:rsidRPr="00E47A42">
        <w:rPr>
          <w:rFonts w:ascii="Book Antiqua" w:hAnsi="Book Antiqua" w:cs="Times New Roman"/>
          <w:sz w:val="24"/>
          <w:szCs w:val="24"/>
          <w:lang w:val="en-US"/>
        </w:rPr>
        <w:t xml:space="preserve"> that the therapy resolving the defect (</w:t>
      </w:r>
      <w:r w:rsidR="00A302B4" w:rsidRPr="00E47A42">
        <w:rPr>
          <w:rFonts w:ascii="Book Antiqua" w:hAnsi="Book Antiqua" w:cs="Times New Roman"/>
          <w:i/>
          <w:sz w:val="24"/>
          <w:szCs w:val="24"/>
          <w:lang w:val="en-US"/>
        </w:rPr>
        <w:t>i.e</w:t>
      </w:r>
      <w:r w:rsidR="00A302B4" w:rsidRPr="00E47A42">
        <w:rPr>
          <w:rFonts w:ascii="Book Antiqua" w:hAnsi="Book Antiqua" w:cs="Times New Roman"/>
          <w:sz w:val="24"/>
          <w:szCs w:val="24"/>
          <w:lang w:val="en-US"/>
        </w:rPr>
        <w:t>., cecum defect enlarg</w:t>
      </w:r>
      <w:r w:rsidR="00B43B28" w:rsidRPr="00E47A42">
        <w:rPr>
          <w:rFonts w:ascii="Book Antiqua" w:hAnsi="Book Antiqua" w:cs="Times New Roman"/>
          <w:sz w:val="24"/>
          <w:szCs w:val="24"/>
          <w:lang w:val="en-US"/>
        </w:rPr>
        <w:t>ement</w:t>
      </w:r>
      <w:r w:rsidR="00A302B4" w:rsidRPr="00E47A42">
        <w:rPr>
          <w:rFonts w:ascii="Book Antiqua" w:hAnsi="Book Antiqua" w:cs="Times New Roman"/>
          <w:sz w:val="24"/>
          <w:szCs w:val="24"/>
          <w:lang w:val="en-US"/>
        </w:rPr>
        <w:t xml:space="preserve"> reversed to defect contraction in BPC 157</w:t>
      </w:r>
      <w:r w:rsidR="00B43B28"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 xml:space="preserve">treated rats) may be </w:t>
      </w:r>
      <w:r w:rsidR="00AA1218" w:rsidRPr="00E47A42">
        <w:rPr>
          <w:rFonts w:ascii="Book Antiqua" w:hAnsi="Book Antiqua" w:cs="Times New Roman"/>
          <w:sz w:val="24"/>
          <w:szCs w:val="24"/>
          <w:lang w:val="en-US"/>
        </w:rPr>
        <w:t xml:space="preserve">a result of </w:t>
      </w:r>
      <w:r w:rsidR="005B46CC" w:rsidRPr="00E47A42">
        <w:rPr>
          <w:rFonts w:ascii="Book Antiqua" w:hAnsi="Book Antiqua" w:cs="Times New Roman"/>
          <w:sz w:val="24"/>
          <w:szCs w:val="24"/>
          <w:lang w:val="en-US"/>
        </w:rPr>
        <w:t xml:space="preserve">the </w:t>
      </w:r>
      <w:r w:rsidR="00A302B4" w:rsidRPr="00E47A42">
        <w:rPr>
          <w:rFonts w:ascii="Book Antiqua" w:hAnsi="Book Antiqua" w:cs="Times New Roman"/>
          <w:noProof/>
          <w:sz w:val="24"/>
          <w:szCs w:val="24"/>
          <w:lang w:val="en-US"/>
        </w:rPr>
        <w:t>reestablish</w:t>
      </w:r>
      <w:r w:rsidR="00AA1218" w:rsidRPr="00E47A42">
        <w:rPr>
          <w:rFonts w:ascii="Book Antiqua" w:hAnsi="Book Antiqua" w:cs="Times New Roman"/>
          <w:noProof/>
          <w:sz w:val="24"/>
          <w:szCs w:val="24"/>
          <w:lang w:val="en-US"/>
        </w:rPr>
        <w:t>ment</w:t>
      </w:r>
      <w:r w:rsidR="00AA1218" w:rsidRPr="00E47A42">
        <w:rPr>
          <w:rFonts w:ascii="Book Antiqua" w:hAnsi="Book Antiqua" w:cs="Times New Roman"/>
          <w:sz w:val="24"/>
          <w:szCs w:val="24"/>
          <w:lang w:val="en-US"/>
        </w:rPr>
        <w:t xml:space="preserve"> of</w:t>
      </w:r>
      <w:r w:rsidR="00A302B4" w:rsidRPr="00E47A42">
        <w:rPr>
          <w:rFonts w:ascii="Book Antiqua" w:hAnsi="Book Antiqua" w:cs="Times New Roman"/>
          <w:sz w:val="24"/>
          <w:szCs w:val="24"/>
          <w:lang w:val="en-US"/>
        </w:rPr>
        <w:t xml:space="preserve"> blood flow. </w:t>
      </w:r>
      <w:r w:rsidR="00057402" w:rsidRPr="00E47A42">
        <w:rPr>
          <w:rFonts w:ascii="Book Antiqua" w:hAnsi="Book Antiqua" w:cs="Times New Roman"/>
          <w:sz w:val="24"/>
          <w:szCs w:val="24"/>
          <w:lang w:val="en-US"/>
        </w:rPr>
        <w:t xml:space="preserve">The bleeding </w:t>
      </w:r>
      <w:r w:rsidR="00A302B4" w:rsidRPr="00E47A42">
        <w:rPr>
          <w:rFonts w:ascii="Book Antiqua" w:hAnsi="Book Antiqua" w:cs="Times New Roman"/>
          <w:sz w:val="24"/>
          <w:szCs w:val="24"/>
          <w:lang w:val="en-US"/>
        </w:rPr>
        <w:t xml:space="preserve">time from </w:t>
      </w:r>
      <w:r w:rsidR="00907686" w:rsidRPr="00E47A42">
        <w:rPr>
          <w:rFonts w:ascii="Book Antiqua" w:hAnsi="Book Antiqua" w:cs="Times New Roman"/>
          <w:sz w:val="24"/>
          <w:szCs w:val="24"/>
          <w:lang w:val="en-US"/>
        </w:rPr>
        <w:t xml:space="preserve">the </w:t>
      </w:r>
      <w:r w:rsidR="00A302B4" w:rsidRPr="00E47A42">
        <w:rPr>
          <w:rFonts w:ascii="Book Antiqua" w:hAnsi="Book Antiqua" w:cs="Times New Roman"/>
          <w:sz w:val="24"/>
          <w:szCs w:val="24"/>
          <w:lang w:val="en-US"/>
        </w:rPr>
        <w:t>perforated cecum is thereby shortened, as demonstrated in rats with amputation, anticoagulant application, or vein obstruction</w:t>
      </w:r>
      <w:r w:rsidR="00A75220"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thromres.2011.07.035","ISSN":"00493848","author":[{"dropping-particle":"","family":"Stupnisek","given":"Mirjana","non-dropping-particle":"","parse-names":false,"suffix":""},{"dropping-particle":"","family":"Franjic","given":"Sandra","non-dropping-particle":"","parse-names":false,"suffix":""},{"dropping-particle":"","family":"Drmic","given":"Domagoj","non-dropping-particle":"","parse-names":false,"suffix":""},{"dropping-particle":"","family":"Hrelec","given":"Masa","non-dropping-particle":"","parse-names":false,"suffix":""},{"dropping-particle":"","family":"Kolenc","given":"Danijela","non-dropping-particle":"","parse-names":false,"suffix":""},{"dropping-particle":"","family":"Radic","given":"Bozo","non-dropping-particle":"","parse-names":false,"suffix":""},{"dropping-particle":"","family":"Bojic","given":"Davor","non-dropping-particle":"","parse-names":false,"suffix":""},{"dropping-particle":"","family":"Vcev","given":"Aleksandar","non-dropping-particle":"","parse-names":false,"suffix":""},{"dropping-particle":"","family":"Seiwerth","given":"Sven","non-dropping-particle":"","parse-names":false,"suffix":""},{"dropping-particle":"","family":"Sikiric","given":"Predrag","non-dropping-particle":"","parse-names":false,"suffix":""}],"container-title":"Thrombosis Research","id":"ITEM-1","issue":"5","issued":{"date-parts":[["2012","5"]]},"page":"652-659","title":"Pentadecapeptide BPC 157 reduces bleeding time and thrombocytopenia after amputation in rats treated with heparin, warfarin or aspirin","type":"article-journal","volume":"129"},"uris":["http://www.mendeley.com/documents/?uuid=bb95af62-4403-4eee-ac11-2bc57c640536"]},{"id":"ITEM-2","itemData":{"DOI":"10.1371/journal.pone.0123454","ISSN":"1932-6203","author":[{"dropping-particle":"","family":"Stupnisek","given":"Mirjana","non-dropping-particle":"","parse-names":false,"suffix":""},{"dropping-particle":"","family":"Kokot","given":"Antonio","non-dropping-particle":"","parse-names":false,"suffix":""},{"dropping-particle":"","family":"Drmic","given":"Domagoj","non-dropping-particle":"","parse-names":false,"suffix":""},{"dropping-particle":"","family":"Hrelec Patrlj","given":"Masa","non-dropping-particle":"","parse-names":false,"suffix":""},{"dropping-particle":"","family":"Zenko Sever","given":"Anita","non-dropping-particle":"","parse-names":false,"suffix":""},{"dropping-particle":"","family":"Kolenc","given":"Danijela","non-dropping-particle":"","parse-names":false,"suffix":""},{"dropping-particle":"","family":"Radic","given":"Bozo","non-dropping-particle":"","parse-names":false,"suffix":""},{"dropping-particle":"","family":"Suran","given":"Jelena","non-dropping-particle":"","parse-names":false,"suffix":""},{"dropping-particle":"","family":"Bojic","given":"Davor","non-dropping-particle":"","parse-names":false,"suffix":""},{"dropping-particle":"","family":"Vcev","given":"Aleksandar","non-dropping-particle":"","parse-names":false,"suffix":""},{"dropping-particle":"","family":"Seiwerth","given":"Sven","non-dropping-particle":"","parse-names":false,"suffix":""},{"dropping-particle":"","family":"Sikiric","given":"Predrag","non-dropping-particle":"","parse-names":false,"suffix":""}],"container-title":"PLOS ONE","editor":[{"dropping-particle":"","family":"Yu","given":"Jun","non-dropping-particle":"","parse-names":false,"suffix":""}],"id":"ITEM-2","issue":"4","issued":{"date-parts":[["2015","4","21"]]},"page":"e0123454","title":"Pentadecapeptide BPC 157 Reduces Bleeding and Thrombocytopenia after Amputation in Rats Treated with Heparin, Warfarin, L-NAME and L-Arginine","type":"article-journal","volume":"10"},"uris":["http://www.mendeley.com/documents/?uuid=5b43fc49-e4f1-4278-be61-83d97a236221"]},{"id":"ITEM-3","itemData":{"DOI":"10.1016/j.vph.2018.02.010","ISSN":"18793649","abstract":"©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Pharmacology","id":"ITEM-3","issued":{"date-parts":[["2018"]]},"page":"54-66","title":"Rat inferior caval vein (ICV) ligature and particular new insights with the stable gastric pentadecapeptide BPC 157","type":"article-journal","volume":"106"},"uris":["http://www.mendeley.com/documents/?uuid=0d4e894c-6fc1-3bed-bb8f-4b56e696ff06"]}],"mendeley":{"formattedCitation":"&lt;sup&gt;[21,42,43]&lt;/sup&gt;","plainTextFormattedCitation":"[21,42,43]","previouslyFormattedCitation":"&lt;sup&gt;[21,42,43]&lt;/sup&gt;"},"properties":{"noteIndex":0},"schema":"https://github.com/citation-style-language/schema/raw/master/csl-citation.json"}</w:instrText>
      </w:r>
      <w:r w:rsidR="00A75220"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[21,42,43]</w:t>
      </w:r>
      <w:r w:rsidR="00A75220" w:rsidRPr="00E47A42">
        <w:rPr>
          <w:rFonts w:ascii="Book Antiqua" w:hAnsi="Book Antiqua" w:cs="Times New Roman"/>
          <w:sz w:val="24"/>
          <w:szCs w:val="24"/>
          <w:lang w:val="en-US"/>
        </w:rPr>
        <w:fldChar w:fldCharType="end"/>
      </w:r>
      <w:r w:rsidR="00A302B4" w:rsidRPr="00E47A42">
        <w:rPr>
          <w:rFonts w:ascii="Book Antiqua" w:hAnsi="Book Antiqua" w:cs="Times New Roman"/>
          <w:sz w:val="24"/>
          <w:szCs w:val="24"/>
          <w:lang w:val="en-US"/>
        </w:rPr>
        <w:t>. Furthermore, defect closing c</w:t>
      </w:r>
      <w:r w:rsidR="00AA1218" w:rsidRPr="00E47A42">
        <w:rPr>
          <w:rFonts w:ascii="Book Antiqua" w:hAnsi="Book Antiqua" w:cs="Times New Roman"/>
          <w:sz w:val="24"/>
          <w:szCs w:val="24"/>
          <w:lang w:val="en-US"/>
        </w:rPr>
        <w:t>orresponds to the closing of</w:t>
      </w:r>
      <w:r w:rsidR="00A302B4" w:rsidRPr="00E47A42">
        <w:rPr>
          <w:rFonts w:ascii="Book Antiqua" w:hAnsi="Book Antiqua" w:cs="Times New Roman"/>
          <w:sz w:val="24"/>
          <w:szCs w:val="24"/>
          <w:lang w:val="en-US"/>
        </w:rPr>
        <w:t xml:space="preserve"> various fistula defects</w:t>
      </w:r>
      <w:r w:rsidR="007B7943"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 xml:space="preserve"> which were surgically made by particular defect creation</w:t>
      </w:r>
      <w:r w:rsidR="007B7943" w:rsidRPr="00E47A42">
        <w:rPr>
          <w:rFonts w:ascii="Book Antiqua" w:hAnsi="Book Antiqua" w:cs="Times New Roman"/>
          <w:sz w:val="24"/>
          <w:szCs w:val="24"/>
          <w:lang w:val="en-US"/>
        </w:rPr>
        <w:t>s</w:t>
      </w:r>
      <w:r w:rsidR="00A302B4" w:rsidRPr="00E47A42">
        <w:rPr>
          <w:rFonts w:ascii="Book Antiqua" w:hAnsi="Book Antiqua" w:cs="Times New Roman"/>
          <w:sz w:val="24"/>
          <w:szCs w:val="24"/>
          <w:lang w:val="en-US"/>
        </w:rPr>
        <w:t xml:space="preserve"> in corresponding organs</w:t>
      </w:r>
      <w:r w:rsidR="007807F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{"citationItems":[{"id":"ITEM-1","itemData":{"DOI":"10.1016/j.lfs.2016.02.029","ISSN":"00243205","author":[{"dropping-particle":"","family":"Baric","given":"Marko","non-dropping-particle":"","parse-names":false,"suffix":""},{"dropping-particle":"","family":"Sever","given":"Anita Zenko","non-dropping-particle":"","parse-names":false,"suffix":""},{"dropping-particle":"","family":"Vuletic","given":"Lovorka Batelja","non-dropping-particle":"","parse-names":false,"suffix":""},{"dropping-particle":"","family":"Rasic","given":"Zarko","non-dropping-particle":"","parse-names":false,"suffix":""},{"dropping-particle":"","family":"Sever","given":"Marko","non-dropping-particle":"","parse-names":false,"suffix":""},{"dropping-particle":"","family":"Drmic","given":"Domagoj","non-dropping-particle":"","parse-names":false,"suffix":""},{"dropping-particle":"","family":"Pavelic-Turudic","given":"Tatjana","non-dropping-particle":"","parse-names":false,"suffix":""},{"dropping-particle":"","family":"Sucic","given":"Mario","non-dropping-particle":"","parse-names":false,"suffix":""},{"dropping-particle":"","family":"Vrcic","given":"Hrvoje","non-dropping-particle":"","parse-names":false,"suffix":""},{"dropping-particle":"","family":"Seiwerth","given":"Sven","non-dropping-particle":"","parse-names":false,"suffix":""},{"dropping-particle":"","family":"Sikiric","given":"Predrag","non-dropping-particle":"","parse-names":false,"suffix":""}],"container-title":"Life Sciences","id":"ITEM-1","issued":{"date-parts":[["2016","3"]]},"page":"63-70","title":"Stable gastric pentadecapeptide BPC 157 heals rectovaginal fistula in rats","type":"article-journal","volume":"148"},"uris":["http://www.mendeley.com/documents/?uuid=9d02cf7d-044d-4060-9f70-c61a10e4d011"]},{"id":"ITEM-2","itemData":{"DOI":"10.1016/j.ejphar.2016.02.038","ISSN":"18790712","PMID":"26875638","abstract":"To establish the effects of BPC 157 on the healing of rat colovesical fistulas, Wistar Albino male rats were randomly assigned to different groups. BPC 157, a stable gastric pentadecapeptide, has been used in clinical applications - specifically, in ulcerative colitis - and was successful in treating both external and internal fistulas. BPC 157 was provided daily, perorally, in drinking water (10 ??g/kg, 12 ml/rat/day) until sacrifice or, alternatively, 10 ??g/kg or 10 ng/kg intraperitoneally, with the first application at 30 min after surgery and the last at 24 h before sacrifice. Controls simultaneously received an equivolume of saline (5.0 ml/kg ip) or water only (12 ml/rat/day). Assessment (i.e., colon and vesical defects, fistula leaking, fecaluria and defecation through the fistula, adhesions and intestinal obstruction as healing processes) took place on days 7, 14 and 28. Control colovesical fistulas regularly exhibited poor healing, with both of the defects persisting; continuous fistula leakage; fecaluria and defecation through the fistula; advanced adhesion formation; and intestinal obstruction. By contrast, BPC 157 given perorally or intraperitoneally and in ??g- and ng-regimens rapidly improved the whole presentation, with both colon and vesical defects simultaneously ameliorated and eventually healed. The maximal instilled volume was continuously raised until it reached the values of healthy rats, there were no signs of fecaluria and no defecation through the fistula, there was counteraction of advanced adhesion formation or there was an intestinal obstruction. In conclusion, BPC 157 effects appear to be suited to inducing full healing of colocutaneous fistulas in rats.","author":[{"dropping-particle":"","family":"Grgic","given":"Tihomir","non-dropping-particle":"","parse-names":false,"suffix":""},{"dropping-particle":"","family":"Grgic","given":"Dora","non-dropping-particle":"","parse-names":false,"suffix":""},{"dropping-particle":"","family":"Drmic","given":"Domagoj","non-dropping-particle":"","parse-names":false,"suffix":""},{"dropping-particle":"","family":"Sever","given":"Anita Zenko","non-dropping-particle":"","parse-names":false,"suffix":""},{"dropping-particle":"","family":"Petrovic","given":"Igor","non-dropping-particle":"","parse-names":false,"suffix":""},{"dropping-particle":"","family":"Sucic","given":"Mario","non-dropping-particle":"","parse-names":false,"suffix":""},{"dropping-particle":"","family":"Kokot","given":"Antonio","non-dropping-particle":"","parse-names":false,"suffix":""},{"dropping-particle":"","family":"Klicek","given":"Robert","non-dropping-particle":"","parse-names":false,"suffix":""},{"dropping-particle":"","family":"Sever","given":"Marko","non-dropping-particle":"","parse-names":false,"suffix":""},{"dropping-particle":"","family":"Seiwerth","given":"Sven","non-dropping-particle":"","parse-names":false,"suffix":""},{"dropping-particle":"","family":"Sikiric","given":"Predrag","non-dropping-particle":"","parse-names":false,"suffix":""}],"container-title":"European Journal of Pharmacology","id":"ITEM-2","issued":{"date-parts":[["2016"]]},"page":"1-7","publisher":"Elsevier","title":"Stable gastric pentadecapeptide BPC 157 heals rat colovesical fistula","type":"article-journal","volume":"780"},"uris":["http://www.mendeley.com/documents/?uuid=04542bd7-fb6a-4b51-8eef-04cb7ee8cd51"]},{"id":"ITEM-3","itemData":{"ISSN":"1347-8613","PMID":"18818478","abstract":"We focused on the therapeutic effect of the stable gastric pentadecapeptide BPC 157 and how its action is related to nitric oxide (NO) in persistent colocutaneous fistula in rats (at 5 cm from anus, colon defect of 5 mm, skin defect of 5 mm); this peptide has been shown to be safe in clinical trials for inflammatory bowel disease (PL14736) and safe for intestinal anstomosis therapy. BPC 157 (10 microg/kg, 10 ng/kg) was applied i) in drinking water until the animals were sacrificed at post-operative day 1, 3, 5, 7, 14, 21, and 28; or ii) once daily intraperitoneally (first application 30 min following surgery, last 24 h before sacrifice) alone or with N(G)-nitro-L-arginine methyl ester (L-NAME) (5 mg/kg), L-arginine (200 mg/kg), and their combinations. Sulphasalazine (50 mg/kg) and 6-alpha-methylprednisolone (1 mg/kg) were given once daily intraperitoneally. BPC 157 accelerated parenterally or perorally the healing of colonic and skin defect, leading to the suitable closure of the fistula, macro/microscopically, biomechanically, and functionally (larger water volume sustained without fistula leaking). L-NAME aggravated the healing failure of colocutaneous fistulas, skin, and colon wounds (L-NAME groups). L-Arginine was effective only with blunted NO generation (L-NAME + L-arginine groups) but not without (L-arginine groups). All of the BPC 157 beneficial effects remained unchanged with blunted NO-generation (L-NAME + BPC 157 groups) and with NO substrate (L-arginine + BPC 157 groups) as well as L-NAME and L-arginine co-administration (L-NAME + L-arginine + BPC 157 groups). Sulphasalazine was only moderately effective, and corticosteroid even had an aggravating effect.","author":[{"dropping-particle":"","family":"Klicek","given":"Robert","non-dropping-particle":"","parse-names":false,"suffix":""},{"dropping-particle":"","family":"Sever","given":"Marko","non-dropping-particle":"","parse-names":false,"suffix":""},{"dropping-particle":"","family":"Radic","given":"Bozo","non-dropping-particle":"","parse-names":false,"suffix":""},{"dropping-particle":"","family":"Drmic","given":"Domagoj","non-dropping-particle":"","parse-names":false,"suffix":""},{"dropping-particle":"","family":"Kocman","given":"Ivan","non-dropping-particle":"","parse-names":false,"suffix":""},{"dropping-particle":"","family":"Zoricic","given":"Ivan","non-dropping-particle":"","parse-names":false,"suffix":""},{"dropping-particle":"","family":"Vuksic","given":"Tihomir","non-dropping-particle":"","parse-names":false,"suffix":""},{"dropping-particle":"","family":"Ivica","given":"Mihovil","non-dropping-particle":"","parse-names":false,"suffix":""},{"dropping-particle":"","family":"Barisic","given":"Ivan","non-dropping-particle":"","parse-names":false,"suffix":""},{"dropping-particle":"","family":"Ilic","given":"Spomenko","non-dropping-particle":"","parse-names":false,"suffix":""},{"dropping-particle":"","family":"Berkopic","given":"Lidija","non-dropping-particle":"","parse-names":false,"suffix":""},{"dropping-particle":"","family":"Vrcic","given":"Hrvoje","non-dropping-particle":"","parse-names":false,"suffix":""},{"dropping-particle":"","family":"Brcic","given":"Luka","non-dropping-particle":"","parse-names":false,"suffix":""},{"dropping-particle":"","family":"Blagaic","given":"Alenka Boban","non-dropping-particle":"","parse-names":false,"suffix":""},{"dropping-particle":"","family":"Coric","given":"Marijana","non-dropping-particle":"","parse-names":false,"suffix":""},{"dropping-particle":"","family":"Brcic","given":"Iva","non-dropping-particle":"","parse-names":false,"suffix":""},{"dropping-particle":"","family":"Rokotov","given":"Dinko Stancic","non-dropping-particle":"","parse-names":false,"suffix":""},{"dropping-particle":"","family":"Anic","given":"Tomislav","non-dropping-particle":"","parse-names":false,"suffix":""},{"dropping-particle":"","family":"Seiwerth","given":"Sven","non-dropping-particle":"","parse-names":false,"suffix":""},{"dropping-particle":"","family":"Sikiric","given":"Predrag","non-dropping-particle":"","parse-names":false,"suffix":""}],"container-title":"Journal of pharmacological sciences","id":"ITEM-3","issue":"1","issued":{"date-parts":[["2008","9"]]},"page":"7-17","title":"Pentadecapeptide BPC 157, in clinical trials as a therapy for inflammatory bowel disease (PL14736), is effective in the healing of colocutaneous fistulas in rats: role of the nitric oxide-system.","type":"article-journal","volume":"108"},"uris":["http://www.mendeley.com/documents/?uuid=603bb6e4-0405-4baa-8f6b-0e82c47cd81e"]},{"id":"ITEM-4","itemData":{"ISBN":"1899-1505 (Electronic)\\r0867-5910 (Linking)","ISSN":"18991505","PMID":"26348082","abstract":"While very rarely reported, duodenocutanenous fistula research might alter the duodenal ulcer disease background and therapy. Our research focused on rat duodenocutaneous fistulas, therapy, stable gastric pentadecapeptide BPC 157, an anti-ulcer peptide that healed other fistulas, nitric oxide synthase-substrate L-arginine, and nitric oxide synthase-inhibitor L-nitro-arginine methyl ester (L-NAME). The hypothesis was, duodenal ulcer-healing, like the skin ulcer, using the successful BPC 157, with nitric oxide-system involvement, the \"wound healing-therapy\", to heal the duodenal ulcer, the fistula-model that recently highlighted gastric and skin ulcer healing. Pressure in the lower esophageal and pyloric sphincters was simultaneously assessed. Duodenocutaneous fistula-rats received BPC 157 (10 μg/kg or 10 ng/kg, intraperitoneally or perorally (in drinking water)), L-NAME (5 mg/kg intraperitoneally), L-arginine (100 mg/kg intraperitoneally) alone and/or together, throughout 21 days. Duodenocutaneous fistula-rats maintained persistent defects, continuous fistula leakage, sphincter failure, mortality rate at 40% until the 4(th) day, all fully counteracted in all BPC 157-rats. The BPC 157-rats experienced rapidly improved complete presentation (maximal volume instilled already at 7(th) day). L-NAME further aggravated the duodenocutaneous fistula-course (mortality at 70% until the 4(th) day); L-arginine was beneficial (no mortality; however, maximal volume instilled not before 21(st) day). L-NAME-worsening was counteracted to the control level with the L-arginine effect, and vice versa, while BPC 157 annulled the L-NAME effects (L-NAME + L-arginine; L-NAME + BPC 157; L-NAME + L-arginine + BPC 157 brought below the level of the control). It is likely that duodenocutaneous fistulas, duodenal/skin defect simultaneous healing, reinstated sphincter function, are a new nitric oxide-system related phenomenon. In conclusion, resolving the duodenocutanenous fistulashealing, nitric oxide-system involvement, should illustrate further wound healing therapy to heal duodenal ulcers.","author":[{"dropping-particle":"","family":"Skorjanec","given":"S.","non-dropping-particle":"","parse-names":false,"suffix":""},{"dropping-particle":"","family":"Kokot","given":"A.","non-dropping-particle":"","parse-names":false,"suffix":""},{"dropping-particle":"","family":"Drmic","given":"D.","non-dropping-particle":"","parse-names":false,"suffix":""},{"dropping-particle":"","family":"Radic","given":"B.","non-dropping-particle":"","parse-names":false,"suffix":""},{"dropping-particle":"","family":"Sever","given":"M.","non-dropping-particle":"","parse-names":false,"suffix":""},{"dropping-particle":"","family":"Klicek","given":"R.","non-dropping-particle":"","parse-names":false,"suffix":""},{"dropping-particle":"","family":"Kolenc","given":"D.","non-dropping-particle":"","parse-names":false,"suffix":""},{"dropping-particle":"","family":"Zenko","given":"A.","non-dropping-particle":"","parse-names":false,"suffix":""},{"dropping-particle":"","family":"Lovric Bencic","given":"M.","non-dropping-particle":"","parse-names":false,"suffix":""},{"dropping-particle":"","family":"Belosic Halle","given":"Z.","non-dropping-particle":"","parse-names":false,"suffix":""},{"dropping-particle":"","family":"Situm","given":"A.","non-dropping-particle":"","parse-names":false,"suffix":""},{"dropping-particle":"","family":"Zivanovic Posilovic","given":"G.","non-dropping-particle":"","parse-names":false,"suffix":""},{"dropping-particle":"","family":"Masnec","given":"S.","non-dropping-particle":"","parse-names":false,"suffix":""},{"dropping-particle":"","family":"Suran","given":"J.","non-dropping-particle":"","parse-names":false,"suffix":""},{"dropping-particle":"","family":"Aralica","given":"G.","non-dropping-particle":"","parse-names":false,"suffix":""},{"dropping-particle":"","family":"Seiwerth","given":"S.","non-dropping-particle":"","parse-names":false,"suffix":""},{"dropping-particle":"","family":"Sikiric","given":"Predrag","non-dropping-particle":"","parse-names":false,"suffix":""}],"container-title":"Journal of Physiology and Pharmacology","id":"ITEM-4","issue":"4","issued":{"date-parts":[["2015"]]},"page":"581-590","title":"Duodenocutaneous fistula in rats as a model for ???wound healing-therapy??? in ulcer healing: The effect of pentadecapeptide BPC 157, L-nitro-arginine methyl ester and L-arginine","type":"article-journal","volume":"66"},"uris":["http://www.mendeley.com/documents/?uuid=c8a4ee5b-bf1f-423c-8b99-a3901c408a53"]},{"id":"ITEM-5","itemData":{"DOI":"10.1007/s10620-008-0332-9","ISBN":"1573-2568 (Electronic)\\r0163-2116 (Linking)","ISSN":"01632116","PMID":"18649140","abstract":"OBJECTIVE: This study focused on unhealed gastrocutaneous fistulas to resolve whether standard drugs that promote healing of gastric ulcers may simultaneously have the same effect on cutaneous wounds, and corticosteroid aggravation, and to demonstrate why peptides such as BPC 157 exhibit a greater healing effect. Therefore, with the fistulas therapy, we challenge the wound/growth factors theory of the analogous nonhealing of wounds and persistent gastric ulcers.\\n\\nMETHODS: The healing rate of gastrocutaneous fistula in rat (2-mm-diameter stomach defect, 3-mm-diameter skin defect) validates macro/microscopically and biomechanically a direct skin wound/stomach ulcer relation, and identifies a potential therapy consisting of: (i) stable gastric pentadecapeptide BPC 157 [in drinking water (10 microg/kg) (12 ml/rat/day) or intraperitoneally (10 microg/kg, 10 ng/kg, 10 pg/kg)], (ii) atropine (10 mg/kg), ranitidine (50 mg/kg), and omeprazole (50 mg/kg), (iii) 6-alpha-methylprednisolone (1 mg/kg) [intraperitoneally, once daily, first application at 30 min following surgery; last 24 h before sacrifice (at postoperative days 1, 2, 3, 7, 14, and 21)].\\n\\nRESULTS: Greater anti-ulcer potential and efficiency in wound healing compared with standard agents favor BPC 157, efficient in inflammatory bowel disease (PL-14736, Pliva), given in drinking water or intraperitoneally. Even after 6-alpha-methylprednisolone aggravation, BPC 157 promptly improves both skin and stomach mucosa healing, and closure of fistulas, with no leakage after up to 20 ml water intragastrically. Standard anti-ulcer agents, after a delay, improve firstly skin healing and then stomach mucosal healing, but not fistula leaking and bursting strength (except for atropine).\\n\\nCONCLUSION: We conclude that BPC 157 may resolve analogous nonhealing of wounds and persistent gastric ulcers better than standard agents.","author":[{"dropping-particle":"","family":"Skorjanec","given":"Sandra","non-dropping-particle":"","parse-names":false,"suffix":""},{"dropping-particle":"","family":"Dolovski","given":"Zdravko","non-dropping-particle":"","parse-names":false,"suffix":""},{"dropping-particle":"","family":"Kocman","given":"Ivan","non-dropping-particle":"","parse-names":false,"suffix":""},{"dropping-particle":"","family":"Brcic","given":"Luka","non-dropping-particle":"","parse-names":false,"suffix":""},{"dropping-particle":"","family":"Blagaic Boban","given":"Alenka","non-dropping-particle":"","parse-names":false,"suffix":""},{"dropping-particle":"","family":"Batelja","given":"Lovorka","non-dropping-particle":"","parse-names":false,"suffix":""},{"dropping-particle":"","family":"Coric","given":"Marjana","non-dropping-particle":"","parse-names":false,"suffix":""},{"dropping-particle":"","family":"Sever","given":"Marko","non-dropping-particle":"","parse-names":false,"suffix":""},{"dropping-particle":"","family":"Klicek","given":"Robert","non-dropping-particle":"","parse-names":false,"suffix":""},{"dropping-particle":"","family":"Berkopic","given":"Lidija","non-dropping-particle":"","parse-names":false,"suffix":""},{"dropping-particle":"","family":"Radic","given":"Bozo","non-dropping-particle":"","parse-names":false,"suffix":""},{"dropping-particle":"","family":"Drmic","given":"Domagoj","non-dropping-particle":"","parse-names":false,"suffix":""},{"dropping-particle":"","family":"Kolenc","given":"Danijela","non-dropping-particle":"","parse-names":false,"suffix":""},{"dropping-particle":"","family":"Ilic","given":"Spomenko","non-dropping-particle":"","parse-names":false,"suffix":""},{"dropping-particle":"","family":"Cesarec","given":"Vedran","non-dropping-particle":"","parse-names":false,"suffix":""},{"dropping-particle":"","family":"Tonkic","given":"Ante","non-dropping-particle":"","parse-names":false,"suffix":""},{"dropping-particle":"","family":"Zoricic","given":"Ivan","non-dropping-particle":"","parse-names":false,"suffix":""},{"dropping-particle":"","family":"Mise","given":"Stjepan","non-dropping-particle":"","parse-names":false,"suffix":""},{"dropping-particle":"","family":"Staresinic","given":"Mario","non-dropping-particle":"","parse-names":false,"suffix":""},{"dropping-particle":"","family":"Ivica","given":"Mihovil","non-dropping-particle":"","parse-names":false,"suffix":""},{"dropping-particle":"","family":"Lovric Bencic","given":"Martina","non-dropping-particle":"","parse-names":false,"suffix":""},{"dropping-particle":"","family":"Anic","given":"Tomislav","non-dropping-particle":"","parse-names":false,"suffix":""},{"dropping-particle":"","family":"Seiwerth","given":"Sven","non-dropping-particle":"","parse-names":false,"suffix":""},{"dropping-particle":"","family":"Sikiric","given":"Predrag","non-dropping-particle":"","parse-names":false,"suffix":""}],"container-title":"Digestive Diseases and Sciences","id":"ITEM-5","issue":"1","issued":{"date-parts":[["2009"]]},"page":"46-56","title":"Therapy for unhealed gastrocutaneous fistulas in rats as a model for analogous healing of persistent skin wounds and persistent gastric ulcers: Stable gastric pentadecapeptide BPC 157, atropine, ranitidine, and omeprazole","type":"article-journal","volume":"54"},"uris":["http://www.mendeley.com/documents/?uuid=fdfff0e6-f937-4069-9685-d242c56d6de3"]}],"mendeley":{"formattedCitation":"&lt;sup&gt;[34–38]&lt;/sup&gt;","plainTextFormattedCitation":"[34–38]","previouslyFormattedCitation":"&lt;sup&gt;[34–38]&lt;/sup&gt;"},"properties":{"noteIndex":0},"schema":"https://github.com/citation-style-language/schema/raw/master/csl-citation.json"}</w:instrText>
      </w:r>
      <w:r w:rsidR="007807F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[34–38]</w:t>
      </w:r>
      <w:r w:rsidR="007807F8" w:rsidRPr="00E47A42">
        <w:rPr>
          <w:rFonts w:ascii="Book Antiqua" w:hAnsi="Book Antiqua" w:cs="Times New Roman"/>
          <w:sz w:val="24"/>
          <w:szCs w:val="24"/>
          <w:lang w:val="en-US"/>
        </w:rPr>
        <w:fldChar w:fldCharType="end"/>
      </w:r>
      <w:r w:rsidR="00D72C63">
        <w:rPr>
          <w:rFonts w:ascii="Book Antiqua" w:hAnsi="Book Antiqua" w:cs="Times New Roman"/>
          <w:sz w:val="24"/>
          <w:szCs w:val="24"/>
          <w:lang w:val="en-US"/>
        </w:rPr>
        <w:t>.</w:t>
      </w:r>
    </w:p>
    <w:p w14:paraId="1A3E88C8" w14:textId="6C89A044" w:rsidR="00A302B4" w:rsidRPr="00E47A42" w:rsidRDefault="004B7A8B" w:rsidP="00D72C63">
      <w:pPr>
        <w:snapToGrid w:val="0"/>
        <w:spacing w:after="0" w:line="360" w:lineRule="auto"/>
        <w:ind w:firstLineChars="100" w:firstLine="240"/>
        <w:jc w:val="both"/>
        <w:rPr>
          <w:rFonts w:ascii="Book Antiqua" w:eastAsia="Times New Roman" w:hAnsi="Book Antiqua" w:cs="Times New Roman"/>
          <w:sz w:val="24"/>
          <w:szCs w:val="24"/>
          <w:lang w:val="en-US" w:eastAsia="hr-HR"/>
        </w:rPr>
      </w:pPr>
      <w:r w:rsidRPr="00E47A42">
        <w:rPr>
          <w:rFonts w:ascii="Book Antiqua" w:hAnsi="Book Antiqua" w:cs="Times New Roman"/>
          <w:sz w:val="24"/>
          <w:szCs w:val="24"/>
          <w:lang w:val="en-US"/>
        </w:rPr>
        <w:t>In addition</w:t>
      </w:r>
      <w:r w:rsidR="00A302B4" w:rsidRPr="00E47A42">
        <w:rPr>
          <w:rFonts w:ascii="Book Antiqua" w:hAnsi="Book Antiqua" w:cs="Times New Roman"/>
          <w:sz w:val="24"/>
          <w:szCs w:val="24"/>
          <w:lang w:val="en-US"/>
        </w:rPr>
        <w:t>,</w:t>
      </w:r>
      <w:r w:rsidR="007B7943" w:rsidRPr="00E47A42">
        <w:rPr>
          <w:rFonts w:ascii="Book Antiqua" w:hAnsi="Book Antiqua" w:cs="Times New Roman"/>
          <w:sz w:val="24"/>
          <w:szCs w:val="24"/>
          <w:lang w:val="en-US"/>
        </w:rPr>
        <w:t xml:space="preserve"> the</w:t>
      </w:r>
      <w:r w:rsidR="00A302B4" w:rsidRPr="00E47A42">
        <w:rPr>
          <w:rFonts w:ascii="Book Antiqua" w:hAnsi="Book Antiqua" w:cs="Times New Roman"/>
          <w:sz w:val="24"/>
          <w:szCs w:val="24"/>
          <w:lang w:val="en-US"/>
        </w:rPr>
        <w:t xml:space="preserve"> free radical scavenger effect and normalization of NO</w:t>
      </w:r>
      <w:r w:rsidR="007B7943"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 xml:space="preserve">tissue values noted in rats with ischemic colitis or inferior vein obstruction in </w:t>
      </w:r>
      <w:r w:rsidR="00A302B4" w:rsidRPr="00E47A42">
        <w:rPr>
          <w:rFonts w:ascii="Book Antiqua" w:hAnsi="Book Antiqua" w:cs="Times New Roman"/>
          <w:noProof/>
          <w:sz w:val="24"/>
          <w:szCs w:val="24"/>
          <w:lang w:val="en-US"/>
        </w:rPr>
        <w:t>colon</w:t>
      </w:r>
      <w:r w:rsidR="00A302B4" w:rsidRPr="00E47A42">
        <w:rPr>
          <w:rFonts w:ascii="Book Antiqua" w:hAnsi="Book Antiqua" w:cs="Times New Roman"/>
          <w:sz w:val="24"/>
          <w:szCs w:val="24"/>
          <w:lang w:val="en-US"/>
        </w:rPr>
        <w:t xml:space="preserve"> and venous tissues in both ischemia and reperfusion</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correspond</w:t>
      </w:r>
      <w:r w:rsidR="00050D94"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 xml:space="preserve">to </w:t>
      </w:r>
      <w:r w:rsidR="007B7943" w:rsidRPr="00E47A42">
        <w:rPr>
          <w:rFonts w:ascii="Book Antiqua" w:hAnsi="Book Antiqua" w:cs="Times New Roman"/>
          <w:sz w:val="24"/>
          <w:szCs w:val="24"/>
          <w:lang w:val="en-US"/>
        </w:rPr>
        <w:t xml:space="preserve">the </w:t>
      </w:r>
      <w:r w:rsidR="00A302B4" w:rsidRPr="00E47A42">
        <w:rPr>
          <w:rFonts w:ascii="Book Antiqua" w:hAnsi="Book Antiqua" w:cs="Times New Roman"/>
          <w:sz w:val="24"/>
          <w:szCs w:val="24"/>
          <w:lang w:val="en-US"/>
        </w:rPr>
        <w:t>reduction in increased MDA values and normalization of NO values in cecum tissue in perforation studies</w:t>
      </w:r>
      <w:r w:rsidR="001060C4" w:rsidRPr="00E47A42">
        <w:rPr>
          <w:rFonts w:ascii="Book Antiqua" w:hAnsi="Book Antiqua" w:cs="Times New Roman"/>
          <w:sz w:val="24"/>
          <w:szCs w:val="24"/>
          <w:lang w:val="en-US"/>
        </w:rPr>
        <w:t xml:space="preserve">. Heavy loss of endothelium cells from the vascular wall and, therefore, less </w:t>
      </w:r>
      <w:proofErr w:type="spellStart"/>
      <w:r w:rsidR="001060C4" w:rsidRPr="00E47A42">
        <w:rPr>
          <w:rFonts w:ascii="Book Antiqua" w:hAnsi="Book Antiqua" w:cs="Times New Roman"/>
          <w:sz w:val="24"/>
          <w:szCs w:val="24"/>
          <w:lang w:val="en-US"/>
        </w:rPr>
        <w:t>eNOS</w:t>
      </w:r>
      <w:proofErr w:type="spellEnd"/>
      <w:r w:rsidR="001060C4" w:rsidRPr="00E47A42">
        <w:rPr>
          <w:rFonts w:ascii="Book Antiqua" w:hAnsi="Book Antiqua" w:cs="Times New Roman"/>
          <w:sz w:val="24"/>
          <w:szCs w:val="24"/>
          <w:lang w:val="en-US"/>
        </w:rPr>
        <w:t xml:space="preserve"> NO production ability</w:t>
      </w:r>
      <w:r w:rsidR="007807F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{"citationItems":[{"id":"ITEM-1","itemData":{"DOI":"10.1186/1471-2482-13-S2-S40","ISSN":"1471-2482","PMID":"24266895","abstract":"BACKGROUND Nitric oxide is key to endothelial regeneration, but it is still unknown whether endothelial cell (EC) loss results in an increase in NO levels at the wound edge. We have already shown that endothelial damage induces a long-lasting Ca²</w:instrText>
      </w:r>
      <w:r w:rsidR="00AB3269" w:rsidRPr="00E47A42">
        <w:rPr>
          <w:rFonts w:ascii="Cambria Math" w:hAnsi="Cambria Math" w:cs="Cambria Math"/>
          <w:sz w:val="24"/>
          <w:szCs w:val="24"/>
          <w:lang w:val="en-US"/>
        </w:rPr>
        <w:instrText>⁺</w:instrText>
      </w:r>
      <w:r w:rsidR="00AB3269" w:rsidRPr="00E47A42">
        <w:rPr>
          <w:rFonts w:ascii="Book Antiqua" w:hAnsi="Book Antiqua" w:cs="Times New Roman"/>
          <w:sz w:val="24"/>
          <w:szCs w:val="24"/>
          <w:lang w:val="en-US"/>
        </w:rPr>
        <w:instrText xml:space="preserve"> entry into surviving cells though connexin hemichannels (CxHcs) uncoupled from their counterparts on ruptured cells. The physiological outcome of injury-induced Ca²</w:instrText>
      </w:r>
      <w:r w:rsidR="00AB3269" w:rsidRPr="00E47A42">
        <w:rPr>
          <w:rFonts w:ascii="Cambria Math" w:hAnsi="Cambria Math" w:cs="Cambria Math"/>
          <w:sz w:val="24"/>
          <w:szCs w:val="24"/>
          <w:lang w:val="en-US"/>
        </w:rPr>
        <w:instrText>⁺</w:instrText>
      </w:r>
      <w:r w:rsidR="00AB3269" w:rsidRPr="00E47A42">
        <w:rPr>
          <w:rFonts w:ascii="Book Antiqua" w:hAnsi="Book Antiqua" w:cs="Times New Roman"/>
          <w:sz w:val="24"/>
          <w:szCs w:val="24"/>
          <w:lang w:val="en-US"/>
        </w:rPr>
        <w:instrText xml:space="preserve"> inflow is, however, unknown. METHODS In this study, we sought to determine whether and how endothelial scraping induces NO production (NOP) in the endothelium of excised rat aorta by exploiting the NO-sensitive fluorochrome, DAF-FM diacetate and the Ca²</w:instrText>
      </w:r>
      <w:r w:rsidR="00AB3269" w:rsidRPr="00E47A42">
        <w:rPr>
          <w:rFonts w:ascii="Cambria Math" w:hAnsi="Cambria Math" w:cs="Cambria Math"/>
          <w:sz w:val="24"/>
          <w:szCs w:val="24"/>
          <w:lang w:val="en-US"/>
        </w:rPr>
        <w:instrText>⁺</w:instrText>
      </w:r>
      <w:r w:rsidR="00AB3269" w:rsidRPr="00E47A42">
        <w:rPr>
          <w:rFonts w:ascii="Book Antiqua" w:hAnsi="Book Antiqua" w:cs="Times New Roman"/>
          <w:sz w:val="24"/>
          <w:szCs w:val="24"/>
          <w:lang w:val="en-US"/>
        </w:rPr>
        <w:instrText>-sensitive fluorescent dye, Fura-2/AM. RESULTS We demonstrated that injury-induced NOP at the lesion site is prevented in presence of the endothelial NO synthase inhibitor, L-NAME, and in absence of extracellular Ca²</w:instrText>
      </w:r>
      <w:r w:rsidR="00AB3269" w:rsidRPr="00E47A42">
        <w:rPr>
          <w:rFonts w:ascii="Cambria Math" w:hAnsi="Cambria Math" w:cs="Cambria Math"/>
          <w:sz w:val="24"/>
          <w:szCs w:val="24"/>
          <w:lang w:val="en-US"/>
        </w:rPr>
        <w:instrText>⁺</w:instrText>
      </w:r>
      <w:r w:rsidR="00AB3269" w:rsidRPr="00E47A42">
        <w:rPr>
          <w:rFonts w:ascii="Book Antiqua" w:hAnsi="Book Antiqua" w:cs="Times New Roman"/>
          <w:sz w:val="24"/>
          <w:szCs w:val="24"/>
          <w:lang w:val="en-US"/>
        </w:rPr>
        <w:instrText>. Unlike ATP-dependent NO liberation, the NO response to injury is insensitive to BTP-2, which selectively blocks store-operated Ca²</w:instrText>
      </w:r>
      <w:r w:rsidR="00AB3269" w:rsidRPr="00E47A42">
        <w:rPr>
          <w:rFonts w:ascii="Cambria Math" w:hAnsi="Cambria Math" w:cs="Cambria Math"/>
          <w:sz w:val="24"/>
          <w:szCs w:val="24"/>
          <w:lang w:val="en-US"/>
        </w:rPr>
        <w:instrText>⁺</w:instrText>
      </w:r>
      <w:r w:rsidR="00AB3269" w:rsidRPr="00E47A42">
        <w:rPr>
          <w:rFonts w:ascii="Book Antiqua" w:hAnsi="Book Antiqua" w:cs="Times New Roman"/>
          <w:sz w:val="24"/>
          <w:szCs w:val="24"/>
          <w:lang w:val="en-US"/>
        </w:rPr>
        <w:instrText xml:space="preserve"> inflow. However, injury-induced NOP is significantly reduced by classic gap junction blockers, and by connexin mimetic peptides specifically targeting Cx37Hcs, Cx40HCs, and Cx43Hcs. Moreover, disruption of caveolar integrity prevents injury-elicited NO signaling, but not the accompanying Ca²</w:instrText>
      </w:r>
      <w:r w:rsidR="00AB3269" w:rsidRPr="00E47A42">
        <w:rPr>
          <w:rFonts w:ascii="Cambria Math" w:hAnsi="Cambria Math" w:cs="Cambria Math"/>
          <w:sz w:val="24"/>
          <w:szCs w:val="24"/>
          <w:lang w:val="en-US"/>
        </w:rPr>
        <w:instrText>⁺</w:instrText>
      </w:r>
      <w:r w:rsidR="00AB3269" w:rsidRPr="00E47A42">
        <w:rPr>
          <w:rFonts w:ascii="Book Antiqua" w:hAnsi="Book Antiqua" w:cs="Times New Roman"/>
          <w:sz w:val="24"/>
          <w:szCs w:val="24"/>
          <w:lang w:val="en-US"/>
        </w:rPr>
        <w:instrText xml:space="preserve"> response. CONCLUSIONS The data presented provide the first evidence that endothelial scraping stimulates NO synthesis at the wound edge, which might both exert an immediate anti-thrombotic and anti-inflammatory action and promote the subsequent re-endothelialization.","author":[{"dropping-particle":"","family":"Berra-Romani","given":"Roberto","non-dropping-particle":"","parse-names":false,"suffix":""},{"dropping-particle":"","family":"Avelino-Cruz","given":"José Everardo","non-dropping-particle":"","parse-names":false,"suffix":""},{"dropping-particle":"","family":"Raqeeb","given":"Abdul","non-dropping-particle":"","parse-names":false,"suffix":""},{"dropping-particle":"","family":"Corte","given":"Alessandro","non-dropping-particle":"Della","parse-names":false,"suffix":""},{"dropping-particle":"","family":"Cinelli","given":"Mariapia","non-dropping-particle":"","parse-names":false,"suffix":""},{"dropping-particle":"","family":"Montagnani","given":"Stefania","non-dropping-particle":"","parse-names":false,"suffix":""},{"dropping-particle":"","family":"Guerra","given":"Germano","non-dropping-particle":"","parse-names":false,"suffix":""},{"dropping-particle":"","family":"Moccia","given":"Francesco","non-dropping-particle":"","parse-names":false,"suffix":""},{"dropping-particle":"","family":"Tanzi","given":"Franco","non-dropping-particle":"","parse-names":false,"suffix":""}],"container-title":"BMC Surgery","id":"ITEM-1","issue":"Suppl 2","issued":{"date-parts":[["2013"]]},"page":"S40","title":"Ca2+-dependent nitric oxide release in the injured endothelium of excised rat aorta: a promising mechanism applying in vascular prosthetic devices in aging patients","type":"article-journal","volume":"13"},"uris":["http://www.mendeley.com/documents/?uuid=65032624-a7e4-4dba-a6be-2c1566965646"]}],"mendeley":{"formattedCitation":"&lt;sup&gt;[44]&lt;/sup&gt;","plainTextFormattedCitation":"[44]","previouslyFormattedCitation":"&lt;sup&gt;[44]&lt;/sup&gt;"},"properties":{"noteIndex":0},"schema":"https://github.com/citation-style-language/schema/raw/master/csl-citation.json"}</w:instrText>
      </w:r>
      <w:r w:rsidR="007807F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[44]</w:t>
      </w:r>
      <w:r w:rsidR="007807F8" w:rsidRPr="00E47A42">
        <w:rPr>
          <w:rFonts w:ascii="Book Antiqua" w:hAnsi="Book Antiqua" w:cs="Times New Roman"/>
          <w:sz w:val="24"/>
          <w:szCs w:val="24"/>
          <w:lang w:val="en-US"/>
        </w:rPr>
        <w:fldChar w:fldCharType="end"/>
      </w:r>
      <w:r w:rsidR="001060C4" w:rsidRPr="00E47A42">
        <w:rPr>
          <w:rFonts w:ascii="Book Antiqua" w:hAnsi="Book Antiqua" w:cs="Times New Roman"/>
          <w:sz w:val="24"/>
          <w:szCs w:val="24"/>
          <w:lang w:val="en-US"/>
        </w:rPr>
        <w:t xml:space="preserve"> would </w:t>
      </w:r>
      <w:r w:rsidR="00BC41A6" w:rsidRPr="00E47A42">
        <w:rPr>
          <w:rFonts w:ascii="Book Antiqua" w:hAnsi="Book Antiqua" w:cs="Times New Roman"/>
          <w:sz w:val="24"/>
          <w:szCs w:val="24"/>
          <w:lang w:val="en-US"/>
        </w:rPr>
        <w:t xml:space="preserve">explain </w:t>
      </w:r>
      <w:r w:rsidR="00A302B4" w:rsidRPr="00E47A42">
        <w:rPr>
          <w:rFonts w:ascii="Book Antiqua" w:hAnsi="Book Antiqua" w:cs="Times New Roman"/>
          <w:sz w:val="24"/>
          <w:szCs w:val="24"/>
          <w:lang w:val="en-US"/>
        </w:rPr>
        <w:t xml:space="preserve">increased MDA values and decreased NO </w:t>
      </w:r>
      <w:r w:rsidR="00BC41A6" w:rsidRPr="00E47A42">
        <w:rPr>
          <w:rFonts w:ascii="Book Antiqua" w:hAnsi="Book Antiqua" w:cs="Times New Roman"/>
          <w:sz w:val="24"/>
          <w:szCs w:val="24"/>
          <w:lang w:val="en-US"/>
        </w:rPr>
        <w:t>levels, which</w:t>
      </w:r>
      <w:r w:rsidR="001060C4" w:rsidRPr="00E47A42">
        <w:rPr>
          <w:rFonts w:ascii="Book Antiqua" w:hAnsi="Book Antiqua" w:cs="Times New Roman"/>
          <w:sz w:val="24"/>
          <w:szCs w:val="24"/>
          <w:lang w:val="en-US"/>
        </w:rPr>
        <w:t xml:space="preserve"> </w:t>
      </w:r>
      <w:r w:rsidR="00B97AF9" w:rsidRPr="00E47A42">
        <w:rPr>
          <w:rFonts w:ascii="Book Antiqua" w:hAnsi="Book Antiqua" w:cs="Times New Roman"/>
          <w:sz w:val="24"/>
          <w:szCs w:val="24"/>
          <w:lang w:val="en-US"/>
        </w:rPr>
        <w:t>were regularly found in the cecum</w:t>
      </w:r>
      <w:r w:rsidR="00A302B4" w:rsidRPr="00E47A42">
        <w:rPr>
          <w:rFonts w:ascii="Book Antiqua" w:hAnsi="Book Antiqua" w:cs="Times New Roman"/>
          <w:sz w:val="24"/>
          <w:szCs w:val="24"/>
          <w:lang w:val="en-US"/>
        </w:rPr>
        <w:t>. Additionally, various free radical</w:t>
      </w:r>
      <w:r w:rsidR="007B7943"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induced</w:t>
      </w:r>
      <w:r w:rsidR="007B7943"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lesions in other organs were counteracted by BPC 157 administration</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157","type":"article-journal","volume":"106"},"uris":["http://www.mendeley.com/documents/?uuid=0d4e894c-6fc1-3bed-bb8f-4b56e696ff06"]},{"id":"ITEM-3","itemData":{"DOI":"10.1007/s10787-017-0358-8","ISSN":"0925-4692","author":[{"dropping-particle":"","family":"Belosic Halle","given":"Zeljka","non-dropping-particle":"","parse-names":false,"suffix":""},{"dropping-particle":"","family":"Vlainic","given":"Josipa","non-dropping-particle":"","parse-names":false,"suffix":""},{"dropping-particle":"","family":"Drmic","given":"Domagoj","non-dropping-particle":"","parse-names":false,"suffix":""},{"dropping-particle":"","family":"Strinic","given":"Dean","non-dropping-particle":"","parse-names":false,"suffix":""},{"dropping-particle":"","family":"Luetic","given":"Kresimir","non-dropping-particle":"","parse-names":false,"suffix":""},{"dropping-particle":"","family":"Sucic","given":"Mario","non-dropping-particle":"","parse-names":false,"suffix":""},{"dropping-particle":"","family":"Medvidovic-Grubisic","given":"Maria","non-dropping-particle":"","parse-names":false,"suffix":""},{"dropping-particle":"","family":"Pavelic Turudic","given":"Tatjana","non-dropping-particle":"","parse-names":false,"suffix":""},{"dropping-particle":"","family":"Petrovic","given":"Igor","non-dropping-particle":"","parse-names":false,"suffix":""},{"dropping-particle":"","family":"Seiwerth","given":"Sven","non-dropping-particle":"","parse-names":false,"suffix":""},{"dropping-particle":"","family":"Sikiric","given":"Predrag","non-dropping-particle":"","parse-names":false,"suffix":""}],"container-title":"Inflammopharmacology","id":"ITEM-3","issue":"5","issued":{"date-parts":[["2017","10","17"]]},"page":"511-522","title":"Class side effects: decreased pressure in the lower oesophageal and the pyloric sphincters after the administration of dopamine antagonists, neuroleptics, anti-emetics, l-NAME, pentadecapeptide BPC 157 and l-arginine","type":"article-journal","volume":"25"},"uris":["http://www.mendeley.com/documents/?uuid=5389b2e5-0894-46fa-bcb0-27fbe4291011"]},{"id":"ITEM-4","itemData":{"ISSN":"1899-1505","PMID":"20436226","abstract":"We focused on stable gastric pentadecapeptide BPC 157 (GEPPPGKPADDAGLV, MW 1419, an anti-ulcer peptide efficient in inflammatory bowel disease trials (PL 14736), no toxicity reported) because of its hepatoprotective effects. We investigate a particular aspect of the sudden onset of encephalopathy with extreme paracetamol overdose (5 g/kg intraperitoneally) so far not reported: rapidly induced progressive hepatic encephalopathy with generalized convulsions in rats. BPC 157 therapy (10 microg, 10 ng, 10 pg/kg, intraperitoneally or intragastrically) was effective (microg-ng range) against paracetamol toxicity, given in early (BPC 157 immediately after paracetamol, prophylactically) or advanced stage (BPC 157 at 3 hours after paracetamol, therapeutically). At 25 min post-paracetamol increased ALT, AST and ammonium serum values precede liver lesion while in several brain areas, significant damage became apparent, accompanied by generalized convulsions. Through the next 5 hour seizure period and thereafter, the brain damage, liver damage enzyme values and hyperammonemia increased, particularly throughout the 3-24 h post-paracetamol period. BPC 157 demonstrated clinical (no convulsions (prophylactic application) or convulsions rapidly disappeared (therapeutic effect within 25 min)), microscopical (markedly less liver and brain lesions) and biochemical (enzyme and ammonium serum levels decreased) counteraction. Both, the prophylactic and therapeutic benefits (intraperitoneally and intragastrically) clearly imply BPC 157 (microg-ng range) as a highly effective paracetamol antidote even against highly advanced damaging processes induced by an extreme paracetamol over-dose.","author":[{"dropping-particle":"","family":"Ilic","given":"S","non-dropping-particle":"","parse-names":false,"suffix":""},{"dropping-particle":"","family":"Drmic","given":"D","non-dropping-particle":"","parse-names":false,"suffix":""},{"dropping-particle":"","family":"Zarkovic","given":"K","non-dropping-particle":"","parse-names":false,"suffix":""},{"dropping-particle":"","family":"Kolenc","given":"D","non-dropping-particle":"","parse-names":false,"suffix":""},{"dropping-particle":"","family":"Coric","given":"M","non-dropping-particle":"","parse-names":false,"suffix":""},{"dropping-particle":"","family":"Brcic","given":"L","non-dropping-particle":"","parse-names":false,"suffix":""},{"dropping-particle":"","family":"Klicek","given":"R","non-dropping-particle":"","parse-names":false,"suffix":""},{"dropping-particle":"","family":"Radic","given":"B","non-dropping-particle":"","parse-names":false,"suffix":""},{"dropping-particle":"","family":"Sever","given":"M","non-dropping-particle":"","parse-names":false,"suffix":""},{"dropping-particle":"","family":"Djuzel","given":"V","non-dropping-particle":"","parse-names":false,"suffix":""},{"dropping-particle":"","family":"Ivica","given":"M","non-dropping-particle":"","parse-names":false,"suffix":""},{"dropping-particle":"","family":"Boban Blagaic","given":"A","non-dropping-particle":"","parse-names":false,"suffix":""},{"dropping-particle":"","family":"Zoricic","given":"Z","non-dropping-particle":"","parse-names":false,"suffix":""},{"dropping-particle":"","family":"Anic","given":"T","non-dropping-particle":"","parse-names":false,"suffix":""},{"dropping-particle":"","family":"Zoricic","given":"I","non-dropping-particle":"","parse-names":false,"suffix":""},{"dropping-particle":"","family":"Djidic","given":"S","non-dropping-particle":"","parse-names":false,"suffix":""},{"dropping-particle":"","family":"Romic","given":"Z","non-dropping-particle":"","parse-names":false,"suffix":""},{"dropping-particle":"","family":"Seiwerth","given":"S","non-dropping-particle":"","parse-names":false,"suffix":""},{"dropping-particle":"","family":"Sikiric","given":"P","non-dropping-particle":"","parse-names":false,"suffix":""}],"container-title":"Journal of physiology and pharmacology : an official journal of the Polish Physiological Society","id":"ITEM-4","issue":"2","issued":{"date-parts":[["2010","4"]]},"page":"241-50","title":"High hepatotoxic dose of paracetamol produces generalized convulsions and brain damage in rats. A counteraction with the stable gastric pentadecapeptide BPC 157 (PL 14736).","type":"article-journal","volume":"61"},"uris":["http://www.mendeley.com/documents/?uuid=dc977973-31f8-4eb0-b3e1-53e02e48fee8"]},{"id":"ITEM-5","itemData":{"DOI":"10.1007/s10787-017-0330-7","ISSN":"0925-4692","author":[{"dropping-particle":"","family":"Luetic","given":"Krešimir","non-dropping-particle":"","parse-names":false,"suffix":""},{"dropping-particle":"","family":"Sucic","given":"Mario","non-dropping-particle":"","parse-names":false,"suffix":""},{"dropping-particle":"","family":"Vlainic","given":"Josipa","non-dropping-particle":"","parse-names":false,"suffix":""},{"dropping-particle":"","family":"Halle","given":"Zeljka Belosic","non-dropping-particle":"","parse-names":false,"suffix":""},{"dropping-particle":"","family":"Strinic","given":"Dean","non-dropping-particle":"","parse-names":false,"suffix":""},{"dropping-particle":"","family":"Vidovic","given":"Tinka","non-dropping-particle":"","parse-names":false,"suffix":""},{"dropping-particle":"","family":"Luetic","given":"Franka","non-dropping-particle":"","parse-names":false,"suffix":""},{"dropping-particle":"","family":"Marusic","given":"Marinko","non-dropping-particle":"","parse-names":false,"suffix":""},{"dropping-particle":"","family":"Gulic","given":"Sasa","non-dropping-particle":"","parse-names":false,"suffix":""},{"dropping-particle":"","family":"Pavelic","given":"Tatjana Turudic","non-dropping-particle":"","parse-names":false,"suffix":""},{"dropping-particle":"","family":"Kokot","given":"Antonio","non-dropping-particle":"","parse-names":false,"suffix":""},{"dropping-particle":"","family":"Seiwerth","given":"Ranka Serventi","non-dropping-particle":"","parse-names":false,"suffix":""},{"dropping-particle":"","family":"Drmic","given":"Domagoj","non-dropping-particle":"","parse-names":false,"suffix":""},{"dropping-particle":"","family":"Batelja","given":"Lovorka","non-dropping-particle":"","parse-names":false,"suffix":""},{"dropping-particle":"","family":"Seiwerth","given":"Sven","non-dropping-particle":"","parse-names":false,"suffix":""},{"dropping-particle":"","family":"Sikiric","given":"Predrag","non-dropping-particle":"","parse-names":false,"suffix":""}],"container-title":"Inflammopharmacology","id":"ITEM-5","issue":"2","issued":{"date-parts":[["2017","4","2"]]},"page":"255-264","title":"Cyclophosphamide induced stomach and duodenal lesions as a NO-system disturbance in rats: l-NAME, l-arginine, stable gastric pentadecapeptide BPC 157","type":"article-journal","volume":"25"},"uris":["http://www.mendeley.com/documents/?uuid=7a9c17a8-1ede-4fdb-a39e-6f13a454436f"]},{"id":"ITEM-6","itemData":{"ISSN":"0024-3205","PMID":"7901724","abstract":"The hepatoprotective effects of a newly synthesized 15 amino acid fragment code named BPC 157 was evaluated in comparison with the reference standards (bromocriptine, amantadine and somatostatin) in various experimental models of liver injury in rats: 24 h-bile duct+hepatic artery ligation 48 h-restraint stress and CCl4 administration. BPC 157 administered either intragastrically or intraperitoneally, significantly prevented the development of liver necrosis or fatty changes in rats subjected to 24 h bile duct + hepatic artery ligation, 48 h-restraint stress, CCl4 treatment (1 ml/kg i.p., sacrifice 48 h thereafter). The other reference drugs had either little or no protective actions in these models. Noteworthy, the laboratory test results for bilirubin, SGOT, SGPT fully correlated with the macro/microscopical findings. Thus, on the basis of consistent protective effect of BPC 157, possible clinical application in liver diseases is now warranted.","author":[{"dropping-particle":"","family":"Sikiric","given":"P","non-dropping-particle":"","parse-names":false,"suffix":""},{"dropping-particle":"","family":"Seiwerth","given":"S","non-dropping-particle":"","parse-names":false,"suffix":""},{"dropping-particle":"","family":"Grabarevic","given":"Z","non-dropping-particle":"","parse-names":false,"suffix":""},{"dropping-particle":"","family":"Rucman","given":"R","non-dropping-particle":"","parse-names":false,"suffix":""},{"dropping-particle":"","family":"Petek","given":"M","non-dropping-particle":"","parse-names":false,"suffix":""},{"dropping-particle":"","family":"Rotkvic","given":"I","non-dropping-particle":"","parse-names":false,"suffix":""},{"dropping-particle":"","family":"Turkovic","given":"B","non-dropping-particle":"","parse-names":false,"suffix":""},{"dropping-particle":"","family":"Jagic","given":"V","non-dropping-particle":"","parse-names":false,"suffix":""},{"dropping-particle":"","family":"Mildner","given":"B","non-dropping-particle":"","parse-names":false,"suffix":""},{"dropping-particle":"","family":"Duvnjak","given":"M","non-dropping-particle":"","parse-names":false,"suffix":""}],"container-title":"Life sciences","id":"ITEM-6","issue":"18","issued":{"date-parts":[["1993"]]},"page":"PL291-6","title":"Hepatoprotective effect of BPC 157, a 15-amino acid peptide, on liver lesions induced by either restraint stress or bile duct and hepatic artery ligation or CCl4 administration. A comparative study with dopamine agonists and somatostatin.","type":"article-journal","volume":"53"},"uris":["http://www.mendeley.com/documents/?uuid=f7621342-726b-4da6-99be-be9eb33bff16"]}],"mendeley":{"formattedCitation":"&lt;sup&gt;[20,21,45–48]&lt;/sup&gt;","plainTextFormattedCitation":"[20,21,45–48]","previouslyFormattedCitation":"&lt;sup&gt;[20,21,45–48]&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[20,21,45–48]</w:t>
      </w:r>
      <w:r w:rsidR="00A13458" w:rsidRPr="00E47A42">
        <w:rPr>
          <w:rFonts w:ascii="Book Antiqua" w:hAnsi="Book Antiqua" w:cs="Times New Roman"/>
          <w:sz w:val="24"/>
          <w:szCs w:val="24"/>
          <w:lang w:val="en-US"/>
        </w:rPr>
        <w:fldChar w:fldCharType="end"/>
      </w:r>
      <w:r w:rsidR="00602616" w:rsidRPr="00E47A42">
        <w:rPr>
          <w:rFonts w:ascii="Book Antiqua" w:hAnsi="Book Antiqua" w:cs="Times New Roman"/>
          <w:sz w:val="24"/>
          <w:szCs w:val="24"/>
          <w:lang w:val="en-US"/>
        </w:rPr>
        <w:t>.</w:t>
      </w:r>
    </w:p>
    <w:p w14:paraId="6C122EF4" w14:textId="3BF6AD22" w:rsidR="00A302B4" w:rsidRPr="00E47A42" w:rsidRDefault="007B7943" w:rsidP="00D72C63">
      <w:pPr>
        <w:snapToGrid w:val="0"/>
        <w:spacing w:after="0"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T</w:t>
      </w:r>
      <w:r w:rsidR="00A302B4" w:rsidRPr="00E47A42">
        <w:rPr>
          <w:rFonts w:ascii="Book Antiqua" w:hAnsi="Book Antiqua" w:cs="Times New Roman"/>
          <w:sz w:val="24"/>
          <w:szCs w:val="24"/>
          <w:lang w:val="en-US"/>
        </w:rPr>
        <w:t>h</w:t>
      </w:r>
      <w:r w:rsidR="00AC29F3" w:rsidRPr="00E47A42">
        <w:rPr>
          <w:rFonts w:ascii="Book Antiqua" w:hAnsi="Book Antiqua" w:cs="Times New Roman"/>
          <w:sz w:val="24"/>
          <w:szCs w:val="24"/>
          <w:lang w:val="en-US"/>
        </w:rPr>
        <w:t>e importance of</w:t>
      </w:r>
      <w:r w:rsidR="00A302B4" w:rsidRPr="00E47A42">
        <w:rPr>
          <w:rFonts w:ascii="Book Antiqua" w:hAnsi="Book Antiqua" w:cs="Times New Roman"/>
          <w:sz w:val="24"/>
          <w:szCs w:val="24"/>
          <w:lang w:val="en-US"/>
        </w:rPr>
        <w:t xml:space="preserve"> these beneficial effects </w:t>
      </w:r>
      <w:r w:rsidRPr="00E47A42">
        <w:rPr>
          <w:rFonts w:ascii="Book Antiqua" w:hAnsi="Book Antiqua" w:cs="Times New Roman"/>
          <w:sz w:val="24"/>
          <w:szCs w:val="24"/>
          <w:lang w:val="en-US"/>
        </w:rPr>
        <w:t>wa</w:t>
      </w:r>
      <w:r w:rsidR="00A302B4" w:rsidRPr="00E47A42">
        <w:rPr>
          <w:rFonts w:ascii="Book Antiqua" w:hAnsi="Book Antiqua" w:cs="Times New Roman"/>
          <w:sz w:val="24"/>
          <w:szCs w:val="24"/>
          <w:lang w:val="en-US"/>
        </w:rPr>
        <w:t xml:space="preserve">s verified by the final complete closing of the defect, both grossly and microscopically, </w:t>
      </w:r>
      <w:r w:rsidRPr="00E47A42">
        <w:rPr>
          <w:rFonts w:ascii="Book Antiqua" w:hAnsi="Book Antiqua" w:cs="Times New Roman"/>
          <w:sz w:val="24"/>
          <w:szCs w:val="24"/>
          <w:lang w:val="en-US"/>
        </w:rPr>
        <w:t xml:space="preserve">with </w:t>
      </w:r>
      <w:r w:rsidR="00A302B4" w:rsidRPr="00E47A42">
        <w:rPr>
          <w:rFonts w:ascii="Book Antiqua" w:hAnsi="Book Antiqua" w:cs="Times New Roman"/>
          <w:sz w:val="24"/>
          <w:szCs w:val="24"/>
          <w:lang w:val="en-US"/>
        </w:rPr>
        <w:t xml:space="preserve">the surface epithelium </w:t>
      </w:r>
      <w:r w:rsidR="00F748BA" w:rsidRPr="00E47A42">
        <w:rPr>
          <w:rFonts w:ascii="Book Antiqua" w:hAnsi="Book Antiqua" w:cs="Times New Roman"/>
          <w:sz w:val="24"/>
          <w:szCs w:val="24"/>
          <w:lang w:val="en-US"/>
        </w:rPr>
        <w:t xml:space="preserve">beginning </w:t>
      </w:r>
      <w:r w:rsidR="00A302B4" w:rsidRPr="00E47A42">
        <w:rPr>
          <w:rFonts w:ascii="Book Antiqua" w:hAnsi="Book Antiqua" w:cs="Times New Roman"/>
          <w:sz w:val="24"/>
          <w:szCs w:val="24"/>
          <w:lang w:val="en-US"/>
        </w:rPr>
        <w:t xml:space="preserve">to migrate over the defect and </w:t>
      </w:r>
      <w:r w:rsidRPr="00E47A42">
        <w:rPr>
          <w:rFonts w:ascii="Book Antiqua" w:hAnsi="Book Antiqua" w:cs="Times New Roman"/>
          <w:sz w:val="24"/>
          <w:szCs w:val="24"/>
          <w:lang w:val="en-US"/>
        </w:rPr>
        <w:t>a lower</w:t>
      </w:r>
      <w:r w:rsidR="00A302B4" w:rsidRPr="00E47A42">
        <w:rPr>
          <w:rFonts w:ascii="Book Antiqua" w:hAnsi="Book Antiqua" w:cs="Times New Roman"/>
          <w:sz w:val="24"/>
          <w:szCs w:val="24"/>
          <w:lang w:val="en-US"/>
        </w:rPr>
        <w:t xml:space="preserve"> adhesion severity score. It may also</w:t>
      </w:r>
      <w:r w:rsidRPr="00E47A42">
        <w:rPr>
          <w:rFonts w:ascii="Book Antiqua" w:hAnsi="Book Antiqua" w:cs="Times New Roman"/>
          <w:sz w:val="24"/>
          <w:szCs w:val="24"/>
          <w:lang w:val="en-US"/>
        </w:rPr>
        <w:t xml:space="preserve"> be</w:t>
      </w:r>
      <w:r w:rsidR="00AC29F3" w:rsidRPr="00E47A42">
        <w:rPr>
          <w:rFonts w:ascii="Book Antiqua" w:hAnsi="Book Antiqua" w:cs="Times New Roman"/>
          <w:sz w:val="24"/>
          <w:szCs w:val="24"/>
          <w:lang w:val="en-US"/>
        </w:rPr>
        <w:t xml:space="preserve"> that BPC 157 </w:t>
      </w:r>
      <w:r w:rsidR="00A302B4" w:rsidRPr="00E47A42">
        <w:rPr>
          <w:rFonts w:ascii="Book Antiqua" w:hAnsi="Book Antiqua" w:cs="Times New Roman"/>
          <w:sz w:val="24"/>
          <w:szCs w:val="24"/>
          <w:lang w:val="en-US"/>
        </w:rPr>
        <w:t>exhibit</w:t>
      </w:r>
      <w:r w:rsidR="00AC29F3" w:rsidRPr="00E47A42">
        <w:rPr>
          <w:rFonts w:ascii="Book Antiqua" w:hAnsi="Book Antiqua" w:cs="Times New Roman"/>
          <w:sz w:val="24"/>
          <w:szCs w:val="24"/>
          <w:lang w:val="en-US"/>
        </w:rPr>
        <w:t>s</w:t>
      </w:r>
      <w:r w:rsidR="00A302B4" w:rsidRPr="00E47A42">
        <w:rPr>
          <w:rFonts w:ascii="Book Antiqua" w:hAnsi="Book Antiqua" w:cs="Times New Roman"/>
          <w:sz w:val="24"/>
          <w:szCs w:val="24"/>
          <w:lang w:val="en-US"/>
        </w:rPr>
        <w:t xml:space="preserve"> an additional beneficial effect because it counteracts peritonitis and adhesion formation along with beneficial effects in diverse intestinal lesion models</w:t>
      </w:r>
      <w:r w:rsidR="00424272"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{"citationItems":[{"id":"ITEM-1","itemData":{"DOI":"10.1016/j.lfs.2016.02.029","ISSN":"00243205","author":[{"dropping-particle":"","family":"Baric","given":"Marko","non-dropping-particle":"","parse-names":false,"suffix":""},{"dropping-particle":"","family":"Sever","given":"Anita Zenko","non-dropping-particle":"","parse-names":false,"suffix":""},{"dropping-particle":"","family":"Vuletic","given":"Lovorka Batelja","non-dropping-particle":"","parse-names":false,"suffix":""},{"dropping-particle":"","family":"Rasic","given":"Zarko","non-dropping-particle":"","parse-names":false,"suffix":""},{"dropping-particle":"","family":"Sever","given":"Marko","non-dropping-particle":"","parse-names":false,"suffix":""},{"dropping-particle":"","family":"Drmic","given":"Domagoj","non-dropping-particle":"","parse-names":false,"suffix":""},{"dropping-particle":"","family":"Pavelic-Turudic","given":"Tatjana","non-dropping-particle":"","parse-names":false,"suffix":""},{"dropping-particle":"","family":"Sucic","given":"Mario","non-dropping-particle":"","parse-names":false,"suffix":""},{"dropping-particle":"","family":"Vrcic","given":"Hrvoje","non-dropping-particle":"","parse-names":false,"suffix":""},{"dropping-particle":"","family":"Seiwerth","given":"Sven","non-dropping-particle":"","parse-names":false,"suffix":""},{"dropping-particle":"","family":"Sikiric","given":"Predrag","non-dropping-particle":"","parse-names":false,"suffix":""}],"container-title":"Life Sciences","id":"ITEM-1","issued":{"date-parts":[["2016","3"]]},"page":"63-70","title":"Stable gastric pentadecapeptide BPC 157 heals rectovaginal fistula in rats","type":"article-journal","volume":"148"},"uris":["http://www.mendeley.com/documents/?uuid=9d02cf7d-044d-4060-9f70-c61a10e4d011"]},{"id":"ITEM-2","itemData":{"DOI":"10.1016/j.ejphar.2016.02.038","ISSN":"18790712","PMID":"26875638","abstract":"To establish the effects of BPC 157 on the healing of rat colovesical fistulas, Wistar Albino male rats were randomly assigned to different groups. BPC 157, a stable gastric pentadecapeptide, has been used in clinical applications - specifically, in ulcerative colitis - and was successful in treating both external and internal fistulas. BPC 157 was provided daily, perorally, in drinking water (10 ??g/kg, 12 ml/rat/day) until sacrifice or, alternatively, 10 ??g/kg or 10 ng/kg intraperitoneally, with the first application at 30 min after surgery and the last at 24 h before sacrifice. Controls simultaneously received an equivolume of saline (5.0 ml/kg ip) or water only (12 ml/rat/day). Assessment (i.e., colon and vesical defects, fistula leaking, fecaluria and defecation through the fistula, adhesions and intestinal obstruction as healing processes) took place on days 7, 14 and 28. Control colovesical fistulas regularly exhibited poor healing, with both of the defects persisting; continuous fistula leakage; fecaluria and defecation through the fistula; advanced adhesion formation; and intestinal obstruction. By contrast, BPC 157 given perorally or intraperitoneally and in ??g- and ng-regimens rapidly improved the whole presentation, with both colon and vesical defects simultaneously ameliorated and eventually healed. The maximal instilled volume was continuously raised until it reached the values of healthy rats, there were no signs of fecaluria and no defecation through the fistula, there was counteraction of advanced adhesion formation or there was an intestinal obstruction. In conclusion, BPC 157 effects appear to be suited to inducing full healing of colocutaneous fistulas in rats.","author":[{"dropping-particle":"","family":"Grgic","given":"Tihomir","non-dropping-particle":"","parse-names":false,"suffix":""},{"dropping-particle":"","family":"Grgic","given":"Dora","non-dropping-particle":"","parse-names":false,"suffix":""},{"dropping-particle":"","family":"Drmic","given":"Domagoj","non-dropping-particle":"","parse-names":false,"suffix":""},{"dropping-particle":"","family":"Sever","given":"Anita Zenko","non-dropping-particle":"","parse-names":false,"suffix":""},{"dropping-particle":"","family":"Petrovic","given":"Igor","non-dropping-particle":"","parse-names":false,"suffix":""},{"dropping-particle":"","family":"Sucic","given":"Mario","non-dropping-particle":"","parse-names":false,"suffix":""},{"dropping-particle":"","family":"Kokot","given":"Antonio","non-dropping-particle":"","parse-names":false,"suffix":""},{"dropping-particle":"","family":"Klicek","given":"Robert","non-dropping-particle":"","parse-names":false,"suffix":""},{"dropping-particle":"","family":"Sever","given":"Marko","non-dropping-particle":"","parse-names":false,"suffix":""},{"dropping-particle":"","family":"Seiwerth","given":"Sven","non-dropping-particle":"","parse-names":false,"suffix":""},{"dropping-particle":"","family":"Sikiric","given":"Predrag","non-dropping-particle":"","parse-names":false,"suffix":""}],"container-title":"European Journal of Pharmacology","id":"ITEM-2","issued":{"date-parts":[["2016"]]},"page":"1-7","publisher":"Elsevier","title":"Stable gastric pentadecapeptide BPC 157 heals rat colovesical fistula","type":"article-journal","volume":"780"},"uris":["http://www.mendeley.com/documents/?uuid=04542bd7-fb6a-4b51-8eef-04cb7ee8cd51"]},{"id":"ITEM-3","itemData":{"ISSN":"1347-8613","PMID":"18818478","abstract":"We focused on the therapeutic effect of the stable gastric pentadecapeptide BPC 157 and how its action is related to nitric oxide (NO) in persistent colocutaneous fistula in rats (at 5 cm from anus, colon defect of 5 mm, skin defect of 5 mm); this peptide has been shown to be safe in clinical trials for inflammatory bowel disease (PL14736) and safe for intestinal anstomosis therapy. BPC 157 (10 microg/kg, 10 ng/kg) was applied i) in drinking water until the animals were sacrificed at post-operative day 1, 3, 5, 7, 14, 21, and 28; or ii) once daily intraperitoneally (first application 30 min following surgery, last 24 h before sacrifice) alone or with N(G)-nitro-L-arginine methyl ester (L-NAME) (5 mg/kg), L-arginine (200 mg/kg), and their combinations. Sulphasalazine (50 mg/kg) and 6-alpha-methylprednisolone (1 mg/kg) were given once daily intraperitoneally. BPC 157 accelerated parenterally or perorally the healing of colonic and skin defect, leading to the suitable closure of the fistula, macro/microscopically, biomechanically, and functionally (larger water volume sustained without fistula leaking). L-NAME aggravated the healing failure of colocutaneous fistulas, skin, and colon wounds (L-NAME groups). L-Arginine was effective only with blunted NO generation (L-NAME + L-arginine groups) but not without (L-arginine groups). All of the BPC 157 beneficial effects remained unchanged with blunted NO-generation (L-NAME + BPC 157 groups) and with NO substrate (L-arginine + BPC 157 groups) as well as L-NAME and L-arginine co-administration (L-NAME + L-arginine + BPC 157 groups). Sulphasalazine was only moderately effective, and corticosteroid even had an aggravating effect.","author":[{"dropping-particle":"","family":"Klicek","given":"Robert","non-dropping-particle":"","parse-names":false,"suffix":""},{"dropping-particle":"","family":"Sever","given":"Marko","non-dropping-particle":"","parse-names":false,"suffix":""},{"dropping-particle":"","family":"Radic","given":"Bozo","non-dropping-particle":"","parse-names":false,"suffix":""},{"dropping-particle":"","family":"Drmic","given":"Domagoj","non-dropping-particle":"","parse-names":false,"suffix":""},{"dropping-particle":"","family":"Kocman","given":"Ivan","non-dropping-particle":"","parse-names":false,"suffix":""},{"dropping-particle":"","family":"Zoricic","given":"Ivan","non-dropping-particle":"","parse-names":false,"suffix":""},{"dropping-particle":"","family":"Vuksic","given":"Tihomir","non-dropping-particle":"","parse-names":false,"suffix":""},{"dropping-particle":"","family":"Ivica","given":"Mihovil","non-dropping-particle":"","parse-names":false,"suffix":""},{"dropping-particle":"","family":"Barisic","given":"Ivan","non-dropping-particle":"","parse-names":false,"suffix":""},{"dropping-particle":"","family":"Ilic","given":"Spomenko","non-dropping-particle":"","parse-names":false,"suffix":""},{"dropping-particle":"","family":"Berkopic","given":"Lidija","non-dropping-particle":"","parse-names":false,"suffix":""},{"dropping-particle":"","family":"Vrcic","given":"Hrvoje","non-dropping-particle":"","parse-names":false,"suffix":""},{"dropping-particle":"","family":"Brcic","given":"Luka","non-dropping-particle":"","parse-names":false,"suffix":""},{"dropping-particle":"","family":"Blagaic","given":"Alenka Boban","non-dropping-particle":"","parse-names":false,"suffix":""},{"dropping-particle":"","family":"Coric","given":"Marijana","non-dropping-particle":"","parse-names":false,"suffix":""},{"dropping-particle":"","family":"Brcic","given":"Iva","non-dropping-particle":"","parse-names":false,"suffix":""},{"dropping-particle":"","family":"Rokotov","given":"Dinko Stancic","non-dropping-particle":"","parse-names":false,"suffix":""},{"dropping-particle":"","family":"Anic","given":"Tomislav","non-dropping-particle":"","parse-names":false,"suffix":""},{"dropping-particle":"","family":"Seiwerth","given":"Sven","non-dropping-particle":"","parse-names":false,"suffix":""},{"dropping-particle":"","family":"Sikiric","given":"Predrag","non-dropping-particle":"","parse-names":false,"suffix":""}],"container-title":"Journal of pharmacological sciences","id":"ITEM-3","issue":"1","issued":{"date-parts":[["2008","9"]]},"page":"7-17","title":"Pentadecapeptide BPC 157, in clinical trials as a therapy for inflammatory bowel disease (PL14736), is effective in the healing of colocutaneous fistulas in rats: role of the nitric oxide-system.","type":"article-journal","volume":"108"},"uris":["http://www.mendeley.com/documents/?uuid=603bb6e4-0405-4baa-8f6b-0e82c47cd81e"]},{"id":"ITEM-4","itemData":{"DOI":"10.1007/s10620-008-0598-y","ISSN":"0163-2116","author":[{"dropping-particle":"","family":"Sever","given":"Marko","non-dropping-particle":"","parse-names":false,"suffix":""},{"dropping-particle":"","family":"Klicek","given":"Robert","non-dropping-particle":"","parse-names":false,"suffix":""},{"dropping-particle":"","family":"Radic","given":"Bozo","non-dropping-particle":"","parse-names":false,"suffix":""},{"dropping-particle":"","family":"Brcic","given":"Luka","non-dropping-particle":"","parse-names":false,"suffix":""},{"dropping-particle":"","family":"Zoricic","given":"Ivan","non-dropping-particle":"","parse-names":false,"suffix":""},{"dropping-particle":"","family":"Drmic","given":"Domagoj","non-dropping-particle":"","parse-names":false,"suffix":""},{"dropping-particle":"","family":"Ivica","given":"Mihovil","non-dropping-particle":"","parse-names":false,"suffix":""},{"dropping-particle":"","family":"Barisic","given":"Ivan","non-dropping-particle":"","parse-names":false,"suffix":""},{"dropping-particle":"","family":"Ilic","given":"Spomenko","non-dropping-particle":"","parse-names":false,"suffix":""},{"dropping-particle":"","family":"Berkopic","given":"Lidija","non-dropping-particle":"","parse-names":false,"suffix":""},{"dropping-particle":"","family":"Blagaic","given":"Alenka Boban","non-dropping-particle":"","parse-names":false,"suffix":""},{"dropping-particle":"","family":"Coric","given":"Marijana","non-dropping-particle":"","parse-names":false,"suffix":""},{"dropping-particle":"","family":"Kolenc","given":"Danijela","non-dropping-particle":"","parse-names":false,"suffix":""},{"dropping-particle":"","family":"Vrcic","given":"Hrvoje","non-dropping-particle":"","parse-names":false,"suffix":""},{"dropping-particle":"","family":"Anic","given":"Tomislav","non-dropping-particle":"","parse-names":false,"suffix":""},{"dropping-particle":"","family":"Seiwerth","given":"Sven","non-dropping-particle":"","parse-names":false,"suffix":""},{"dropping-particle":"","family":"Sikiric","given":"Predrag","non-dropping-particle":"","parse-names":false,"suffix":""}],"container-title":"Digestive Diseases and Sciences","id":"ITEM-4","issue":"10","issued":{"date-parts":[["2009","10","18"]]},"page":"2070-2083","title":"Gastric Pentadecapeptide BPC 157 and Short Bowel Syndrome in Rats","type":"article-journal","volume":"54"},"uris":["http://www.mendeley.com/documents/?uuid=d5bae549-2131-457d-a9d4-d06841712948"]},{"id":"ITEM-5","itemData":{"DOI":"10.1007/s00595-006-3498-9","ISSN":"09411291","abstract":"Purpose. Gastric pentadecapeptide BPC 157 (BPC 157), which has been shown to be safe in clinical trials for inflammatory bowel disease (PL-10, PLD-116, PL14736, Pliva, Croatia), may be able to cure intestinal anastomosis dehiscence. This antiulcer peptide shows no toxicity, is limit test negative, and a lethal dose is not achieved. It is stable in human gastric juice. In comparison with other standard treatments it is more effective for ulcers and various wounds, and can be used without a carrier needed for other peptides, both locally and systemically (i.e., perorally, parenterally). We studied the effectiveness of BPC 157 for ileoileal anastomosis healing in rats. Methods. We assessed ileoileal anastomosis dehiscence macroscopically, histologically, and biomechanically (volume [ml] infused through a syringe-perfusion pump system (1 ml/10 s), and pressure [mmHg]  to leak induction [catheter connected to a chamber and a monitor, at 10 cm proximal to anastomosis]), at 1, 2, 3, 4, 5, 6, 7, and 14 days. BPC 157 (10 μg, 10 ng, 10 pg/kg i.p. (or saline [5 ml/kg] ) was first administered after surgery, while it was last given 24 h before either assessment or sacrifice. Results. Throughout the experiment, both higher doses of BPC 157 were shown to improve all parameters of anastomotic wound healing. The formation of adhesions remained slight, the blood vessels were filled with blood, and a mild intestinal passage obstruction was only temporarily observed. Anastomosis without leakage induces markedly higher volume and pressure values, with a continuous increase toward healthy values. From day 1, edema was markedly attenuated and the number of granulocytes decreased, while from days 4 or 5 necrosis decreased and granulation tissue, reticulin, and collagen formation substantially increased, thus resulting in increased epithelization. Conclusion. This study showed BPC 157 to have a beneficial effect on ileoileal anastomosis healing in the rat. © 2007 Springer-Verlag.","author":[{"dropping-particle":"","family":"Vuksic","given":"T.","non-dropping-particle":"","parse-names":false,"suffix":""},{"dropping-particle":"","family":"Zoricic","given":"I.","non-dropping-particle":"","parse-names":false,"suffix":""},{"dropping-particle":"","family":"Brcic","given":"L.","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Cesarec","given":"V.","non-dropping-particle":"","parse-names":false,"suffix":""},{"dropping-particle":"","family":"Berkopic","given":"L.","non-dropping-particle":"","parse-names":false,"suffix":""},{"dropping-particle":"","family":"Keller","given":"N.","non-dropping-particle":"","parse-names":false,"suffix":""},{"dropping-particle":"","family":"Blagaic","given":"A.B.","non-dropping-particle":"","parse-names":false,"suffix":""},{"dropping-particle":"","family":"Kokic","given":"N.","non-dropping-particle":"","parse-names":false,"suffix":""},{"dropping-particle":"","family":"Jelic","given":"I.","non-dropping-particle":"","parse-names":false,"suffix":""},{"dropping-particle":"","family":"Geber","given":"J.","non-dropping-particle":"","parse-names":false,"suffix":""},{"dropping-particle":"","family":"Anic","given":"T.","non-dropping-particle":"","parse-names":false,"suffix":""},{"dropping-particle":"","family":"Seiwerth","given":"S.","non-dropping-particle":"","parse-names":false,"suffix":""},{"dropping-particle":"","family":"Sikiric","given":"P.","non-dropping-particle":"","parse-names":false,"suffix":""}],"container-title":"Surgery Today","id":"ITEM-5","issue":"9","issued":{"date-parts":[["2007"]]},"title":"Stable gastric pentadecapeptide BPC 157 in trials for inflammatory bowel disease (PL-10, PLD-116, PL14736, Pliva, Croatia) heals ileoileal anastomosis in the rat","type":"article-journal","volume":"37"},"uris":["http://www.mendeley.com/documents/?uuid=349c7d36-04ba-3487-b4e9-2775a64e164d"]}],"mendeley":{"formattedCitation":"&lt;sup&gt;[34–36,39,40]&lt;/sup&gt;","plainTextFormattedCitation":"[34–36,39,40]","previouslyFormattedCitation":"&lt;sup&gt;[34–36,39,40]&lt;/sup&gt;"},"properties":{"noteIndex":0},"schema":"https://github.com/citation-style-language/schema/raw/master/csl-citation.json"}</w:instrText>
      </w:r>
      <w:r w:rsidR="00424272"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[34–36,39,40]</w:t>
      </w:r>
      <w:r w:rsidR="00424272" w:rsidRPr="00E47A42">
        <w:rPr>
          <w:rFonts w:ascii="Book Antiqua" w:hAnsi="Book Antiqua" w:cs="Times New Roman"/>
          <w:sz w:val="24"/>
          <w:szCs w:val="24"/>
          <w:lang w:val="en-US"/>
        </w:rPr>
        <w:fldChar w:fldCharType="end"/>
      </w:r>
      <w:r w:rsidR="00A302B4" w:rsidRPr="00E47A42">
        <w:rPr>
          <w:rFonts w:ascii="Book Antiqua" w:hAnsi="Book Antiqua" w:cs="Times New Roman"/>
          <w:sz w:val="24"/>
          <w:szCs w:val="24"/>
          <w:lang w:val="en-US"/>
        </w:rPr>
        <w:t>.</w:t>
      </w:r>
    </w:p>
    <w:p w14:paraId="6923833F" w14:textId="34E4F920" w:rsidR="001060C4" w:rsidRPr="00E47A42" w:rsidRDefault="00A302B4" w:rsidP="00D72C63">
      <w:pPr>
        <w:snapToGrid w:val="0"/>
        <w:spacing w:after="0"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 xml:space="preserve">Thus, it may be </w:t>
      </w:r>
      <w:r w:rsidR="0080664F" w:rsidRPr="00E47A42">
        <w:rPr>
          <w:rFonts w:ascii="Book Antiqua" w:hAnsi="Book Antiqua" w:cs="Times New Roman"/>
          <w:sz w:val="24"/>
          <w:szCs w:val="24"/>
          <w:lang w:val="en-US"/>
        </w:rPr>
        <w:t>generally</w:t>
      </w:r>
      <w:r w:rsidR="00AC29F3" w:rsidRPr="00E47A42">
        <w:rPr>
          <w:rFonts w:ascii="Book Antiqua" w:hAnsi="Book Antiqua" w:cs="Times New Roman"/>
          <w:sz w:val="24"/>
          <w:szCs w:val="24"/>
          <w:lang w:val="en-US"/>
        </w:rPr>
        <w:t xml:space="preserve"> observed</w:t>
      </w:r>
      <w:r w:rsidRPr="00E47A42">
        <w:rPr>
          <w:rFonts w:ascii="Book Antiqua" w:hAnsi="Book Antiqua" w:cs="Times New Roman"/>
          <w:sz w:val="24"/>
          <w:szCs w:val="24"/>
          <w:lang w:val="en-US"/>
        </w:rPr>
        <w:t>, that BPC 157 promptly facilitate</w:t>
      </w:r>
      <w:r w:rsidR="007B7943" w:rsidRPr="00E47A42">
        <w:rPr>
          <w:rFonts w:ascii="Book Antiqua" w:hAnsi="Book Antiqua" w:cs="Times New Roman"/>
          <w:sz w:val="24"/>
          <w:szCs w:val="24"/>
          <w:lang w:val="en-US"/>
        </w:rPr>
        <w:t>s</w:t>
      </w:r>
      <w:r w:rsidRPr="00E47A42">
        <w:rPr>
          <w:rFonts w:ascii="Book Antiqua" w:hAnsi="Book Antiqua" w:cs="Times New Roman"/>
          <w:sz w:val="24"/>
          <w:szCs w:val="24"/>
          <w:lang w:val="en-US"/>
        </w:rPr>
        <w:t xml:space="preserve"> and extend</w:t>
      </w:r>
      <w:r w:rsidR="007B7943" w:rsidRPr="00E47A42">
        <w:rPr>
          <w:rFonts w:ascii="Book Antiqua" w:hAnsi="Book Antiqua" w:cs="Times New Roman"/>
          <w:sz w:val="24"/>
          <w:szCs w:val="24"/>
          <w:lang w:val="en-US"/>
        </w:rPr>
        <w:t>s the</w:t>
      </w:r>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cytoprotection</w:t>
      </w:r>
      <w:proofErr w:type="spellEnd"/>
      <w:r w:rsidRPr="00E47A42">
        <w:rPr>
          <w:rFonts w:ascii="Book Antiqua" w:hAnsi="Book Antiqua" w:cs="Times New Roman"/>
          <w:sz w:val="24"/>
          <w:szCs w:val="24"/>
          <w:lang w:val="en-US"/>
        </w:rPr>
        <w:t xml:space="preserve"> background (endothelium maintenance → epithelium maintenance = blood vessel recruitment and activation toward injury, providing also </w:t>
      </w:r>
      <w:r w:rsidRPr="00E47A42">
        <w:rPr>
          <w:rFonts w:ascii="Book Antiqua" w:hAnsi="Book Antiqua" w:cs="Times New Roman"/>
          <w:sz w:val="24"/>
          <w:szCs w:val="24"/>
          <w:lang w:val="en-US"/>
        </w:rPr>
        <w:lastRenderedPageBreak/>
        <w:t xml:space="preserve">described “bypassing” of occlusion </w:t>
      </w:r>
      <w:r w:rsidR="003519B4" w:rsidRPr="00E47A42">
        <w:rPr>
          <w:rFonts w:ascii="Book Antiqua" w:hAnsi="Book Antiqua" w:cs="Times New Roman"/>
          <w:sz w:val="24"/>
          <w:szCs w:val="24"/>
          <w:lang w:val="en-US"/>
        </w:rPr>
        <w:t xml:space="preserve">through </w:t>
      </w:r>
      <w:r w:rsidRPr="00E47A42">
        <w:rPr>
          <w:rFonts w:ascii="Book Antiqua" w:hAnsi="Book Antiqua" w:cs="Times New Roman"/>
          <w:sz w:val="24"/>
          <w:szCs w:val="24"/>
          <w:lang w:val="en-US"/>
        </w:rPr>
        <w:t>alternative ways)</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007B7943" w:rsidRPr="00E47A42">
        <w:rPr>
          <w:rFonts w:ascii="Book Antiqua" w:hAnsi="Book Antiqua" w:cs="Times New Roman"/>
          <w:sz w:val="24"/>
          <w:szCs w:val="24"/>
          <w:lang w:val="en-US"/>
        </w:rPr>
        <w:t>; thus,</w:t>
      </w:r>
      <w:r w:rsidRPr="00E47A42">
        <w:rPr>
          <w:rFonts w:ascii="Book Antiqua" w:hAnsi="Book Antiqua" w:cs="Times New Roman"/>
          <w:sz w:val="24"/>
          <w:szCs w:val="24"/>
          <w:lang w:val="en-US"/>
        </w:rPr>
        <w:t xml:space="preserve"> all chains of events </w:t>
      </w:r>
      <w:r w:rsidR="007B7943" w:rsidRPr="00E47A42">
        <w:rPr>
          <w:rFonts w:ascii="Book Antiqua" w:hAnsi="Book Antiqua" w:cs="Times New Roman"/>
          <w:sz w:val="24"/>
          <w:szCs w:val="24"/>
          <w:lang w:val="en-US"/>
        </w:rPr>
        <w:t xml:space="preserve">were </w:t>
      </w:r>
      <w:r w:rsidRPr="00E47A42">
        <w:rPr>
          <w:rFonts w:ascii="Book Antiqua" w:hAnsi="Book Antiqua" w:cs="Times New Roman"/>
          <w:sz w:val="24"/>
          <w:szCs w:val="24"/>
          <w:lang w:val="en-US"/>
        </w:rPr>
        <w:t xml:space="preserve">accordingly and promptly involved to rapidly initiate and achieve </w:t>
      </w:r>
      <w:r w:rsidR="007B7943" w:rsidRPr="00E47A42">
        <w:rPr>
          <w:rFonts w:ascii="Book Antiqua" w:hAnsi="Book Antiqua" w:cs="Times New Roman"/>
          <w:sz w:val="24"/>
          <w:szCs w:val="24"/>
          <w:lang w:val="en-US"/>
        </w:rPr>
        <w:t xml:space="preserve">a </w:t>
      </w:r>
      <w:r w:rsidRPr="00E47A42">
        <w:rPr>
          <w:rFonts w:ascii="Book Antiqua" w:hAnsi="Book Antiqua" w:cs="Times New Roman"/>
          <w:sz w:val="24"/>
          <w:szCs w:val="24"/>
          <w:lang w:val="en-US"/>
        </w:rPr>
        <w:t xml:space="preserve">full healing effect. </w:t>
      </w:r>
    </w:p>
    <w:p w14:paraId="10A03FBA" w14:textId="5F7595F1" w:rsidR="00A302B4" w:rsidRPr="00E47A42" w:rsidRDefault="00A302B4" w:rsidP="00D72C63">
      <w:pPr>
        <w:snapToGrid w:val="0"/>
        <w:spacing w:after="0"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 xml:space="preserve">This specific </w:t>
      </w:r>
      <w:r w:rsidR="00AC29F3" w:rsidRPr="00E47A42">
        <w:rPr>
          <w:rFonts w:ascii="Book Antiqua" w:hAnsi="Book Antiqua" w:cs="Times New Roman"/>
          <w:sz w:val="24"/>
          <w:szCs w:val="24"/>
          <w:lang w:val="en-US"/>
        </w:rPr>
        <w:t>level of healing</w:t>
      </w:r>
      <w:r w:rsidRPr="00E47A42">
        <w:rPr>
          <w:rFonts w:ascii="Book Antiqua" w:hAnsi="Book Antiqua" w:cs="Times New Roman"/>
          <w:sz w:val="24"/>
          <w:szCs w:val="24"/>
          <w:lang w:val="en-US"/>
        </w:rPr>
        <w:t xml:space="preserve"> (initial and final)</w:t>
      </w:r>
      <w:r w:rsidR="008C0D85" w:rsidRPr="00E47A42">
        <w:rPr>
          <w:rFonts w:ascii="Book Antiqua" w:hAnsi="Book Antiqua" w:cs="Times New Roman"/>
          <w:sz w:val="24"/>
          <w:szCs w:val="24"/>
          <w:lang w:val="en-US"/>
        </w:rPr>
        <w:t xml:space="preserve"> can be not obtained from </w:t>
      </w:r>
      <w:r w:rsidRPr="00E47A42">
        <w:rPr>
          <w:rFonts w:ascii="Book Antiqua" w:hAnsi="Book Antiqua" w:cs="Times New Roman"/>
          <w:sz w:val="24"/>
          <w:szCs w:val="24"/>
          <w:lang w:val="en-US"/>
        </w:rPr>
        <w:t xml:space="preserve">the effect of NOS-blockade (L-NAME) or NOS-substrate (L-arginine), two pharmacologically distinct mechanisms with opposite effects on the same </w:t>
      </w:r>
      <w:r w:rsidRPr="00E47A42">
        <w:rPr>
          <w:rFonts w:ascii="Book Antiqua" w:hAnsi="Book Antiqua" w:cs="Times New Roman"/>
          <w:noProof/>
          <w:sz w:val="24"/>
          <w:szCs w:val="24"/>
          <w:lang w:val="en-US"/>
        </w:rPr>
        <w:t>signaling</w:t>
      </w:r>
      <w:r w:rsidRPr="00E47A42">
        <w:rPr>
          <w:rFonts w:ascii="Book Antiqua" w:hAnsi="Book Antiqua" w:cs="Times New Roman"/>
          <w:sz w:val="24"/>
          <w:szCs w:val="24"/>
          <w:lang w:val="en-US"/>
        </w:rPr>
        <w:t xml:space="preserve"> NO-pathway</w:t>
      </w:r>
      <w:r w:rsidR="00A75220"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{"citationItems":[{"id":"ITEM-1","itemData":{"ISSN":"1873-4286","PMID":"23755725","abstract":"We reviewed stable gastric pentadecapeptide BPC 157-NO-system-relation, its close participation in Moncada's (maintained vascular integrity, platelets control) homeostatic healing response of NO-system to injury. Namely, BPC 157's particular healing effect also affects all events after vascular integrity loss (dependent on circumstances, it reduces either thrombosis (abdominal aorta anastomosis) or bleeding/thrombocytopenia (amputation, heparin, warfarin, aspirin)) and in a series of different injurious models, acute and chronic, BPC 157 consistently advances healing after severe injuries in various tissues spontaneously unable to heal; stimulates egr-1 and naB2 genes; exhibits high safety (LD1 not achieved)). Hypothesis, that BPC 157 (since formed constitutively in the gastric mucosa, stable in human gastric juice, along with significance of NO-synthase and the basal formation of NO in stomach mucosa, greater than that seen in other tissues) exhibits a general, effective competing both with L-arginine analogues (i. e., L-NAME) and L-arginine, and that this has some physiologic importance (NO-generation), later, practically supports its beneficial effects illustrating BPC 157 and NOsystem mutual (with L-NAME/L-arginine; alone and together) relations in (i) gastric mucosa and mucosal protection, following alcohol lesions, in cytoprotection course, NO-generation, and blood pressure regulation; (ii) alcohol acute/chronic intoxication, and withdrawal; (iii) cardiovascular disturbances, chronic heart failure, pulmonary hypertension, and arrhythmias; (iv) disturbances after hypokalemia and hyperkalemia, and potassium-cell membrane dysfunction; and finally, in (v) complex healing failure, proved by the fistulas healing, colocutaneous and esophagocutaneous. However, how this advantage of modulating NO-system (i. e., particular effect on eNOS gene), may be practically translated into an enhanced clinical performance remains to be determined.","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tupnisek","given":"Mirjana","non-dropping-particle":"","parse-names":false,"suffix":""},{"dropping-particle":"","family":"Suran","given":"Jelena","non-dropping-particle":"","parse-names":false,"suffix":""},{"dropping-particle":"","family":"Barisic","given":"Ivan","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design","id":"ITEM-1","issue":"7","issued":{"date-parts":[["2014"]]},"page":"1126-35","title":"Stable gastric pentadecapeptide BPC 157-NO-system relation.","type":"article-journal","volume":"20"},"uris":["http://www.mendeley.com/documents/?uuid=74ead48f-0c75-446a-a19b-49bb02b31992"]}],"mendeley":{"formattedCitation":"&lt;sup&gt;[13]&lt;/sup&gt;","plainTextFormattedCitation":"[13]","previouslyFormattedCitation":"&lt;sup&gt;[13]&lt;/sup&gt;"},"properties":{"noteIndex":0},"schema":"https://github.com/citation-style-language/schema/raw/master/csl-citation.json"}</w:instrText>
      </w:r>
      <w:r w:rsidR="00A75220"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[13]</w:t>
      </w:r>
      <w:r w:rsidR="00A75220"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Initially, L-arginine reduced vessel disappearance and </w:t>
      </w:r>
      <w:r w:rsidR="00ED5FE3" w:rsidRPr="00E47A42">
        <w:rPr>
          <w:rFonts w:ascii="Book Antiqua" w:hAnsi="Book Antiqua" w:cs="Times New Roman"/>
          <w:sz w:val="24"/>
          <w:szCs w:val="24"/>
          <w:lang w:val="en-US"/>
        </w:rPr>
        <w:t>counteracted defect widening</w:t>
      </w:r>
      <w:r w:rsidRPr="00E47A42">
        <w:rPr>
          <w:rFonts w:ascii="Book Antiqua" w:hAnsi="Book Antiqua" w:cs="Times New Roman"/>
          <w:sz w:val="24"/>
          <w:szCs w:val="24"/>
          <w:lang w:val="en-US"/>
        </w:rPr>
        <w:t xml:space="preserve">, and </w:t>
      </w:r>
      <w:r w:rsidR="008C0D85" w:rsidRPr="00E47A42">
        <w:rPr>
          <w:rFonts w:ascii="Book Antiqua" w:hAnsi="Book Antiqua" w:cs="Times New Roman"/>
          <w:sz w:val="24"/>
          <w:szCs w:val="24"/>
          <w:lang w:val="en-US"/>
        </w:rPr>
        <w:t xml:space="preserve">prolonged </w:t>
      </w:r>
      <w:r w:rsidRPr="00E47A42">
        <w:rPr>
          <w:rFonts w:ascii="Book Antiqua" w:hAnsi="Book Antiqua" w:cs="Times New Roman"/>
          <w:sz w:val="24"/>
          <w:szCs w:val="24"/>
          <w:lang w:val="en-US"/>
        </w:rPr>
        <w:t>the bleeding period</w:t>
      </w:r>
      <w:r w:rsidR="003519B4" w:rsidRPr="00E47A42">
        <w:rPr>
          <w:rFonts w:ascii="Book Antiqua" w:hAnsi="Book Antiqua" w:cs="Times New Roman"/>
          <w:sz w:val="24"/>
          <w:szCs w:val="24"/>
          <w:lang w:val="en-US"/>
        </w:rPr>
        <w:t>. W</w:t>
      </w:r>
      <w:r w:rsidRPr="00E47A42">
        <w:rPr>
          <w:rFonts w:ascii="Book Antiqua" w:hAnsi="Book Antiqua" w:cs="Times New Roman"/>
          <w:sz w:val="24"/>
          <w:szCs w:val="24"/>
          <w:lang w:val="en-US"/>
        </w:rPr>
        <w:t xml:space="preserve">ith L-NAME, vessel disappearance was similar to </w:t>
      </w:r>
      <w:r w:rsidR="00D23F57" w:rsidRPr="00E47A42">
        <w:rPr>
          <w:rFonts w:ascii="Book Antiqua" w:hAnsi="Book Antiqua" w:cs="Times New Roman"/>
          <w:sz w:val="24"/>
          <w:szCs w:val="24"/>
          <w:lang w:val="en-US"/>
        </w:rPr>
        <w:t xml:space="preserve">that </w:t>
      </w:r>
      <w:r w:rsidR="003519B4" w:rsidRPr="00E47A42">
        <w:rPr>
          <w:rFonts w:ascii="Book Antiqua" w:hAnsi="Book Antiqua" w:cs="Times New Roman"/>
          <w:sz w:val="24"/>
          <w:szCs w:val="24"/>
          <w:lang w:val="en-US"/>
        </w:rPr>
        <w:t>in</w:t>
      </w:r>
      <w:r w:rsidR="00D23F57"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the controls</w:t>
      </w:r>
      <w:r w:rsidR="003519B4" w:rsidRPr="00E47A42">
        <w:rPr>
          <w:rFonts w:ascii="Book Antiqua" w:hAnsi="Book Antiqua" w:cs="Times New Roman"/>
          <w:sz w:val="24"/>
          <w:szCs w:val="24"/>
          <w:lang w:val="en-US"/>
        </w:rPr>
        <w:t>; however,</w:t>
      </w:r>
      <w:r w:rsidRPr="00E47A42">
        <w:rPr>
          <w:rFonts w:ascii="Book Antiqua" w:hAnsi="Book Antiqua" w:cs="Times New Roman"/>
          <w:sz w:val="24"/>
          <w:szCs w:val="24"/>
          <w:lang w:val="en-US"/>
        </w:rPr>
        <w:t xml:space="preserve"> there was </w:t>
      </w:r>
      <w:r w:rsidR="00ED5FE3" w:rsidRPr="00E47A42">
        <w:rPr>
          <w:rFonts w:ascii="Book Antiqua" w:hAnsi="Book Antiqua" w:cs="Times New Roman"/>
          <w:sz w:val="24"/>
          <w:szCs w:val="24"/>
          <w:lang w:val="en-US"/>
        </w:rPr>
        <w:t>counteraction of defect widening</w:t>
      </w:r>
      <w:r w:rsidRPr="00E47A42">
        <w:rPr>
          <w:rFonts w:ascii="Book Antiqua" w:hAnsi="Book Antiqua" w:cs="Times New Roman"/>
          <w:sz w:val="24"/>
          <w:szCs w:val="24"/>
          <w:lang w:val="en-US"/>
        </w:rPr>
        <w:t xml:space="preserve">, and the bleeding period was shortened. These would </w:t>
      </w:r>
      <w:r w:rsidR="003519B4" w:rsidRPr="00E47A42">
        <w:rPr>
          <w:rFonts w:ascii="Book Antiqua" w:hAnsi="Book Antiqua" w:cs="Times New Roman"/>
          <w:sz w:val="24"/>
          <w:szCs w:val="24"/>
          <w:lang w:val="en-US"/>
        </w:rPr>
        <w:t xml:space="preserve">both </w:t>
      </w:r>
      <w:r w:rsidRPr="00E47A42">
        <w:rPr>
          <w:rFonts w:ascii="Book Antiqua" w:hAnsi="Book Antiqua" w:cs="Times New Roman"/>
          <w:sz w:val="24"/>
          <w:szCs w:val="24"/>
          <w:lang w:val="en-US"/>
        </w:rPr>
        <w:t>be inadequate</w:t>
      </w:r>
      <w:r w:rsidR="005A3B6E"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though NO-specific</w:t>
      </w:r>
      <w:r w:rsidR="003519B4"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w:t>
      </w:r>
      <w:r w:rsidR="003519B4" w:rsidRPr="00E47A42">
        <w:rPr>
          <w:rFonts w:ascii="Book Antiqua" w:hAnsi="Book Antiqua" w:cs="Times New Roman"/>
          <w:sz w:val="24"/>
          <w:szCs w:val="24"/>
          <w:lang w:val="en-US"/>
        </w:rPr>
        <w:t xml:space="preserve">responses </w:t>
      </w:r>
      <w:r w:rsidRPr="00E47A42">
        <w:rPr>
          <w:rFonts w:ascii="Book Antiqua" w:hAnsi="Book Antiqua" w:cs="Times New Roman"/>
          <w:sz w:val="24"/>
          <w:szCs w:val="24"/>
          <w:lang w:val="en-US"/>
        </w:rPr>
        <w:t>(given together, L-NAME+L-arginine regularly reversed each other's initial response</w:t>
      </w:r>
      <w:r w:rsidR="003519B4" w:rsidRPr="00E47A42">
        <w:rPr>
          <w:rFonts w:ascii="Book Antiqua" w:hAnsi="Book Antiqua" w:cs="Times New Roman"/>
          <w:sz w:val="24"/>
          <w:szCs w:val="24"/>
          <w:lang w:val="en-US"/>
        </w:rPr>
        <w:t>s</w:t>
      </w:r>
      <w:r w:rsidRPr="00E47A42">
        <w:rPr>
          <w:rFonts w:ascii="Book Antiqua" w:hAnsi="Book Antiqua" w:cs="Times New Roman"/>
          <w:sz w:val="24"/>
          <w:szCs w:val="24"/>
          <w:lang w:val="en-US"/>
        </w:rPr>
        <w:t xml:space="preserve">, being not different from </w:t>
      </w:r>
      <w:r w:rsidR="00D23F57"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controls</w:t>
      </w:r>
      <w:r w:rsidR="003519B4" w:rsidRPr="00E47A42">
        <w:rPr>
          <w:rFonts w:ascii="Book Antiqua" w:hAnsi="Book Antiqua" w:cs="Times New Roman"/>
          <w:sz w:val="24"/>
          <w:szCs w:val="24"/>
          <w:lang w:val="en-US"/>
        </w:rPr>
        <w:t>, with</w:t>
      </w:r>
      <w:r w:rsidRPr="00E47A42">
        <w:rPr>
          <w:rFonts w:ascii="Book Antiqua" w:hAnsi="Book Antiqua" w:cs="Times New Roman"/>
          <w:sz w:val="24"/>
          <w:szCs w:val="24"/>
          <w:lang w:val="en-US"/>
        </w:rPr>
        <w:t xml:space="preserve"> a bleeding period similar to the controls (L-NAME+L-arginine)). Namely, they both eventually aggravate</w:t>
      </w:r>
      <w:r w:rsidR="005A3B6E" w:rsidRPr="00E47A42">
        <w:rPr>
          <w:rFonts w:ascii="Book Antiqua" w:hAnsi="Book Antiqua" w:cs="Times New Roman"/>
          <w:sz w:val="24"/>
          <w:szCs w:val="24"/>
          <w:lang w:val="en-US"/>
        </w:rPr>
        <w:t>d</w:t>
      </w:r>
      <w:r w:rsidRPr="00E47A42">
        <w:rPr>
          <w:rFonts w:ascii="Book Antiqua" w:hAnsi="Book Antiqua" w:cs="Times New Roman"/>
          <w:sz w:val="24"/>
          <w:szCs w:val="24"/>
          <w:lang w:val="en-US"/>
        </w:rPr>
        <w:t xml:space="preserve"> perforated lesion</w:t>
      </w:r>
      <w:r w:rsidR="00D23F57" w:rsidRPr="00E47A42">
        <w:rPr>
          <w:rFonts w:ascii="Book Antiqua" w:hAnsi="Book Antiqua" w:cs="Times New Roman"/>
          <w:sz w:val="24"/>
          <w:szCs w:val="24"/>
          <w:lang w:val="en-US"/>
        </w:rPr>
        <w:t>s</w:t>
      </w:r>
      <w:r w:rsidRPr="00E47A42">
        <w:rPr>
          <w:rFonts w:ascii="Book Antiqua" w:hAnsi="Book Antiqua" w:cs="Times New Roman"/>
          <w:sz w:val="24"/>
          <w:szCs w:val="24"/>
          <w:lang w:val="en-US"/>
        </w:rPr>
        <w:t xml:space="preserve"> in the cecum, a non-NO-specific effect (given together, they did not reverse each other's final response</w:t>
      </w:r>
      <w:r w:rsidR="003519B4" w:rsidRPr="00E47A42">
        <w:rPr>
          <w:rFonts w:ascii="Book Antiqua" w:hAnsi="Book Antiqua" w:cs="Times New Roman"/>
          <w:sz w:val="24"/>
          <w:szCs w:val="24"/>
          <w:lang w:val="en-US"/>
        </w:rPr>
        <w:t>s</w:t>
      </w:r>
      <w:r w:rsidR="005A3B6E"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L-NAME+L-arginine</w:t>
      </w:r>
      <w:r w:rsidR="003519B4"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rats still ha</w:t>
      </w:r>
      <w:r w:rsidR="003519B4" w:rsidRPr="00E47A42">
        <w:rPr>
          <w:rFonts w:ascii="Book Antiqua" w:hAnsi="Book Antiqua" w:cs="Times New Roman"/>
          <w:sz w:val="24"/>
          <w:szCs w:val="24"/>
          <w:lang w:val="en-US"/>
        </w:rPr>
        <w:t>d</w:t>
      </w:r>
      <w:r w:rsidRPr="00E47A42">
        <w:rPr>
          <w:rFonts w:ascii="Book Antiqua" w:hAnsi="Book Antiqua" w:cs="Times New Roman"/>
          <w:sz w:val="24"/>
          <w:szCs w:val="24"/>
          <w:lang w:val="en-US"/>
        </w:rPr>
        <w:t xml:space="preserve"> an open defect larger than </w:t>
      </w:r>
      <w:r w:rsidR="00D23F57" w:rsidRPr="00E47A42">
        <w:rPr>
          <w:rFonts w:ascii="Book Antiqua" w:hAnsi="Book Antiqua" w:cs="Times New Roman"/>
          <w:sz w:val="24"/>
          <w:szCs w:val="24"/>
          <w:lang w:val="en-US"/>
        </w:rPr>
        <w:t xml:space="preserve">that </w:t>
      </w:r>
      <w:r w:rsidRPr="00E47A42">
        <w:rPr>
          <w:rFonts w:ascii="Book Antiqua" w:hAnsi="Book Antiqua" w:cs="Times New Roman"/>
          <w:sz w:val="24"/>
          <w:szCs w:val="24"/>
          <w:lang w:val="en-US"/>
        </w:rPr>
        <w:t>in the controls</w:t>
      </w:r>
      <w:r w:rsidR="005A3B6E" w:rsidRPr="00E47A42">
        <w:rPr>
          <w:rFonts w:ascii="Book Antiqua" w:hAnsi="Book Antiqua" w:cs="Times New Roman"/>
          <w:sz w:val="24"/>
          <w:szCs w:val="24"/>
          <w:lang w:val="en-US"/>
        </w:rPr>
        <w:t xml:space="preserve"> with</w:t>
      </w:r>
      <w:r w:rsidRPr="00E47A42">
        <w:rPr>
          <w:rFonts w:ascii="Book Antiqua" w:hAnsi="Book Antiqua" w:cs="Times New Roman"/>
          <w:sz w:val="24"/>
          <w:szCs w:val="24"/>
          <w:lang w:val="en-US"/>
        </w:rPr>
        <w:t xml:space="preserve"> adhesions of higher score). </w:t>
      </w:r>
      <w:r w:rsidR="00D23F57" w:rsidRPr="00E47A42">
        <w:rPr>
          <w:rFonts w:ascii="Book Antiqua" w:hAnsi="Book Antiqua" w:cs="Times New Roman"/>
          <w:sz w:val="24"/>
          <w:szCs w:val="24"/>
          <w:lang w:val="en-US"/>
        </w:rPr>
        <w:t>By contrast</w:t>
      </w:r>
      <w:r w:rsidRPr="00E47A42">
        <w:rPr>
          <w:rFonts w:ascii="Book Antiqua" w:hAnsi="Book Antiqua" w:cs="Times New Roman"/>
          <w:sz w:val="24"/>
          <w:szCs w:val="24"/>
          <w:lang w:val="en-US"/>
        </w:rPr>
        <w:t xml:space="preserve">, as a proof </w:t>
      </w:r>
      <w:r w:rsidR="00D23F57" w:rsidRPr="00E47A42">
        <w:rPr>
          <w:rFonts w:ascii="Book Antiqua" w:hAnsi="Book Antiqua" w:cs="Times New Roman"/>
          <w:sz w:val="24"/>
          <w:szCs w:val="24"/>
          <w:lang w:val="en-US"/>
        </w:rPr>
        <w:t>of</w:t>
      </w:r>
      <w:r w:rsidRPr="00E47A42">
        <w:rPr>
          <w:rFonts w:ascii="Book Antiqua" w:hAnsi="Book Antiqua" w:cs="Times New Roman"/>
          <w:sz w:val="24"/>
          <w:szCs w:val="24"/>
          <w:lang w:val="en-US"/>
        </w:rPr>
        <w:t xml:space="preserve"> concept </w:t>
      </w:r>
      <w:r w:rsidR="003519B4" w:rsidRPr="00E47A42">
        <w:rPr>
          <w:rFonts w:ascii="Book Antiqua" w:hAnsi="Book Antiqua" w:cs="Times New Roman"/>
          <w:sz w:val="24"/>
          <w:szCs w:val="24"/>
          <w:lang w:val="en-US"/>
        </w:rPr>
        <w:t xml:space="preserve">regarding </w:t>
      </w:r>
      <w:r w:rsidR="00AC29F3"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beneficial effects</w:t>
      </w:r>
      <w:r w:rsidR="00AC29F3" w:rsidRPr="00E47A42">
        <w:rPr>
          <w:rFonts w:ascii="Book Antiqua" w:hAnsi="Book Antiqua" w:cs="Times New Roman"/>
          <w:sz w:val="24"/>
          <w:szCs w:val="24"/>
          <w:lang w:val="en-US"/>
        </w:rPr>
        <w:t xml:space="preserve"> of BPC 157, rats in experiments with</w:t>
      </w:r>
      <w:r w:rsidRPr="00E47A42">
        <w:rPr>
          <w:rFonts w:ascii="Book Antiqua" w:hAnsi="Book Antiqua" w:cs="Times New Roman"/>
          <w:sz w:val="24"/>
          <w:szCs w:val="24"/>
          <w:lang w:val="en-US"/>
        </w:rPr>
        <w:t xml:space="preserve"> perforated cecum and colitis syndromes</w:t>
      </w:r>
      <w:r w:rsidR="00A75220"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mendeley":{"formattedCitation":"&lt;sup&gt;[20]&lt;/sup&gt;","plainTextFormattedCitation":"[20]","previouslyFormattedCitation":"&lt;sup&gt;[20]&lt;/sup&gt;"},"properties":{"noteIndex":0},"schema":"https://github.com/citation-style-language/schema/raw/master/csl-citation.json"}</w:instrText>
      </w:r>
      <w:r w:rsidR="00A75220"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w:t>
      </w:r>
      <w:r w:rsidR="00A75220"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show</w:t>
      </w:r>
      <w:r w:rsidR="005A3B6E" w:rsidRPr="00E47A42">
        <w:rPr>
          <w:rFonts w:ascii="Book Antiqua" w:hAnsi="Book Antiqua" w:cs="Times New Roman"/>
          <w:sz w:val="24"/>
          <w:szCs w:val="24"/>
          <w:lang w:val="en-US"/>
        </w:rPr>
        <w:t>ed</w:t>
      </w:r>
      <w:r w:rsidRPr="00E47A42">
        <w:rPr>
          <w:rFonts w:ascii="Book Antiqua" w:hAnsi="Book Antiqua" w:cs="Times New Roman"/>
          <w:sz w:val="24"/>
          <w:szCs w:val="24"/>
          <w:lang w:val="en-US"/>
        </w:rPr>
        <w:t xml:space="preserve"> the counteraction of the worsening of the course</w:t>
      </w:r>
      <w:r w:rsidR="00AC29F3" w:rsidRPr="00E47A42">
        <w:rPr>
          <w:rFonts w:ascii="Book Antiqua" w:hAnsi="Book Antiqua" w:cs="Times New Roman"/>
          <w:sz w:val="24"/>
          <w:szCs w:val="24"/>
          <w:lang w:val="en-US"/>
        </w:rPr>
        <w:t xml:space="preserve"> of injury</w:t>
      </w:r>
      <w:r w:rsidRPr="00E47A42">
        <w:rPr>
          <w:rFonts w:ascii="Book Antiqua" w:hAnsi="Book Antiqua" w:cs="Times New Roman"/>
          <w:sz w:val="24"/>
          <w:szCs w:val="24"/>
          <w:lang w:val="en-US"/>
        </w:rPr>
        <w:t xml:space="preserve"> after L-NAME and L-arginine application as individual agents (L-NAME</w:t>
      </w:r>
      <w:r w:rsidR="003519B4"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rats; L-arginine</w:t>
      </w:r>
      <w:r w:rsidR="003519B4"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rats → L-NAME+BPC 157</w:t>
      </w:r>
      <w:r w:rsidR="003519B4"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rats, </w:t>
      </w:r>
      <w:proofErr w:type="spellStart"/>
      <w:r w:rsidRPr="00E47A42">
        <w:rPr>
          <w:rFonts w:ascii="Book Antiqua" w:hAnsi="Book Antiqua" w:cs="Times New Roman"/>
          <w:sz w:val="24"/>
          <w:szCs w:val="24"/>
          <w:lang w:val="en-US"/>
        </w:rPr>
        <w:t>L-arginine+BPC</w:t>
      </w:r>
      <w:proofErr w:type="spellEnd"/>
      <w:r w:rsidRPr="00E47A42">
        <w:rPr>
          <w:rFonts w:ascii="Book Antiqua" w:hAnsi="Book Antiqua" w:cs="Times New Roman"/>
          <w:sz w:val="24"/>
          <w:szCs w:val="24"/>
          <w:lang w:val="en-US"/>
        </w:rPr>
        <w:t xml:space="preserve"> 157</w:t>
      </w:r>
      <w:r w:rsidR="003519B4"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rats</w:t>
      </w:r>
      <w:r w:rsidR="00EF1909" w:rsidRPr="00E47A42">
        <w:rPr>
          <w:rFonts w:ascii="Book Antiqua" w:hAnsi="Book Antiqua" w:cs="Times New Roman"/>
          <w:sz w:val="24"/>
          <w:szCs w:val="24"/>
          <w:lang w:val="en-US"/>
        </w:rPr>
        <w:t xml:space="preserve"> ≈ BPC 157 rats</w:t>
      </w:r>
      <w:r w:rsidRPr="00E47A42">
        <w:rPr>
          <w:rFonts w:ascii="Book Antiqua" w:hAnsi="Book Antiqua" w:cs="Times New Roman"/>
          <w:sz w:val="24"/>
          <w:szCs w:val="24"/>
          <w:lang w:val="en-US"/>
        </w:rPr>
        <w:t>)</w:t>
      </w:r>
      <w:r w:rsidR="00EF1909" w:rsidRPr="00E47A42">
        <w:rPr>
          <w:rFonts w:ascii="Book Antiqua" w:hAnsi="Book Antiqua" w:cs="Times New Roman"/>
          <w:sz w:val="24"/>
          <w:szCs w:val="24"/>
          <w:lang w:val="en-US"/>
        </w:rPr>
        <w:t xml:space="preserve"> </w:t>
      </w:r>
      <w:r w:rsidR="005A3B6E" w:rsidRPr="00E47A42">
        <w:rPr>
          <w:rFonts w:ascii="Book Antiqua" w:hAnsi="Book Antiqua" w:cs="Times New Roman"/>
          <w:sz w:val="24"/>
          <w:szCs w:val="24"/>
          <w:lang w:val="en-US"/>
        </w:rPr>
        <w:t>. Wh</w:t>
      </w:r>
      <w:r w:rsidRPr="00E47A42">
        <w:rPr>
          <w:rFonts w:ascii="Book Antiqua" w:hAnsi="Book Antiqua" w:cs="Times New Roman"/>
          <w:sz w:val="24"/>
          <w:szCs w:val="24"/>
          <w:lang w:val="en-US"/>
        </w:rPr>
        <w:t>en given together</w:t>
      </w:r>
      <w:r w:rsidR="005A3B6E"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the counteraction of the remaining </w:t>
      </w:r>
      <w:r w:rsidR="003519B4" w:rsidRPr="00E47A42">
        <w:rPr>
          <w:rFonts w:ascii="Book Antiqua" w:hAnsi="Book Antiqua" w:cs="Times New Roman"/>
          <w:sz w:val="24"/>
          <w:szCs w:val="24"/>
          <w:lang w:val="en-US"/>
        </w:rPr>
        <w:t xml:space="preserve">extensive </w:t>
      </w:r>
      <w:r w:rsidRPr="00E47A42">
        <w:rPr>
          <w:rFonts w:ascii="Book Antiqua" w:hAnsi="Book Antiqua" w:cs="Times New Roman"/>
          <w:sz w:val="24"/>
          <w:szCs w:val="24"/>
          <w:lang w:val="en-US"/>
        </w:rPr>
        <w:t xml:space="preserve">pathology </w:t>
      </w:r>
      <w:r w:rsidR="00316EBD" w:rsidRPr="00E47A42">
        <w:rPr>
          <w:rFonts w:ascii="Book Antiqua" w:hAnsi="Book Antiqua" w:cs="Times New Roman"/>
          <w:sz w:val="24"/>
          <w:szCs w:val="24"/>
          <w:lang w:val="en-US"/>
        </w:rPr>
        <w:t xml:space="preserve">was observed regardless of </w:t>
      </w:r>
      <w:r w:rsidRPr="00E47A42">
        <w:rPr>
          <w:rFonts w:ascii="Book Antiqua" w:hAnsi="Book Antiqua" w:cs="Times New Roman"/>
          <w:sz w:val="24"/>
          <w:szCs w:val="24"/>
          <w:lang w:val="en-US"/>
        </w:rPr>
        <w:t>w</w:t>
      </w:r>
      <w:r w:rsidR="00D23F57" w:rsidRPr="00E47A42">
        <w:rPr>
          <w:rFonts w:ascii="Book Antiqua" w:hAnsi="Book Antiqua" w:cs="Times New Roman"/>
          <w:sz w:val="24"/>
          <w:szCs w:val="24"/>
          <w:lang w:val="en-US"/>
        </w:rPr>
        <w:t>heth</w:t>
      </w:r>
      <w:r w:rsidRPr="00E47A42">
        <w:rPr>
          <w:rFonts w:ascii="Book Antiqua" w:hAnsi="Book Antiqua" w:cs="Times New Roman"/>
          <w:sz w:val="24"/>
          <w:szCs w:val="24"/>
          <w:lang w:val="en-US"/>
        </w:rPr>
        <w:t>er L-NAME and L-arginine reversed each other's worsening response</w:t>
      </w:r>
      <w:r w:rsidR="00316EBD" w:rsidRPr="00E47A42">
        <w:rPr>
          <w:rFonts w:ascii="Book Antiqua" w:hAnsi="Book Antiqua" w:cs="Times New Roman"/>
          <w:sz w:val="24"/>
          <w:szCs w:val="24"/>
          <w:lang w:val="en-US"/>
        </w:rPr>
        <w:t>s</w:t>
      </w:r>
      <w:r w:rsidRPr="00E47A42">
        <w:rPr>
          <w:rFonts w:ascii="Book Antiqua" w:hAnsi="Book Antiqua" w:cs="Times New Roman"/>
          <w:sz w:val="24"/>
          <w:szCs w:val="24"/>
          <w:lang w:val="en-US"/>
        </w:rPr>
        <w:t xml:space="preserve"> (L-NAME</w:t>
      </w:r>
      <w:r w:rsidR="00D72C63">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w:t>
      </w:r>
      <w:r w:rsidR="00D72C63">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L-arginine</w:t>
      </w:r>
      <w:r w:rsidR="003519B4"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rats </w:t>
      </w:r>
      <w:r w:rsidR="002D03EA" w:rsidRPr="00E47A42">
        <w:rPr>
          <w:rFonts w:ascii="Book Antiqua" w:hAnsi="Book Antiqua" w:cs="Calibri"/>
          <w:sz w:val="24"/>
          <w:szCs w:val="24"/>
          <w:lang w:val="en-US"/>
        </w:rPr>
        <w:t>→</w:t>
      </w:r>
      <w:r w:rsidRPr="00E47A42">
        <w:rPr>
          <w:rFonts w:ascii="Book Antiqua" w:hAnsi="Book Antiqua" w:cs="Times New Roman"/>
          <w:sz w:val="24"/>
          <w:szCs w:val="24"/>
          <w:lang w:val="en-US"/>
        </w:rPr>
        <w:t xml:space="preserve"> L-NAME</w:t>
      </w:r>
      <w:r w:rsidR="00D72C63">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w:t>
      </w:r>
      <w:r w:rsidR="00D72C63">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L-arginine</w:t>
      </w:r>
      <w:r w:rsidR="00D72C63">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w:t>
      </w:r>
      <w:r w:rsidR="00D72C63">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BPC 157</w:t>
      </w:r>
      <w:r w:rsidR="003519B4"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rats</w:t>
      </w:r>
      <w:r w:rsidR="00CB6D86">
        <w:rPr>
          <w:rFonts w:ascii="Book Antiqua" w:hAnsi="Book Antiqua" w:cs="Times New Roman"/>
          <w:sz w:val="24"/>
          <w:szCs w:val="24"/>
          <w:lang w:val="en-US"/>
        </w:rPr>
        <w:t xml:space="preserve"> </w:t>
      </w:r>
      <w:r w:rsidR="00EF1909" w:rsidRPr="00E47A42">
        <w:rPr>
          <w:rFonts w:ascii="Book Antiqua" w:hAnsi="Book Antiqua" w:cs="Times New Roman"/>
          <w:sz w:val="24"/>
          <w:szCs w:val="24"/>
          <w:lang w:val="en-US"/>
        </w:rPr>
        <w:t>≈ BPC 157 rats</w:t>
      </w:r>
      <w:r w:rsidRPr="00E47A42">
        <w:rPr>
          <w:rFonts w:ascii="Book Antiqua" w:hAnsi="Book Antiqua" w:cs="Times New Roman"/>
          <w:sz w:val="24"/>
          <w:szCs w:val="24"/>
          <w:lang w:val="en-US"/>
        </w:rPr>
        <w:t>)</w:t>
      </w:r>
      <w:r w:rsidR="00A75220"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mendeley":{"formattedCitation":"&lt;sup&gt;[20]&lt;/sup&gt;","plainTextFormattedCitation":"[20]","previouslyFormattedCitation":"&lt;sup&gt;[20]&lt;/sup&gt;"},"properties":{"noteIndex":0},"schema":"https://github.com/citation-style-language/schema/raw/master/csl-citation.json"}</w:instrText>
      </w:r>
      <w:r w:rsidR="00A75220"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w:t>
      </w:r>
      <w:r w:rsidR="00A75220"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w:t>
      </w:r>
    </w:p>
    <w:p w14:paraId="6EB98A6D" w14:textId="3563D3E5" w:rsidR="00A302B4" w:rsidRPr="00E47A42" w:rsidRDefault="00D23F57" w:rsidP="00D72C63">
      <w:pPr>
        <w:autoSpaceDE w:val="0"/>
        <w:adjustRightInd w:val="0"/>
        <w:snapToGrid w:val="0"/>
        <w:spacing w:after="0"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In c</w:t>
      </w:r>
      <w:r w:rsidR="00A302B4" w:rsidRPr="00E47A42">
        <w:rPr>
          <w:rFonts w:ascii="Book Antiqua" w:hAnsi="Book Antiqua" w:cs="Times New Roman"/>
          <w:sz w:val="24"/>
          <w:szCs w:val="24"/>
          <w:lang w:val="en-US"/>
        </w:rPr>
        <w:t>onclu</w:t>
      </w:r>
      <w:r w:rsidRPr="00E47A42">
        <w:rPr>
          <w:rFonts w:ascii="Book Antiqua" w:hAnsi="Book Antiqua" w:cs="Times New Roman"/>
          <w:sz w:val="24"/>
          <w:szCs w:val="24"/>
          <w:lang w:val="en-US"/>
        </w:rPr>
        <w:t>sion</w:t>
      </w:r>
      <w:r w:rsidR="00A302B4" w:rsidRPr="00E47A42">
        <w:rPr>
          <w:rFonts w:ascii="Book Antiqua" w:hAnsi="Book Antiqua" w:cs="Times New Roman"/>
          <w:sz w:val="24"/>
          <w:szCs w:val="24"/>
          <w:lang w:val="en-US"/>
        </w:rPr>
        <w:t xml:space="preserve">, the remaining </w:t>
      </w:r>
      <w:r w:rsidR="003519B4" w:rsidRPr="00E47A42">
        <w:rPr>
          <w:rFonts w:ascii="Book Antiqua" w:hAnsi="Book Antiqua" w:cs="Times New Roman"/>
          <w:sz w:val="24"/>
          <w:szCs w:val="24"/>
          <w:lang w:val="en-US"/>
        </w:rPr>
        <w:t xml:space="preserve">extensive </w:t>
      </w:r>
      <w:r w:rsidR="00A302B4" w:rsidRPr="00E47A42">
        <w:rPr>
          <w:rFonts w:ascii="Book Antiqua" w:hAnsi="Book Antiqua" w:cs="Times New Roman"/>
          <w:sz w:val="24"/>
          <w:szCs w:val="24"/>
          <w:lang w:val="en-US"/>
        </w:rPr>
        <w:t xml:space="preserve">pathology in the L-NAME+L-arginine animals (both in early and final terms) means that </w:t>
      </w:r>
      <w:r w:rsidR="00AC29F3" w:rsidRPr="00E47A42">
        <w:rPr>
          <w:rFonts w:ascii="Book Antiqua" w:hAnsi="Book Antiqua" w:cs="Times New Roman"/>
          <w:sz w:val="24"/>
          <w:szCs w:val="24"/>
          <w:lang w:val="en-US"/>
        </w:rPr>
        <w:t>other systems</w:t>
      </w:r>
      <w:r w:rsidR="00A302B4" w:rsidRPr="00E47A42">
        <w:rPr>
          <w:rFonts w:ascii="Book Antiqua" w:hAnsi="Book Antiqua" w:cs="Times New Roman"/>
          <w:sz w:val="24"/>
          <w:szCs w:val="24"/>
          <w:lang w:val="en-US"/>
        </w:rPr>
        <w:t xml:space="preserve"> (</w:t>
      </w:r>
      <w:r w:rsidR="00A302B4" w:rsidRPr="00E47A42">
        <w:rPr>
          <w:rFonts w:ascii="Book Antiqua" w:hAnsi="Book Antiqua" w:cs="Times New Roman"/>
          <w:i/>
          <w:sz w:val="24"/>
          <w:szCs w:val="24"/>
          <w:lang w:val="en-US"/>
        </w:rPr>
        <w:t>i.e</w:t>
      </w:r>
      <w:r w:rsidR="00A302B4"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the </w:t>
      </w:r>
      <w:r w:rsidR="00A302B4" w:rsidRPr="00E47A42">
        <w:rPr>
          <w:rFonts w:ascii="Book Antiqua" w:hAnsi="Book Antiqua" w:cs="Times New Roman"/>
          <w:sz w:val="24"/>
          <w:szCs w:val="24"/>
          <w:lang w:val="en-US"/>
        </w:rPr>
        <w:t>BPC 157</w:t>
      </w:r>
      <w:r w:rsidR="003519B4"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system) may function along with the NO system (previously supposed to be immobilized by the mutual actions of combined L-NAME and L-arginine)</w:t>
      </w:r>
      <w:r w:rsidR="00A75220"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{"citationItems":[{"id":"ITEM-1","itemData":{"ISSN":"1873-4286","PMID":"23755725","abstract":"We reviewed stable gastric pentadecapeptide BPC 157-NO-system-relation, its close participation in Moncada's (maintained vascular integrity, platelets control) homeostatic healing response of NO-system to injury. Namely, BPC 157's particular healing effect also affects all events after vascular integrity loss (dependent on circumstances, it reduces either thrombosis (abdominal aorta anastomosis) or bleeding/thrombocytopenia (amputation, heparin, warfarin, aspirin)) and in a series of different injurious models, acute and chronic, BPC 157 consistently advances healing after severe injuries in various tissues spontaneously unable to heal; stimulates egr-1 and naB2 genes; exhibits high safety (LD1 not achieved)). Hypothesis, that BPC 157 (since formed constitutively in the gastric mucosa, stable in human gastric juice, along with significance of NO-synthase and the basal formation of NO in stomach mucosa, greater than that seen in other tissues) exhibits a general, effective competing both with L-arginine analogues (i. e., L-NAME) and L-arginine, and that this has some physiologic importance (NO-generation), later, practically supports its beneficial effects illustrating BPC 157 and NOsystem mutual (with L-NAME/L-arginine; alone and together) relations in (i) gastric mucosa and mucosal protection, following alcohol lesions, in cytoprotection course, NO-generation, and blood pressure regulation; (ii) alcohol acute/chronic intoxication, and withdrawal; (iii) cardiovascular disturbances, chronic heart failure, pulmonary hypertension, and arrhythmias; (iv) disturbances after hypokalemia and hyperkalemia, and potassium-cell membrane dysfunction; and finally, in (v) complex healing failure, proved by the fistulas healing, colocutaneous and esophagocutaneous. However, how this advantage of modulating NO-system (i. e., particular effect on eNOS gene), may be practically translated into an enhanced clinical performance remains to be determined.","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tupnisek","given":"Mirjana","non-dropping-particle":"","parse-names":false,"suffix":""},{"dropping-particle":"","family":"Suran","given":"Jelena","non-dropping-particle":"","parse-names":false,"suffix":""},{"dropping-particle":"","family":"Barisic","given":"Ivan","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design","id":"ITEM-1","issue":"7","issued":{"date-parts":[["2014"]]},"page":"1126-35","title":"Stable gastric pentadecapeptide BPC 157-NO-system relation.","type":"article-journal","volume":"20"},"uris":["http://www.mendeley.com/documents/?uuid=74ead48f-0c75-446a-a19b-49bb02b31992"]}],"mendeley":{"formattedCitation":"&lt;sup&gt;[13]&lt;/sup&gt;","plainTextFormattedCitation":"[13]","previouslyFormattedCitation":"&lt;sup&gt;[13]&lt;/sup&gt;"},"properties":{"noteIndex":0},"schema":"https://github.com/citation-style-language/schema/raw/master/csl-citation.json"}</w:instrText>
      </w:r>
      <w:r w:rsidR="00A75220"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[13]</w:t>
      </w:r>
      <w:r w:rsidR="00A75220" w:rsidRPr="00E47A42">
        <w:rPr>
          <w:rFonts w:ascii="Book Antiqua" w:hAnsi="Book Antiqua" w:cs="Times New Roman"/>
          <w:sz w:val="24"/>
          <w:szCs w:val="24"/>
          <w:lang w:val="en-US"/>
        </w:rPr>
        <w:fldChar w:fldCharType="end"/>
      </w:r>
      <w:r w:rsidR="002E0052"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 xml:space="preserve">In the case of </w:t>
      </w:r>
      <w:r w:rsidRPr="00E47A42">
        <w:rPr>
          <w:rFonts w:ascii="Book Antiqua" w:hAnsi="Book Antiqua" w:cs="Times New Roman"/>
          <w:sz w:val="24"/>
          <w:szCs w:val="24"/>
          <w:lang w:val="en-US"/>
        </w:rPr>
        <w:t xml:space="preserve">the effectiveness of </w:t>
      </w:r>
      <w:r w:rsidR="00A302B4" w:rsidRPr="00E47A42">
        <w:rPr>
          <w:rFonts w:ascii="Book Antiqua" w:hAnsi="Book Antiqua" w:cs="Times New Roman"/>
          <w:sz w:val="24"/>
          <w:szCs w:val="24"/>
          <w:lang w:val="en-US"/>
        </w:rPr>
        <w:t>BPC 157</w:t>
      </w:r>
      <w:r w:rsidR="003519B4"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 xml:space="preserve"> </w:t>
      </w:r>
      <w:r w:rsidR="003519B4" w:rsidRPr="00E47A42">
        <w:rPr>
          <w:rFonts w:ascii="Book Antiqua" w:hAnsi="Book Antiqua" w:cs="Times New Roman"/>
          <w:sz w:val="24"/>
          <w:szCs w:val="24"/>
          <w:lang w:val="en-US"/>
        </w:rPr>
        <w:t>the</w:t>
      </w:r>
      <w:r w:rsidR="00A302B4" w:rsidRPr="00E47A42">
        <w:rPr>
          <w:rFonts w:ascii="Book Antiqua" w:hAnsi="Book Antiqua" w:cs="Times New Roman"/>
          <w:sz w:val="24"/>
          <w:szCs w:val="24"/>
          <w:lang w:val="en-US"/>
        </w:rPr>
        <w:t xml:space="preserve"> normalized MDA values and NO levels (always with progressive vessel presentation,</w:t>
      </w:r>
      <w:r w:rsidR="00496E79" w:rsidRPr="00E47A42">
        <w:rPr>
          <w:rFonts w:ascii="Book Antiqua" w:hAnsi="Book Antiqua" w:cs="Times New Roman"/>
          <w:sz w:val="24"/>
          <w:szCs w:val="24"/>
          <w:lang w:val="en-US"/>
        </w:rPr>
        <w:t xml:space="preserve"> a</w:t>
      </w:r>
      <w:r w:rsidR="00A302B4" w:rsidRPr="00E47A42">
        <w:rPr>
          <w:rFonts w:ascii="Book Antiqua" w:hAnsi="Book Antiqua" w:cs="Times New Roman"/>
          <w:sz w:val="24"/>
          <w:szCs w:val="24"/>
          <w:lang w:val="en-US"/>
        </w:rPr>
        <w:t xml:space="preserve"> shortened bleeding time, </w:t>
      </w:r>
      <w:r w:rsidR="004F7356" w:rsidRPr="00E47A42">
        <w:rPr>
          <w:rFonts w:ascii="Book Antiqua" w:hAnsi="Book Antiqua" w:cs="Times New Roman"/>
          <w:sz w:val="24"/>
          <w:szCs w:val="24"/>
          <w:lang w:val="en-US"/>
        </w:rPr>
        <w:t xml:space="preserve">closure of </w:t>
      </w:r>
      <w:r w:rsidR="00A302B4" w:rsidRPr="00E47A42">
        <w:rPr>
          <w:rFonts w:ascii="Book Antiqua" w:hAnsi="Book Antiqua" w:cs="Times New Roman"/>
          <w:sz w:val="24"/>
          <w:szCs w:val="24"/>
          <w:lang w:val="en-US"/>
        </w:rPr>
        <w:t xml:space="preserve">the defect </w:t>
      </w:r>
      <w:r w:rsidR="004F7356" w:rsidRPr="00E47A42">
        <w:rPr>
          <w:rFonts w:ascii="Book Antiqua" w:hAnsi="Book Antiqua" w:cs="Times New Roman"/>
          <w:sz w:val="24"/>
          <w:szCs w:val="24"/>
          <w:lang w:val="en-US"/>
        </w:rPr>
        <w:t>,</w:t>
      </w:r>
      <w:r w:rsidR="00496E79"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 xml:space="preserve">surface epithelium </w:t>
      </w:r>
      <w:r w:rsidR="004F7356" w:rsidRPr="00E47A42">
        <w:rPr>
          <w:rFonts w:ascii="Book Antiqua" w:hAnsi="Book Antiqua" w:cs="Times New Roman"/>
          <w:sz w:val="24"/>
          <w:szCs w:val="24"/>
          <w:lang w:val="en-US"/>
        </w:rPr>
        <w:t>migration</w:t>
      </w:r>
      <w:r w:rsidR="00A302B4" w:rsidRPr="00E47A42">
        <w:rPr>
          <w:rFonts w:ascii="Book Antiqua" w:hAnsi="Book Antiqua" w:cs="Times New Roman"/>
          <w:sz w:val="24"/>
          <w:szCs w:val="24"/>
          <w:lang w:val="en-US"/>
        </w:rPr>
        <w:t xml:space="preserve"> over the defect and fewer adhesions) </w:t>
      </w:r>
      <w:r w:rsidR="00496E79" w:rsidRPr="00E47A42">
        <w:rPr>
          <w:rFonts w:ascii="Book Antiqua" w:hAnsi="Book Antiqua" w:cs="Times New Roman"/>
          <w:sz w:val="24"/>
          <w:szCs w:val="24"/>
          <w:lang w:val="en-US"/>
        </w:rPr>
        <w:lastRenderedPageBreak/>
        <w:t>indicat</w:t>
      </w:r>
      <w:r w:rsidR="003519B4" w:rsidRPr="00E47A42">
        <w:rPr>
          <w:rFonts w:ascii="Book Antiqua" w:hAnsi="Book Antiqua" w:cs="Times New Roman"/>
          <w:sz w:val="24"/>
          <w:szCs w:val="24"/>
          <w:lang w:val="en-US"/>
        </w:rPr>
        <w:t>ed</w:t>
      </w:r>
      <w:r w:rsidR="00A302B4" w:rsidRPr="00E47A42">
        <w:rPr>
          <w:rFonts w:ascii="Book Antiqua" w:hAnsi="Book Antiqua" w:cs="Times New Roman"/>
          <w:sz w:val="24"/>
          <w:szCs w:val="24"/>
          <w:lang w:val="en-US"/>
        </w:rPr>
        <w:t xml:space="preserve"> effectiveness over the background of the NO-system, </w:t>
      </w:r>
      <w:r w:rsidR="004F7356" w:rsidRPr="00E47A42">
        <w:rPr>
          <w:rFonts w:ascii="Book Antiqua" w:hAnsi="Book Antiqua" w:cs="Times New Roman"/>
          <w:sz w:val="24"/>
          <w:szCs w:val="24"/>
          <w:lang w:val="en-US"/>
        </w:rPr>
        <w:t xml:space="preserve">whether </w:t>
      </w:r>
      <w:r w:rsidR="00A302B4" w:rsidRPr="00E47A42">
        <w:rPr>
          <w:rFonts w:ascii="Book Antiqua" w:hAnsi="Book Antiqua" w:cs="Times New Roman"/>
          <w:sz w:val="24"/>
          <w:szCs w:val="24"/>
          <w:lang w:val="en-US"/>
        </w:rPr>
        <w:t>immobil</w:t>
      </w:r>
      <w:r w:rsidR="004F7356" w:rsidRPr="00E47A42">
        <w:rPr>
          <w:rFonts w:ascii="Book Antiqua" w:hAnsi="Book Antiqua" w:cs="Times New Roman"/>
          <w:sz w:val="24"/>
          <w:szCs w:val="24"/>
          <w:lang w:val="en-US"/>
        </w:rPr>
        <w:t>ized (L-NAME</w:t>
      </w:r>
      <w:r w:rsidR="00603BC0">
        <w:rPr>
          <w:rFonts w:ascii="Book Antiqua" w:hAnsi="Book Antiqua" w:cs="Times New Roman" w:hint="eastAsia"/>
          <w:sz w:val="24"/>
          <w:szCs w:val="24"/>
          <w:lang w:val="en-US" w:eastAsia="zh-CN"/>
        </w:rPr>
        <w:t xml:space="preserve"> </w:t>
      </w:r>
      <w:r w:rsidR="004F7356" w:rsidRPr="00E47A42">
        <w:rPr>
          <w:rFonts w:ascii="Book Antiqua" w:hAnsi="Book Antiqua" w:cs="Times New Roman"/>
          <w:sz w:val="24"/>
          <w:szCs w:val="24"/>
          <w:lang w:val="en-US"/>
        </w:rPr>
        <w:t>+</w:t>
      </w:r>
      <w:r w:rsidR="00603BC0">
        <w:rPr>
          <w:rFonts w:ascii="Book Antiqua" w:hAnsi="Book Antiqua" w:cs="Times New Roman" w:hint="eastAsia"/>
          <w:sz w:val="24"/>
          <w:szCs w:val="24"/>
          <w:lang w:val="en-US" w:eastAsia="zh-CN"/>
        </w:rPr>
        <w:t xml:space="preserve"> </w:t>
      </w:r>
      <w:r w:rsidR="004F7356" w:rsidRPr="00E47A42">
        <w:rPr>
          <w:rFonts w:ascii="Book Antiqua" w:hAnsi="Book Antiqua" w:cs="Times New Roman"/>
          <w:sz w:val="24"/>
          <w:szCs w:val="24"/>
          <w:lang w:val="en-US"/>
        </w:rPr>
        <w:t>L-arginine), over</w:t>
      </w:r>
      <w:r w:rsidR="00A302B4" w:rsidRPr="00E47A42">
        <w:rPr>
          <w:rFonts w:ascii="Book Antiqua" w:hAnsi="Book Antiqua" w:cs="Times New Roman"/>
          <w:sz w:val="24"/>
          <w:szCs w:val="24"/>
          <w:lang w:val="en-US"/>
        </w:rPr>
        <w:t>stimulated (L-arginine) or blocked (L-NAME)</w:t>
      </w:r>
      <w:r w:rsidR="00A75220"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{"citationItems":[{"id":"ITEM-1","itemData":{"ISSN":"1873-4286","PMID":"23755725","abstract":"We reviewed stable gastric pentadecapeptide BPC 157-NO-system-relation, its close participation in Moncada's (maintained vascular integrity, platelets control) homeostatic healing response of NO-system to injury. Namely, BPC 157's particular healing effect also affects all events after vascular integrity loss (dependent on circumstances, it reduces either thrombosis (abdominal aorta anastomosis) or bleeding/thrombocytopenia (amputation, heparin, warfarin, aspirin)) and in a series of different injurious models, acute and chronic, BPC 157 consistently advances healing after severe injuries in various tissues spontaneously unable to heal; stimulates egr-1 and naB2 genes; exhibits high safety (LD1 not achieved)). Hypothesis, that BPC 157 (since formed constitutively in the gastric mucosa, stable in human gastric juice, along with significance of NO-synthase and the basal formation of NO in stomach mucosa, greater than that seen in other tissues) exhibits a general, effective competing both with L-arginine analogues (i. e., L-NAME) and L-arginine, and that this has some physiologic importance (NO-generation), later, practically supports its beneficial effects illustrating BPC 157 and NOsystem mutual (with L-NAME/L-arginine; alone and together) relations in (i) gastric mucosa and mucosal protection, following alcohol lesions, in cytoprotection course, NO-generation, and blood pressure regulation; (ii) alcohol acute/chronic intoxication, and withdrawal; (iii) cardiovascular disturbances, chronic heart failure, pulmonary hypertension, and arrhythmias; (iv) disturbances after hypokalemia and hyperkalemia, and potassium-cell membrane dysfunction; and finally, in (v) complex healing failure, proved by the fistulas healing, colocutaneous and esophagocutaneous. However, how this advantage of modulating NO-system (i. e., particular effect on eNOS gene), may be practically translated into an enhanced clinical performance remains to be determined.","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tupnisek","given":"Mirjana","non-dropping-particle":"","parse-names":false,"suffix":""},{"dropping-particle":"","family":"Suran","given":"Jelena","non-dropping-particle":"","parse-names":false,"suffix":""},{"dropping-particle":"","family":"Barisic","given":"Ivan","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design","id":"ITEM-1","issue":"7","issued":{"date-parts":[["2014"]]},"page":"1126-35","title":"Stable gastric pentadecapeptide BPC 157-NO-system relation.","type":"article-journal","volume":"20"},"uris":["http://www.mendeley.com/documents/?uuid=74ead48f-0c75-446a-a19b-49bb02b31992"]}],"mendeley":{"formattedCitation":"&lt;sup&gt;[13]&lt;/sup&gt;","plainTextFormattedCitation":"[13]","previouslyFormattedCitation":"&lt;sup&gt;[13]&lt;/sup&gt;"},"properties":{"noteIndex":0},"schema":"https://github.com/citation-style-language/schema/raw/master/csl-citation.json"}</w:instrText>
      </w:r>
      <w:r w:rsidR="00A75220"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[13]</w:t>
      </w:r>
      <w:r w:rsidR="00A75220" w:rsidRPr="00E47A42">
        <w:rPr>
          <w:rFonts w:ascii="Book Antiqua" w:hAnsi="Book Antiqua" w:cs="Times New Roman"/>
          <w:sz w:val="24"/>
          <w:szCs w:val="24"/>
          <w:lang w:val="en-US"/>
        </w:rPr>
        <w:fldChar w:fldCharType="end"/>
      </w:r>
      <w:r w:rsidR="00A302B4" w:rsidRPr="00E47A42">
        <w:rPr>
          <w:rFonts w:ascii="Book Antiqua" w:hAnsi="Book Antiqua" w:cs="Times New Roman"/>
          <w:sz w:val="24"/>
          <w:szCs w:val="24"/>
          <w:lang w:val="en-US"/>
        </w:rPr>
        <w:t>. Thus, BPC 157 could consolidate the NO system’s stimulating and inhibiting effects toward more effective</w:t>
      </w:r>
      <w:r w:rsidR="004F7356" w:rsidRPr="00E47A42">
        <w:rPr>
          <w:rFonts w:ascii="Book Antiqua" w:hAnsi="Book Antiqua" w:cs="Times New Roman"/>
          <w:sz w:val="24"/>
          <w:szCs w:val="24"/>
          <w:lang w:val="en-US"/>
        </w:rPr>
        <w:t xml:space="preserve"> healing</w:t>
      </w:r>
      <w:r w:rsidR="00A302B4" w:rsidRPr="00E47A42">
        <w:rPr>
          <w:rFonts w:ascii="Book Antiqua" w:hAnsi="Book Antiqua" w:cs="Times New Roman"/>
          <w:sz w:val="24"/>
          <w:szCs w:val="24"/>
          <w:lang w:val="en-US"/>
        </w:rPr>
        <w:t xml:space="preserve"> (</w:t>
      </w:r>
      <w:r w:rsidR="00A302B4" w:rsidRPr="00E47A42">
        <w:rPr>
          <w:rFonts w:ascii="Book Antiqua" w:hAnsi="Book Antiqua" w:cs="Times New Roman"/>
          <w:i/>
          <w:iCs/>
          <w:sz w:val="24"/>
          <w:szCs w:val="24"/>
          <w:lang w:val="en-US"/>
        </w:rPr>
        <w:t>i.e.</w:t>
      </w:r>
      <w:r w:rsidR="00A302B4" w:rsidRPr="00E47A42">
        <w:rPr>
          <w:rFonts w:ascii="Book Antiqua" w:hAnsi="Book Antiqua" w:cs="Times New Roman"/>
          <w:sz w:val="24"/>
          <w:szCs w:val="24"/>
          <w:lang w:val="en-US"/>
        </w:rPr>
        <w:t xml:space="preserve">, </w:t>
      </w:r>
      <w:r w:rsidR="004F7356" w:rsidRPr="00E47A42">
        <w:rPr>
          <w:rFonts w:ascii="Book Antiqua" w:hAnsi="Book Antiqua" w:cs="Times New Roman"/>
          <w:sz w:val="24"/>
          <w:szCs w:val="24"/>
          <w:lang w:val="en-US"/>
        </w:rPr>
        <w:t>revascularization</w:t>
      </w:r>
      <w:r w:rsidR="00A302B4" w:rsidRPr="00E47A42">
        <w:rPr>
          <w:rFonts w:ascii="Book Antiqua" w:hAnsi="Book Antiqua" w:cs="Times New Roman"/>
          <w:sz w:val="24"/>
          <w:szCs w:val="24"/>
          <w:lang w:val="en-US"/>
        </w:rPr>
        <w:t xml:space="preserve"> (vessel “running” toward the defect</w:t>
      </w:r>
      <w:r w:rsidR="006670EC" w:rsidRPr="00E47A42">
        <w:rPr>
          <w:rFonts w:ascii="Book Antiqua" w:hAnsi="Book Antiqua" w:cs="Times New Roman"/>
          <w:sz w:val="24"/>
          <w:szCs w:val="24"/>
          <w:lang w:val="en-US"/>
        </w:rPr>
        <w:t xml:space="preserve"> and</w:t>
      </w:r>
      <w:r w:rsidR="00A302B4" w:rsidRPr="00E47A42">
        <w:rPr>
          <w:rFonts w:ascii="Book Antiqua" w:hAnsi="Book Antiqua" w:cs="Times New Roman"/>
          <w:sz w:val="24"/>
          <w:szCs w:val="24"/>
          <w:lang w:val="en-US"/>
        </w:rPr>
        <w:t xml:space="preserve"> small vessel network aroun</w:t>
      </w:r>
      <w:r w:rsidR="004F7356" w:rsidRPr="00E47A42">
        <w:rPr>
          <w:rFonts w:ascii="Book Antiqua" w:hAnsi="Book Antiqua" w:cs="Times New Roman"/>
          <w:sz w:val="24"/>
          <w:szCs w:val="24"/>
          <w:lang w:val="en-US"/>
        </w:rPr>
        <w:t>d the perforated defect) appearing</w:t>
      </w:r>
      <w:r w:rsidR="00A302B4" w:rsidRPr="00E47A42">
        <w:rPr>
          <w:rFonts w:ascii="Book Antiqua" w:hAnsi="Book Antiqua" w:cs="Times New Roman"/>
          <w:sz w:val="24"/>
          <w:szCs w:val="24"/>
          <w:lang w:val="en-US"/>
        </w:rPr>
        <w:t xml:space="preserve"> with BPC 157 bath administration)</w:t>
      </w:r>
      <w:r w:rsidR="00A75220"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{"citationItems":[{"id":"ITEM-1","itemData":{"ISSN":"1873-4286","PMID":"23755725","abstract":"We reviewed stable gastric pentadecapeptide BPC 157-NO-system-relation, its close participation in Moncada's (maintained vascular integrity, platelets control) homeostatic healing response of NO-system to injury. Namely, BPC 157's particular healing effect also affects all events after vascular integrity loss (dependent on circumstances, it reduces either thrombosis (abdominal aorta anastomosis) or bleeding/thrombocytopenia (amputation, heparin, warfarin, aspirin)) and in a series of different injurious models, acute and chronic, BPC 157 consistently advances healing after severe injuries in various tissues spontaneously unable to heal; stimulates egr-1 and naB2 genes; exhibits high safety (LD1 not achieved)). Hypothesis, that BPC 157 (since formed constitutively in the gastric mucosa, stable in human gastric juice, along with significance of NO-synthase and the basal formation of NO in stomach mucosa, greater than that seen in other tissues) exhibits a general, effective competing both with L-arginine analogues (i. e., L-NAME) and L-arginine, and that this has some physiologic importance (NO-generation), later, practically supports its beneficial effects illustrating BPC 157 and NOsystem mutual (with L-NAME/L-arginine; alone and together) relations in (i) gastric mucosa and mucosal protection, following alcohol lesions, in cytoprotection course, NO-generation, and blood pressure regulation; (ii) alcohol acute/chronic intoxication, and withdrawal; (iii) cardiovascular disturbances, chronic heart failure, pulmonary hypertension, and arrhythmias; (iv) disturbances after hypokalemia and hyperkalemia, and potassium-cell membrane dysfunction; and finally, in (v) complex healing failure, proved by the fistulas healing, colocutaneous and esophagocutaneous. However, how this advantage of modulating NO-system (i. e., particular effect on eNOS gene), may be practically translated into an enhanced clinical performance remains to be determined.","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tupnisek","given":"Mirjana","non-dropping-particle":"","parse-names":false,"suffix":""},{"dropping-particle":"","family":"Suran","given":"Jelena","non-dropping-particle":"","parse-names":false,"suffix":""},{"dropping-particle":"","family":"Barisic","given":"Ivan","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design","id":"ITEM-1","issue":"7","issued":{"date-parts":[["2014"]]},"page":"1126-35","title":"Stable gastric pentadecapeptide BPC 157-NO-system relation.","type":"article-journal","volume":"20"},"uris":["http://www.mendeley.com/documents/?uuid=74ead48f-0c75-446a-a19b-49bb02b31992"]}],"mendeley":{"formattedCitation":"&lt;sup&gt;[13]&lt;/sup&gt;","plainTextFormattedCitation":"[13]","previouslyFormattedCitation":"&lt;sup&gt;[13]&lt;/sup&gt;"},"properties":{"noteIndex":0},"schema":"https://github.com/citation-style-language/schema/raw/master/csl-citation.json"}</w:instrText>
      </w:r>
      <w:r w:rsidR="00A75220"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[13]</w:t>
      </w:r>
      <w:r w:rsidR="00A75220" w:rsidRPr="00E47A42">
        <w:rPr>
          <w:rFonts w:ascii="Book Antiqua" w:hAnsi="Book Antiqua" w:cs="Times New Roman"/>
          <w:sz w:val="24"/>
          <w:szCs w:val="24"/>
          <w:lang w:val="en-US"/>
        </w:rPr>
        <w:fldChar w:fldCharType="end"/>
      </w:r>
      <w:r w:rsidR="00A302B4" w:rsidRPr="00E47A42">
        <w:rPr>
          <w:rFonts w:ascii="Book Antiqua" w:hAnsi="Book Antiqua" w:cs="Times New Roman"/>
          <w:sz w:val="24"/>
          <w:szCs w:val="24"/>
          <w:lang w:val="en-US"/>
        </w:rPr>
        <w:t>. Furthermore, this additional rapid cytoprotective vascular recovery and presentation leads to a consequent strong angiogenic effect in subsequent days</w:t>
      </w:r>
      <w:r w:rsidR="00424272"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{"citationItems":[{"id":"ITEM-1","itemData":{"DOI":"10.2174/13816128113199990421","ISBN":"1873-4286 (Electronic)\\r1381-6128 (Linking)","ISSN":"1873-4286","PMID":"23782145","abstract":"This review focuses on the described effects of BPC 157 on blood vessels after different types of damage, and elucidate by investigating different aspects of vascular response to injury (endothelium damage, clotting, thrombosis, vasoconstriction, vasodilatation, vasculoneogenesis and edema formation) especially in connection to the healing processes. In this respect, BPC 157 was concluded to be the most potent angiomodulatory agent, acting through different vasoactive pathways and systems (e.g. NO, VEGF, FAK) and leading to optimization of the vascular response followed, as it has to be expected, by optimization of the healing process. Formation of new blood vessels involves two main, partly overlapping mechanisms, angiogenesis and vasculogenesis. The additional mechanism of arteriogenesis is involved in the formation of collaterals. In conjunction with blood vessel function, we at least have to consider leakage of fluid/proteins/plasma, resulting in edema/exudate formation as well as thrombogenesis. Blood vessels are also strongly involved in tumor biology. In this aspect, we have neoangiogenesis resulting in pathological vascularization, vascular invasion resulting in release of metastatic cells and the phenomenon of homing resulting in formation of secondary tumors--metastases.","author":[{"dropping-particle":"","family":"Seiwerth","given":"Sven","non-dropping-particle":"","parse-names":false,"suffix":""},{"dropping-particle":"","family":"Brcic","given":"Luka","non-dropping-particle":"","parse-names":false,"suffix":""},{"dropping-particle":"","family":"Vuletic","given":"Lovorka Batelja","non-dropping-particle":"","parse-names":false,"suffix":""},{"dropping-particle":"","family":"Kolenc","given":"Danijela","non-dropping-particle":"","parse-names":false,"suffix":""},{"dropping-particle":"","family":"Aralica","given":"Gorana","non-dropping-particle":"","parse-names":false,"suffix":""},{"dropping-particle":"","family":"Misic","given":"Marija","non-dropping-particle":"","parse-names":false,"suffix":""},{"dropping-particle":"","family":"Zenko","given":"Anita","non-dropping-particle":"","parse-names":false,"suffix":""},{"dropping-particle":"","family":"Drmic","given":"Domagoj","non-dropping-particle":"","parse-names":false,"suffix":""},{"dropping-particle":"","family":"Rucman","given":"Rudolf","non-dropping-particle":"","parse-names":false,"suffix":""},{"dropping-particle":"","family":"Sikiric","given":"Predrag","non-dropping-particle":"","parse-names":false,"suffix":""}],"container-title":"Current pharmaceutical design","id":"ITEM-1","issue":"7","issued":{"date-parts":[["2014"]]},"page":"1121-5","title":"BPC 157 and blood vessels.","type":"article-journal","volume":"20"},"uris":["http://www.mendeley.com/documents/?uuid=58f78828-3983-4cbc-86f3-3b54e9721a52"]},{"id":"ITEM-2","itemData":{"DOI":"10.1007/s10787-006-1531-7","ISSN":"0925-4692","PMID":"17186181","abstract":"Gastric pentadecapeptide BPC 157 (GEPPPGKPADDAGLV, M.W. 1419, safe in clinical trials for inflammatory bowel disease (PL 10, PLD 116, PLD 14736, Pliva, Croatia)) has a particular cytoprotective/adaptive cytoprotective activity. The cytoprotective/adaptive cytoprotection researches largely neglect that stomach distension could per se jeopardize the mucosal integrity, with constantly stretched mucosa and blood vessels, and sphincters more prone for reflux induction. After absolute alcohol instillation in fully distended rat stomach, gastric, esophageal and duodenal lesions occur. Throughout next 3 min, left gastric artery blood vessels clearly disappear at the serosal site, indicative for loss of vessels both integrity and function. Contrary, constant vessels presentation could predict the beneficial effect of applied agent. After pentadecapeptide BPC 157 instillation into the stomach the vessels presentation remains constant, and lesions of stomach, esophagus, and duodenum are inhibited. Standards (atropine, ranitidine, omeprazole) could only slightly improve the vessels presentation compared to control values, and they have only a partial effect on the lesions. In this review we emphasize BPC 157 unusual stability, and some of its important effects: effectiveness against various lesions in gastrointestinal tract, on nitric oxide (NO)-system, and NO-agents effects, on somatosensory neurons, salivary glands function, recovery of AMP-ADP-ATP system, endothelium protection, effect on endothelin, and on angiogenesis promotion. It also antagonizes other alcohol effects, including acute and chronic intoxication. Given peripherally, it counteracts the consequence of central dopamine system disturbances (receptor blockade), and induces serotonin release in substantia nigra. Therapeutic potential of BPC 157 as a cytoprotective agent is also seen in its capability to heal various wounds. Given directly into the stomach, BPC 157 instantly recovers disturbed lower esophageal and pyloric sphincter pressure in rats after 12-20 months of untreated esophagitis. All these could be suggestive for its role as a natural protectant in gastric juice with particular function throughout stomach distension.","author":[{"dropping-particle":"","family":"Sikiric","given":"P","non-dropping-particle":"","parse-names":false,"suffix":""},{"dropping-particle":"","family":"Seiwerth","given":"S","non-dropping-particle":"","parse-names":false,"suffix":""},{"dropping-particle":"","family":"Brcic","given":"L","non-dropping-particle":"","parse-names":false,"suffix":""},{"dropping-particle":"","family":"Blagaic","given":"A B","non-dropping-particle":"","parse-names":false,"suffix":""},{"dropping-particle":"","family":"Zoricic","given":"I","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Keller","given":"N","non-dropping-particle":"","parse-names":false,"suffix":""},{"dropping-particle":"","family":"Sipos","given":"K","non-dropping-particle":"","parse-names":false,"suffix":""},{"dropping-particle":"","family":"Jakir","given":"A","non-dropping-particle":"","parse-names":false,"suffix":""},{"dropping-particle":"","family":"Udovicic","given":"M","non-dropping-particle":"","parse-names":false,"suffix":""},{"dropping-particle":"","family":"Tonkic","given":"A","non-dropping-particle":"","parse-names":false,"suffix":""},{"dropping-particle":"","family":"Kokic","given":"N","non-dropping-particle":"","parse-names":false,"suffix":""},{"dropping-particle":"","family":"Turkovic","given":"B","non-dropping-particle":"","parse-names":false,"suffix":""},{"dropping-particle":"","family":"Mise","given":"S","non-dropping-particle":"","parse-names":false,"suffix":""},{"dropping-particle":"","family":"Anic","given":"T","non-dropping-particle":"","parse-names":false,"suffix":""}],"container-title":"Inflammopharmacology","id":"ITEM-2","issue":"5-6","issued":{"date-parts":[["2006","12"]]},"page":"214-21","title":"Stable gastric pentadecapeptide BPC 157 in trials for inflammatory bowel disease (PL-10, PLD-116, PL 14736, Pliva, Croatia). Full and distended stomach, and vascular response.","type":"article-journal","volume":"14"},"uris":["http://www.mendeley.com/documents/?uuid=42aef3b5-c994-4583-beee-f11cd4b7859a"]},{"id":"ITEM-3","itemData":{"DOI":"10.1152/japplphysiol.00945.2010","ISSN":"1522-1601","PMID":"21030672","abstract":"Pentadecapeptide BPC 157, composed of 15 amino acids, is a partial sequence of body protection compound (BPC) that is discovered in and isolated from human gastric juice. Experimentally it has been demonstrated to accelerate the healing of many different wounds, including transected rat Achilles tendon. This study was designed to investigate the potential mechanism of BPC 157 to enhance healing of injured tendon. The outgrowth of tendon fibroblasts from tendon explants cultured with or without BPC 157 was examined. Results showed that BPC 157 significantly accelerated the outgrowth of tendon explants. Cell proliferation of cultured tendon fibroblasts derived from rat Achilles tendon was not directly affected by BPC 157 as evaluated by MTT assay. However, the survival of BPC 157-treated cells was significantly increased under the H(2)O(2) stress. BPC 157 markedly increased the in vitro migration of tendon fibroblasts in a dose-dependent manner as revealed by transwell filter migration assay. BPC 157 also dose dependently accelerated the spreading of tendon fibroblasts on culture dishes. The F-actin formation as detected by FITC-phalloidin staining was induced in BPC 157-treated fibroblasts. The protein expression and activation of FAK and paxillin were determined by Western blot analysis, and the phosphorylation levels of both FAK and paxillin were dose dependently increased by BPC 157 while the total amounts of protein was unaltered. In conclusion, BPC 157 promotes the ex vivo outgrowth of tendon fibroblasts from tendon explants, cell survival under stress, and the in vitro migration of tendon fibroblasts, which is likely mediated by the activation of the FAK-paxillin pathway.","author":[{"dropping-particle":"","family":"Chang","given":"Chung-Hsun","non-dropping-particle":"","parse-names":false,"suffix":""},{"dropping-particle":"","family":"Tsai","given":"Wen-Chung","non-dropping-particle":"","parse-names":false,"suffix":""},{"dropping-particle":"","family":"Lin","given":"Miao-Sui","non-dropping-particle":"","parse-names":false,"suffix":""},{"dropping-particle":"","family":"Hsu","given":"Ya-Hui","non-dropping-particle":"","parse-names":false,"suffix":""},{"dropping-particle":"","family":"Pang","given":"Jong-Hwei Su","non-dropping-particle":"","parse-names":false,"suffix":""}],"container-title":"Journal of applied physiology (Bethesda, Md. : 1985)","id":"ITEM-3","issue":"3","issued":{"date-parts":[["2011","3"]]},"page":"774-80","title":"The promoting effect of pentadecapeptide BPC 157 on tendon healing involves tendon outgrowth, cell survival, and cell migration.","type":"article-journal","volume":"110"},"uris":["http://www.mendeley.com/documents/?uuid=6729f5a4-ea79-4adb-aac1-570591ef479a"]},{"id":"ITEM-4","itemData":{"DOI":"10.3390/molecules191119066","ISSN":"1420-3049","PMID":"25415472","abstract":"BPC 157, a pentadecapeptide derived from human gastric juice, has been demonstrated to promote the healing of different tissues, including skin, muscle, bone, ligament and tendon in many animal studies. However, the underlying mechanism has not been fully clarified. The present study aimed to explore the effect of BPC 157 on tendon fibroblasts isolated from Achilles tendon of male Sprague-Dawley rat. From the result of cDNA microarray analysis, growth hormone receptor was revealed as one of the most abundantly up-regulated genes in tendon fibroblasts by BPC 157. BPC 157 dose- and time-dependently increased the expression of growth hormone receptor in tendon fibroblasts at both the mRNA and protein levels as measured by RT/real-time PCR and Western blot, respectively. The addition of growth hormone to BPC 157-treated tendon fibroblasts dose- and time-dependently increased the cell proliferation as determined by MTT assay and PCNA expression by RT/real-time PCR. Janus kinase 2, the downstream signal pathway of growth hormone receptor, was activated time-dependently by stimulating the BPC 157-treated tendon fibroblasts with growth hormone. In conclusion, the BPC 157-induced increase of growth hormone receptor in tendon fibroblasts may potentiate the proliferation-promoting effect of growth hormone and contribute to the healing of tendon.","author":[{"dropping-particle":"","family":"Chang","given":"Chung-Hsun","non-dropping-particle":"","parse-names":false,"suffix":""},{"dropping-particle":"","family":"Tsai","given":"Wen-Chung","non-dropping-particle":"","parse-names":false,"suffix":""},{"dropping-particle":"","family":"Hsu","given":"Ya-Hui","non-dropping-particle":"","parse-names":false,"suffix":""},{"dropping-particle":"","family":"Pang","given":"Jong-Hwei Su","non-dropping-particle":"","parse-names":false,"suffix":""}],"container-title":"Molecules (Basel, Switzerland)","id":"ITEM-4","issue":"11","issued":{"date-parts":[["2014","11","19"]]},"page":"19066-77","title":"Pentadecapeptide BPC 157 enhances the growth hormone receptor expression in tendon fibroblasts.","type":"article-journal","volume":"19"},"uris":["http://www.mendeley.com/documents/?uuid=f3f7100e-ea85-4e6c-a171-398e2a6cd3e4"]},{"id":"ITEM-5","itemData":{"DOI":"10.1007/s00109-016-1488-y","ISSN":"0946-2716","author":[{"dropping-particle":"","family":"Hsieh","given":"Ming-Jer","non-dropping-particle":"","parse-names":false,"suffix":""},{"dropping-particle":"","family":"Liu","given":"Hsien-Ta","non-dropping-particle":"","parse-names":false,"suffix":""},{"dropping-particle":"","family":"Wang","given":"Chao-Nin","non-dropping-particle":"","parse-names":false,"suffix":""},{"dropping-particle":"","family":"Huang","given":"Hsiu-Yun","non-dropping-particle":"","parse-names":false,"suffix":""},{"dropping-particle":"","family":"Lin","given":"Yuling","non-dropping-particle":"","parse-names":false,"suffix":""},{"dropping-particle":"","family":"Ko","given":"Yu-Shien","non-dropping-particle":"","parse-names":false,"suffix":""},{"dropping-particle":"","family":"Wang","given":"Jong-Shyan","non-dropping-particle":"","parse-names":false,"suffix":""},{"dropping-particle":"","family":"Chang","given":"Vincent Hung-Shu","non-dropping-particle":"","parse-names":false,"suffix":""},{"dropping-particle":"","family":"Pang","given":"Jong-Hwei S.","non-dropping-particle":"","parse-names":false,"suffix":""}],"container-title":"Journal of Molecular Medicine","id":"ITEM-5","issue":"3","issued":{"date-parts":[["2017","3","15"]]},"page":"323-333","title":"Therapeutic potential of pro-angiogenic BPC157 is associated with VEGFR2 activation and up-regulation","type":"article-journal","volume":"95"},"uris":["http://www.mendeley.com/documents/?uuid=d0162b37-24df-4fed-8888-a128d80ca9cc"]},{"id":"ITEM-6","itemData":{"DOI":"10.2147/DDDT.S82030","ISBN":"1177-8881 (Electronic)\\r1177-8881 (Linking)","ISSN":"11778881","PMID":"25995620","abstract":"Chemical burns take up a high proportion of burns admissions and can penetrate deep into tissues. Various reagents have been applied in the treatment of skin chemical burns; however, no optimal reagent for skin chemical burns currently exists. The present study investigated the effect of topical body protective compound (BPC)-157 treatment on skin wound healing, using an alkali burn rat model. Topical treatment with BPC-157 was shown to accelerate wound closure following an alkali burn. Histological examination of skin sections with hematoxylin–eosin and Masson staining showed better granulation tissue formation, reepithelialization, dermal remodeling, and a higher extent of collagen deposition when compared to the model control group on the 18th day postwounding. BPC-157 could promote vascular endothelial growth factor expression in wounded skin tissues. Furthermore, 3-(4,5-dimethylthiazol-2-yl)-2,5-diphenyltetrazolium bromide and cell cycle analysis demonstrated that BPC-157 enhanced the proliferation of human umbilical vein endothelial cells (HUVECs). Transwell assay and wound healing assay showed that BPC-157 significantly promoted migration of HUVECs. We also observed that BPC-157 upregulated the expression of VEGF-a and accelerated vascular tube formation in vitro. Moreover, further studies suggested that BPC-157 regulated the phosphorylation level of extracellular signal-regulated kinases 1 and 2 (ERK1/2) as well as its downstream targets, including c-Fos, c-Jun, and Egr-1, which are key molecules involved in cell growth, migration, and angiogenesis. Altogether, our results indicated that BPC-157 treatment may accelerate wound healing in a model of alkali burn-induced skin injury. The therapeutic mechanism may be associated with accelerated granulation tissue formation, reepithelialization, dermal remodeling, and collagen deposition through ERK1/2 signaling pathway.","author":[{"dropping-particle":"","family":"Huang","given":"Tonglie","non-dropping-particle":"","parse-names":false,"suffix":""},{"dropping-particle":"","family":"Zhang","given":"Kuo","non-dropping-particle":"","parse-names":false,"suffix":""},{"dropping-particle":"","family":"Sun","given":"Lijuan","non-dropping-particle":"","parse-names":false,"suffix":""},{"dropping-particle":"","family":"Xue","given":"Xiaochang","non-dropping-particle":"","parse-names":false,"suffix":""},{"dropping-particle":"","family":"Zhang","given":"Cun","non-dropping-particle":"","parse-names":false,"suffix":""},{"dropping-particle":"","family":"Shu","given":"Zhen","non-dropping-particle":"","parse-names":false,"suffix":""},{"dropping-particle":"","family":"Mu","given":"Nan","non-dropping-particle":"","parse-names":false,"suffix":""},{"dropping-particle":"","family":"Gu","given":"Jintao","non-dropping-particle":"","parse-names":false,"suffix":""},{"dropping-particle":"","family":"Zhang","given":"Wangqian","non-dropping-particle":"","parse-names":false,"suffix":""},{"dropping-particle":"","family":"Wang","given":"Yukun","non-dropping-particle":"","parse-names":false,"suffix":""},{"dropping-particle":"","family":"Zhang","given":"Yingqi","non-dropping-particle":"","parse-names":false,"suffix":""},{"dropping-particle":"","family":"Zhang","given":"Wei","non-dropping-particle":"","parse-names":false,"suffix":""}],"container-title":"Drug Design, Development and Therapy","id":"ITEM-6","issued":{"date-parts":[["2015"]]},"page":"2485-2499","title":"Body protective compound-157 enhances alkali-burn wound healing in vivo and promotes proliferation, migration, and angiogenesis in vitro","type":"article-journal","volume":"9"},"uris":["http://www.mendeley.com/documents/?uuid=26d2fbb4-3df9-4f39-9e6c-53a37fe7bcce"]},{"id":"ITEM-7","itemData":{"DOI":"10.1016/j.ejphar.2007.05.072","ISSN":"00142999","author":[{"dropping-particle":"","family":"Tkalčević","given":"Vanesa Ivetić","non-dropping-particle":"","parse-names":false,"suffix":""},{"dropping-particle":"","family":"Čužić","given":"Snježana","non-dropping-particle":"","parse-names":false,"suffix":""},{"dropping-particle":"","family":"Brajša","given":"Karmen","non-dropping-particle":"","parse-names":false,"suffix":""},{"dropping-particle":"","family":"Mildner","given":"Boris","non-dropping-particle":"","parse-names":false,"suffix":""},{"dropping-particle":"","family":"Bokulić","given":"Ana","non-dropping-particle":"","parse-names":false,"suffix":""},{"dropping-particle":"","family":"Šitum","given":"Kristina","non-dropping-particle":"","parse-names":false,"suffix":""},{"dropping-particle":"","family":"Perović","given":"Daniela","non-dropping-particle":"","parse-names":false,"suffix":""},{"dropping-particle":"","family":"Glojnarić","given":"Ines","non-dropping-particle":"","parse-names":false,"suffix":""},{"dropping-particle":"","family":"Parnham","given":"Michael J.","non-dropping-particle":"","parse-names":false,"suffix":""}],"container-title":"European Journal of Pharmacology","id":"ITEM-7","issue":"1-3","issued":{"date-parts":[["2007","9"]]},"page":"212-221","title":"Enhancement by PL 14736 of granulation and collagen organization in healing wounds and the potential role of egr-1 expression","type":"article-journal","volume":"570"},"uris":["http://www.mendeley.com/documents/?uuid=d6bef086-cfda-49af-8cf8-b62dc1ddbbd0"]},{"id":"ITEM-8","itemData":{"ISSN":"1899-1505","PMID":"20388964","abstract":"Angiogenesis is a natural and complex process controlled by angiogenic and angiostatic molecules, with a central role in healing process. One of the most important modulating factors in angiogenesis is the vascular endothelial growth factor (VEGF). Pentadecapeptide BPC 157 promotes healing demonstrating particular angiogenic/angiomodulatory potential. We correlated the angiogenic effect of BPC 157 with VEGF expression using in vitro (cell culture) and in vivo (crushed muscle and transected muscle and tendon) models. Results revealed that there is no direct angiogenic effect of BPC 157 on cell cultures. On the other hand, immunohistochemical analysis of muscle and tendon healing using VEGF, CD34 and FVIII antibodies showed adequately modulated angiogenesis in BPC 157 treated animals, resulting in a more adequate healing. Therefore the angiogenic potential of BPC 157 seems to be closely related to the healing process in vivo with BPC 157 stimulating angiogenesis by up-regulating VEGF expression.","author":[{"dropping-particle":"","family":"Brcic","given":"L","non-dropping-particle":"","parse-names":false,"suffix":""},{"dropping-particle":"","family":"Brcic","given":"I","non-dropping-particle":"","parse-names":false,"suffix":""},{"dropping-particle":"","family":"Staresinic","given":"M","non-dropping-particle":"","parse-names":false,"suffix":""},{"dropping-particle":"","family":"Novinscak","given":"T","non-dropping-particle":"","parse-names":false,"suffix":""},{"dropping-particle":"","family":"Sikiric","given":"P","non-dropping-particle":"","parse-names":false,"suffix":""},{"dropping-particle":"","family":"Seiwerth","given":"S","non-dropping-particle":"","parse-names":false,"suffix":""}],"container-title":"Journal of physiology and pharmacology : an official journal of the Polish Physiological Society","id":"ITEM-8","issued":{"date-parts":[["2009","12"]]},"page":"191-6","title":"Modulatory effect of gastric pentadecapeptide BPC 157 on angiogenesis in muscle and tendon healing.","type":"article-journal","volume":"60 Suppl 7"},"uris":["http://www.mendeley.com/documents/?uuid=ff536d43-5510-4cb6-8b5b-f5050078ecb2"]},{"id":"ITEM-9","itemData":{"ISSN":"0928-4257","PMID":"10672992","abstract":"A clear protection of the gastrointestinal tract and an evident anti-inflammatory effect were shown for a novel stomach pentadecapeptide BPC 157 (i.p./i.g.) in comparison with several reference standards in various ulcer models along with a protection of endothelium and particular interaction with the NO-system. Thus, we evaluated whether this pentadecapeptide along with other gastroprotective agents could affect angiogenesis and the healing process in vivo using a procedure initially described by Szabo and co-workers. In each rat, two sterile sponges (1 x 1 x 0.25 cm; V = 0.25 mL) with the same quantities of BPC 157 (10 ng x mL(-1), 10 microg x mL(-1), 50 microg x kg(-1)) or reference agents (cimetidine: 10, 100, 500 mg x mL(-1); ranitidine: 2.5, 25, 250 mg x mL(-1); famotidine: 10, 50, 100 mg x mL(-1); omeprazole: 10, 50, 100 mg x mL(-1); sucralfate: 1, 5, 10 mg x mL(-1) were implanted subcutaneously in the lumbar region. The sponges were removed after 3 or 7 d, fixed in formalin, and processed for histologic and histochemical evaluation and morphometry assessment. Compared with the control values, the number of newly formed endothelial spaces inside newly formed granulation tissue was markedly increased in all animals treated with BPC 157, cimetidine, ranitidine, famotidine, sucralfate and omeprazole, a consistent finding noted after either 3 or 7 d. Compared with control values, markedly more granulation tissue was noted in the rats in the groups of animals treated with BPC 157 (50 microg) and in the rats treated with sucralfate in all dosages used, euthanized after 3 d. In all groups treated with H2-blockers however, similar values to those of controls were noted. Thus, it could be concluded that an evident angiogenic property was consistently noted for the novel pentadecapeptide BPC 157, H2-blockers (cimetidine, famotidine and ranitidine) and omeprazole, besides the well known angiogenic effect of sucralfate. Furthermore, unlike H2-blockers and omeprazole, BPC 157 stimulates the formation of granulation tissue, suggesting a particular activity, similar to that previously noted for sucralfate.","author":[{"dropping-particle":"","family":"Sikiric","given":"P","non-dropping-particle":"","parse-names":false,"suffix":""},{"dropping-particle":"","family":"Separovic","given":"J","non-dropping-particle":"","parse-names":false,"suffix":""},{"dropping-particle":"","family":"Anic","given":"T","non-dropping-particle":"","parse-names":false,"suffix":""},{"dropping-particle":"","family":"Buljat","given":"G","non-dropping-particle":"","parse-names":false,"suffix":""},{"dropping-particle":"","family":"Mikus","given":"D","non-dropping-particle":"","parse-names":false,"suffix":""},{"dropping-particle":"","family":"Seiwerth","given":"S","non-dropping-particle":"","parse-names":false,"suffix":""},{"dropping-particle":"","family":"Grabarevic","given":"Z","non-dropping-particle":"","parse-names":false,"suffix":""},{"dropping-particle":"","family":"Stancic-Rokotov","given":"D","non-dropping-particle":"","parse-names":false,"suffix":""},{"dropping-particle":"","family":"Pigac","given":"B","non-dropping-particle":"","parse-names":false,"suffix":""},{"dropping-particle":"","family":"Hanzevacki","given":"M","non-dropping-particle":"","parse-names":false,"suffix":""},{"dropping-particle":"","family":"Marovic","given":"A","non-dropping-particle":"","parse-names":false,"suffix":""},{"dropping-particle":"","family":"Rucman","given":"R","non-dropping-particle":"","parse-names":false,"suffix":""},{"dropping-particle":"","family":"Petek","given":"M","non-dropping-particle":"","parse-names":false,"suffix":""},{"dropping-particle":"","family":"Zoricic","given":"I","non-dropping-particle":"","parse-names":false,"suffix":""},{"dropping-particle":"","family":"Ziger","given":"T","non-dropping-particle":"","parse-names":false,"suffix":""},{"dropping-particle":"","family":"Aralica","given":"G","non-dropping-particle":"","parse-names":false,"suffix":""},{"dropping-particle":"","family":"Konjevoda","given":"P","non-dropping-particle":"","parse-names":false,"suffix":""},{"dropping-particle":"","family":"Prkacin","given":"I","non-dropping-particle":"","parse-names":false,"suffix":""},{"dropping-particle":"","family":"Gjurasin","given":"M","non-dropping-particle":"","parse-names":false,"suffix":""},{"dropping-particle":"","family":"Miklic","given":"P","non-dropping-particle":"","parse-names":false,"suffix":""},{"dropping-particle":"","family":"Artukovic","given":"B","non-dropping-particle":"","parse-names":false,"suffix":""},{"dropping-particle":"","family":"Tisljar","given":"M","non-dropping-particle":"","parse-names":false,"suffix":""},{"dropping-particle":"","family":"Bratulic","given":"M","non-dropping-particle":"","parse-names":false,"suffix":""},{"dropping-particle":"","family":"Mise","given":"S","non-dropping-particle":"","parse-names":false,"suffix":""},{"dropping-particle":"","family":"Rotkvic","given":"I","non-dropping-particle":"","parse-names":false,"suffix":""}],"container-title":"Journal of physiology, Paris","id":"ITEM-9","issue":"6","issued":{"date-parts":[["1999","12"]]},"page":"479-85","title":"The effect of pentadecapeptide BPC 157, H2-blockers, omeprazole and sucralfate on new vessels and new granulation tissue formation.","type":"article-journal","volume":"93"},"uris":["http://www.mendeley.com/documents/?uuid=af060808-43aa-41af-a53b-192eebb7b799"]}],"mendeley":{"formattedCitation":"&lt;sup&gt;[12,18,23–27,49,50]&lt;/sup&gt;","plainTextFormattedCitation":"[12,18,23–27,49,50]","previouslyFormattedCitation":"&lt;sup&gt;[12,18,23–27,49,50]&lt;/sup&gt;"},"properties":{"noteIndex":0},"schema":"https://github.com/citation-style-language/schema/raw/master/csl-citation.json"}</w:instrText>
      </w:r>
      <w:r w:rsidR="00424272"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[12,18,23–27,49,50]</w:t>
      </w:r>
      <w:r w:rsidR="00424272" w:rsidRPr="00E47A42">
        <w:rPr>
          <w:rFonts w:ascii="Book Antiqua" w:hAnsi="Book Antiqua" w:cs="Times New Roman"/>
          <w:sz w:val="24"/>
          <w:szCs w:val="24"/>
          <w:lang w:val="en-US"/>
        </w:rPr>
        <w:fldChar w:fldCharType="end"/>
      </w:r>
      <w:r w:rsidR="006670EC" w:rsidRPr="00E47A42">
        <w:rPr>
          <w:rFonts w:ascii="Book Antiqua" w:hAnsi="Book Antiqua" w:cs="Times New Roman"/>
          <w:sz w:val="24"/>
          <w:szCs w:val="24"/>
          <w:lang w:val="en-US"/>
        </w:rPr>
        <w:t>,</w:t>
      </w:r>
      <w:r w:rsidR="006546E4" w:rsidRPr="00E47A42">
        <w:rPr>
          <w:rFonts w:ascii="Book Antiqua" w:hAnsi="Book Antiqua" w:cs="Times New Roman"/>
          <w:sz w:val="24"/>
          <w:szCs w:val="24"/>
          <w:lang w:val="en-US"/>
        </w:rPr>
        <w:t xml:space="preserve"> </w:t>
      </w:r>
      <w:r w:rsidR="00381543" w:rsidRPr="00E47A42">
        <w:rPr>
          <w:rFonts w:ascii="Book Antiqua" w:hAnsi="Book Antiqua" w:cs="Times New Roman"/>
          <w:sz w:val="24"/>
          <w:szCs w:val="24"/>
          <w:lang w:val="en-US"/>
        </w:rPr>
        <w:t>more profound than the angiogenesis of standard anti-ulcer agents</w:t>
      </w:r>
      <w:r w:rsidR="00424272"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{"citationItems":[{"id":"ITEM-1","itemData":{"ISSN":"0928-4257","PMID":"10672992","abstract":"A clear protection of the gastrointestinal tract and an evident anti-inflammatory effect were shown for a novel stomach pentadecapeptide BPC 157 (i.p./i.g.) in comparison with several reference standards in various ulcer models along with a protection of endothelium and particular interaction with the NO-system. Thus, we evaluated whether this pentadecapeptide along with other gastroprotective agents could affect angiogenesis and the healing process in vivo using a procedure initially described by Szabo and co-workers. In each rat, two sterile sponges (1 x 1 x 0.25 cm; V = 0.25 mL) with the same quantities of BPC 157 (10 ng x mL(-1), 10 microg x mL(-1), 50 microg x kg(-1)) or reference agents (cimetidine: 10, 100, 500 mg x mL(-1); ranitidine: 2.5, 25, 250 mg x mL(-1); famotidine: 10, 50, 100 mg x mL(-1); omeprazole: 10, 50, 100 mg x mL(-1); sucralfate: 1, 5, 10 mg x mL(-1) were implanted subcutaneously in the lumbar region. The sponges were removed after 3 or 7 d, fixed in formalin, and processed for histologic and histochemical evaluation and morphometry assessment. Compared with the control values, the number of newly formed endothelial spaces inside newly formed granulation tissue was markedly increased in all animals treated with BPC 157, cimetidine, ranitidine, famotidine, sucralfate and omeprazole, a consistent finding noted after either 3 or 7 d. Compared with control values, markedly more granulation tissue was noted in the rats in the groups of animals treated with BPC 157 (50 microg) and in the rats treated with sucralfate in all dosages used, euthanized after 3 d. In all groups treated with H2-blockers however, similar values to those of controls were noted. Thus, it could be concluded that an evident angiogenic property was consistently noted for the novel pentadecapeptide BPC 157, H2-blockers (cimetidine, famotidine and ranitidine) and omeprazole, besides the well known angiogenic effect of sucralfate. Furthermore, unlike H2-blockers and omeprazole, BPC 157 stimulates the formation of granulation tissue, suggesting a particular activity, similar to that previously noted for sucralfate.","author":[{"dropping-particle":"","family":"Sikiric","given":"P","non-dropping-particle":"","parse-names":false,"suffix":""},{"dropping-particle":"","family":"Separovic","given":"J","non-dropping-particle":"","parse-names":false,"suffix":""},{"dropping-particle":"","family":"Anic","given":"T","non-dropping-particle":"","parse-names":false,"suffix":""},{"dropping-particle":"","family":"Buljat","given":"G","non-dropping-particle":"","parse-names":false,"suffix":""},{"dropping-particle":"","family":"Mikus","given":"D","non-dropping-particle":"","parse-names":false,"suffix":""},{"dropping-particle":"","family":"Seiwerth","given":"S","non-dropping-particle":"","parse-names":false,"suffix":""},{"dropping-particle":"","family":"Grabarevic","given":"Z","non-dropping-particle":"","parse-names":false,"suffix":""},{"dropping-particle":"","family":"Stancic-Rokotov","given":"D","non-dropping-particle":"","parse-names":false,"suffix":""},{"dropping-particle":"","family":"Pigac","given":"B","non-dropping-particle":"","parse-names":false,"suffix":""},{"dropping-particle":"","family":"Hanzevacki","given":"M","non-dropping-particle":"","parse-names":false,"suffix":""},{"dropping-particle":"","family":"Marovic","given":"A","non-dropping-particle":"","parse-names":false,"suffix":""},{"dropping-particle":"","family":"Rucman","given":"R","non-dropping-particle":"","parse-names":false,"suffix":""},{"dropping-particle":"","family":"Petek","given":"M","non-dropping-particle":"","parse-names":false,"suffix":""},{"dropping-particle":"","family":"Zoricic","given":"I","non-dropping-particle":"","parse-names":false,"suffix":""},{"dropping-particle":"","family":"Ziger","given":"T","non-dropping-particle":"","parse-names":false,"suffix":""},{"dropping-particle":"","family":"Aralica","given":"G","non-dropping-particle":"","parse-names":false,"suffix":""},{"dropping-particle":"","family":"Konjevoda","given":"P","non-dropping-particle":"","parse-names":false,"suffix":""},{"dropping-particle":"","family":"Prkacin","given":"I","non-dropping-particle":"","parse-names":false,"suffix":""},{"dropping-particle":"","family":"Gjurasin","given":"M","non-dropping-particle":"","parse-names":false,"suffix":""},{"dropping-particle":"","family":"Miklic","given":"P","non-dropping-particle":"","parse-names":false,"suffix":""},{"dropping-particle":"","family":"Artukovic","given":"B","non-dropping-particle":"","parse-names":false,"suffix":""},{"dropping-particle":"","family":"Tisljar","given":"M","non-dropping-particle":"","parse-names":false,"suffix":""},{"dropping-particle":"","family":"Bratulic","given":"M","non-dropping-particle":"","parse-names":false,"suffix":""},{"dropping-particle":"","family":"Mise","given":"S","non-dropping-particle":"","parse-names":false,"suffix":""},{"dropping-particle":"","family":"Rotkvic","given":"I","non-dropping-particle":"","parse-names":false,"suffix":""}],"container-title":"Journal of physiology, Paris","id":"ITEM-1","issue":"6","issued":{"date-parts":[["1999","12"]]},"page":"479-85","title":"The effect of pentadecapeptide BPC 157, H2-blockers, omeprazole and sucralfate on new vessels and new granulation tissue formation.","type":"article-journal","volume":"93"},"uris":["http://www.mendeley.com/documents/?uuid=af060808-43aa-41af-a53b-192eebb7b799"]}],"mendeley":{"formattedCitation":"&lt;sup&gt;[50]&lt;/sup&gt;","plainTextFormattedCitation":"[50]","previouslyFormattedCitation":"&lt;sup&gt;[50]&lt;/sup&gt;"},"properties":{"noteIndex":0},"schema":"https://github.com/citation-style-language/schema/raw/master/csl-citation.json"}</w:instrText>
      </w:r>
      <w:r w:rsidR="00424272"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[50]</w:t>
      </w:r>
      <w:r w:rsidR="00424272" w:rsidRPr="00E47A42">
        <w:rPr>
          <w:rFonts w:ascii="Book Antiqua" w:hAnsi="Book Antiqua" w:cs="Times New Roman"/>
          <w:sz w:val="24"/>
          <w:szCs w:val="24"/>
          <w:lang w:val="en-US"/>
        </w:rPr>
        <w:fldChar w:fldCharType="end"/>
      </w:r>
      <w:r w:rsidR="00381543" w:rsidRPr="00E47A42">
        <w:rPr>
          <w:rFonts w:ascii="Book Antiqua" w:hAnsi="Book Antiqua" w:cs="Times New Roman"/>
          <w:sz w:val="24"/>
          <w:szCs w:val="24"/>
          <w:lang w:val="en-US"/>
        </w:rPr>
        <w:t xml:space="preserve"> </w:t>
      </w:r>
      <w:r w:rsidR="004F7356" w:rsidRPr="00E47A42">
        <w:rPr>
          <w:rFonts w:ascii="Book Antiqua" w:hAnsi="Book Antiqua" w:cs="Times New Roman"/>
          <w:sz w:val="24"/>
          <w:szCs w:val="24"/>
          <w:lang w:val="en-US"/>
        </w:rPr>
        <w:t>because of</w:t>
      </w:r>
      <w:r w:rsidR="00CB5745" w:rsidRPr="00E47A42">
        <w:rPr>
          <w:rFonts w:ascii="Book Antiqua" w:hAnsi="Book Antiqua" w:cs="Times New Roman"/>
          <w:sz w:val="24"/>
          <w:szCs w:val="24"/>
          <w:lang w:val="en-US"/>
        </w:rPr>
        <w:t xml:space="preserve"> </w:t>
      </w:r>
      <w:r w:rsidR="004F7356" w:rsidRPr="00E47A42">
        <w:rPr>
          <w:rFonts w:ascii="Book Antiqua" w:hAnsi="Book Antiqua" w:cs="Times New Roman"/>
          <w:sz w:val="24"/>
          <w:szCs w:val="24"/>
          <w:lang w:val="en-US"/>
        </w:rPr>
        <w:t>its</w:t>
      </w:r>
      <w:r w:rsidR="006670EC"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interaction with several molecular pathways</w:t>
      </w:r>
      <w:r w:rsidR="003A6A7D"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Pharmacology","id":"ITEM-1","issued":{"date-parts":[["2018"]]},"page":"54-66","title":"Rat inferior caval vein (ICV) ligature and particular new insights with the stable gastric pentadecapeptide BPC 157","type":"article-journal","volume":"106"},"uris":["http://www.mendeley.com/documents/?uuid=0d4e894c-6fc1-3bed-bb8f-4b56e696ff06"]},{"id":"ITEM-2","itemData":{"DOI":"10.1016/j.ejphar.2012.11.055","ISBN":"1879-0712 (Electronic)\\r0014-2999 (Linking)","ISSN":"00142999","PMID":"23220707","abstract":"Esophagocutaneous fistulas are a failure of the NO-system, due to NO-synthase blockage by the NOS-blocker L-NAME consequently counteracted by l-arginine and gastric pentadecapeptide BPC 157 (l-arginine &lt;BPC 157), precipitating a therapeutic benefit. Previously, there was an established BPC 157 - NO-system interaction. BPC 157 GEPPPGKPADDAGLV, MW 1419 (LD1 not achieved), is a safe and stable anti-ulcer peptide, successful in inflammatory bowel disease trials, counteracting esophagitis, sphincter failure, gastrointestinal and skin ulcers, gastrocutaneous or colocutaneous fistulas. We treated rats with established cervical esophagocutaneous fistulas throughout four days (both open skin and esophageal defects, with significant leakage) with BPC 157 (parenterally and perorally) and L-NAME (blocking NO genesis) and l-arginine (NO-substrate) alone or in combination. RT-PCR investigated eNOS, iNOS, COX-2 mRNA levels in the fistulas. We evidenced a closely inter-related process of unhealed skin, esophageal defects, unhealed fistulas (up regulated eNOS, iNOS and COX2 mRNA levels), usually lethal, particularly NO-system related and therapy dependent. Generally, the course of fistula healing was accelerated either to a greater extent (with BPC 157 (in particular, less eNOS gene expression) completely counteracting L-NAME effects, in L-NAME+BPC 157 and L-NAME+l-arginine+BPC 157 groups), or to a lesser extent (with l-arginine). Conversely, the process was aggravated, rapidly and prominently (with L-NAME). In particular, BPC 157 was effective either given per-orally/intraperitoneally, in μg- and ng-regimens. Shortly, defects started to heal, with less fistula leakage and no mortality at day 4. Failure of pyloric and lower esophageal sphincter pressure was restored, with practically no esophagitis. © 2012 Elsevier B.V. All rights reserved.","author":[{"dropping-particle":"","family":"Cesarec","given":"Vedran","non-dropping-particle":"","parse-names":false,"suffix":""},{"dropping-particle":"","family":"Becejac","given":"Tomislav","non-dropping-particle":"","parse-names":false,"suffix":""},{"dropping-particle":"","family":"Misic","given":"Marija","non-dropping-particle":"","parse-names":false,"suffix":""},{"dropping-particle":"","family":"Djakovic","given":"Zeljko","non-dropping-particle":"","parse-names":false,"suffix":""},{"dropping-particle":"","family":"Olujic","given":"Danijela","non-dropping-particle":"","parse-names":false,"suffix":""},{"dropping-particle":"","family":"Drmic","given":"Domagoj","non-dropping-particle":"","parse-names":false,"suffix":""},{"dropping-particle":"","family":"Brcic","given":"Luka","non-dropping-particle":"","parse-names":false,"suffix":""},{"dropping-particle":"","family":"Rokotov","given":"Dinko Stancic","non-dropping-particle":"","parse-names":false,"suffix":""},{"dropping-particle":"","family":"Seiwerth","given":"Sven","non-dropping-particle":"","parse-names":false,"suffix":""},{"dropping-particle":"","family":"Sikiric","given":"Predrag","non-dropping-particle":"","parse-names":false,"suffix":""}],"container-title":"European Journal of Pharmacology","id":"ITEM-2","issue":"1-3","issued":{"date-parts":[["2013"]]},"page":"203-212","publisher":"Elsevier","title":"Pentadecapeptide BPC 157 and the esophagocutaneous fistula healing therapy","type":"article-journal","volume":"701"},"uris":["http://www.mendeley.com/documents/?uuid=41a5ff22-e5c0-4417-b310-4125e014ffdd"]},{"id":"ITEM-3","itemData":{"DOI":"10.1152/japplphysiol.00945.2010","ISSN":"1522-1601","PMID":"21030672","abstract":"Pentadecapeptide BPC 157, composed of 15 amino acids, is a partial sequence of body protection compound (BPC) that is discovered in and isolated from human gastric juice. Experimentally it has been demonstrated to accelerate the healing of many different wounds, including transected rat Achilles tendon. This study was designed to investigate the potential mechanism of BPC 157 to enhance healing of injured tendon. The outgrowth of tendon fibroblasts from tendon explants cultured with or without BPC 157 was examined. Results showed that BPC 157 significantly accelerated the outgrowth of tendon explants. Cell proliferation of cultured tendon fibroblasts derived from rat Achilles tendon was not directly affected by BPC 157 as evaluated by MTT assay. However, the survival of BPC 157-treated cells was significantly increased under the H(2)O(2) stress. BPC 157 markedly increased the in vitro migration of tendon fibroblasts in a dose-dependent manner as revealed by transwell filter migration assay. BPC 157 also dose dependently accelerated the spreading of tendon fibroblasts on culture dishes. The F-actin formation as detected by FITC-phalloidin staining was induced in BPC 157-treated fibroblasts. The protein expression and activation of FAK and paxillin were determined by Western blot analysis, and the phosphorylation levels of both FAK and paxillin were dose dependently increased by BPC 157 while the total amounts of protein was unaltered. In conclusion, BPC 157 promotes the ex vivo outgrowth of tendon fibroblasts from tendon explants, cell survival under stress, and the in vitro migration of tendon fibroblasts, which is likely mediated by the activation of the FAK-paxillin pathway.","author":[{"dropping-particle":"","family":"Chang","given":"Chung-Hsun","non-dropping-particle":"","parse-names":false,"suffix":""},{"dropping-particle":"","family":"Tsai","given":"Wen-Chung","non-dropping-particle":"","parse-names":false,"suffix":""},{"dropping-particle":"","family":"Lin","given":"Miao-Sui","non-dropping-particle":"","parse-names":false,"suffix":""},{"dropping-particle":"","family":"Hsu","given":"Ya-Hui","non-dropping-particle":"","parse-names":false,"suffix":""},{"dropping-particle":"","family":"Pang","given":"Jong-Hwei Su","non-dropping-particle":"","parse-names":false,"suffix":""}],"container-title":"Journal of applied physiology (Bethesda, Md. : 1985)","id":"ITEM-3","issue":"3","issued":{"date-parts":[["2011","3"]]},"page":"774-80","title":"The promoting effect of pentadecapeptide BPC 157 on tendon healing involves tendon outgrowth, cell survival, and cell migration.","type":"article-journal","volume":"110"},"uris":["http://www.mendeley.com/documents/?uuid=6729f5a4-ea79-4adb-aac1-570591ef479a"]},{"id":"ITEM-4","itemData":{"DOI":"10.3390/molecules191119066","ISSN":"1420-3049","PMID":"25415472","abstract":"BPC 157, a pentadecapeptide derived from human gastric juice, has been demonstrated to promote the healing of different tissues, including skin, muscle, bone, ligament and tendon in many animal studies. However, the underlying mechanism has not been fully clarified. The present study aimed to explore the effect of BPC 157 on tendon fibroblasts isolated from Achilles tendon of male Sprague-Dawley rat. From the result of cDNA microarray analysis, growth hormone receptor was revealed as one of the most abundantly up-regulated genes in tendon fibroblasts by BPC 157. BPC 157 dose- and time-dependently increased the expression of growth hormone receptor in tendon fibroblasts at both the mRNA and protein levels as measured by RT/real-time PCR and Western blot, respectively. The addition of growth hormone to BPC 157-treated tendon fibroblasts dose- and time-dependently increased the cell proliferation as determined by MTT assay and PCNA expression by RT/real-time PCR. Janus kinase 2, the downstream signal pathway of growth hormone receptor, was activated time-dependently by stimulating the BPC 157-treated tendon fibroblasts with growth hormone. In conclusion, the BPC 157-induced increase of growth hormone receptor in tendon fibroblasts may potentiate the proliferation-promoting effect of growth hormone and contribute to the healing of tendon.","author":[{"dropping-particle":"","family":"Chang","given":"Chung-Hsun","non-dropping-particle":"","parse-names":false,"suffix":""},{"dropping-particle":"","family":"Tsai","given":"Wen-Chung","non-dropping-particle":"","parse-names":false,"suffix":""},{"dropping-particle":"","family":"Hsu","given":"Ya-Hui","non-dropping-particle":"","parse-names":false,"suffix":""},{"dropping-particle":"","family":"Pang","given":"Jong-Hwei Su","non-dropping-particle":"","parse-names":false,"suffix":""}],"container-title":"Molecules (Basel, Switzerland)","id":"ITEM-4","issue":"11","issued":{"date-parts":[["2014","11","19"]]},"page":"19066-77","title":"Pentadecapeptide BPC 157 enhances the growth hormone receptor expression in tendon fibroblasts.","type":"article-journal","volume":"19"},"uris":["http://www.mendeley.com/documents/?uuid=f3f7100e-ea85-4e6c-a171-398e2a6cd3e4"]},{"id":"ITEM-5","itemData":{"DOI":"10.1007/s00109-016-1488-y","ISSN":"0946-2716","author":[{"dropping-particle":"","family":"Hsieh","given":"Ming-Jer","non-dropping-particle":"","parse-names":false,"suffix":""},{"dropping-particle":"","family":"Liu","given":"Hsien-Ta","non-dropping-particle":"","parse-names":false,"suffix":""},{"dropping-particle":"","family":"Wang","given":"Chao-Nin","non-dropping-particle":"","parse-names":false,"suffix":""},{"dropping-particle":"","family":"Huang","given":"Hsiu-Yun","non-dropping-particle":"","parse-names":false,"suffix":""},{"dropping-particle":"","family":"Lin","given":"Yuling","non-dropping-particle":"","parse-names":false,"suffix":""},{"dropping-particle":"","family":"Ko","given":"Yu-Shien","non-dropping-particle":"","parse-names":false,"suffix":""},{"dropping-particle":"","family":"Wang","given":"Jong-Shyan","non-dropping-particle":"","parse-names":false,"suffix":""},{"dropping-particle":"","family":"Chang","given":"Vincent Hung-Shu","non-dropping-particle":"","parse-names":false,"suffix":""},{"dropping-particle":"","family":"Pang","given":"Jong-Hwei S.","non-dropping-particle":"","parse-names":false,"suffix":""}],"container-title":"Journal of Molecular Medicine","id":"ITEM-5","issue":"3","issued":{"date-parts":[["2017","3","15"]]},"page":"323-333","title":"Therapeutic potential of pro-angiogenic BPC157 is associated with VEGFR2 activation and up-regulation","type":"article-journal","volume":"95"},"uris":["http://www.mendeley.com/documents/?uuid=d0162b37-24df-4fed-8888-a128d80ca9cc"]},{"id":"ITEM-6","itemData":{"DOI":"10.2147/DDDT.S82030","ISBN":"1177-8881 (Electronic)\\r1177-8881 (Linking)","ISSN":"11778881","PMID":"25995620","abstract":"Chemical burns take up a high proportion of burns admissions and can penetrate deep into tissues. Various reagents have been applied in the treatment of skin chemical burns; however, no optimal reagent for skin chemical burns currently exists. The present study investigated the effect of topical body protective compound (BPC)-157 treatment on skin wound healing, using an alkali burn rat model. Topical treatment with BPC-157 was shown to accelerate wound closure following an alkali burn. Histological examination of skin sections with hematoxylin–eosin and Masson staining showed better granulation tissue formation, reepithelialization, dermal remodeling, and a higher extent of collagen deposition when compared to the model control group on the 18th day postwounding. BPC-157 could promote vascular endothelial growth factor expression in wounded skin tissues. Furthermore, 3-(4,5-dimethylthiazol-2-yl)-2,5-diphenyltetrazolium bromide and cell cycle analysis demonstrated that BPC-157 enhanced the proliferation of human umbilical vein endothelial cells (HUVECs). Transwell assay and wound healing assay showed that BPC-157 significantly promoted migration of HUVECs. We also observed that BPC-157 upregulated the expression of VEGF-a and accelerated vascular tube formation in vitro. Moreover, further studies suggested that BPC-157 regulated the phosphorylation level of extracellular signal-regulated kinases 1 and 2 (ERK1/2) as well as its downstream targets, including c-Fos, c-Jun, and Egr-1, which are key molecules involved in cell growth, migration, and angiogenesis. Altogether, our results indicated that BPC-157 treatment may accelerate wound healing in a model of alkali burn-induced skin injury. The therapeutic mechanism may be associated with accelerated granulation tissue formation, reepithelialization, dermal remodeling, and collagen deposition through ERK1/2 signaling pathway.","author":[{"dropping-particle":"","family":"Huang","given":"Tonglie","non-dropping-particle":"","parse-names":false,"suffix":""},{"dropping-particle":"","family":"Zhang","given":"Kuo","non-dropping-particle":"","parse-names":false,"suffix":""},{"dropping-particle":"","family":"Sun","given":"Lijuan","non-dropping-particle":"","parse-names":false,"suffix":""},{"dropping-particle":"","family":"Xue","given":"Xiaochang","non-dropping-particle":"","parse-names":false,"suffix":""},{"dropping-particle":"","family":"Zhang","given":"Cun","non-dropping-particle":"","parse-names":false,"suffix":""},{"dropping-particle":"","family":"Shu","given":"Zhen","non-dropping-particle":"","parse-names":false,"suffix":""},{"dropping-particle":"","family":"Mu","given":"Nan","non-dropping-particle":"","parse-names":false,"suffix":""},{"dropping-particle":"","family":"Gu","given":"Jintao","non-dropping-particle":"","parse-names":false,"suffix":""},{"dropping-particle":"","family":"Zhang","given":"Wangqian","non-dropping-particle":"","parse-names":false,"suffix":""},{"dropping-particle":"","family":"Wang","given":"Yukun","non-dropping-particle":"","parse-names":false,"suffix":""},{"dropping-particle":"","family":"Zhang","given":"Yingqi","non-dropping-particle":"","parse-names":false,"suffix":""},{"dropping-particle":"","family":"Zhang","given":"Wei","non-dropping-particle":"","parse-names":false,"suffix":""}],"container-title":"Drug Design, Development and Therapy","id":"ITEM-6","issued":{"date-parts":[["2015"]]},"page":"2485-2499","title":"Body protective compound-157 enhances alkali-burn wound healing in vivo and promotes proliferation, migration, and angiogenesis in vitro","type":"article-journal","volume":"9"},"uris":["http://www.mendeley.com/documents/?uuid=26d2fbb4-3df9-4f39-9e6c-53a37fe7bcce"]},{"id":"ITEM-7","itemData":{"DOI":"10.1016/j.ejphar.2007.05.072","ISSN":"00142999","author":[{"dropping-particle":"","family":"Tkalčević","given":"Vanesa Ivetić","non-dropping-particle":"","parse-names":false,"suffix":""},{"dropping-particle":"","family":"Čužić","given":"Snježana","non-dropping-particle":"","parse-names":false,"suffix":""},{"dropping-particle":"","family":"Brajša","given":"Karmen","non-dropping-particle":"","parse-names":false,"suffix":""},{"dropping-particle":"","family":"Mildner","given":"Boris","non-dropping-particle":"","parse-names":false,"suffix":""},{"dropping-particle":"","family":"Bokulić","given":"Ana","non-dropping-particle":"","parse-names":false,"suffix":""},{"dropping-particle":"","family":"Šitum","given":"Kristina","non-dropping-particle":"","parse-names":false,"suffix":""},{"dropping-particle":"","family":"Perović","given":"Daniela","non-dropping-particle":"","parse-names":false,"suffix":""},{"dropping-particle":"","family":"Glojnarić","given":"Ines","non-dropping-particle":"","parse-names":false,"suffix":""},{"dropping-particle":"","family":"Parnham","given":"Michael J.","non-dropping-particle":"","parse-names":false,"suffix":""}],"container-title":"European Journal of Pharmacology","id":"ITEM-7","issue":"1-3","issued":{"date-parts":[["2007","9"]]},"page":"212-221","title":"Enhancement by PL 14736 of granulation and collagen organization in healing wounds and the potential role of egr-1 expression","type":"article-journal","volume":"570"},"uris":["http://www.mendeley.com/documents/?uuid=d6bef086-cfda-49af-8cf8-b62dc1ddbbd0"]}],"mendeley":{"formattedCitation":"&lt;sup&gt;[21–27]&lt;/sup&gt;","plainTextFormattedCitation":"[21–27]","previouslyFormattedCitation":"&lt;sup&gt;[21–27]&lt;/sup&gt;"},"properties":{"noteIndex":0},"schema":"https://github.com/citation-style-language/schema/raw/master/csl-citation.json"}</w:instrText>
      </w:r>
      <w:r w:rsidR="003A6A7D"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[21–27]</w:t>
      </w:r>
      <w:r w:rsidR="003A6A7D" w:rsidRPr="00E47A42">
        <w:rPr>
          <w:rFonts w:ascii="Book Antiqua" w:hAnsi="Book Antiqua" w:cs="Times New Roman"/>
          <w:sz w:val="24"/>
          <w:szCs w:val="24"/>
          <w:lang w:val="en-US"/>
        </w:rPr>
        <w:fldChar w:fldCharType="end"/>
      </w:r>
      <w:r w:rsidR="00A302B4" w:rsidRPr="00E47A42">
        <w:rPr>
          <w:rFonts w:ascii="Book Antiqua" w:hAnsi="Book Antiqua" w:cs="Times New Roman"/>
          <w:sz w:val="24"/>
          <w:szCs w:val="24"/>
          <w:lang w:val="en-US"/>
        </w:rPr>
        <w:t>.</w:t>
      </w:r>
      <w:r w:rsidR="00CB5745"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Illustratively, in other studies</w:t>
      </w:r>
      <w:r w:rsidR="009A3C66" w:rsidRPr="00E47A42">
        <w:rPr>
          <w:rFonts w:ascii="Book Antiqua" w:hAnsi="Book Antiqua" w:cs="Times New Roman"/>
          <w:sz w:val="24"/>
          <w:szCs w:val="24"/>
          <w:lang w:val="en-US"/>
        </w:rPr>
        <w:t>, B</w:t>
      </w:r>
      <w:r w:rsidR="00A302B4" w:rsidRPr="00E47A42">
        <w:rPr>
          <w:rFonts w:ascii="Book Antiqua" w:hAnsi="Book Antiqua" w:cs="Times New Roman"/>
          <w:sz w:val="24"/>
          <w:szCs w:val="24"/>
          <w:lang w:val="en-US"/>
        </w:rPr>
        <w:t>PC 157 induce</w:t>
      </w:r>
      <w:r w:rsidR="006670EC" w:rsidRPr="00E47A42">
        <w:rPr>
          <w:rFonts w:ascii="Book Antiqua" w:hAnsi="Book Antiqua" w:cs="Times New Roman"/>
          <w:sz w:val="24"/>
          <w:szCs w:val="24"/>
          <w:lang w:val="en-US"/>
        </w:rPr>
        <w:t>d</w:t>
      </w:r>
      <w:r w:rsidR="00A302B4" w:rsidRPr="00E47A42">
        <w:rPr>
          <w:rFonts w:ascii="Book Antiqua" w:hAnsi="Book Antiqua" w:cs="Times New Roman"/>
          <w:sz w:val="24"/>
          <w:szCs w:val="24"/>
          <w:lang w:val="en-US"/>
        </w:rPr>
        <w:t xml:space="preserve"> an acceleration of blood flow recovery</w:t>
      </w:r>
      <w:r w:rsidR="00602616"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 xml:space="preserve">and vessel number within days in rats with </w:t>
      </w:r>
      <w:r w:rsidR="00A302B4" w:rsidRPr="00E47A42">
        <w:rPr>
          <w:rFonts w:ascii="Book Antiqua" w:hAnsi="Book Antiqua" w:cs="Times New Roman"/>
          <w:noProof/>
          <w:sz w:val="24"/>
          <w:szCs w:val="24"/>
          <w:lang w:val="en-US"/>
        </w:rPr>
        <w:t>hind limb</w:t>
      </w:r>
      <w:r w:rsidR="00A302B4" w:rsidRPr="00E47A42">
        <w:rPr>
          <w:rFonts w:ascii="Book Antiqua" w:hAnsi="Book Antiqua" w:cs="Times New Roman"/>
          <w:sz w:val="24"/>
          <w:szCs w:val="24"/>
          <w:lang w:val="en-US"/>
        </w:rPr>
        <w:t xml:space="preserve"> ischemia</w:t>
      </w:r>
      <w:r w:rsidR="00424272"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10.1007/s00109-016-1488-y","ISSN":"0946-2716","author":[{"dropping-particle":"","family":"Hsieh","given":"Ming-Jer","non-dropping-particle":"","parse-names":false,"suffix":""},{"dropping-particle":"","family":"Liu","given":"Hsien-Ta","non-dropping-particle":"","parse-names":false,"suffix":""},{"dropping-particle":"","family":"Wang","given":"Chao-Nin","non-dropping-particle":"","parse-names":false,"suffix":""},{"dropping-particle":"","family":"Huang","given":"Hsiu-Yun","non-dropping-particle":"","parse-names":false,"suffix":""},{"dropping-particle":"","family":"Lin","given":"Yuling","non-dropping-particle":"","parse-names":false,"suffix":""},{"dropping-particle":"","family":"Ko","given":"Yu-Shien","non-dropping-particle":"","parse-names":false,"suffix":""},{"dropping-particle":"","family":"Wang","given":"Jong-Shyan","non-dropping-particle":"","parse-names":false,"suffix":""},{"dropping-particle":"","family":"Chang","given":"Vincent Hung-Shu","non-dropping-particle":"","parse-names":false,"suffix":""},{"dropping-particle":"","family":"Pang","given":"Jong-Hwei S.","non-dropping-particle":"","parse-names":false,"suffix":""}],"container-title":"Journal of Molecular Medicine","id":"ITEM-1","issue":"3","issued":{"date-parts":[["2017","3","15"]]},"page":"323-333","title":"Therapeutic potential of pro-angiogenic BPC157 is associated with VEGFR2 activation and up-regulation","type":"article-journal","volume":"95"},"uris":["http://www.mendeley.com/documents/?uuid=d0162b37-24df-4fed-8888-a128d80ca9cc"]}],"mendeley":{"formattedCitation":"&lt;sup&gt;[25]&lt;/sup&gt;","plainTextFormattedCitation":"[25]","previouslyFormattedCitation":"&lt;sup&gt;[25]&lt;/sup&gt;"},"properties":{"noteIndex":0},"schema":"https://github.com/citation-style-language/schema/raw/master/csl-citation.json"}</w:instrText>
      </w:r>
      <w:r w:rsidR="00424272"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[25]</w:t>
      </w:r>
      <w:r w:rsidR="00424272" w:rsidRPr="00E47A42">
        <w:rPr>
          <w:rFonts w:ascii="Book Antiqua" w:hAnsi="Book Antiqua" w:cs="Times New Roman"/>
          <w:sz w:val="24"/>
          <w:szCs w:val="24"/>
          <w:lang w:val="en-US"/>
        </w:rPr>
        <w:fldChar w:fldCharType="end"/>
      </w:r>
      <w:r w:rsidR="00EF3098" w:rsidRPr="00E47A42">
        <w:rPr>
          <w:rFonts w:ascii="Book Antiqua" w:hAnsi="Book Antiqua" w:cs="Times New Roman"/>
          <w:bCs/>
          <w:sz w:val="24"/>
          <w:szCs w:val="24"/>
          <w:lang w:val="en-US"/>
        </w:rPr>
        <w:t>.</w:t>
      </w:r>
    </w:p>
    <w:p w14:paraId="2B5D9AB5" w14:textId="492ADD3D" w:rsidR="00A302B4" w:rsidRPr="00E47A42" w:rsidRDefault="00A302B4" w:rsidP="00C14212">
      <w:pPr>
        <w:pStyle w:val="title1"/>
        <w:snapToGrid w:val="0"/>
        <w:spacing w:line="360" w:lineRule="auto"/>
        <w:ind w:firstLineChars="100" w:firstLine="240"/>
        <w:jc w:val="both"/>
        <w:rPr>
          <w:rFonts w:ascii="Book Antiqua" w:hAnsi="Book Antiqua"/>
          <w:sz w:val="24"/>
          <w:szCs w:val="24"/>
          <w:lang w:val="en-US"/>
        </w:rPr>
      </w:pPr>
      <w:r w:rsidRPr="00E47A42">
        <w:rPr>
          <w:rFonts w:ascii="Book Antiqua" w:hAnsi="Book Antiqua"/>
          <w:sz w:val="24"/>
          <w:szCs w:val="24"/>
          <w:lang w:val="en-US"/>
        </w:rPr>
        <w:t>Additionally, in practice, this means distinct endpoints should be overwhelmed to achieve</w:t>
      </w:r>
      <w:r w:rsidR="00CB5745" w:rsidRPr="00E47A42">
        <w:rPr>
          <w:rFonts w:ascii="Book Antiqua" w:hAnsi="Book Antiqua"/>
          <w:sz w:val="24"/>
          <w:szCs w:val="24"/>
          <w:lang w:val="en-US"/>
        </w:rPr>
        <w:t xml:space="preserve"> the</w:t>
      </w:r>
      <w:r w:rsidRPr="00E47A42">
        <w:rPr>
          <w:rFonts w:ascii="Book Antiqua" w:hAnsi="Book Antiqua"/>
          <w:sz w:val="24"/>
          <w:szCs w:val="24"/>
          <w:lang w:val="en-US"/>
        </w:rPr>
        <w:t xml:space="preserve"> presentation seen in rats that underwent BPC 157 application. Finally, in addition to counteract</w:t>
      </w:r>
      <w:r w:rsidR="00CB5745" w:rsidRPr="00E47A42">
        <w:rPr>
          <w:rFonts w:ascii="Book Antiqua" w:hAnsi="Book Antiqua"/>
          <w:sz w:val="24"/>
          <w:szCs w:val="24"/>
          <w:lang w:val="en-US"/>
        </w:rPr>
        <w:t>ing the</w:t>
      </w:r>
      <w:r w:rsidRPr="00E47A42">
        <w:rPr>
          <w:rFonts w:ascii="Book Antiqua" w:hAnsi="Book Antiqua"/>
          <w:sz w:val="24"/>
          <w:szCs w:val="24"/>
          <w:lang w:val="en-US"/>
        </w:rPr>
        <w:t xml:space="preserve"> parallel (worsenin</w:t>
      </w:r>
      <w:r w:rsidR="004F7356" w:rsidRPr="00E47A42">
        <w:rPr>
          <w:rFonts w:ascii="Book Antiqua" w:hAnsi="Book Antiqua"/>
          <w:sz w:val="24"/>
          <w:szCs w:val="24"/>
          <w:lang w:val="en-US"/>
        </w:rPr>
        <w:t>g) effect of L-NAME/L-arginine o</w:t>
      </w:r>
      <w:r w:rsidRPr="00E47A42">
        <w:rPr>
          <w:rFonts w:ascii="Book Antiqua" w:hAnsi="Book Antiqua"/>
          <w:sz w:val="24"/>
          <w:szCs w:val="24"/>
          <w:lang w:val="en-US"/>
        </w:rPr>
        <w:t>n ischemic colitis and cecum perforation syndromes</w:t>
      </w:r>
      <w:r w:rsidR="00B62926" w:rsidRPr="00E47A42">
        <w:rPr>
          <w:rFonts w:ascii="Book Antiqua" w:hAnsi="Book Antiqua"/>
          <w:sz w:val="24"/>
          <w:szCs w:val="24"/>
          <w:lang w:val="en-US"/>
        </w:rPr>
        <w:fldChar w:fldCharType="begin" w:fldLock="1"/>
      </w:r>
      <w:r w:rsidR="00AB3269" w:rsidRPr="00E47A42">
        <w:rPr>
          <w:rFonts w:ascii="Book Antiqua" w:hAnsi="Book Antiqua"/>
          <w:sz w:val="24"/>
          <w:szCs w:val="24"/>
          <w:lang w:val="en-US"/>
        </w:rPr>
        <w:instrText>ADDIN CSL_CITATION {"citationItems":[{"id":"ITEM-1","itemData":{"DOI":"10.1016/j.vph.2018.02.010","ISSN":"18793649","abstract":"©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Pharmacology","id":"ITEM-1","issued":{"date-parts":[["2018"]]},"page":"54-66","title":"Rat inferior caval vein (ICV) ligature and particular new insights with the stable gastric pentadecapeptide BPC 157","type":"article-journal","volume":"106"},"uris":["http://www.mendeley.com/documents/?uuid=0d4e894c-6fc1-3bed-bb8f-4b56e696ff06"]}],"mendeley":{"formattedCitation":"&lt;sup&gt;[21]&lt;/sup&gt;","plainTextFormattedCitation":"[21]","previouslyFormattedCitation":"&lt;sup&gt;[21]&lt;/sup&gt;"},"properties":{"noteIndex":0},"schema":"https://github.com/citation-style-language/schema/raw/master/csl-citation.json"}</w:instrText>
      </w:r>
      <w:r w:rsidR="00B62926" w:rsidRPr="00E47A42">
        <w:rPr>
          <w:rFonts w:ascii="Book Antiqua" w:hAnsi="Book Antiqua"/>
          <w:sz w:val="24"/>
          <w:szCs w:val="24"/>
          <w:lang w:val="en-US"/>
        </w:rPr>
        <w:fldChar w:fldCharType="separate"/>
      </w:r>
      <w:r w:rsidR="00AB3269" w:rsidRPr="00E47A42">
        <w:rPr>
          <w:rFonts w:ascii="Book Antiqua" w:hAnsi="Book Antiqua"/>
          <w:noProof/>
          <w:sz w:val="24"/>
          <w:szCs w:val="24"/>
          <w:vertAlign w:val="superscript"/>
          <w:lang w:val="en-US"/>
        </w:rPr>
        <w:t>[21]</w:t>
      </w:r>
      <w:r w:rsidR="00B62926" w:rsidRPr="00E47A42">
        <w:rPr>
          <w:rFonts w:ascii="Book Antiqua" w:hAnsi="Book Antiqua"/>
          <w:sz w:val="24"/>
          <w:szCs w:val="24"/>
          <w:lang w:val="en-US"/>
        </w:rPr>
        <w:fldChar w:fldCharType="end"/>
      </w:r>
      <w:r w:rsidRPr="00E47A42">
        <w:rPr>
          <w:rFonts w:ascii="Book Antiqua" w:hAnsi="Book Antiqua"/>
          <w:sz w:val="24"/>
          <w:szCs w:val="24"/>
          <w:lang w:val="en-US"/>
        </w:rPr>
        <w:t xml:space="preserve">, BPC 157 counteracts </w:t>
      </w:r>
      <w:r w:rsidR="00CB5745" w:rsidRPr="00E47A42">
        <w:rPr>
          <w:rFonts w:ascii="Book Antiqua" w:hAnsi="Book Antiqua"/>
          <w:sz w:val="24"/>
          <w:szCs w:val="24"/>
          <w:lang w:val="en-US"/>
        </w:rPr>
        <w:t xml:space="preserve">the </w:t>
      </w:r>
      <w:r w:rsidRPr="00E47A42">
        <w:rPr>
          <w:rFonts w:ascii="Book Antiqua" w:hAnsi="Book Antiqua"/>
          <w:sz w:val="24"/>
          <w:szCs w:val="24"/>
          <w:lang w:val="en-US"/>
        </w:rPr>
        <w:t>common parallel L-NAME/L-arginine activity points in other assays (</w:t>
      </w:r>
      <w:r w:rsidRPr="00E47A42">
        <w:rPr>
          <w:rFonts w:ascii="Book Antiqua" w:hAnsi="Book Antiqua"/>
          <w:i/>
          <w:sz w:val="24"/>
          <w:szCs w:val="24"/>
          <w:lang w:val="en-US"/>
        </w:rPr>
        <w:t>i.e</w:t>
      </w:r>
      <w:r w:rsidRPr="00E47A42">
        <w:rPr>
          <w:rFonts w:ascii="Book Antiqua" w:hAnsi="Book Antiqua"/>
          <w:sz w:val="24"/>
          <w:szCs w:val="24"/>
          <w:lang w:val="en-US"/>
        </w:rPr>
        <w:t>., magnesium intoxication</w:t>
      </w:r>
      <w:r w:rsidR="006670EC" w:rsidRPr="00E47A42">
        <w:rPr>
          <w:rFonts w:ascii="Book Antiqua" w:hAnsi="Book Antiqua"/>
          <w:sz w:val="24"/>
          <w:szCs w:val="24"/>
          <w:lang w:val="en-US"/>
        </w:rPr>
        <w:t xml:space="preserve"> and</w:t>
      </w:r>
      <w:r w:rsidRPr="00E47A42">
        <w:rPr>
          <w:rFonts w:ascii="Book Antiqua" w:hAnsi="Book Antiqua"/>
          <w:sz w:val="24"/>
          <w:szCs w:val="24"/>
          <w:lang w:val="en-US"/>
        </w:rPr>
        <w:t xml:space="preserve"> miosis/mydriasis)</w:t>
      </w:r>
      <w:r w:rsidR="00424272" w:rsidRPr="00E47A42">
        <w:rPr>
          <w:rFonts w:ascii="Book Antiqua" w:hAnsi="Book Antiqua"/>
          <w:sz w:val="24"/>
          <w:szCs w:val="24"/>
          <w:lang w:val="en-US"/>
        </w:rPr>
        <w:fldChar w:fldCharType="begin" w:fldLock="1"/>
      </w:r>
      <w:r w:rsidR="00AB3269" w:rsidRPr="00E47A42">
        <w:rPr>
          <w:rFonts w:ascii="Book Antiqua" w:hAnsi="Book Antiqua"/>
          <w:sz w:val="24"/>
          <w:szCs w:val="24"/>
          <w:lang w:val="en-US"/>
        </w:rPr>
        <w:instrText>ADDIN CSL_CITATION {"citationItems":[{"id":"ITEM-1","itemData":{"DOI":"10.1007/s10787-017-0323-6","ISSN":"15685608","abstract":"© 2017, Springer International Publishing. Aim: Stable gastric pentadecapeptide BPC 157, administered before a high-dose magnesium injection in rats, might be a useful peptide therapy against magnesium toxicity and the magnesium-induced effect on cell depolarization. Moreover, this might be an NO-system-related effect. Previously, BPC 157 counteracts paralysis, arrhythmias and hyperkalaemia, extreme muscle weakness; parasympathetic and neuromuscular blockade; injured muscle healing and interacts with the NOS-blocker and NOS-substrate effects. Main methods: Assessment included magnesium sulfate (560 mg/kg intraperitoneally)-induced muscle weakness, muscle and brain lesions, hypermagnesemia, hyperkalaemia, increased serum enzyme values assessed in rats during and at the end of a 30-min period and medication (given intraperitoneally/kg at 15 min before magnesium) [BPC 157 (10 µg, 10 ng), l-NAME (5 mg), l-arginine (100 mg), alone and/or together]. In HEK293 cells, the increasing magnesium concentration from 1 to 5 mM could depolarize the cells at 1.75 ± 0.44 mV. Key findings: l-NAME + magnesium-rats and l-arginine + magnesium-rats exhibited worsened severe muscle weakness and lesions, brain lesions, hypermagnesemia and serum enzymes values, with emerging hyperkalaemia. However, l-NAME + l-arginine + magnesium-rats exhibited all control values and normokalaemia. BPC 157 abrogated hypermagnesemia and counteracted all of the magnesium-induced disturbances (including those aggravated by l-NAME or l-arginine). Thus, cell depolarization due to increasing magnesium concentration was inhibited in the presence of BPC 157 (1 µM) in vitro. Significance: BPC 157 likely counteracts the initial event leading to hypermagnesemia and the life-threatening actions after a magnesium overdose. In contrast, a worsened clinical course, higher hypermagnesemia, and emerging hyperkalaemia might cause both l-NAME and l-arginine to affect the same events adversely. These events were also opposed by BPC 157.","author":[{"dropping-particle":"","family":"Medvidovic-Grubisic","given":"M.","non-dropping-particle":"","parse-names":false,"suffix":""},{"dropping-particle":"","family":"Stambolija","given":"V.","non-dropping-particle":"","parse-names":false,"suffix":""},{"dropping-particle":"","family":"Kolenc","given":"D.","non-dropping-particle":"","parse-names":false,"suffix":""},{"dropping-particle":"","family":"Katancic","given":"J.","non-dropping-particle":"","parse-names":false,"suffix":""},{"dropping-particle":"","family":"Murselovic","given":"T.","non-dropping-particle":"","parse-names":false,"suffix":""},{"dropping-particle":"","family":"Plestina-Borjan","given":"I.","non-dropping-particle":"","parse-names":false,"suffix":""},{"dropping-particle":"","family":"Strbe","given":"S.","non-dropping-particle":"","parse-names":false,"suffix":""},{"dropping-particle":"","family":"Drmic","given":"D.","non-dropping-particle":"","parse-names":false,"suffix":""},{"dropping-particle":"","family":"Barisic","given":"I.","non-dropping-particle":"","parse-names":false,"suffix":""},{"dropping-particle":"","family":"Sindic","given":"A.","non-dropping-particle":"","parse-names":false,"suffix":""},{"dropping-particle":"","family":"Seiwerth","given":"S.","non-dropping-particle":"","parse-names":false,"suffix":""},{"dropping-particle":"","family":"Sikiric","given":"P.","non-dropping-particle":"","parse-names":false,"suffix":""}],"container-title":"Inflammopharmacology","id":"ITEM-1","issue":"4","issued":{"date-parts":[["2017"]]},"title":"Hypermagnesemia disturbances in rats, NO-related: pentadecapeptide BPC 157 abrogates, l-NAME and l-arginine worsen","type":"article-journal","volume":"25"},"uris":["http://www.mendeley.com/documents/?uuid=372f9f85-7d86-3df0-9517-2ba95d921675"]},{"id":"ITEM-2","itemData":{"DOI":"10.1016/j.ejphar.2015.12.016","ISSN":"00142999","author":[{"dropping-particle":"","family":"Kokot","given":"Antonio","non-dropping-particle":"","parse-names":false,"suffix":""},{"dropping-particle":"","family":"Zlatar","given":"Mirna","non-dropping-particle":"","parse-names":false,"suffix":""},{"dropping-particle":"","family":"Stupnisek","given":"Mirjana","non-dropping-particle":"","parse-names":false,"suffix":""},{"dropping-particle":"","family":"Drmic","given":"Domagoj","non-dropping-particle":"","parse-names":false,"suffix":""},{"dropping-particle":"","family":"Radic","given":"Radivoje","non-dropping-particle":"","parse-names":false,"suffix":""},{"dropping-particle":"","family":"Vcev","given":"Aleksandar","non-dropping-particle":"","parse-names":false,"suffix":""},{"dropping-particle":"","family":"Seiwerth","given":"Sven","non-dropping-particle":"","parse-names":false,"suffix":""},{"dropping-particle":"","family":"Sikiric","given":"Predrag","non-dropping-particle":"","parse-names":false,"suffix":""}],"container-title":"European Journal of Pharmacology","id":"ITEM-2","issued":{"date-parts":[["2016","1"]]},"page":"211-219","title":"NO system dependence of atropine-induced mydriasis and L-NAME- and L-arginine-induced miosis: Reversal by the pentadecapeptide BPC 157 in rats and guinea pigs","type":"article-journal","volume":"771"},"uris":["http://www.mendeley.com/documents/?uuid=ead82f41-d78d-4c3a-8b32-53cca4af2019"]}],"mendeley":{"formattedCitation":"&lt;sup&gt;[51,52]&lt;/sup&gt;","plainTextFormattedCitation":"[51,52]","previouslyFormattedCitation":"&lt;sup&gt;[51,52]&lt;/sup&gt;"},"properties":{"noteIndex":0},"schema":"https://github.com/citation-style-language/schema/raw/master/csl-citation.json"}</w:instrText>
      </w:r>
      <w:r w:rsidR="00424272" w:rsidRPr="00E47A42">
        <w:rPr>
          <w:rFonts w:ascii="Book Antiqua" w:hAnsi="Book Antiqua"/>
          <w:sz w:val="24"/>
          <w:szCs w:val="24"/>
          <w:lang w:val="en-US"/>
        </w:rPr>
        <w:fldChar w:fldCharType="separate"/>
      </w:r>
      <w:r w:rsidR="00AB3269" w:rsidRPr="00E47A42">
        <w:rPr>
          <w:rFonts w:ascii="Book Antiqua" w:hAnsi="Book Antiqua"/>
          <w:noProof/>
          <w:sz w:val="24"/>
          <w:szCs w:val="24"/>
          <w:vertAlign w:val="superscript"/>
          <w:lang w:val="en-US"/>
        </w:rPr>
        <w:t>[51,52]</w:t>
      </w:r>
      <w:r w:rsidR="00424272" w:rsidRPr="00E47A42">
        <w:rPr>
          <w:rFonts w:ascii="Book Antiqua" w:hAnsi="Book Antiqua"/>
          <w:sz w:val="24"/>
          <w:szCs w:val="24"/>
          <w:lang w:val="en-US"/>
        </w:rPr>
        <w:fldChar w:fldCharType="end"/>
      </w:r>
      <w:r w:rsidRPr="00E47A42">
        <w:rPr>
          <w:rFonts w:ascii="Book Antiqua" w:hAnsi="Book Antiqua"/>
          <w:sz w:val="24"/>
          <w:szCs w:val="24"/>
          <w:lang w:val="en-US"/>
        </w:rPr>
        <w:t>. Notably, BPC 157 instantly prevents and reverses L-NAME-induced hypertension and L-NAME-</w:t>
      </w:r>
      <w:r w:rsidR="00495E6D" w:rsidRPr="00E47A42">
        <w:rPr>
          <w:rFonts w:ascii="Book Antiqua" w:hAnsi="Book Antiqua"/>
          <w:sz w:val="24"/>
          <w:szCs w:val="24"/>
          <w:lang w:val="en-US"/>
        </w:rPr>
        <w:t xml:space="preserve">induced </w:t>
      </w:r>
      <w:r w:rsidRPr="00E47A42">
        <w:rPr>
          <w:rFonts w:ascii="Book Antiqua" w:hAnsi="Book Antiqua"/>
          <w:sz w:val="24"/>
          <w:szCs w:val="24"/>
          <w:lang w:val="en-US"/>
        </w:rPr>
        <w:t>thrombocytopenia as well as L-arginine-induced hypotension and L-arginine-</w:t>
      </w:r>
      <w:r w:rsidR="00495E6D" w:rsidRPr="00E47A42">
        <w:rPr>
          <w:rFonts w:ascii="Book Antiqua" w:hAnsi="Book Antiqua"/>
          <w:sz w:val="24"/>
          <w:szCs w:val="24"/>
          <w:lang w:val="en-US"/>
        </w:rPr>
        <w:t xml:space="preserve">induced </w:t>
      </w:r>
      <w:r w:rsidRPr="00E47A42">
        <w:rPr>
          <w:rFonts w:ascii="Book Antiqua" w:hAnsi="Book Antiqua"/>
          <w:sz w:val="24"/>
          <w:szCs w:val="24"/>
          <w:lang w:val="en-US"/>
        </w:rPr>
        <w:t>prolong</w:t>
      </w:r>
      <w:r w:rsidR="00EF3098" w:rsidRPr="00E47A42">
        <w:rPr>
          <w:rFonts w:ascii="Book Antiqua" w:hAnsi="Book Antiqua"/>
          <w:sz w:val="24"/>
          <w:szCs w:val="24"/>
          <w:lang w:val="en-US"/>
        </w:rPr>
        <w:t>ed bleeding</w:t>
      </w:r>
      <w:r w:rsidR="00495E6D" w:rsidRPr="00E47A42">
        <w:rPr>
          <w:rFonts w:ascii="Book Antiqua" w:hAnsi="Book Antiqua"/>
          <w:sz w:val="24"/>
          <w:szCs w:val="24"/>
          <w:lang w:val="en-US"/>
        </w:rPr>
        <w:t xml:space="preserve"> and</w:t>
      </w:r>
      <w:r w:rsidR="00EF3098" w:rsidRPr="00E47A42">
        <w:rPr>
          <w:rFonts w:ascii="Book Antiqua" w:hAnsi="Book Antiqua"/>
          <w:sz w:val="24"/>
          <w:szCs w:val="24"/>
          <w:lang w:val="en-US"/>
        </w:rPr>
        <w:t xml:space="preserve"> thrombocytopenia</w:t>
      </w:r>
      <w:r w:rsidR="00053992" w:rsidRPr="00E47A42">
        <w:rPr>
          <w:rFonts w:ascii="Book Antiqua" w:hAnsi="Book Antiqua"/>
          <w:sz w:val="24"/>
          <w:szCs w:val="24"/>
          <w:lang w:val="en-US"/>
        </w:rPr>
        <w:fldChar w:fldCharType="begin" w:fldLock="1"/>
      </w:r>
      <w:r w:rsidR="00053992" w:rsidRPr="00E47A42">
        <w:rPr>
          <w:rFonts w:ascii="Book Antiqua" w:hAnsi="Book Antiqua"/>
          <w:sz w:val="24"/>
          <w:szCs w:val="24"/>
          <w:lang w:val="en-US"/>
        </w:rPr>
        <w:instrText>ADDIN CSL_CITATION {"citationItems":[{"id":"ITEM-1","itemData":{"DOI":"10.1007/s10787-017-0323-6","ISSN":"15685608","abstract":"© 2017, Springer International Publishing. Aim: Stable gastric pentadecapeptide BPC 157, administered before a high-dose magnesium injection in rats, might be a useful peptide therapy against magnesium toxicity and the magnesium-induced effect on cell depolarization. Moreover, this might be an NO-system-related effect. Previously, BPC 157 counteracts paralysis, arrhythmias and hyperkalaemia, extreme muscle weakness; parasympathetic and neuromuscular blockade; injured muscle healing and interacts with the NOS-blocker and NOS-substrate effects. Main methods: Assessment included magnesium sulfate (560 mg/kg intraperitoneally)-induced muscle weakness, muscle and brain lesions, hypermagnesemia, hyperkalaemia, increased serum enzyme values assessed in rats during and at the end of a 30-min period and medication (given intraperitoneally/kg at 15 min before magnesium) [BPC 157 (10 µg, 10 ng), l-NAME (5 mg), l-arginine (100 mg), alone and/or together]. In HEK293 cells, the increasing magnesium concentration from 1 to 5 mM could depolarize the cells at 1.75 ± 0.44 mV. Key findings: l-NAME + magnesium-rats and l-arginine + magnesium-rats exhibited worsened severe muscle weakness and lesions, brain lesions, hypermagnesemia and serum enzymes values, with emerging hyperkalaemia. However, l-NAME + l-arginine + magnesium-rats exhibited all control values and normokalaemia. BPC 157 abrogated hypermagnesemia and counteracted all of the magnesium-induced disturbances (including those aggravated by l-NAME or l-arginine). Thus, cell depolarization due to increasing magnesium concentration was inhibited in the presence of BPC 157 (1 µM) in vitro. Significance: BPC 157 likely counteracts the initial event leading to hypermagnesemia and the life-threatening actions after a magnesium overdose. In contrast, a worsened clinical course, higher hypermagnesemia, and emerging hyperkalaemia might cause both l-NAME and l-arginine to affect the same events adversely. These events were also opposed by BPC 157.","author":[{"dropping-particle":"","family":"Medvidovic-Grubisic","given":"M.","non-dropping-particle":"","parse-names":false,"suffix":""},{"dropping-particle":"","family":"Stambolija","given":"V.","non-dropping-particle":"","parse-names":false,"suffix":""},{"dropping-particle":"","family":"Kolenc","given":"D.","non-dropping-particle":"","parse-names":false,"suffix":""},{"dropping-particle":"","family":"Katancic","given":"J.","non-dropping-particle":"","parse-names":false,"suffix":""},{"dropping-particle":"","family":"Murselovic","given":"T.","non-dropping-particle":"","parse-names":false,"suffix":""},{"dropping-particle":"","family":"Plestina-Borjan","given":"I.","non-dropping-particle":"","parse-names":false,"suffix":""},{"dropping-particle":"","family":"Strbe","given":"S.","non-dropping-particle":"","parse-names":false,"suffix":""},{"dropping-particle":"","family":"Drmic","given":"D.","non-dropping-particle":"","parse-names":false,"suffix":""},{"dropping-particle":"","family":"Barisic","given":"I.","non-dropping-particle":"","parse-names":false,"suffix":""},{"dropping-particle":"","family":"Sindic","given":"A.","non-dropping-particle":"","parse-names":false,"suffix":""},{"dropping-particle":"","family":"Seiwerth","given":"S.","non-dropping-particle":"","parse-names":false,"suffix":""},{"dropping-particle":"","family":"Sikiric","given":"P.","non-dropping-particle":"","parse-names":false,"suffix":""}],"container-title":"Inflammopharmacology","id":"ITEM-1","issue":"4","issued":{"date-parts":[["2017"]]},"title":"Hypermagnesemia disturbances in rats, NO-related: pentadecapeptide BPC 157 abrogates, l-NAME and l-arginine worsen","type":"article-journal","volume":"25"},"uris":["http://www.mendeley.com/documents/?uuid=372f9f85-7d86-3df0-9517-2ba95d921675"]},{"id":"ITEM-2","itemData":{"DOI":"10.1016/j.ejphar.2015.12.016","ISSN":"00142999","author":[{"dropping-particle":"","family":"Kokot","given":"Antonio","non-dropping-particle":"","parse-names":false,"suffix":""},{"dropping-particle":"","family":"Zlatar","given":"Mirna","non-dropping-particle":"","parse-names":false,"suffix":""},{"dropping-particle":"","family":"Stupnisek","given":"Mirjana","non-dropping-particle":"","parse-names":false,"suffix":""},{"dropping-particle":"","family":"Drmic","given":"Domagoj","non-dropping-particle":"","parse-names":false,"suffix":""},{"dropping-particle":"","family":"Radic","given":"Radivoje","non-dropping-particle":"","parse-names":false,"suffix":""},{"dropping-particle":"","family":"Vcev","given":"Aleksandar","non-dropping-particle":"","parse-names":false,"suffix":""},{"dropping-particle":"","family":"Seiwerth","given":"Sven","non-dropping-particle":"","parse-names":false,"suffix":""},{"dropping-particle":"","family":"Sikiric","given":"Predrag","non-dropping-particle":"","parse-names":false,"suffix":""}],"container-title":"European Journal of Pharmacology","id":"ITEM-2","issued":{"date-parts":[["2016","1"]]},"page":"211-219","title":"NO system dependence of atropine-induced mydriasis and L-NAME- and L-arginine-induced miosis: Reversal by the pentadecapeptide BPC 157 in rats and guinea pigs","type":"article-journal","volume":"771"},"uris":["http://www.mendeley.com/documents/?uuid=ead82f41-d78d-4c3a-8b32-53cca4af2019"]}],"mendeley":{"formattedCitation":"&lt;sup&gt;[51,52]&lt;/sup&gt;","plainTextFormattedCitation":"[51,52]","previouslyFormattedCitation":"&lt;sup&gt;[51,52]&lt;/sup&gt;"},"properties":{"noteIndex":0},"schema":"https://github.com/citation-style-language/schema/raw/master/csl-citation.json"}</w:instrText>
      </w:r>
      <w:r w:rsidR="00053992" w:rsidRPr="00E47A42">
        <w:rPr>
          <w:rFonts w:ascii="Book Antiqua" w:hAnsi="Book Antiqua"/>
          <w:sz w:val="24"/>
          <w:szCs w:val="24"/>
          <w:lang w:val="en-US"/>
        </w:rPr>
        <w:fldChar w:fldCharType="separate"/>
      </w:r>
      <w:r w:rsidR="00053992" w:rsidRPr="00E47A42">
        <w:rPr>
          <w:rFonts w:ascii="Book Antiqua" w:hAnsi="Book Antiqua"/>
          <w:noProof/>
          <w:sz w:val="24"/>
          <w:szCs w:val="24"/>
          <w:vertAlign w:val="superscript"/>
          <w:lang w:val="en-US"/>
        </w:rPr>
        <w:t>[13]</w:t>
      </w:r>
      <w:r w:rsidR="00053992" w:rsidRPr="00E47A42">
        <w:rPr>
          <w:rFonts w:ascii="Book Antiqua" w:hAnsi="Book Antiqua"/>
          <w:sz w:val="24"/>
          <w:szCs w:val="24"/>
          <w:lang w:val="en-US"/>
        </w:rPr>
        <w:fldChar w:fldCharType="end"/>
      </w:r>
      <w:r w:rsidRPr="00E47A42">
        <w:rPr>
          <w:rFonts w:ascii="Book Antiqua" w:hAnsi="Book Antiqua"/>
          <w:sz w:val="24"/>
          <w:szCs w:val="24"/>
          <w:lang w:val="en-US"/>
        </w:rPr>
        <w:t xml:space="preserve">. </w:t>
      </w:r>
    </w:p>
    <w:p w14:paraId="4104E0BB" w14:textId="6509724F" w:rsidR="00A302B4" w:rsidRPr="00E47A42" w:rsidRDefault="00A302B4" w:rsidP="00C14212">
      <w:pPr>
        <w:autoSpaceDE w:val="0"/>
        <w:adjustRightInd w:val="0"/>
        <w:snapToGrid w:val="0"/>
        <w:spacing w:after="0"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 xml:space="preserve">Therefore, </w:t>
      </w:r>
      <w:r w:rsidR="00514918" w:rsidRPr="00E47A42">
        <w:rPr>
          <w:rFonts w:ascii="Book Antiqua" w:hAnsi="Book Antiqua" w:cs="Times New Roman"/>
          <w:sz w:val="24"/>
          <w:szCs w:val="24"/>
          <w:lang w:val="en-US"/>
        </w:rPr>
        <w:t>BPC 157</w:t>
      </w:r>
      <w:r w:rsidR="002410ED" w:rsidRPr="00E47A42">
        <w:rPr>
          <w:rFonts w:ascii="Book Antiqua" w:hAnsi="Book Antiqua" w:cs="Times New Roman"/>
          <w:sz w:val="24"/>
          <w:szCs w:val="24"/>
          <w:lang w:val="en-US"/>
        </w:rPr>
        <w:t>,</w:t>
      </w:r>
      <w:r w:rsidR="00514918" w:rsidRPr="00E47A42">
        <w:rPr>
          <w:rFonts w:ascii="Book Antiqua" w:hAnsi="Book Antiqua" w:cs="Times New Roman"/>
          <w:sz w:val="24"/>
          <w:szCs w:val="24"/>
          <w:lang w:val="en-US"/>
        </w:rPr>
        <w:t xml:space="preserve"> with </w:t>
      </w:r>
      <w:r w:rsidR="0080664F" w:rsidRPr="00E47A42">
        <w:rPr>
          <w:rFonts w:ascii="Book Antiqua" w:hAnsi="Book Antiqua" w:cs="Times New Roman"/>
          <w:sz w:val="24"/>
          <w:szCs w:val="24"/>
          <w:lang w:val="en-US"/>
        </w:rPr>
        <w:t xml:space="preserve">certain </w:t>
      </w:r>
      <w:r w:rsidR="00514918" w:rsidRPr="00E47A42">
        <w:rPr>
          <w:rFonts w:ascii="Book Antiqua" w:hAnsi="Book Antiqua" w:cs="Times New Roman"/>
          <w:sz w:val="24"/>
          <w:szCs w:val="24"/>
          <w:lang w:val="en-US"/>
        </w:rPr>
        <w:t>vascular effect</w:t>
      </w:r>
      <w:r w:rsidR="0080664F" w:rsidRPr="00E47A42">
        <w:rPr>
          <w:rFonts w:ascii="Book Antiqua" w:hAnsi="Book Antiqua" w:cs="Times New Roman"/>
          <w:sz w:val="24"/>
          <w:szCs w:val="24"/>
          <w:lang w:val="en-US"/>
        </w:rPr>
        <w:t>s</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00514918" w:rsidRPr="00E47A42">
        <w:rPr>
          <w:rFonts w:ascii="Book Antiqua" w:hAnsi="Book Antiqua" w:cs="Times New Roman"/>
          <w:sz w:val="24"/>
          <w:szCs w:val="24"/>
          <w:lang w:val="en-US"/>
        </w:rPr>
        <w:t xml:space="preserve"> </w:t>
      </w:r>
      <w:r w:rsidR="00BC41A6" w:rsidRPr="00E47A42">
        <w:rPr>
          <w:rFonts w:ascii="Book Antiqua" w:hAnsi="Book Antiqua" w:cs="Times New Roman"/>
          <w:sz w:val="24"/>
          <w:szCs w:val="24"/>
          <w:lang w:val="en-US"/>
        </w:rPr>
        <w:t>and NO-effect</w:t>
      </w:r>
      <w:r w:rsidR="00755369"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{"citationItems":[{"id":"ITEM-1","itemData":{"ISSN":"1873-4286","PMID":"23755725","abstract":"We reviewed stable gastric pentadecapeptide BPC 157-NO-system-relation, its close participation in Moncada's (maintained vascular integrity, platelets control) homeostatic healing response of NO-system to injury. Namely, BPC 157's particular healing effect also affects all events after vascular integrity loss (dependent on circumstances, it reduces either thrombosis (abdominal aorta anastomosis) or bleeding/thrombocytopenia (amputation, heparin, warfarin, aspirin)) and in a series of different injurious models, acute and chronic, BPC 157 consistently advances healing after severe injuries in various tissues spontaneously unable to heal; stimulates egr-1 and naB2 genes; exhibits high safety (LD1 not achieved)). Hypothesis, that BPC 157 (since formed constitutively in the gastric mucosa, stable in human gastric juice, along with significance of NO-synthase and the basal formation of NO in stomach mucosa, greater than that seen in other tissues) exhibits a general, effective competing both with L-arginine analogues (i. e., L-NAME) and L-arginine, and that this has some physiologic importance (NO-generation), later, practically supports its beneficial effects illustrating BPC 157 and NOsystem mutual (with L-NAME/L-arginine; alone and together) relations in (i) gastric mucosa and mucosal protection, following alcohol lesions, in cytoprotection course, NO-generation, and blood pressure regulation; (ii) alcohol acute/chronic intoxication, and withdrawal; (iii) cardiovascular disturbances, chronic heart failure, pulmonary hypertension, and arrhythmias; (iv) disturbances after hypokalemia and hyperkalemia, and potassium-cell membrane dysfunction; and finally, in (v) complex healing failure, proved by the fistulas healing, colocutaneous and esophagocutaneous. However, how this advantage of modulating NO-system (i. e., particular effect on eNOS gene), may be practically translated into an enhanced clinical performance remains to be determined.","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tupnisek","given":"Mirjana","non-dropping-particle":"","parse-names":false,"suffix":""},{"dropping-particle":"","family":"Suran","given":"Jelena","non-dropping-particle":"","parse-names":false,"suffix":""},{"dropping-particle":"","family":"Barisic","given":"Ivan","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design","id":"ITEM-1","issue":"7","issued":{"date-parts":[["2014"]]},"page":"1126-35","title":"Stable gastric pentadecapeptide BPC 157-NO-system relation.","type":"article-journal","volume":"20"},"uris":["http://www.mendeley.com/documents/?uuid=74ead48f-0c75-446a-a19b-49bb02b31992"]}],"mendeley":{"formattedCitation":"&lt;sup&gt;[13]&lt;/sup&gt;","plainTextFormattedCitation":"[13]","previouslyFormattedCitation":"&lt;sup&gt;[13]&lt;/sup&gt;"},"properties":{"noteIndex":0},"schema":"https://github.com/citation-style-language/schema/raw/master/csl-citation.json"}</w:instrText>
      </w:r>
      <w:r w:rsidR="00755369"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[13]</w:t>
      </w:r>
      <w:r w:rsidR="00755369" w:rsidRPr="00E47A42">
        <w:rPr>
          <w:rFonts w:ascii="Book Antiqua" w:hAnsi="Book Antiqua" w:cs="Times New Roman"/>
          <w:sz w:val="24"/>
          <w:szCs w:val="24"/>
          <w:lang w:val="en-US"/>
        </w:rPr>
        <w:fldChar w:fldCharType="end"/>
      </w:r>
      <w:r w:rsidR="00BC41A6" w:rsidRPr="00E47A42">
        <w:rPr>
          <w:rFonts w:ascii="Book Antiqua" w:hAnsi="Book Antiqua" w:cs="Times New Roman"/>
          <w:sz w:val="24"/>
          <w:szCs w:val="24"/>
          <w:lang w:val="en-US"/>
        </w:rPr>
        <w:t xml:space="preserve"> </w:t>
      </w:r>
      <w:r w:rsidR="00514918" w:rsidRPr="00E47A42">
        <w:rPr>
          <w:rFonts w:ascii="Book Antiqua" w:hAnsi="Book Antiqua" w:cs="Times New Roman"/>
          <w:sz w:val="24"/>
          <w:szCs w:val="24"/>
          <w:lang w:val="en-US"/>
        </w:rPr>
        <w:t>can be</w:t>
      </w:r>
      <w:r w:rsidR="0080664F" w:rsidRPr="00E47A42">
        <w:rPr>
          <w:rFonts w:ascii="Book Antiqua" w:hAnsi="Book Antiqua" w:cs="Times New Roman"/>
          <w:sz w:val="24"/>
          <w:szCs w:val="24"/>
          <w:lang w:val="en-US"/>
        </w:rPr>
        <w:t xml:space="preserve"> used in</w:t>
      </w:r>
      <w:r w:rsidR="00514918" w:rsidRPr="00E47A42">
        <w:rPr>
          <w:rFonts w:ascii="Book Antiqua" w:hAnsi="Book Antiqua" w:cs="Times New Roman"/>
          <w:sz w:val="24"/>
          <w:szCs w:val="24"/>
          <w:lang w:val="en-US"/>
        </w:rPr>
        <w:t xml:space="preserve"> </w:t>
      </w:r>
      <w:r w:rsidR="00514918" w:rsidRPr="00E47A42">
        <w:rPr>
          <w:rFonts w:ascii="Book Antiqua" w:hAnsi="Book Antiqua" w:cs="Times New Roman"/>
          <w:noProof/>
          <w:sz w:val="24"/>
          <w:szCs w:val="24"/>
          <w:lang w:val="en-US"/>
        </w:rPr>
        <w:t>perforated</w:t>
      </w:r>
      <w:r w:rsidR="00514918" w:rsidRPr="00E47A42">
        <w:rPr>
          <w:rFonts w:ascii="Book Antiqua" w:hAnsi="Book Antiqua" w:cs="Times New Roman"/>
          <w:sz w:val="24"/>
          <w:szCs w:val="24"/>
          <w:lang w:val="en-US"/>
        </w:rPr>
        <w:t xml:space="preserve"> cecum and bleeding therapy.</w:t>
      </w:r>
    </w:p>
    <w:p w14:paraId="3CF2508C" w14:textId="77777777" w:rsidR="00C14212" w:rsidRDefault="00C14212" w:rsidP="00F73ADC">
      <w:pPr>
        <w:snapToGrid w:val="0"/>
        <w:spacing w:after="0" w:line="360" w:lineRule="auto"/>
        <w:jc w:val="both"/>
        <w:rPr>
          <w:rFonts w:ascii="Book Antiqua" w:hAnsi="Book Antiqua" w:cs="Times New Roman"/>
          <w:sz w:val="24"/>
          <w:szCs w:val="24"/>
          <w:lang w:val="en-US" w:eastAsia="zh-CN"/>
        </w:rPr>
      </w:pPr>
      <w:bookmarkStart w:id="16" w:name="OLE_LINK43"/>
    </w:p>
    <w:p w14:paraId="0F873932" w14:textId="325E1124" w:rsidR="002D03EA" w:rsidRPr="00E47A42" w:rsidRDefault="002D03EA" w:rsidP="00F73ADC">
      <w:pPr>
        <w:snapToGrid w:val="0"/>
        <w:spacing w:after="0" w:line="360" w:lineRule="auto"/>
        <w:jc w:val="both"/>
        <w:rPr>
          <w:rFonts w:ascii="Book Antiqua" w:hAnsi="Book Antiqua" w:cs="Segoe UI"/>
          <w:b/>
          <w:caps/>
          <w:sz w:val="24"/>
          <w:szCs w:val="24"/>
          <w:shd w:val="clear" w:color="auto" w:fill="FFFFFF"/>
        </w:rPr>
      </w:pPr>
      <w:r w:rsidRPr="00E47A42">
        <w:rPr>
          <w:rFonts w:ascii="Book Antiqua" w:hAnsi="Book Antiqua" w:cs="Segoe UI"/>
          <w:b/>
          <w:caps/>
          <w:sz w:val="24"/>
          <w:szCs w:val="24"/>
          <w:shd w:val="clear" w:color="auto" w:fill="FFFFFF"/>
        </w:rPr>
        <w:t>Article Highlights</w:t>
      </w:r>
      <w:r w:rsidR="00CB6D86">
        <w:rPr>
          <w:rFonts w:ascii="Book Antiqua" w:hAnsi="Book Antiqua" w:cs="Segoe UI"/>
          <w:b/>
          <w:caps/>
          <w:sz w:val="24"/>
          <w:szCs w:val="24"/>
          <w:shd w:val="clear" w:color="auto" w:fill="FFFFFF"/>
        </w:rPr>
        <w:t xml:space="preserve"> </w:t>
      </w:r>
    </w:p>
    <w:p w14:paraId="51A9E777" w14:textId="77777777" w:rsidR="002D03EA" w:rsidRPr="00E47A42" w:rsidRDefault="002D03EA" w:rsidP="00F73ADC">
      <w:pPr>
        <w:snapToGrid w:val="0"/>
        <w:spacing w:after="0" w:line="360" w:lineRule="auto"/>
        <w:jc w:val="both"/>
        <w:rPr>
          <w:rFonts w:ascii="Book Antiqua" w:hAnsi="Book Antiqua"/>
          <w:b/>
          <w:i/>
          <w:sz w:val="24"/>
          <w:szCs w:val="24"/>
        </w:rPr>
      </w:pPr>
      <w:r w:rsidRPr="00E47A42">
        <w:rPr>
          <w:rFonts w:ascii="Book Antiqua" w:hAnsi="Book Antiqua"/>
          <w:b/>
          <w:i/>
          <w:sz w:val="24"/>
          <w:szCs w:val="24"/>
        </w:rPr>
        <w:t>Research background</w:t>
      </w:r>
    </w:p>
    <w:p w14:paraId="68E4446F" w14:textId="695AA002" w:rsidR="002D03EA" w:rsidRPr="00E47A42" w:rsidRDefault="002D03EA" w:rsidP="00F73ADC">
      <w:pPr>
        <w:snapToGrid w:val="0"/>
        <w:spacing w:after="0" w:line="360" w:lineRule="auto"/>
        <w:jc w:val="both"/>
        <w:rPr>
          <w:rFonts w:ascii="Book Antiqua" w:hAnsi="Book Antiqua" w:cs="Courier New"/>
          <w:sz w:val="24"/>
          <w:szCs w:val="24"/>
        </w:rPr>
      </w:pPr>
      <w:r w:rsidRPr="00E47A42">
        <w:rPr>
          <w:rFonts w:ascii="Book Antiqua" w:hAnsi="Book Antiqua" w:cs="Courier New"/>
          <w:sz w:val="24"/>
          <w:szCs w:val="24"/>
        </w:rPr>
        <w:t>To illustrate the background, present status, and significance of the study we should emphasize that in cecum perforation studies the immediate post-perforation threat is rarely studied. On the other hand, we recently claimed that treatment with the prototype cytoprotective agent, stable gastric pentadecapeptide BPC 157, induces bypassing of occlusions in rats that underwent vessel occlusions through the rapid presentation of collaterals,</w:t>
      </w:r>
      <w:r w:rsidRPr="008B3B59">
        <w:rPr>
          <w:rFonts w:ascii="Book Antiqua" w:hAnsi="Book Antiqua" w:cs="Courier New"/>
          <w:sz w:val="24"/>
          <w:szCs w:val="24"/>
        </w:rPr>
        <w:t xml:space="preserve"> </w:t>
      </w:r>
      <w:r w:rsidRPr="00E47A42">
        <w:rPr>
          <w:rFonts w:ascii="Book Antiqua" w:hAnsi="Book Antiqua" w:cs="Courier New"/>
          <w:sz w:val="24"/>
          <w:szCs w:val="24"/>
        </w:rPr>
        <w:t xml:space="preserve">and exert its free radical scavenger effect in both ischemia </w:t>
      </w:r>
      <w:r w:rsidRPr="00E47A42">
        <w:rPr>
          <w:rFonts w:ascii="Book Antiqua" w:hAnsi="Book Antiqua" w:cs="Courier New"/>
          <w:sz w:val="24"/>
          <w:szCs w:val="24"/>
        </w:rPr>
        <w:lastRenderedPageBreak/>
        <w:t>and reperfusion. As a consequence, in this study</w:t>
      </w:r>
      <w:r w:rsidRPr="008B3B59">
        <w:rPr>
          <w:rFonts w:ascii="Book Antiqua" w:hAnsi="Book Antiqua" w:cs="Courier New"/>
          <w:sz w:val="24"/>
          <w:szCs w:val="24"/>
        </w:rPr>
        <w:t xml:space="preserve">, </w:t>
      </w:r>
      <w:r w:rsidRPr="00E47A42">
        <w:rPr>
          <w:rFonts w:ascii="Book Antiqua" w:hAnsi="Book Antiqua" w:cs="Courier New"/>
          <w:sz w:val="24"/>
          <w:szCs w:val="24"/>
        </w:rPr>
        <w:t xml:space="preserve">we focused on the resolving of the cecum perforation lesion, particularly the rapid disappearance of blood vessels in the cecum serosa that </w:t>
      </w:r>
      <w:r w:rsidRPr="00E47A42">
        <w:rPr>
          <w:rFonts w:ascii="Book Antiqua" w:hAnsi="Book Antiqua" w:cs="Courier New"/>
          <w:noProof/>
          <w:sz w:val="24"/>
          <w:szCs w:val="24"/>
        </w:rPr>
        <w:t>are</w:t>
      </w:r>
      <w:r w:rsidRPr="00E47A42">
        <w:rPr>
          <w:rFonts w:ascii="Book Antiqua" w:hAnsi="Book Antiqua" w:cs="Courier New"/>
          <w:sz w:val="24"/>
          <w:szCs w:val="24"/>
        </w:rPr>
        <w:t xml:space="preserve"> instantly emptied and thereby “disappear”, perforation defect enlargement, bleeding and fluid leakage, increased oxidative stress and disturbed </w:t>
      </w:r>
      <w:r w:rsidR="004416D7" w:rsidRPr="00E47A42">
        <w:rPr>
          <w:rFonts w:ascii="Book Antiqua" w:hAnsi="Book Antiqua" w:cs="Times New Roman"/>
          <w:sz w:val="24"/>
          <w:szCs w:val="24"/>
          <w:lang w:val="en-US"/>
        </w:rPr>
        <w:t>nitric oxide (NO)</w:t>
      </w:r>
      <w:r w:rsidRPr="00E47A42">
        <w:rPr>
          <w:rFonts w:ascii="Book Antiqua" w:hAnsi="Book Antiqua" w:cs="Courier New"/>
          <w:sz w:val="24"/>
          <w:szCs w:val="24"/>
        </w:rPr>
        <w:t xml:space="preserve"> levels in cecum tissue. </w:t>
      </w:r>
    </w:p>
    <w:p w14:paraId="1B9E70ED" w14:textId="77777777" w:rsidR="00FE11C3" w:rsidRPr="008B3B59" w:rsidRDefault="00FE11C3" w:rsidP="00F73ADC">
      <w:pPr>
        <w:snapToGrid w:val="0"/>
        <w:spacing w:after="0" w:line="360" w:lineRule="auto"/>
        <w:jc w:val="both"/>
        <w:rPr>
          <w:rFonts w:ascii="Book Antiqua" w:hAnsi="Book Antiqua" w:cs="Courier New"/>
          <w:color w:val="FF0000"/>
          <w:sz w:val="24"/>
          <w:szCs w:val="24"/>
        </w:rPr>
      </w:pPr>
    </w:p>
    <w:p w14:paraId="18224F09" w14:textId="77777777" w:rsidR="002D03EA" w:rsidRPr="00E47A42" w:rsidRDefault="002D03EA" w:rsidP="00F73ADC">
      <w:pPr>
        <w:snapToGrid w:val="0"/>
        <w:spacing w:after="0" w:line="360" w:lineRule="auto"/>
        <w:jc w:val="both"/>
        <w:rPr>
          <w:rFonts w:ascii="Book Antiqua" w:hAnsi="Book Antiqua"/>
          <w:b/>
          <w:i/>
          <w:sz w:val="24"/>
          <w:szCs w:val="24"/>
        </w:rPr>
      </w:pPr>
      <w:r w:rsidRPr="00E47A42">
        <w:rPr>
          <w:rFonts w:ascii="Book Antiqua" w:hAnsi="Book Antiqua"/>
          <w:b/>
          <w:i/>
          <w:sz w:val="24"/>
          <w:szCs w:val="24"/>
        </w:rPr>
        <w:t>Research motivation</w:t>
      </w:r>
    </w:p>
    <w:p w14:paraId="40E3CACE" w14:textId="542A9F82" w:rsidR="002D03EA" w:rsidRPr="00E47A42" w:rsidRDefault="002D03EA" w:rsidP="00F73ADC">
      <w:pPr>
        <w:snapToGrid w:val="0"/>
        <w:spacing w:after="0" w:line="360" w:lineRule="auto"/>
        <w:jc w:val="both"/>
        <w:rPr>
          <w:rFonts w:ascii="Book Antiqua" w:hAnsi="Book Antiqua" w:cs="Courier New"/>
          <w:sz w:val="24"/>
          <w:szCs w:val="24"/>
        </w:rPr>
      </w:pPr>
      <w:r w:rsidRPr="00E47A42">
        <w:rPr>
          <w:rFonts w:ascii="Book Antiqua" w:hAnsi="Book Antiqua" w:cs="Courier New"/>
          <w:sz w:val="24"/>
          <w:szCs w:val="24"/>
        </w:rPr>
        <w:t>The main topics, the key problems to be solved,</w:t>
      </w:r>
      <w:r w:rsidR="00CB6D86">
        <w:rPr>
          <w:rFonts w:ascii="Book Antiqua" w:hAnsi="Book Antiqua" w:cs="Courier New"/>
          <w:sz w:val="24"/>
          <w:szCs w:val="24"/>
        </w:rPr>
        <w:t xml:space="preserve"> </w:t>
      </w:r>
      <w:r w:rsidRPr="00E47A42">
        <w:rPr>
          <w:rFonts w:ascii="Book Antiqua" w:hAnsi="Book Antiqua" w:cs="Courier New"/>
          <w:sz w:val="24"/>
          <w:szCs w:val="24"/>
        </w:rPr>
        <w:t xml:space="preserve">and the significance of solving these problems for further research are related </w:t>
      </w:r>
      <w:r w:rsidRPr="00E47A42">
        <w:rPr>
          <w:rFonts w:ascii="Book Antiqua" w:hAnsi="Book Antiqua" w:cs="Courier New"/>
          <w:noProof/>
          <w:sz w:val="24"/>
          <w:szCs w:val="24"/>
        </w:rPr>
        <w:t xml:space="preserve">to </w:t>
      </w:r>
      <w:r w:rsidRPr="00E47A42">
        <w:rPr>
          <w:rFonts w:ascii="Book Antiqua" w:hAnsi="Book Antiqua" w:cs="Courier New"/>
          <w:sz w:val="24"/>
          <w:szCs w:val="24"/>
        </w:rPr>
        <w:t xml:space="preserve">reverse the immediate post-perforation threat in the cecum (and, therefore, the complete downhill course). We focused on perforated cecum, the stable gastric pentadecapeptide BPC 157, the NOS-blocker L-NAME, and the NOS-substrate L-arginine, as well as on the initial post-perforation period, rapid disappearance of blood vessels at the cecum serosa (emptied/disappeared), a large immediate defect, bleeding, leakage of fluid, increased oxidative stress and disturbed NO levels in cecum tissue. The rationale was that BPC 157 rapidly activated the collateral circulation from the existing vessels in rats with ischemic colitis or inferior </w:t>
      </w:r>
      <w:r w:rsidRPr="00E47A42">
        <w:rPr>
          <w:rFonts w:ascii="Book Antiqua" w:hAnsi="Book Antiqua" w:cs="Courier New"/>
          <w:noProof/>
          <w:sz w:val="24"/>
          <w:szCs w:val="24"/>
        </w:rPr>
        <w:t>caval</w:t>
      </w:r>
      <w:r w:rsidRPr="00E47A42">
        <w:rPr>
          <w:rFonts w:ascii="Book Antiqua" w:hAnsi="Book Antiqua" w:cs="Courier New"/>
          <w:sz w:val="24"/>
          <w:szCs w:val="24"/>
        </w:rPr>
        <w:t xml:space="preserve"> vein occlusion. This was further perceived as an extended cytoprotection background (endothelium maintenance → epithelium maintenance = blood vessel recruitment and activation toward injury), also described as “bypassing” occlusion via alternative ways, as demonstrated with BPC 157, which, in principle, can likely cure rats with perforated cecum and thereafter.</w:t>
      </w:r>
    </w:p>
    <w:p w14:paraId="285EF00B" w14:textId="77777777" w:rsidR="00FE11C3" w:rsidRPr="00E47A42" w:rsidRDefault="00FE11C3" w:rsidP="00F73ADC">
      <w:pPr>
        <w:snapToGrid w:val="0"/>
        <w:spacing w:after="0" w:line="360" w:lineRule="auto"/>
        <w:jc w:val="both"/>
        <w:rPr>
          <w:rFonts w:ascii="Book Antiqua" w:hAnsi="Book Antiqua" w:cs="Courier New"/>
          <w:sz w:val="24"/>
          <w:szCs w:val="24"/>
        </w:rPr>
      </w:pPr>
    </w:p>
    <w:p w14:paraId="7DE81008" w14:textId="77777777" w:rsidR="002D03EA" w:rsidRPr="00E47A42" w:rsidRDefault="002D03EA" w:rsidP="00F73ADC">
      <w:pPr>
        <w:snapToGrid w:val="0"/>
        <w:spacing w:after="0" w:line="360" w:lineRule="auto"/>
        <w:jc w:val="both"/>
        <w:rPr>
          <w:rFonts w:ascii="Book Antiqua" w:hAnsi="Book Antiqua"/>
          <w:b/>
          <w:i/>
          <w:sz w:val="24"/>
          <w:szCs w:val="24"/>
        </w:rPr>
      </w:pPr>
      <w:r w:rsidRPr="00E47A42">
        <w:rPr>
          <w:rFonts w:ascii="Book Antiqua" w:hAnsi="Book Antiqua"/>
          <w:b/>
          <w:i/>
          <w:sz w:val="24"/>
          <w:szCs w:val="24"/>
        </w:rPr>
        <w:t>Research objectives</w:t>
      </w:r>
    </w:p>
    <w:p w14:paraId="29C77B3C" w14:textId="53885D02" w:rsidR="002D03EA" w:rsidRPr="00E47A42" w:rsidRDefault="002D03EA" w:rsidP="00256526">
      <w:pPr>
        <w:snapToGrid w:val="0"/>
        <w:spacing w:after="0" w:line="360" w:lineRule="auto"/>
        <w:jc w:val="both"/>
        <w:rPr>
          <w:rFonts w:ascii="Book Antiqua" w:hAnsi="Book Antiqua" w:cs="Courier New"/>
          <w:sz w:val="24"/>
          <w:szCs w:val="24"/>
        </w:rPr>
      </w:pPr>
      <w:r w:rsidRPr="00E47A42">
        <w:rPr>
          <w:rFonts w:ascii="Book Antiqua" w:hAnsi="Book Antiqua" w:cs="Courier New"/>
          <w:sz w:val="24"/>
          <w:szCs w:val="24"/>
        </w:rPr>
        <w:t xml:space="preserve">The main objectives, the objectives that were realized, and the significance of these objectives for future research could be summarized as follows. In practice, as described previously, our approach to </w:t>
      </w:r>
      <w:r w:rsidRPr="00E47A42">
        <w:rPr>
          <w:rFonts w:ascii="Book Antiqua" w:hAnsi="Book Antiqua" w:cs="Courier New"/>
          <w:noProof/>
          <w:sz w:val="24"/>
          <w:szCs w:val="24"/>
        </w:rPr>
        <w:t>cure</w:t>
      </w:r>
      <w:r w:rsidRPr="00E47A42">
        <w:rPr>
          <w:rFonts w:ascii="Book Antiqua" w:hAnsi="Book Antiqua" w:cs="Courier New"/>
          <w:sz w:val="24"/>
          <w:szCs w:val="24"/>
        </w:rPr>
        <w:t xml:space="preserve"> perforated cecum begins with the original understanding of stomach cytoprotection (a very rapid protection of the stomach endothelium and epithelium against diverse direct injuries; endothelium maintenance → epithelium maintenance), as “bypassing” occlusion via alternative ways, as demonstrated with BPC 157. Furthermore, we used these findings as the general argument that under analogous or even worse conditions (</w:t>
      </w:r>
      <w:r w:rsidRPr="00E47A42">
        <w:rPr>
          <w:rFonts w:ascii="Book Antiqua" w:hAnsi="Book Antiqua" w:cs="Courier New"/>
          <w:i/>
          <w:sz w:val="24"/>
          <w:szCs w:val="24"/>
        </w:rPr>
        <w:t>i.e</w:t>
      </w:r>
      <w:r w:rsidRPr="00E47A42">
        <w:rPr>
          <w:rFonts w:ascii="Book Antiqua" w:hAnsi="Book Antiqua" w:cs="Courier New"/>
          <w:sz w:val="24"/>
          <w:szCs w:val="24"/>
        </w:rPr>
        <w:t xml:space="preserve">., perforated </w:t>
      </w:r>
      <w:r w:rsidRPr="00E47A42">
        <w:rPr>
          <w:rFonts w:ascii="Book Antiqua" w:hAnsi="Book Antiqua" w:cs="Courier New"/>
          <w:sz w:val="24"/>
          <w:szCs w:val="24"/>
        </w:rPr>
        <w:lastRenderedPageBreak/>
        <w:t xml:space="preserve">cecum) a similar positive outcome can appear. Consequently, BPC 157 can attenuate cecum perforation syndrome; in BPC 157-treated rats, therapy may lead to attenuation and reversal of the consequent tissue damage. Especially, reversal of vessel disappearance to vessel “running” toward the defect (vessel filled/reappeared), reversal of defect enlargement to defect narrowing, reversal of prolonged bleeding to bleeding attenuation can induce </w:t>
      </w:r>
      <w:r w:rsidRPr="00E47A42">
        <w:rPr>
          <w:rFonts w:ascii="Book Antiqua" w:hAnsi="Book Antiqua" w:cs="Courier New"/>
          <w:noProof/>
          <w:sz w:val="24"/>
          <w:szCs w:val="24"/>
        </w:rPr>
        <w:t>reduction</w:t>
      </w:r>
      <w:r w:rsidRPr="00E47A42">
        <w:rPr>
          <w:rFonts w:ascii="Book Antiqua" w:hAnsi="Book Antiqua" w:cs="Courier New"/>
          <w:sz w:val="24"/>
          <w:szCs w:val="24"/>
        </w:rPr>
        <w:t xml:space="preserve"> in the increased MDA values and normalization of NO values in cecum tissue. In subsequent days and weeks, this may lead to a closed cecum defect and attenuation of adhesion formation.</w:t>
      </w:r>
      <w:r w:rsidR="00BC3C35">
        <w:rPr>
          <w:rFonts w:ascii="Book Antiqua" w:hAnsi="Book Antiqua" w:cs="Courier New"/>
          <w:sz w:val="24"/>
          <w:szCs w:val="24"/>
        </w:rPr>
        <w:t xml:space="preserve"> </w:t>
      </w:r>
      <w:r w:rsidR="00CB6D86">
        <w:rPr>
          <w:rFonts w:ascii="Book Antiqua" w:hAnsi="Book Antiqua" w:cs="Courier New"/>
          <w:sz w:val="24"/>
          <w:szCs w:val="24"/>
        </w:rPr>
        <w:t xml:space="preserve"> </w:t>
      </w:r>
    </w:p>
    <w:p w14:paraId="64CF6C2F" w14:textId="77777777" w:rsidR="002D03EA" w:rsidRPr="00E47A42" w:rsidRDefault="002D03EA" w:rsidP="00256526">
      <w:pPr>
        <w:snapToGrid w:val="0"/>
        <w:spacing w:after="0" w:line="360" w:lineRule="auto"/>
        <w:jc w:val="both"/>
        <w:rPr>
          <w:rFonts w:ascii="Book Antiqua" w:hAnsi="Book Antiqua" w:cs="Courier New"/>
          <w:sz w:val="24"/>
          <w:szCs w:val="24"/>
          <w:lang w:eastAsia="zh-CN"/>
        </w:rPr>
      </w:pPr>
    </w:p>
    <w:p w14:paraId="46B09673" w14:textId="77777777" w:rsidR="002D03EA" w:rsidRPr="00E47A42" w:rsidRDefault="002D03EA" w:rsidP="00F73ADC">
      <w:pPr>
        <w:snapToGrid w:val="0"/>
        <w:spacing w:after="0" w:line="360" w:lineRule="auto"/>
        <w:jc w:val="both"/>
        <w:rPr>
          <w:rFonts w:ascii="Book Antiqua" w:hAnsi="Book Antiqua"/>
          <w:b/>
          <w:i/>
          <w:sz w:val="24"/>
          <w:szCs w:val="24"/>
        </w:rPr>
      </w:pPr>
      <w:r w:rsidRPr="00E47A42">
        <w:rPr>
          <w:rFonts w:ascii="Book Antiqua" w:hAnsi="Book Antiqua"/>
          <w:b/>
          <w:i/>
          <w:sz w:val="24"/>
          <w:szCs w:val="24"/>
        </w:rPr>
        <w:t>Research methods</w:t>
      </w:r>
    </w:p>
    <w:p w14:paraId="3703D584" w14:textId="1832D327" w:rsidR="002D03EA" w:rsidRPr="00E47A42" w:rsidRDefault="002D03EA" w:rsidP="00256526">
      <w:pPr>
        <w:snapToGrid w:val="0"/>
        <w:spacing w:after="0" w:line="360" w:lineRule="auto"/>
        <w:jc w:val="both"/>
        <w:rPr>
          <w:rFonts w:ascii="Book Antiqua" w:hAnsi="Book Antiqua" w:cs="Courier New"/>
          <w:sz w:val="24"/>
          <w:szCs w:val="24"/>
        </w:rPr>
      </w:pPr>
      <w:r w:rsidRPr="00E47A42">
        <w:rPr>
          <w:rFonts w:ascii="Book Antiqua" w:hAnsi="Book Antiqua" w:cs="Courier New"/>
          <w:sz w:val="24"/>
          <w:szCs w:val="24"/>
        </w:rPr>
        <w:t xml:space="preserve">As an advantageous principle, </w:t>
      </w:r>
      <w:r w:rsidRPr="00E47A42">
        <w:rPr>
          <w:rFonts w:ascii="Book Antiqua" w:hAnsi="Book Antiqua" w:cs="Courier New"/>
          <w:noProof/>
          <w:sz w:val="24"/>
          <w:szCs w:val="24"/>
        </w:rPr>
        <w:t>methodology</w:t>
      </w:r>
      <w:r w:rsidRPr="00E47A42">
        <w:rPr>
          <w:rFonts w:ascii="Book Antiqua" w:hAnsi="Book Antiqua" w:cs="Courier New"/>
          <w:sz w:val="24"/>
          <w:szCs w:val="24"/>
        </w:rPr>
        <w:t xml:space="preserve"> includes direct monitoring of the events occurring in rats during perforation of the cecum and immediately thereafter with the application of the stable gastric pentadecapeptide BPC 157, as </w:t>
      </w:r>
      <w:r w:rsidRPr="00E47A42">
        <w:rPr>
          <w:rFonts w:ascii="Book Antiqua" w:hAnsi="Book Antiqua" w:cs="Courier New"/>
          <w:noProof/>
          <w:sz w:val="24"/>
          <w:szCs w:val="24"/>
        </w:rPr>
        <w:t>a cytoprotective agent</w:t>
      </w:r>
      <w:r w:rsidRPr="00E47A42">
        <w:rPr>
          <w:rFonts w:ascii="Book Antiqua" w:hAnsi="Book Antiqua" w:cs="Courier New"/>
          <w:sz w:val="24"/>
          <w:szCs w:val="24"/>
        </w:rPr>
        <w:t>, and NO-agents, L-NAME and L-arginine.</w:t>
      </w:r>
      <w:r w:rsidR="00CB6D86">
        <w:rPr>
          <w:rFonts w:ascii="Book Antiqua" w:hAnsi="Book Antiqua" w:cs="Courier New"/>
          <w:sz w:val="24"/>
          <w:szCs w:val="24"/>
        </w:rPr>
        <w:t xml:space="preserve"> </w:t>
      </w:r>
      <w:r w:rsidRPr="00E47A42">
        <w:rPr>
          <w:rFonts w:ascii="Book Antiqua" w:hAnsi="Book Antiqua" w:cs="Courier New"/>
          <w:sz w:val="24"/>
          <w:szCs w:val="24"/>
        </w:rPr>
        <w:t>In deeply anaesthetized rats the cecum was exposed, and a perforation (5-mm diameter) was made at the ventral face of the basal region of the cecum close to the largest curvature; the rats were monitored for the next 15 minutes.</w:t>
      </w:r>
      <w:r w:rsidR="00CB6D86">
        <w:rPr>
          <w:rFonts w:ascii="Book Antiqua" w:hAnsi="Book Antiqua" w:cs="Courier New"/>
          <w:sz w:val="24"/>
          <w:szCs w:val="24"/>
        </w:rPr>
        <w:t xml:space="preserve"> </w:t>
      </w:r>
      <w:r w:rsidRPr="00E47A42">
        <w:rPr>
          <w:rFonts w:ascii="Book Antiqua" w:hAnsi="Book Antiqua" w:cs="Courier New"/>
          <w:sz w:val="24"/>
          <w:szCs w:val="24"/>
        </w:rPr>
        <w:t>The agents’ application (after 1 minute, medication (/kg, 10ml/2min bath/rat) includes: BPC 157 (10ug), L-NAME (5mg), L-arginine (100mg) alone or combined, and saline baths (controls)) on the rat perforate caecum injury. Alongside with the agents’ application, we continuously assessed the gross reappearance of the vessels (USB microcamera) quickly propagating toward the defect at the caecum surface, defect contraction, bleeding attenuation,</w:t>
      </w:r>
      <w:r w:rsidR="00CB6D86">
        <w:rPr>
          <w:rFonts w:ascii="Book Antiqua" w:hAnsi="Book Antiqua" w:cs="Courier New"/>
          <w:sz w:val="24"/>
          <w:szCs w:val="24"/>
        </w:rPr>
        <w:t xml:space="preserve"> </w:t>
      </w:r>
      <w:r w:rsidRPr="00E47A42">
        <w:rPr>
          <w:rFonts w:ascii="Book Antiqua" w:hAnsi="Book Antiqua" w:cs="Courier New"/>
          <w:sz w:val="24"/>
          <w:szCs w:val="24"/>
        </w:rPr>
        <w:t xml:space="preserve">MDA- and NO-levels in colon tissue at 15 minutes, and, in </w:t>
      </w:r>
      <w:r w:rsidRPr="00E47A42">
        <w:rPr>
          <w:rFonts w:ascii="Book Antiqua" w:hAnsi="Book Antiqua" w:cs="Courier New"/>
          <w:noProof/>
          <w:sz w:val="24"/>
          <w:szCs w:val="24"/>
        </w:rPr>
        <w:t>repalaratomized</w:t>
      </w:r>
      <w:r w:rsidRPr="00E47A42">
        <w:rPr>
          <w:rFonts w:ascii="Book Antiqua" w:hAnsi="Book Antiqua" w:cs="Courier New"/>
          <w:sz w:val="24"/>
          <w:szCs w:val="24"/>
        </w:rPr>
        <w:t xml:space="preserve"> rats severity of colon lesions and adhesions at 1 and 7 days.</w:t>
      </w:r>
      <w:r w:rsidRPr="00E47A42">
        <w:rPr>
          <w:rFonts w:ascii="Book Antiqua" w:hAnsi="Book Antiqua" w:cs="Times New Roman"/>
          <w:sz w:val="24"/>
          <w:szCs w:val="24"/>
        </w:rPr>
        <w:t xml:space="preserve"> </w:t>
      </w:r>
    </w:p>
    <w:p w14:paraId="40936762" w14:textId="77777777" w:rsidR="002D03EA" w:rsidRPr="00E47A42" w:rsidRDefault="002D03EA" w:rsidP="00F73ADC">
      <w:pPr>
        <w:snapToGrid w:val="0"/>
        <w:spacing w:after="0" w:line="360" w:lineRule="auto"/>
        <w:jc w:val="both"/>
        <w:rPr>
          <w:rFonts w:ascii="Book Antiqua" w:hAnsi="Book Antiqua"/>
          <w:b/>
          <w:color w:val="FF0000"/>
          <w:sz w:val="24"/>
          <w:szCs w:val="24"/>
          <w:lang w:eastAsia="zh-CN"/>
        </w:rPr>
      </w:pPr>
    </w:p>
    <w:p w14:paraId="71F1E7B3" w14:textId="77777777" w:rsidR="002D03EA" w:rsidRPr="00E47A42" w:rsidRDefault="002D03EA" w:rsidP="00F73ADC">
      <w:pPr>
        <w:snapToGrid w:val="0"/>
        <w:spacing w:after="0" w:line="360" w:lineRule="auto"/>
        <w:jc w:val="both"/>
        <w:rPr>
          <w:rFonts w:ascii="Book Antiqua" w:hAnsi="Book Antiqua"/>
          <w:b/>
          <w:i/>
          <w:sz w:val="24"/>
          <w:szCs w:val="24"/>
        </w:rPr>
      </w:pPr>
      <w:r w:rsidRPr="00E47A42">
        <w:rPr>
          <w:rFonts w:ascii="Book Antiqua" w:hAnsi="Book Antiqua"/>
          <w:b/>
          <w:i/>
          <w:sz w:val="24"/>
          <w:szCs w:val="24"/>
        </w:rPr>
        <w:t>Research results</w:t>
      </w:r>
    </w:p>
    <w:p w14:paraId="48D1952F" w14:textId="08AA83C8" w:rsidR="002D03EA" w:rsidRPr="00E47A42" w:rsidRDefault="002D03EA" w:rsidP="00F73ADC">
      <w:pPr>
        <w:snapToGrid w:val="0"/>
        <w:spacing w:after="0" w:line="360" w:lineRule="auto"/>
        <w:jc w:val="both"/>
        <w:rPr>
          <w:rFonts w:ascii="Book Antiqua" w:hAnsi="Book Antiqua" w:cs="Courier New"/>
          <w:sz w:val="24"/>
          <w:szCs w:val="24"/>
        </w:rPr>
      </w:pPr>
      <w:r w:rsidRPr="00E47A42">
        <w:rPr>
          <w:rFonts w:ascii="Book Antiqua" w:hAnsi="Book Antiqua" w:cs="Courier New"/>
          <w:sz w:val="24"/>
          <w:szCs w:val="24"/>
        </w:rPr>
        <w:t xml:space="preserve">The study of the counteraction of perforated cecum lesions in rats and the effects of pentadecapeptide BPC 157, L-NAME and L-arginine </w:t>
      </w:r>
      <w:r w:rsidRPr="00E47A42">
        <w:rPr>
          <w:rFonts w:ascii="Book Antiqua" w:hAnsi="Book Antiqua" w:cs="Courier New"/>
          <w:noProof/>
          <w:sz w:val="24"/>
          <w:szCs w:val="24"/>
        </w:rPr>
        <w:t>merits several</w:t>
      </w:r>
      <w:r w:rsidRPr="00E47A42">
        <w:rPr>
          <w:rFonts w:ascii="Book Antiqua" w:hAnsi="Book Antiqua" w:cs="Courier New"/>
          <w:sz w:val="24"/>
          <w:szCs w:val="24"/>
        </w:rPr>
        <w:t xml:space="preserve"> emphasizes to summarize the research findings, their contribution to the research in the field, and the problems that remain to be solved. First, as an issue so far not fully addressed, to </w:t>
      </w:r>
      <w:r w:rsidRPr="00E47A42">
        <w:rPr>
          <w:rFonts w:ascii="Book Antiqua" w:hAnsi="Book Antiqua" w:cs="Courier New"/>
          <w:sz w:val="24"/>
          <w:szCs w:val="24"/>
        </w:rPr>
        <w:lastRenderedPageBreak/>
        <w:t>reverse the immediate post-perforation threat in the cecum (and, therefore, the complete downhill course) we focused on this immediate post-perforation period. We also addressed the novel aspect of vascular rescue through the application of cytoprotective agents, known, as a class, to function in endothelium maintenance in the gastrointestinal tract (and, thus, mucosal maintenance). Of note, with applied BPC 157 therapy, the whole initial syndrome (in particular, instantly emptied blood vessels at the cecum serosa (thus rapid “disappearance” of the existing vessels and vessel function failure upon injury)) and, consequently, perforation defect enlargement and fluid leakage, profuse bleeding, increased oxidative stress and disturbed NO levels in cecum tissue were accordingly affected. This specific level of healing (initial and final) can be not obtained from the effect of NOS-blockade (L-NAME) or NOS-substrate (L-arginine).</w:t>
      </w:r>
    </w:p>
    <w:p w14:paraId="2B550757" w14:textId="77777777" w:rsidR="002D03EA" w:rsidRPr="00E47A42" w:rsidRDefault="002D03EA" w:rsidP="00F73ADC">
      <w:pPr>
        <w:snapToGrid w:val="0"/>
        <w:spacing w:after="0" w:line="360" w:lineRule="auto"/>
        <w:ind w:left="1"/>
        <w:jc w:val="both"/>
        <w:rPr>
          <w:rFonts w:ascii="Book Antiqua" w:hAnsi="Book Antiqua" w:cs="Segoe UI"/>
          <w:color w:val="FF0000"/>
          <w:sz w:val="24"/>
          <w:szCs w:val="24"/>
          <w:shd w:val="clear" w:color="auto" w:fill="FFFFFF"/>
        </w:rPr>
      </w:pPr>
    </w:p>
    <w:p w14:paraId="78075138" w14:textId="77777777" w:rsidR="002D03EA" w:rsidRPr="00E47A42" w:rsidRDefault="002D03EA" w:rsidP="00F73ADC">
      <w:pPr>
        <w:snapToGrid w:val="0"/>
        <w:spacing w:after="0" w:line="360" w:lineRule="auto"/>
        <w:jc w:val="both"/>
        <w:rPr>
          <w:rFonts w:ascii="Book Antiqua" w:hAnsi="Book Antiqua" w:cs="Segoe UI"/>
          <w:b/>
          <w:i/>
          <w:sz w:val="24"/>
          <w:szCs w:val="24"/>
          <w:shd w:val="clear" w:color="auto" w:fill="FFFFFF"/>
        </w:rPr>
      </w:pPr>
      <w:r w:rsidRPr="00E47A42">
        <w:rPr>
          <w:rFonts w:ascii="Book Antiqua" w:hAnsi="Book Antiqua"/>
          <w:b/>
          <w:i/>
          <w:sz w:val="24"/>
          <w:szCs w:val="24"/>
        </w:rPr>
        <w:t>Research conclusions</w:t>
      </w:r>
    </w:p>
    <w:p w14:paraId="025B3DC0" w14:textId="25E7A1F5" w:rsidR="002D03EA" w:rsidRPr="00E47A42" w:rsidRDefault="005B46CC" w:rsidP="00F73ADC">
      <w:pPr>
        <w:snapToGrid w:val="0"/>
        <w:spacing w:after="0" w:line="360" w:lineRule="auto"/>
        <w:jc w:val="both"/>
        <w:rPr>
          <w:rFonts w:ascii="Book Antiqua" w:hAnsi="Book Antiqua" w:cs="Segoe UI"/>
          <w:sz w:val="24"/>
          <w:szCs w:val="24"/>
          <w:shd w:val="clear" w:color="auto" w:fill="FFFFFF"/>
        </w:rPr>
      </w:pPr>
      <w:r w:rsidRPr="00E47A42">
        <w:rPr>
          <w:rFonts w:ascii="Book Antiqua" w:hAnsi="Book Antiqua" w:cs="Segoe UI"/>
          <w:sz w:val="24"/>
          <w:szCs w:val="24"/>
          <w:shd w:val="clear" w:color="auto" w:fill="FFFFFF"/>
        </w:rPr>
        <w:t xml:space="preserve">As the new findings, we suggest that this recovering of the perforated cecum should be an activity much like an activity seen when BPC 157 rapidly activated the collateral circulation from existing vessels in rats with ischemic colitis or inferior </w:t>
      </w:r>
      <w:r w:rsidRPr="00E47A42">
        <w:rPr>
          <w:rFonts w:ascii="Book Antiqua" w:hAnsi="Book Antiqua" w:cs="Segoe UI"/>
          <w:noProof/>
          <w:sz w:val="24"/>
          <w:szCs w:val="24"/>
          <w:shd w:val="clear" w:color="auto" w:fill="FFFFFF"/>
        </w:rPr>
        <w:t>caval</w:t>
      </w:r>
      <w:r w:rsidRPr="00E47A42">
        <w:rPr>
          <w:rFonts w:ascii="Book Antiqua" w:hAnsi="Book Antiqua" w:cs="Segoe UI"/>
          <w:sz w:val="24"/>
          <w:szCs w:val="24"/>
          <w:shd w:val="clear" w:color="auto" w:fill="FFFFFF"/>
        </w:rPr>
        <w:t xml:space="preserve"> vein occlusion. Thus, the essential findings (i.e., cecum perforation syndrome occurs in BPC 157-treated rats with attenuation and reversal of the consequent tissue damages) indicate the rapidly activated bypassing loops (i.e., through arcade vessels or the left ovarian vein and other veins, corresponding to the prompt particular vascular rescue seen after perforation. Vascular rescue may be vessels “running” toward the defect (vessel filled/reappeared), and a small-vessel network appears around the perforated defect with BPC 157 bath administration. Each considered a break of blood flow, suggests that the therapy resolving the defect (i.e., cecum defect enlargement reversed to defect contraction in BPC 157-treated rats) may be reestablishing blood flow. That explanation represents the newest theoretical extension of cytoprotection theory background (endothelium maintenance → epithelium maintenance = blood vessel recruitment and activation toward injury, providing also described “bypassing” of occlusion through alternative ways). Since all chains of events could be accordingly and promptly involved to rapidly initiate </w:t>
      </w:r>
      <w:r w:rsidRPr="00E47A42">
        <w:rPr>
          <w:rFonts w:ascii="Book Antiqua" w:hAnsi="Book Antiqua" w:cs="Segoe UI"/>
          <w:sz w:val="24"/>
          <w:szCs w:val="24"/>
          <w:shd w:val="clear" w:color="auto" w:fill="FFFFFF"/>
        </w:rPr>
        <w:lastRenderedPageBreak/>
        <w:t>and achieve a full healing effect. The bleeding time from the perforated cecum is thereby shortened, as previously demonstrated in rats with amputation, anticoagulant application, or vein obstruction. Furthermore, defect closing corresponds to the previously demonstrated closing of various fistula defects, which were surgically made by particular defect creations in corresponding organs. The implications of this study for clinical practice in the future can be that</w:t>
      </w:r>
      <w:r w:rsidR="00CB6D86">
        <w:rPr>
          <w:rFonts w:ascii="Book Antiqua" w:hAnsi="Book Antiqua" w:cs="Segoe UI"/>
          <w:sz w:val="24"/>
          <w:szCs w:val="24"/>
          <w:shd w:val="clear" w:color="auto" w:fill="FFFFFF"/>
        </w:rPr>
        <w:t xml:space="preserve"> </w:t>
      </w:r>
      <w:r w:rsidRPr="00E47A42">
        <w:rPr>
          <w:rFonts w:ascii="Book Antiqua" w:hAnsi="Book Antiqua" w:cs="Segoe UI"/>
          <w:sz w:val="24"/>
          <w:szCs w:val="24"/>
          <w:shd w:val="clear" w:color="auto" w:fill="FFFFFF"/>
        </w:rPr>
        <w:t>BPC 157, with certain vascular effects and NO-effect, can be used in the perforated cecum and bleeding therapy.</w:t>
      </w:r>
    </w:p>
    <w:p w14:paraId="2C9DC209" w14:textId="77777777" w:rsidR="005B46CC" w:rsidRPr="00E47A42" w:rsidRDefault="005B46CC" w:rsidP="00F73ADC">
      <w:pPr>
        <w:snapToGrid w:val="0"/>
        <w:spacing w:after="0" w:line="360" w:lineRule="auto"/>
        <w:jc w:val="both"/>
        <w:rPr>
          <w:rFonts w:ascii="Book Antiqua" w:hAnsi="Book Antiqua" w:cs="Segoe UI"/>
          <w:color w:val="FF0000"/>
          <w:sz w:val="24"/>
          <w:szCs w:val="24"/>
          <w:shd w:val="clear" w:color="auto" w:fill="FFFFFF"/>
        </w:rPr>
      </w:pPr>
    </w:p>
    <w:p w14:paraId="015C9471" w14:textId="77777777" w:rsidR="002D03EA" w:rsidRPr="00E47A42" w:rsidRDefault="002D03EA" w:rsidP="00F73ADC">
      <w:pPr>
        <w:snapToGrid w:val="0"/>
        <w:spacing w:after="0" w:line="360" w:lineRule="auto"/>
        <w:rPr>
          <w:rFonts w:ascii="Book Antiqua" w:hAnsi="Book Antiqua" w:cs="Segoe UI"/>
          <w:b/>
          <w:i/>
          <w:sz w:val="24"/>
          <w:szCs w:val="24"/>
          <w:shd w:val="clear" w:color="auto" w:fill="FFFFFF"/>
        </w:rPr>
      </w:pPr>
      <w:r w:rsidRPr="00E47A42">
        <w:rPr>
          <w:rFonts w:ascii="Book Antiqua" w:hAnsi="Book Antiqua" w:cs="Segoe UI"/>
          <w:b/>
          <w:i/>
          <w:sz w:val="24"/>
          <w:szCs w:val="24"/>
          <w:shd w:val="clear" w:color="auto" w:fill="FFFFFF"/>
        </w:rPr>
        <w:t>Research perspectives</w:t>
      </w:r>
    </w:p>
    <w:bookmarkEnd w:id="16"/>
    <w:p w14:paraId="48B389C8" w14:textId="3954BFA5" w:rsidR="002D03EA" w:rsidRPr="00E47A42" w:rsidRDefault="002D03EA" w:rsidP="00256526">
      <w:pPr>
        <w:snapToGrid w:val="0"/>
        <w:spacing w:after="0" w:line="360" w:lineRule="auto"/>
        <w:jc w:val="both"/>
        <w:rPr>
          <w:rFonts w:ascii="Book Antiqua" w:hAnsi="Book Antiqua" w:cs="Courier New"/>
          <w:sz w:val="24"/>
          <w:szCs w:val="24"/>
        </w:rPr>
      </w:pPr>
      <w:r w:rsidRPr="00E47A42">
        <w:rPr>
          <w:rFonts w:ascii="Book Antiqua" w:hAnsi="Book Antiqua" w:cs="Courier New"/>
          <w:sz w:val="24"/>
          <w:szCs w:val="24"/>
        </w:rPr>
        <w:t>The main experiences and lessons that can be learnt from this study may be the evidence that</w:t>
      </w:r>
      <w:r w:rsidR="00CB6D86">
        <w:rPr>
          <w:rFonts w:ascii="Book Antiqua" w:hAnsi="Book Antiqua" w:cs="Courier New"/>
          <w:sz w:val="24"/>
          <w:szCs w:val="24"/>
        </w:rPr>
        <w:t xml:space="preserve"> </w:t>
      </w:r>
      <w:r w:rsidRPr="00E47A42">
        <w:rPr>
          <w:rFonts w:ascii="Book Antiqua" w:hAnsi="Book Antiqua" w:cs="Courier New"/>
          <w:sz w:val="24"/>
          <w:szCs w:val="24"/>
        </w:rPr>
        <w:t xml:space="preserve">BPC 157 promptly facilitates and extends the cytoprotection background (endothelium maintenance → epithelium maintenance = blood vessel recruitment and activation toward injury, providing also described “bypassing” of occlusion through alternative ways). Thus, the evidence was obtained that all chains of events were accordingly and promptly involved to rapidly initiate and achieve a full healing effect, and with the respect to the corresponding positive effects in two other studies (ischemic/reperfusion colitis; inferior </w:t>
      </w:r>
      <w:r w:rsidRPr="00E47A42">
        <w:rPr>
          <w:rFonts w:ascii="Book Antiqua" w:hAnsi="Book Antiqua" w:cs="Courier New"/>
          <w:noProof/>
          <w:sz w:val="24"/>
          <w:szCs w:val="24"/>
        </w:rPr>
        <w:t>caval</w:t>
      </w:r>
      <w:r w:rsidRPr="00E47A42">
        <w:rPr>
          <w:rFonts w:ascii="Book Antiqua" w:hAnsi="Book Antiqua" w:cs="Courier New"/>
          <w:sz w:val="24"/>
          <w:szCs w:val="24"/>
        </w:rPr>
        <w:t xml:space="preserve"> vein occlusion), the beneficial effect in rats with perforated cecum may be generally observed. Thereby, the future research should be related to </w:t>
      </w:r>
      <w:r w:rsidR="005B46CC" w:rsidRPr="00E47A42">
        <w:rPr>
          <w:rFonts w:ascii="Book Antiqua" w:hAnsi="Book Antiqua" w:cs="Courier New"/>
          <w:sz w:val="24"/>
          <w:szCs w:val="24"/>
        </w:rPr>
        <w:t xml:space="preserve">the </w:t>
      </w:r>
      <w:r w:rsidRPr="00E47A42">
        <w:rPr>
          <w:rFonts w:ascii="Book Antiqua" w:hAnsi="Book Antiqua" w:cs="Courier New"/>
          <w:noProof/>
          <w:sz w:val="24"/>
          <w:szCs w:val="24"/>
        </w:rPr>
        <w:t>similar</w:t>
      </w:r>
      <w:r w:rsidRPr="00E47A42">
        <w:rPr>
          <w:rFonts w:ascii="Book Antiqua" w:hAnsi="Book Antiqua" w:cs="Courier New"/>
          <w:sz w:val="24"/>
          <w:szCs w:val="24"/>
        </w:rPr>
        <w:t xml:space="preserve"> and/or even worse condition, </w:t>
      </w:r>
      <w:r w:rsidRPr="00E47A42">
        <w:rPr>
          <w:rFonts w:ascii="Book Antiqua" w:hAnsi="Book Antiqua" w:cs="Courier New"/>
          <w:noProof/>
          <w:sz w:val="24"/>
          <w:szCs w:val="24"/>
        </w:rPr>
        <w:t>to</w:t>
      </w:r>
      <w:r w:rsidRPr="00E47A42">
        <w:rPr>
          <w:rFonts w:ascii="Book Antiqua" w:hAnsi="Book Antiqua" w:cs="Courier New"/>
          <w:sz w:val="24"/>
          <w:szCs w:val="24"/>
        </w:rPr>
        <w:t xml:space="preserve"> verify </w:t>
      </w:r>
      <w:r w:rsidRPr="00E47A42">
        <w:rPr>
          <w:rFonts w:ascii="Book Antiqua" w:hAnsi="Book Antiqua" w:cs="Courier New"/>
          <w:noProof/>
          <w:sz w:val="24"/>
          <w:szCs w:val="24"/>
        </w:rPr>
        <w:t>full</w:t>
      </w:r>
      <w:r w:rsidRPr="00E47A42">
        <w:rPr>
          <w:rFonts w:ascii="Book Antiqua" w:hAnsi="Book Antiqua" w:cs="Courier New"/>
          <w:sz w:val="24"/>
          <w:szCs w:val="24"/>
        </w:rPr>
        <w:t xml:space="preserve"> significance of the presented beneficial findings seen in rats after cecum perforation and BPC 157 therapy application. </w:t>
      </w:r>
    </w:p>
    <w:p w14:paraId="2AB99207" w14:textId="77777777" w:rsidR="002D03EA" w:rsidRPr="00E47A42" w:rsidRDefault="002D03EA" w:rsidP="00F73ADC">
      <w:pPr>
        <w:snapToGrid w:val="0"/>
        <w:spacing w:after="0" w:line="360" w:lineRule="auto"/>
        <w:rPr>
          <w:rFonts w:ascii="Book Antiqua" w:hAnsi="Book Antiqua"/>
          <w:sz w:val="24"/>
          <w:szCs w:val="24"/>
        </w:rPr>
      </w:pPr>
    </w:p>
    <w:p w14:paraId="3BF11BB6" w14:textId="7B9F05CB" w:rsidR="00256526" w:rsidRDefault="00256526">
      <w:pPr>
        <w:rPr>
          <w:rFonts w:ascii="Book Antiqua" w:hAnsi="Book Antiqua"/>
          <w:sz w:val="24"/>
          <w:szCs w:val="24"/>
        </w:rPr>
      </w:pPr>
      <w:r>
        <w:rPr>
          <w:rFonts w:ascii="Book Antiqua" w:hAnsi="Book Antiqua"/>
          <w:sz w:val="24"/>
          <w:szCs w:val="24"/>
        </w:rPr>
        <w:br w:type="page"/>
      </w:r>
    </w:p>
    <w:p w14:paraId="176B64EA" w14:textId="77777777" w:rsidR="002E7EFE" w:rsidRPr="00256526" w:rsidRDefault="002E7EFE" w:rsidP="00256526">
      <w:pPr>
        <w:autoSpaceDE w:val="0"/>
        <w:adjustRightInd w:val="0"/>
        <w:snapToGrid w:val="0"/>
        <w:spacing w:after="0" w:line="360" w:lineRule="auto"/>
        <w:jc w:val="both"/>
        <w:rPr>
          <w:rFonts w:ascii="Book Antiqua" w:hAnsi="Book Antiqua" w:cs="Times New Roman"/>
          <w:b/>
          <w:caps/>
          <w:sz w:val="24"/>
          <w:szCs w:val="24"/>
          <w:lang w:val="en-US"/>
        </w:rPr>
      </w:pPr>
      <w:r w:rsidRPr="00256526">
        <w:rPr>
          <w:rFonts w:ascii="Book Antiqua" w:hAnsi="Book Antiqua" w:cs="Times New Roman"/>
          <w:b/>
          <w:caps/>
          <w:sz w:val="24"/>
          <w:szCs w:val="24"/>
          <w:lang w:val="en-US"/>
        </w:rPr>
        <w:lastRenderedPageBreak/>
        <w:t>References</w:t>
      </w:r>
    </w:p>
    <w:p w14:paraId="7F5341FE"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1 </w:t>
      </w:r>
      <w:proofErr w:type="spellStart"/>
      <w:r w:rsidRPr="005605FF">
        <w:rPr>
          <w:rFonts w:ascii="Book Antiqua" w:eastAsia="宋体" w:hAnsi="Book Antiqua" w:cs="Times New Roman"/>
          <w:b/>
          <w:kern w:val="2"/>
          <w:sz w:val="24"/>
          <w:szCs w:val="24"/>
          <w:lang w:val="en-US" w:eastAsia="zh-CN"/>
        </w:rPr>
        <w:t>Aslan</w:t>
      </w:r>
      <w:proofErr w:type="spellEnd"/>
      <w:r w:rsidRPr="005605FF">
        <w:rPr>
          <w:rFonts w:ascii="Book Antiqua" w:eastAsia="宋体" w:hAnsi="Book Antiqua" w:cs="Times New Roman"/>
          <w:b/>
          <w:kern w:val="2"/>
          <w:sz w:val="24"/>
          <w:szCs w:val="24"/>
          <w:lang w:val="en-US" w:eastAsia="zh-CN"/>
        </w:rPr>
        <w:t xml:space="preserve"> MK</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Boybeyi</w:t>
      </w:r>
      <w:proofErr w:type="spellEnd"/>
      <w:r w:rsidRPr="005605FF">
        <w:rPr>
          <w:rFonts w:ascii="Book Antiqua" w:eastAsia="宋体" w:hAnsi="Book Antiqua" w:cs="Times New Roman"/>
          <w:kern w:val="2"/>
          <w:sz w:val="24"/>
          <w:szCs w:val="24"/>
          <w:lang w:val="en-US" w:eastAsia="zh-CN"/>
        </w:rPr>
        <w:t xml:space="preserve"> O, </w:t>
      </w:r>
      <w:proofErr w:type="spellStart"/>
      <w:r w:rsidRPr="005605FF">
        <w:rPr>
          <w:rFonts w:ascii="Book Antiqua" w:eastAsia="宋体" w:hAnsi="Book Antiqua" w:cs="Times New Roman"/>
          <w:kern w:val="2"/>
          <w:sz w:val="24"/>
          <w:szCs w:val="24"/>
          <w:lang w:val="en-US" w:eastAsia="zh-CN"/>
        </w:rPr>
        <w:t>Soyer</w:t>
      </w:r>
      <w:proofErr w:type="spellEnd"/>
      <w:r w:rsidRPr="005605FF">
        <w:rPr>
          <w:rFonts w:ascii="Book Antiqua" w:eastAsia="宋体" w:hAnsi="Book Antiqua" w:cs="Times New Roman"/>
          <w:kern w:val="2"/>
          <w:sz w:val="24"/>
          <w:szCs w:val="24"/>
          <w:lang w:val="en-US" w:eastAsia="zh-CN"/>
        </w:rPr>
        <w:t xml:space="preserve"> T, </w:t>
      </w:r>
      <w:proofErr w:type="spellStart"/>
      <w:r w:rsidRPr="005605FF">
        <w:rPr>
          <w:rFonts w:ascii="Book Antiqua" w:eastAsia="宋体" w:hAnsi="Book Antiqua" w:cs="Times New Roman"/>
          <w:kern w:val="2"/>
          <w:sz w:val="24"/>
          <w:szCs w:val="24"/>
          <w:lang w:val="en-US" w:eastAsia="zh-CN"/>
        </w:rPr>
        <w:t>Senyücel</w:t>
      </w:r>
      <w:proofErr w:type="spellEnd"/>
      <w:r w:rsidRPr="005605FF">
        <w:rPr>
          <w:rFonts w:ascii="Book Antiqua" w:eastAsia="宋体" w:hAnsi="Book Antiqua" w:cs="Times New Roman"/>
          <w:kern w:val="2"/>
          <w:sz w:val="24"/>
          <w:szCs w:val="24"/>
          <w:lang w:val="en-US" w:eastAsia="zh-CN"/>
        </w:rPr>
        <w:t xml:space="preserve"> MF, </w:t>
      </w:r>
      <w:proofErr w:type="spellStart"/>
      <w:r w:rsidRPr="005605FF">
        <w:rPr>
          <w:rFonts w:ascii="Book Antiqua" w:eastAsia="宋体" w:hAnsi="Book Antiqua" w:cs="Times New Roman"/>
          <w:kern w:val="2"/>
          <w:sz w:val="24"/>
          <w:szCs w:val="24"/>
          <w:lang w:val="en-US" w:eastAsia="zh-CN"/>
        </w:rPr>
        <w:t>Ayva</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Kısa</w:t>
      </w:r>
      <w:proofErr w:type="spellEnd"/>
      <w:r w:rsidRPr="005605FF">
        <w:rPr>
          <w:rFonts w:ascii="Book Antiqua" w:eastAsia="宋体" w:hAnsi="Book Antiqua" w:cs="Times New Roman"/>
          <w:kern w:val="2"/>
          <w:sz w:val="24"/>
          <w:szCs w:val="24"/>
          <w:lang w:val="en-US" w:eastAsia="zh-CN"/>
        </w:rPr>
        <w:t xml:space="preserve"> U, </w:t>
      </w:r>
      <w:proofErr w:type="spellStart"/>
      <w:r w:rsidRPr="005605FF">
        <w:rPr>
          <w:rFonts w:ascii="Book Antiqua" w:eastAsia="宋体" w:hAnsi="Book Antiqua" w:cs="Times New Roman"/>
          <w:kern w:val="2"/>
          <w:sz w:val="24"/>
          <w:szCs w:val="24"/>
          <w:lang w:val="en-US" w:eastAsia="zh-CN"/>
        </w:rPr>
        <w:t>Cesur</w:t>
      </w:r>
      <w:proofErr w:type="spellEnd"/>
      <w:r w:rsidRPr="005605FF">
        <w:rPr>
          <w:rFonts w:ascii="Book Antiqua" w:eastAsia="宋体" w:hAnsi="Book Antiqua" w:cs="Times New Roman"/>
          <w:kern w:val="2"/>
          <w:sz w:val="24"/>
          <w:szCs w:val="24"/>
          <w:lang w:val="en-US" w:eastAsia="zh-CN"/>
        </w:rPr>
        <w:t xml:space="preserve"> O, </w:t>
      </w:r>
      <w:proofErr w:type="spellStart"/>
      <w:r w:rsidRPr="005605FF">
        <w:rPr>
          <w:rFonts w:ascii="Book Antiqua" w:eastAsia="宋体" w:hAnsi="Book Antiqua" w:cs="Times New Roman"/>
          <w:kern w:val="2"/>
          <w:sz w:val="24"/>
          <w:szCs w:val="24"/>
          <w:lang w:val="en-US" w:eastAsia="zh-CN"/>
        </w:rPr>
        <w:t>Cakmak</w:t>
      </w:r>
      <w:proofErr w:type="spellEnd"/>
      <w:r w:rsidRPr="005605FF">
        <w:rPr>
          <w:rFonts w:ascii="Book Antiqua" w:eastAsia="宋体" w:hAnsi="Book Antiqua" w:cs="Times New Roman"/>
          <w:kern w:val="2"/>
          <w:sz w:val="24"/>
          <w:szCs w:val="24"/>
          <w:lang w:val="en-US" w:eastAsia="zh-CN"/>
        </w:rPr>
        <w:t xml:space="preserve"> M. Evaluation of omental inflammatory response with P-/E-selectin levels and histopathologic findings in experimental model. </w:t>
      </w:r>
      <w:r w:rsidRPr="005605FF">
        <w:rPr>
          <w:rFonts w:ascii="Book Antiqua" w:eastAsia="宋体" w:hAnsi="Book Antiqua" w:cs="Times New Roman"/>
          <w:i/>
          <w:kern w:val="2"/>
          <w:sz w:val="24"/>
          <w:szCs w:val="24"/>
          <w:lang w:val="en-US" w:eastAsia="zh-CN"/>
        </w:rPr>
        <w:t xml:space="preserve">J </w:t>
      </w:r>
      <w:proofErr w:type="spellStart"/>
      <w:r w:rsidRPr="005605FF">
        <w:rPr>
          <w:rFonts w:ascii="Book Antiqua" w:eastAsia="宋体" w:hAnsi="Book Antiqua" w:cs="Times New Roman"/>
          <w:i/>
          <w:kern w:val="2"/>
          <w:sz w:val="24"/>
          <w:szCs w:val="24"/>
          <w:lang w:val="en-US" w:eastAsia="zh-CN"/>
        </w:rPr>
        <w:t>Pediatr</w:t>
      </w:r>
      <w:proofErr w:type="spellEnd"/>
      <w:r w:rsidRPr="005605FF">
        <w:rPr>
          <w:rFonts w:ascii="Book Antiqua" w:eastAsia="宋体" w:hAnsi="Book Antiqua" w:cs="Times New Roman"/>
          <w:i/>
          <w:kern w:val="2"/>
          <w:sz w:val="24"/>
          <w:szCs w:val="24"/>
          <w:lang w:val="en-US" w:eastAsia="zh-CN"/>
        </w:rPr>
        <w:t xml:space="preserve"> </w:t>
      </w:r>
      <w:proofErr w:type="spellStart"/>
      <w:r w:rsidRPr="005605FF">
        <w:rPr>
          <w:rFonts w:ascii="Book Antiqua" w:eastAsia="宋体" w:hAnsi="Book Antiqua" w:cs="Times New Roman"/>
          <w:i/>
          <w:kern w:val="2"/>
          <w:sz w:val="24"/>
          <w:szCs w:val="24"/>
          <w:lang w:val="en-US" w:eastAsia="zh-CN"/>
        </w:rPr>
        <w:t>Surg</w:t>
      </w:r>
      <w:proofErr w:type="spellEnd"/>
      <w:r w:rsidRPr="005605FF">
        <w:rPr>
          <w:rFonts w:ascii="Book Antiqua" w:eastAsia="宋体" w:hAnsi="Book Antiqua" w:cs="Times New Roman"/>
          <w:kern w:val="2"/>
          <w:sz w:val="24"/>
          <w:szCs w:val="24"/>
          <w:lang w:val="en-US" w:eastAsia="zh-CN"/>
        </w:rPr>
        <w:t xml:space="preserve"> 2012; </w:t>
      </w:r>
      <w:r w:rsidRPr="005605FF">
        <w:rPr>
          <w:rFonts w:ascii="Book Antiqua" w:eastAsia="宋体" w:hAnsi="Book Antiqua" w:cs="Times New Roman"/>
          <w:b/>
          <w:kern w:val="2"/>
          <w:sz w:val="24"/>
          <w:szCs w:val="24"/>
          <w:lang w:val="en-US" w:eastAsia="zh-CN"/>
        </w:rPr>
        <w:t>47</w:t>
      </w:r>
      <w:r w:rsidRPr="005605FF">
        <w:rPr>
          <w:rFonts w:ascii="Book Antiqua" w:eastAsia="宋体" w:hAnsi="Book Antiqua" w:cs="Times New Roman"/>
          <w:kern w:val="2"/>
          <w:sz w:val="24"/>
          <w:szCs w:val="24"/>
          <w:lang w:val="en-US" w:eastAsia="zh-CN"/>
        </w:rPr>
        <w:t>: 2050-2054 [PMID: 23163997 DOI: 10.1016/j.jpedsurg.2012.06.024]</w:t>
      </w:r>
    </w:p>
    <w:p w14:paraId="3817A349"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2 </w:t>
      </w:r>
      <w:r w:rsidRPr="005605FF">
        <w:rPr>
          <w:rFonts w:ascii="Book Antiqua" w:eastAsia="宋体" w:hAnsi="Book Antiqua" w:cs="Times New Roman"/>
          <w:b/>
          <w:kern w:val="2"/>
          <w:sz w:val="24"/>
          <w:szCs w:val="24"/>
          <w:lang w:val="en-US" w:eastAsia="zh-CN"/>
        </w:rPr>
        <w:t>Liu J</w:t>
      </w:r>
      <w:r w:rsidRPr="005605FF">
        <w:rPr>
          <w:rFonts w:ascii="Book Antiqua" w:eastAsia="宋体" w:hAnsi="Book Antiqua" w:cs="Times New Roman"/>
          <w:kern w:val="2"/>
          <w:sz w:val="24"/>
          <w:szCs w:val="24"/>
          <w:lang w:val="en-US" w:eastAsia="zh-CN"/>
        </w:rPr>
        <w:t xml:space="preserve">, Shi B, Shi K, Ma G, Zhang H, Lou X, Liu H, Wan S, Liang D. Ghrelin upregulates PepT1 activity in the small intestine epithelium of rats with sepsis. </w:t>
      </w:r>
      <w:r w:rsidRPr="005605FF">
        <w:rPr>
          <w:rFonts w:ascii="Book Antiqua" w:eastAsia="宋体" w:hAnsi="Book Antiqua" w:cs="Times New Roman"/>
          <w:i/>
          <w:kern w:val="2"/>
          <w:sz w:val="24"/>
          <w:szCs w:val="24"/>
          <w:lang w:val="en-US" w:eastAsia="zh-CN"/>
        </w:rPr>
        <w:t xml:space="preserve">Biomed </w:t>
      </w:r>
      <w:proofErr w:type="spellStart"/>
      <w:r w:rsidRPr="005605FF">
        <w:rPr>
          <w:rFonts w:ascii="Book Antiqua" w:eastAsia="宋体" w:hAnsi="Book Antiqua" w:cs="Times New Roman"/>
          <w:i/>
          <w:kern w:val="2"/>
          <w:sz w:val="24"/>
          <w:szCs w:val="24"/>
          <w:lang w:val="en-US" w:eastAsia="zh-CN"/>
        </w:rPr>
        <w:t>Pharmacother</w:t>
      </w:r>
      <w:proofErr w:type="spellEnd"/>
      <w:r w:rsidRPr="005605FF">
        <w:rPr>
          <w:rFonts w:ascii="Book Antiqua" w:eastAsia="宋体" w:hAnsi="Book Antiqua" w:cs="Times New Roman"/>
          <w:kern w:val="2"/>
          <w:sz w:val="24"/>
          <w:szCs w:val="24"/>
          <w:lang w:val="en-US" w:eastAsia="zh-CN"/>
        </w:rPr>
        <w:t xml:space="preserve"> 2017; </w:t>
      </w:r>
      <w:r w:rsidRPr="005605FF">
        <w:rPr>
          <w:rFonts w:ascii="Book Antiqua" w:eastAsia="宋体" w:hAnsi="Book Antiqua" w:cs="Times New Roman"/>
          <w:b/>
          <w:kern w:val="2"/>
          <w:sz w:val="24"/>
          <w:szCs w:val="24"/>
          <w:lang w:val="en-US" w:eastAsia="zh-CN"/>
        </w:rPr>
        <w:t>86</w:t>
      </w:r>
      <w:r w:rsidRPr="005605FF">
        <w:rPr>
          <w:rFonts w:ascii="Book Antiqua" w:eastAsia="宋体" w:hAnsi="Book Antiqua" w:cs="Times New Roman"/>
          <w:kern w:val="2"/>
          <w:sz w:val="24"/>
          <w:szCs w:val="24"/>
          <w:lang w:val="en-US" w:eastAsia="zh-CN"/>
        </w:rPr>
        <w:t>: 669-676 [PMID: 28038428 DOI: 10.1016/j.biopha.2016.12.026]</w:t>
      </w:r>
    </w:p>
    <w:p w14:paraId="7DE004A7"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3 </w:t>
      </w:r>
      <w:r w:rsidRPr="005605FF">
        <w:rPr>
          <w:rFonts w:ascii="Book Antiqua" w:eastAsia="宋体" w:hAnsi="Book Antiqua" w:cs="Times New Roman"/>
          <w:b/>
          <w:kern w:val="2"/>
          <w:sz w:val="24"/>
          <w:szCs w:val="24"/>
          <w:lang w:val="en-US" w:eastAsia="zh-CN"/>
        </w:rPr>
        <w:t>Santiago MB</w:t>
      </w:r>
      <w:r w:rsidRPr="005605FF">
        <w:rPr>
          <w:rFonts w:ascii="Book Antiqua" w:eastAsia="宋体" w:hAnsi="Book Antiqua" w:cs="Times New Roman"/>
          <w:kern w:val="2"/>
          <w:sz w:val="24"/>
          <w:szCs w:val="24"/>
          <w:lang w:val="en-US" w:eastAsia="zh-CN"/>
        </w:rPr>
        <w:t xml:space="preserve">, Vieira AA, Giusti-Paiva A. Impaired chemoreflex sensitivity during septic shock induced by </w:t>
      </w:r>
      <w:proofErr w:type="spellStart"/>
      <w:r w:rsidRPr="005605FF">
        <w:rPr>
          <w:rFonts w:ascii="Book Antiqua" w:eastAsia="宋体" w:hAnsi="Book Antiqua" w:cs="Times New Roman"/>
          <w:kern w:val="2"/>
          <w:sz w:val="24"/>
          <w:szCs w:val="24"/>
          <w:lang w:val="en-US" w:eastAsia="zh-CN"/>
        </w:rPr>
        <w:t>cecal</w:t>
      </w:r>
      <w:proofErr w:type="spellEnd"/>
      <w:r w:rsidRPr="005605FF">
        <w:rPr>
          <w:rFonts w:ascii="Book Antiqua" w:eastAsia="宋体" w:hAnsi="Book Antiqua" w:cs="Times New Roman"/>
          <w:kern w:val="2"/>
          <w:sz w:val="24"/>
          <w:szCs w:val="24"/>
          <w:lang w:val="en-US" w:eastAsia="zh-CN"/>
        </w:rPr>
        <w:t xml:space="preserve"> ligation and perforation. </w:t>
      </w:r>
      <w:r w:rsidRPr="005605FF">
        <w:rPr>
          <w:rFonts w:ascii="Book Antiqua" w:eastAsia="宋体" w:hAnsi="Book Antiqua" w:cs="Times New Roman"/>
          <w:i/>
          <w:kern w:val="2"/>
          <w:sz w:val="24"/>
          <w:szCs w:val="24"/>
          <w:lang w:val="en-US" w:eastAsia="zh-CN"/>
        </w:rPr>
        <w:t xml:space="preserve">Can J </w:t>
      </w:r>
      <w:proofErr w:type="spellStart"/>
      <w:r w:rsidRPr="005605FF">
        <w:rPr>
          <w:rFonts w:ascii="Book Antiqua" w:eastAsia="宋体" w:hAnsi="Book Antiqua" w:cs="Times New Roman"/>
          <w:i/>
          <w:kern w:val="2"/>
          <w:sz w:val="24"/>
          <w:szCs w:val="24"/>
          <w:lang w:val="en-US" w:eastAsia="zh-CN"/>
        </w:rPr>
        <w:t>Physiol</w:t>
      </w:r>
      <w:proofErr w:type="spellEnd"/>
      <w:r w:rsidRPr="005605FF">
        <w:rPr>
          <w:rFonts w:ascii="Book Antiqua" w:eastAsia="宋体" w:hAnsi="Book Antiqua" w:cs="Times New Roman"/>
          <w:i/>
          <w:kern w:val="2"/>
          <w:sz w:val="24"/>
          <w:szCs w:val="24"/>
          <w:lang w:val="en-US" w:eastAsia="zh-CN"/>
        </w:rPr>
        <w:t xml:space="preserve"> </w:t>
      </w:r>
      <w:proofErr w:type="spellStart"/>
      <w:r w:rsidRPr="005605FF">
        <w:rPr>
          <w:rFonts w:ascii="Book Antiqua" w:eastAsia="宋体" w:hAnsi="Book Antiqua" w:cs="Times New Roman"/>
          <w:i/>
          <w:kern w:val="2"/>
          <w:sz w:val="24"/>
          <w:szCs w:val="24"/>
          <w:lang w:val="en-US" w:eastAsia="zh-CN"/>
        </w:rPr>
        <w:t>Pharmacol</w:t>
      </w:r>
      <w:proofErr w:type="spellEnd"/>
      <w:r w:rsidRPr="005605FF">
        <w:rPr>
          <w:rFonts w:ascii="Book Antiqua" w:eastAsia="宋体" w:hAnsi="Book Antiqua" w:cs="Times New Roman"/>
          <w:kern w:val="2"/>
          <w:sz w:val="24"/>
          <w:szCs w:val="24"/>
          <w:lang w:val="en-US" w:eastAsia="zh-CN"/>
        </w:rPr>
        <w:t xml:space="preserve"> 2013; </w:t>
      </w:r>
      <w:r w:rsidRPr="005605FF">
        <w:rPr>
          <w:rFonts w:ascii="Book Antiqua" w:eastAsia="宋体" w:hAnsi="Book Antiqua" w:cs="Times New Roman"/>
          <w:b/>
          <w:kern w:val="2"/>
          <w:sz w:val="24"/>
          <w:szCs w:val="24"/>
          <w:lang w:val="en-US" w:eastAsia="zh-CN"/>
        </w:rPr>
        <w:t>91</w:t>
      </w:r>
      <w:r w:rsidRPr="005605FF">
        <w:rPr>
          <w:rFonts w:ascii="Book Antiqua" w:eastAsia="宋体" w:hAnsi="Book Antiqua" w:cs="Times New Roman"/>
          <w:kern w:val="2"/>
          <w:sz w:val="24"/>
          <w:szCs w:val="24"/>
          <w:lang w:val="en-US" w:eastAsia="zh-CN"/>
        </w:rPr>
        <w:t>: 1107-1111 [PMID: 24289082 DOI: 10.1139/cjpp-2013-0219]</w:t>
      </w:r>
    </w:p>
    <w:p w14:paraId="161F7268"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4 </w:t>
      </w:r>
      <w:r w:rsidRPr="005605FF">
        <w:rPr>
          <w:rFonts w:ascii="Book Antiqua" w:eastAsia="宋体" w:hAnsi="Book Antiqua" w:cs="Times New Roman"/>
          <w:b/>
          <w:kern w:val="2"/>
          <w:sz w:val="24"/>
          <w:szCs w:val="24"/>
          <w:lang w:val="en-US" w:eastAsia="zh-CN"/>
        </w:rPr>
        <w:t>Robert A</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Cytoprotection</w:t>
      </w:r>
      <w:proofErr w:type="spellEnd"/>
      <w:r w:rsidRPr="005605FF">
        <w:rPr>
          <w:rFonts w:ascii="Book Antiqua" w:eastAsia="宋体" w:hAnsi="Book Antiqua" w:cs="Times New Roman"/>
          <w:kern w:val="2"/>
          <w:sz w:val="24"/>
          <w:szCs w:val="24"/>
          <w:lang w:val="en-US" w:eastAsia="zh-CN"/>
        </w:rPr>
        <w:t xml:space="preserve"> by prostaglandins. </w:t>
      </w:r>
      <w:r w:rsidRPr="005605FF">
        <w:rPr>
          <w:rFonts w:ascii="Book Antiqua" w:eastAsia="宋体" w:hAnsi="Book Antiqua" w:cs="Times New Roman"/>
          <w:i/>
          <w:kern w:val="2"/>
          <w:sz w:val="24"/>
          <w:szCs w:val="24"/>
          <w:lang w:val="en-US" w:eastAsia="zh-CN"/>
        </w:rPr>
        <w:t>Gastroenterology</w:t>
      </w:r>
      <w:r w:rsidRPr="005605FF">
        <w:rPr>
          <w:rFonts w:ascii="Book Antiqua" w:eastAsia="宋体" w:hAnsi="Book Antiqua" w:cs="Times New Roman"/>
          <w:kern w:val="2"/>
          <w:sz w:val="24"/>
          <w:szCs w:val="24"/>
          <w:lang w:val="en-US" w:eastAsia="zh-CN"/>
        </w:rPr>
        <w:t xml:space="preserve"> 1979; </w:t>
      </w:r>
      <w:r w:rsidRPr="005605FF">
        <w:rPr>
          <w:rFonts w:ascii="Book Antiqua" w:eastAsia="宋体" w:hAnsi="Book Antiqua" w:cs="Times New Roman"/>
          <w:b/>
          <w:kern w:val="2"/>
          <w:sz w:val="24"/>
          <w:szCs w:val="24"/>
          <w:lang w:val="en-US" w:eastAsia="zh-CN"/>
        </w:rPr>
        <w:t>77</w:t>
      </w:r>
      <w:r w:rsidRPr="005605FF">
        <w:rPr>
          <w:rFonts w:ascii="Book Antiqua" w:eastAsia="宋体" w:hAnsi="Book Antiqua" w:cs="Times New Roman"/>
          <w:kern w:val="2"/>
          <w:sz w:val="24"/>
          <w:szCs w:val="24"/>
          <w:lang w:val="en-US" w:eastAsia="zh-CN"/>
        </w:rPr>
        <w:t>: 761-767 [PMID: 38173]</w:t>
      </w:r>
    </w:p>
    <w:p w14:paraId="4F74BD4C"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5 </w:t>
      </w:r>
      <w:proofErr w:type="spellStart"/>
      <w:r w:rsidRPr="005605FF">
        <w:rPr>
          <w:rFonts w:ascii="Book Antiqua" w:eastAsia="宋体" w:hAnsi="Book Antiqua" w:cs="Times New Roman"/>
          <w:b/>
          <w:kern w:val="2"/>
          <w:sz w:val="24"/>
          <w:szCs w:val="24"/>
          <w:lang w:val="en-US" w:eastAsia="zh-CN"/>
        </w:rPr>
        <w:t>Sikiric</w:t>
      </w:r>
      <w:proofErr w:type="spellEnd"/>
      <w:r w:rsidRPr="005605FF">
        <w:rPr>
          <w:rFonts w:ascii="Book Antiqua" w:eastAsia="宋体" w:hAnsi="Book Antiqua" w:cs="Times New Roman"/>
          <w:b/>
          <w:kern w:val="2"/>
          <w:sz w:val="24"/>
          <w:szCs w:val="24"/>
          <w:lang w:val="en-US" w:eastAsia="zh-CN"/>
        </w:rPr>
        <w:t xml:space="preserve"> P</w:t>
      </w:r>
      <w:r w:rsidRPr="005605FF">
        <w:rPr>
          <w:rFonts w:ascii="Book Antiqua" w:eastAsia="宋体" w:hAnsi="Book Antiqua" w:cs="Times New Roman"/>
          <w:kern w:val="2"/>
          <w:sz w:val="24"/>
          <w:szCs w:val="24"/>
          <w:lang w:val="en-US" w:eastAsia="zh-CN"/>
        </w:rPr>
        <w:t>,</w:t>
      </w:r>
      <w:r w:rsidRPr="005605FF">
        <w:rPr>
          <w:rFonts w:ascii="Book Antiqua" w:eastAsia="宋体" w:hAnsi="Book Antiqua" w:cs="Times New Roman" w:hint="eastAsia"/>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Grabarevic</w:t>
      </w:r>
      <w:proofErr w:type="spellEnd"/>
      <w:r w:rsidRPr="005605FF">
        <w:rPr>
          <w:rFonts w:ascii="Book Antiqua" w:eastAsia="宋体" w:hAnsi="Book Antiqua" w:cs="Times New Roman"/>
          <w:kern w:val="2"/>
          <w:sz w:val="24"/>
          <w:szCs w:val="24"/>
          <w:lang w:val="en-US" w:eastAsia="zh-CN"/>
        </w:rPr>
        <w:t xml:space="preserve"> Z, </w:t>
      </w:r>
      <w:proofErr w:type="spellStart"/>
      <w:r w:rsidRPr="005605FF">
        <w:rPr>
          <w:rFonts w:ascii="Book Antiqua" w:eastAsia="宋体" w:hAnsi="Book Antiqua" w:cs="Times New Roman"/>
          <w:kern w:val="2"/>
          <w:sz w:val="24"/>
          <w:szCs w:val="24"/>
          <w:lang w:val="en-US" w:eastAsia="zh-CN"/>
        </w:rPr>
        <w:t>Petek</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Rucman</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Turkovic</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Rotkvic</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Jagic</w:t>
      </w:r>
      <w:proofErr w:type="spellEnd"/>
      <w:r w:rsidRPr="005605FF">
        <w:rPr>
          <w:rFonts w:ascii="Book Antiqua" w:eastAsia="宋体" w:hAnsi="Book Antiqua" w:cs="Times New Roman"/>
          <w:kern w:val="2"/>
          <w:sz w:val="24"/>
          <w:szCs w:val="24"/>
          <w:lang w:val="en-US" w:eastAsia="zh-CN"/>
        </w:rPr>
        <w:t xml:space="preserve"> V, </w:t>
      </w:r>
      <w:proofErr w:type="spellStart"/>
      <w:r w:rsidRPr="005605FF">
        <w:rPr>
          <w:rFonts w:ascii="Book Antiqua" w:eastAsia="宋体" w:hAnsi="Book Antiqua" w:cs="Times New Roman"/>
          <w:kern w:val="2"/>
          <w:sz w:val="24"/>
          <w:szCs w:val="24"/>
          <w:lang w:val="en-US" w:eastAsia="zh-CN"/>
        </w:rPr>
        <w:t>Duvnjak</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Mise</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Djacic</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Separovic</w:t>
      </w:r>
      <w:proofErr w:type="spellEnd"/>
      <w:r w:rsidRPr="005605FF">
        <w:rPr>
          <w:rFonts w:ascii="Book Antiqua" w:eastAsia="宋体" w:hAnsi="Book Antiqua" w:cs="Times New Roman"/>
          <w:kern w:val="2"/>
          <w:sz w:val="24"/>
          <w:szCs w:val="24"/>
          <w:lang w:val="en-US" w:eastAsia="zh-CN"/>
        </w:rPr>
        <w:t xml:space="preserve"> J, </w:t>
      </w:r>
      <w:proofErr w:type="spellStart"/>
      <w:r w:rsidRPr="005605FF">
        <w:rPr>
          <w:rFonts w:ascii="Book Antiqua" w:eastAsia="宋体" w:hAnsi="Book Antiqua" w:cs="Times New Roman"/>
          <w:kern w:val="2"/>
          <w:sz w:val="24"/>
          <w:szCs w:val="24"/>
          <w:lang w:val="en-US" w:eastAsia="zh-CN"/>
        </w:rPr>
        <w:t>Veljaca</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Sallmani</w:t>
      </w:r>
      <w:proofErr w:type="spellEnd"/>
      <w:r w:rsidRPr="005605FF">
        <w:rPr>
          <w:rFonts w:ascii="Book Antiqua" w:eastAsia="宋体" w:hAnsi="Book Antiqua" w:cs="Times New Roman"/>
          <w:kern w:val="2"/>
          <w:sz w:val="24"/>
          <w:szCs w:val="24"/>
          <w:lang w:val="en-US" w:eastAsia="zh-CN"/>
        </w:rPr>
        <w:t xml:space="preserve"> A, </w:t>
      </w:r>
      <w:proofErr w:type="spellStart"/>
      <w:r w:rsidRPr="005605FF">
        <w:rPr>
          <w:rFonts w:ascii="Book Antiqua" w:eastAsia="宋体" w:hAnsi="Book Antiqua" w:cs="Times New Roman"/>
          <w:kern w:val="2"/>
          <w:sz w:val="24"/>
          <w:szCs w:val="24"/>
          <w:lang w:val="en-US" w:eastAsia="zh-CN"/>
        </w:rPr>
        <w:t>Banic</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Brkic</w:t>
      </w:r>
      <w:proofErr w:type="spellEnd"/>
      <w:r w:rsidRPr="005605FF">
        <w:rPr>
          <w:rFonts w:ascii="Book Antiqua" w:eastAsia="宋体" w:hAnsi="Book Antiqua" w:cs="Times New Roman"/>
          <w:kern w:val="2"/>
          <w:sz w:val="24"/>
          <w:szCs w:val="24"/>
          <w:lang w:val="en-US" w:eastAsia="zh-CN"/>
        </w:rPr>
        <w:t xml:space="preserve"> T. The beneficial effect of BPC 157, a 15 amino acid peptide BPC fragment, on gastric and duodenal lesions induced by restraint stress, cysteamine and 96% ethanol in rats. A comparative study with H2 receptor antagonists, dopamine promotors and gut peptides.</w:t>
      </w:r>
      <w:r w:rsidRPr="005605FF">
        <w:rPr>
          <w:rFonts w:ascii="Book Antiqua" w:eastAsia="宋体" w:hAnsi="Book Antiqua" w:cs="Times New Roman" w:hint="eastAsia"/>
          <w:kern w:val="2"/>
          <w:sz w:val="24"/>
          <w:szCs w:val="24"/>
          <w:lang w:val="en-US" w:eastAsia="zh-CN"/>
        </w:rPr>
        <w:t xml:space="preserve"> </w:t>
      </w:r>
      <w:r w:rsidRPr="005605FF">
        <w:rPr>
          <w:rFonts w:ascii="Book Antiqua" w:eastAsia="宋体" w:hAnsi="Book Antiqua" w:cs="Times New Roman"/>
          <w:i/>
          <w:kern w:val="2"/>
          <w:sz w:val="24"/>
          <w:szCs w:val="24"/>
          <w:lang w:val="en-US" w:eastAsia="zh-CN"/>
        </w:rPr>
        <w:t xml:space="preserve">Life Sci </w:t>
      </w:r>
      <w:r w:rsidRPr="005605FF">
        <w:rPr>
          <w:rFonts w:ascii="Book Antiqua" w:eastAsia="宋体" w:hAnsi="Book Antiqua" w:cs="Times New Roman"/>
          <w:kern w:val="2"/>
          <w:sz w:val="24"/>
          <w:szCs w:val="24"/>
          <w:lang w:val="en-US" w:eastAsia="zh-CN"/>
        </w:rPr>
        <w:t>1994;</w:t>
      </w:r>
      <w:r w:rsidRPr="005605FF">
        <w:rPr>
          <w:rFonts w:ascii="Book Antiqua" w:eastAsia="宋体" w:hAnsi="Book Antiqua" w:cs="Times New Roman" w:hint="eastAsia"/>
          <w:kern w:val="2"/>
          <w:sz w:val="24"/>
          <w:szCs w:val="24"/>
          <w:lang w:val="en-US" w:eastAsia="zh-CN"/>
        </w:rPr>
        <w:t xml:space="preserve"> </w:t>
      </w:r>
      <w:r w:rsidRPr="005605FF">
        <w:rPr>
          <w:rFonts w:ascii="Book Antiqua" w:eastAsia="宋体" w:hAnsi="Book Antiqua" w:cs="Times New Roman"/>
          <w:b/>
          <w:kern w:val="2"/>
          <w:sz w:val="24"/>
          <w:szCs w:val="24"/>
          <w:lang w:val="en-US" w:eastAsia="zh-CN"/>
        </w:rPr>
        <w:t>54</w:t>
      </w:r>
      <w:r w:rsidRPr="005605FF">
        <w:rPr>
          <w:rFonts w:ascii="Book Antiqua" w:eastAsia="宋体" w:hAnsi="Book Antiqua" w:cs="Times New Roman" w:hint="eastAsia"/>
          <w:kern w:val="2"/>
          <w:sz w:val="24"/>
          <w:szCs w:val="24"/>
          <w:lang w:val="en-US" w:eastAsia="zh-CN"/>
        </w:rPr>
        <w:t xml:space="preserve">: </w:t>
      </w:r>
      <w:r w:rsidRPr="005605FF">
        <w:rPr>
          <w:rFonts w:ascii="Book Antiqua" w:eastAsia="宋体" w:hAnsi="Book Antiqua" w:cs="Times New Roman"/>
          <w:kern w:val="2"/>
          <w:sz w:val="24"/>
          <w:szCs w:val="24"/>
          <w:lang w:val="en-US" w:eastAsia="zh-CN"/>
        </w:rPr>
        <w:t>PL63-</w:t>
      </w:r>
      <w:r w:rsidRPr="005605FF">
        <w:rPr>
          <w:rFonts w:ascii="Book Antiqua" w:eastAsia="宋体" w:hAnsi="Book Antiqua" w:cs="Times New Roman" w:hint="eastAsia"/>
          <w:kern w:val="2"/>
          <w:sz w:val="24"/>
          <w:szCs w:val="24"/>
          <w:lang w:val="en-US" w:eastAsia="zh-CN"/>
        </w:rPr>
        <w:t>6</w:t>
      </w:r>
      <w:r w:rsidRPr="005605FF">
        <w:rPr>
          <w:rFonts w:ascii="Book Antiqua" w:eastAsia="宋体" w:hAnsi="Book Antiqua" w:cs="Times New Roman"/>
          <w:kern w:val="2"/>
          <w:sz w:val="24"/>
          <w:szCs w:val="24"/>
          <w:lang w:val="en-US" w:eastAsia="zh-CN"/>
        </w:rPr>
        <w:t>8 [PMID: 7904712</w:t>
      </w:r>
      <w:r w:rsidRPr="005605FF">
        <w:rPr>
          <w:rFonts w:ascii="Book Antiqua" w:eastAsia="宋体" w:hAnsi="Book Antiqua" w:cs="Times New Roman" w:hint="eastAsia"/>
          <w:kern w:val="2"/>
          <w:sz w:val="24"/>
          <w:szCs w:val="24"/>
          <w:lang w:val="en-US" w:eastAsia="zh-CN"/>
        </w:rPr>
        <w:t xml:space="preserve"> </w:t>
      </w:r>
      <w:r w:rsidRPr="005605FF">
        <w:rPr>
          <w:rFonts w:ascii="Book Antiqua" w:eastAsia="宋体" w:hAnsi="Book Antiqua" w:cs="Times New Roman"/>
          <w:kern w:val="2"/>
          <w:sz w:val="24"/>
          <w:szCs w:val="24"/>
          <w:lang w:val="en-US" w:eastAsia="zh-CN"/>
        </w:rPr>
        <w:t>DOI: 10.1016/0024-3205(94)00796-9]</w:t>
      </w:r>
    </w:p>
    <w:p w14:paraId="4C8EEB51"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6 </w:t>
      </w:r>
      <w:r w:rsidRPr="005605FF">
        <w:rPr>
          <w:rFonts w:ascii="Book Antiqua" w:eastAsia="宋体" w:hAnsi="Book Antiqua" w:cs="Times New Roman"/>
          <w:b/>
          <w:kern w:val="2"/>
          <w:sz w:val="24"/>
          <w:szCs w:val="24"/>
          <w:lang w:val="en-US" w:eastAsia="zh-CN"/>
        </w:rPr>
        <w:t>Szabo S.</w:t>
      </w:r>
      <w:r w:rsidRPr="005605FF">
        <w:rPr>
          <w:rFonts w:ascii="Book Antiqua" w:eastAsia="宋体" w:hAnsi="Book Antiqua" w:cs="Times New Roman" w:hint="eastAsia"/>
          <w:b/>
          <w:kern w:val="2"/>
          <w:sz w:val="24"/>
          <w:szCs w:val="24"/>
          <w:lang w:val="en-US" w:eastAsia="zh-CN"/>
        </w:rPr>
        <w:t xml:space="preserve"> </w:t>
      </w:r>
      <w:r w:rsidRPr="005605FF">
        <w:rPr>
          <w:rFonts w:ascii="Book Antiqua" w:eastAsia="宋体" w:hAnsi="Book Antiqua" w:cs="Times New Roman"/>
          <w:kern w:val="2"/>
          <w:sz w:val="24"/>
          <w:szCs w:val="24"/>
          <w:lang w:val="en-US" w:eastAsia="zh-CN"/>
        </w:rPr>
        <w:t xml:space="preserve">Gastric </w:t>
      </w:r>
      <w:proofErr w:type="spellStart"/>
      <w:r w:rsidRPr="005605FF">
        <w:rPr>
          <w:rFonts w:ascii="Book Antiqua" w:eastAsia="宋体" w:hAnsi="Book Antiqua" w:cs="Times New Roman"/>
          <w:kern w:val="2"/>
          <w:sz w:val="24"/>
          <w:szCs w:val="24"/>
          <w:lang w:val="en-US" w:eastAsia="zh-CN"/>
        </w:rPr>
        <w:t>Cytoprotection</w:t>
      </w:r>
      <w:proofErr w:type="spellEnd"/>
      <w:r w:rsidRPr="005605FF">
        <w:rPr>
          <w:rFonts w:ascii="Book Antiqua" w:eastAsia="宋体" w:hAnsi="Book Antiqua" w:cs="Times New Roman"/>
          <w:kern w:val="2"/>
          <w:sz w:val="24"/>
          <w:szCs w:val="24"/>
          <w:lang w:val="en-US" w:eastAsia="zh-CN"/>
        </w:rPr>
        <w:t xml:space="preserve"> [Internet]. 1. </w:t>
      </w:r>
      <w:proofErr w:type="spellStart"/>
      <w:r w:rsidRPr="005605FF">
        <w:rPr>
          <w:rFonts w:ascii="Book Antiqua" w:eastAsia="宋体" w:hAnsi="Book Antiqua" w:cs="Times New Roman"/>
          <w:kern w:val="2"/>
          <w:sz w:val="24"/>
          <w:szCs w:val="24"/>
          <w:lang w:val="en-US" w:eastAsia="zh-CN"/>
        </w:rPr>
        <w:t>st.</w:t>
      </w:r>
      <w:proofErr w:type="spellEnd"/>
      <w:r w:rsidRPr="005605FF">
        <w:rPr>
          <w:rFonts w:ascii="Book Antiqua" w:eastAsia="宋体" w:hAnsi="Book Antiqua" w:cs="Times New Roman"/>
          <w:kern w:val="2"/>
          <w:sz w:val="24"/>
          <w:szCs w:val="24"/>
          <w:lang w:val="en-US" w:eastAsia="zh-CN"/>
        </w:rPr>
        <w:t xml:space="preserve"> Boston,</w:t>
      </w:r>
      <w:r w:rsidRPr="005605FF">
        <w:rPr>
          <w:rFonts w:ascii="Book Antiqua" w:eastAsia="宋体" w:hAnsi="Book Antiqua" w:cs="Times New Roman" w:hint="eastAsia"/>
          <w:kern w:val="2"/>
          <w:sz w:val="24"/>
          <w:szCs w:val="24"/>
          <w:lang w:val="en-US" w:eastAsia="zh-CN"/>
        </w:rPr>
        <w:t xml:space="preserve"> </w:t>
      </w:r>
      <w:r w:rsidRPr="005605FF">
        <w:rPr>
          <w:rFonts w:ascii="Book Antiqua" w:eastAsia="宋体" w:hAnsi="Book Antiqua" w:cs="Times New Roman"/>
          <w:kern w:val="2"/>
          <w:sz w:val="24"/>
          <w:szCs w:val="24"/>
          <w:lang w:val="en-US" w:eastAsia="zh-CN"/>
        </w:rPr>
        <w:t xml:space="preserve">MA: Springer US; 1989. Available from: </w:t>
      </w:r>
      <w:r w:rsidRPr="005605FF">
        <w:rPr>
          <w:rFonts w:ascii="Book Antiqua" w:eastAsia="宋体" w:hAnsi="Book Antiqua" w:cs="Times New Roman" w:hint="eastAsia"/>
          <w:kern w:val="2"/>
          <w:sz w:val="24"/>
          <w:szCs w:val="24"/>
          <w:lang w:val="en-US" w:eastAsia="zh-CN"/>
        </w:rPr>
        <w:t xml:space="preserve">URL: </w:t>
      </w:r>
      <w:hyperlink r:id="rId10" w:history="1">
        <w:r w:rsidRPr="005605FF">
          <w:rPr>
            <w:rFonts w:ascii="Book Antiqua" w:eastAsia="宋体" w:hAnsi="Book Antiqua" w:cs="Times New Roman"/>
            <w:color w:val="0000FF"/>
            <w:kern w:val="2"/>
            <w:sz w:val="24"/>
            <w:szCs w:val="24"/>
            <w:u w:val="single"/>
            <w:lang w:val="en-US" w:eastAsia="zh-CN"/>
          </w:rPr>
          <w:t>http://link.springer.com/10.1007/978-1-4684-5697-4</w:t>
        </w:r>
      </w:hyperlink>
      <w:r w:rsidRPr="005605FF">
        <w:rPr>
          <w:rFonts w:ascii="Book Antiqua" w:eastAsia="宋体" w:hAnsi="Book Antiqua" w:cs="Times New Roman" w:hint="eastAsia"/>
          <w:kern w:val="2"/>
          <w:sz w:val="24"/>
          <w:szCs w:val="24"/>
          <w:lang w:val="en-US" w:eastAsia="zh-CN"/>
        </w:rPr>
        <w:t xml:space="preserve"> </w:t>
      </w:r>
    </w:p>
    <w:p w14:paraId="21E6730C"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7 </w:t>
      </w:r>
      <w:r w:rsidRPr="005605FF">
        <w:rPr>
          <w:rFonts w:ascii="Book Antiqua" w:eastAsia="宋体" w:hAnsi="Book Antiqua" w:cs="Times New Roman"/>
          <w:b/>
          <w:kern w:val="2"/>
          <w:sz w:val="24"/>
          <w:szCs w:val="24"/>
          <w:lang w:val="en-US" w:eastAsia="zh-CN"/>
        </w:rPr>
        <w:t>Szabo S</w:t>
      </w:r>
      <w:r w:rsidRPr="005605FF">
        <w:rPr>
          <w:rFonts w:ascii="Book Antiqua" w:eastAsia="宋体" w:hAnsi="Book Antiqua" w:cs="Times New Roman"/>
          <w:kern w:val="2"/>
          <w:sz w:val="24"/>
          <w:szCs w:val="24"/>
          <w:lang w:val="en-US" w:eastAsia="zh-CN"/>
        </w:rPr>
        <w:t xml:space="preserve">, Trier JS, Brown A, </w:t>
      </w:r>
      <w:proofErr w:type="spellStart"/>
      <w:r w:rsidRPr="005605FF">
        <w:rPr>
          <w:rFonts w:ascii="Book Antiqua" w:eastAsia="宋体" w:hAnsi="Book Antiqua" w:cs="Times New Roman"/>
          <w:kern w:val="2"/>
          <w:sz w:val="24"/>
          <w:szCs w:val="24"/>
          <w:lang w:val="en-US" w:eastAsia="zh-CN"/>
        </w:rPr>
        <w:t>Schnoor</w:t>
      </w:r>
      <w:proofErr w:type="spellEnd"/>
      <w:r w:rsidRPr="005605FF">
        <w:rPr>
          <w:rFonts w:ascii="Book Antiqua" w:eastAsia="宋体" w:hAnsi="Book Antiqua" w:cs="Times New Roman"/>
          <w:kern w:val="2"/>
          <w:sz w:val="24"/>
          <w:szCs w:val="24"/>
          <w:lang w:val="en-US" w:eastAsia="zh-CN"/>
        </w:rPr>
        <w:t xml:space="preserve"> J. Early vascular injury and increased vascular permeability in gastric mucosal injury caused by ethanol in the rat. </w:t>
      </w:r>
      <w:r w:rsidRPr="005605FF">
        <w:rPr>
          <w:rFonts w:ascii="Book Antiqua" w:eastAsia="宋体" w:hAnsi="Book Antiqua" w:cs="Times New Roman"/>
          <w:i/>
          <w:kern w:val="2"/>
          <w:sz w:val="24"/>
          <w:szCs w:val="24"/>
          <w:lang w:val="en-US" w:eastAsia="zh-CN"/>
        </w:rPr>
        <w:t>Gastroenterology</w:t>
      </w:r>
      <w:r w:rsidRPr="005605FF">
        <w:rPr>
          <w:rFonts w:ascii="Book Antiqua" w:eastAsia="宋体" w:hAnsi="Book Antiqua" w:cs="Times New Roman"/>
          <w:kern w:val="2"/>
          <w:sz w:val="24"/>
          <w:szCs w:val="24"/>
          <w:lang w:val="en-US" w:eastAsia="zh-CN"/>
        </w:rPr>
        <w:t xml:space="preserve"> 1985; </w:t>
      </w:r>
      <w:r w:rsidRPr="005605FF">
        <w:rPr>
          <w:rFonts w:ascii="Book Antiqua" w:eastAsia="宋体" w:hAnsi="Book Antiqua" w:cs="Times New Roman"/>
          <w:b/>
          <w:kern w:val="2"/>
          <w:sz w:val="24"/>
          <w:szCs w:val="24"/>
          <w:lang w:val="en-US" w:eastAsia="zh-CN"/>
        </w:rPr>
        <w:t>88</w:t>
      </w:r>
      <w:r w:rsidRPr="005605FF">
        <w:rPr>
          <w:rFonts w:ascii="Book Antiqua" w:eastAsia="宋体" w:hAnsi="Book Antiqua" w:cs="Times New Roman"/>
          <w:kern w:val="2"/>
          <w:sz w:val="24"/>
          <w:szCs w:val="24"/>
          <w:lang w:val="en-US" w:eastAsia="zh-CN"/>
        </w:rPr>
        <w:t>: 228-236 [PMID: 3871087]</w:t>
      </w:r>
    </w:p>
    <w:p w14:paraId="20D84710"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8 </w:t>
      </w:r>
      <w:r w:rsidRPr="005605FF">
        <w:rPr>
          <w:rFonts w:ascii="Book Antiqua" w:eastAsia="宋体" w:hAnsi="Book Antiqua" w:cs="Times New Roman"/>
          <w:b/>
          <w:kern w:val="2"/>
          <w:sz w:val="24"/>
          <w:szCs w:val="24"/>
          <w:lang w:val="en-US" w:eastAsia="zh-CN"/>
        </w:rPr>
        <w:t>Szabo S</w:t>
      </w:r>
      <w:r w:rsidRPr="005605FF">
        <w:rPr>
          <w:rFonts w:ascii="Book Antiqua" w:eastAsia="宋体" w:hAnsi="Book Antiqua" w:cs="Times New Roman"/>
          <w:kern w:val="2"/>
          <w:sz w:val="24"/>
          <w:szCs w:val="24"/>
          <w:lang w:val="en-US" w:eastAsia="zh-CN"/>
        </w:rPr>
        <w:t>,</w:t>
      </w:r>
      <w:r w:rsidRPr="005605FF">
        <w:rPr>
          <w:rFonts w:ascii="Book Antiqua" w:eastAsia="宋体" w:hAnsi="Book Antiqua" w:cs="Times New Roman" w:hint="eastAsia"/>
          <w:kern w:val="2"/>
          <w:sz w:val="24"/>
          <w:szCs w:val="24"/>
          <w:lang w:val="en-US" w:eastAsia="zh-CN"/>
        </w:rPr>
        <w:t xml:space="preserve"> </w:t>
      </w:r>
      <w:r w:rsidRPr="005605FF">
        <w:rPr>
          <w:rFonts w:ascii="Book Antiqua" w:eastAsia="宋体" w:hAnsi="Book Antiqua" w:cs="Times New Roman"/>
          <w:kern w:val="2"/>
          <w:sz w:val="24"/>
          <w:szCs w:val="24"/>
          <w:lang w:val="en-US" w:eastAsia="zh-CN"/>
        </w:rPr>
        <w:t xml:space="preserve">Trier J. Pathogenesis of acute gastric mucosal injury: </w:t>
      </w:r>
      <w:proofErr w:type="spellStart"/>
      <w:r w:rsidRPr="005605FF">
        <w:rPr>
          <w:rFonts w:ascii="Book Antiqua" w:eastAsia="宋体" w:hAnsi="Book Antiqua" w:cs="Times New Roman"/>
          <w:kern w:val="2"/>
          <w:sz w:val="24"/>
          <w:szCs w:val="24"/>
          <w:lang w:val="en-US" w:eastAsia="zh-CN"/>
        </w:rPr>
        <w:t>Sulfhydrils</w:t>
      </w:r>
      <w:proofErr w:type="spellEnd"/>
      <w:r w:rsidRPr="005605FF">
        <w:rPr>
          <w:rFonts w:ascii="Book Antiqua" w:eastAsia="宋体" w:hAnsi="Book Antiqua" w:cs="Times New Roman"/>
          <w:kern w:val="2"/>
          <w:sz w:val="24"/>
          <w:szCs w:val="24"/>
          <w:lang w:val="en-US" w:eastAsia="zh-CN"/>
        </w:rPr>
        <w:t xml:space="preserve"> as a protector, adrenal cortex as a modulator, and vascular endothelium as a target. In: Allen A, </w:t>
      </w:r>
      <w:proofErr w:type="spellStart"/>
      <w:r w:rsidRPr="005605FF">
        <w:rPr>
          <w:rFonts w:ascii="Book Antiqua" w:eastAsia="宋体" w:hAnsi="Book Antiqua" w:cs="Times New Roman"/>
          <w:kern w:val="2"/>
          <w:sz w:val="24"/>
          <w:szCs w:val="24"/>
          <w:lang w:val="en-US" w:eastAsia="zh-CN"/>
        </w:rPr>
        <w:t>Flemstrom</w:t>
      </w:r>
      <w:proofErr w:type="spellEnd"/>
      <w:r w:rsidRPr="005605FF">
        <w:rPr>
          <w:rFonts w:ascii="Book Antiqua" w:eastAsia="宋体" w:hAnsi="Book Antiqua" w:cs="Times New Roman"/>
          <w:kern w:val="2"/>
          <w:sz w:val="24"/>
          <w:szCs w:val="24"/>
          <w:lang w:val="en-US" w:eastAsia="zh-CN"/>
        </w:rPr>
        <w:t xml:space="preserve"> G, Garner A, </w:t>
      </w:r>
      <w:proofErr w:type="spellStart"/>
      <w:r w:rsidRPr="005605FF">
        <w:rPr>
          <w:rFonts w:ascii="Book Antiqua" w:eastAsia="宋体" w:hAnsi="Book Antiqua" w:cs="Times New Roman"/>
          <w:kern w:val="2"/>
          <w:sz w:val="24"/>
          <w:szCs w:val="24"/>
          <w:lang w:val="en-US" w:eastAsia="zh-CN"/>
        </w:rPr>
        <w:t>Silen</w:t>
      </w:r>
      <w:proofErr w:type="spellEnd"/>
      <w:r w:rsidRPr="005605FF">
        <w:rPr>
          <w:rFonts w:ascii="Book Antiqua" w:eastAsia="宋体" w:hAnsi="Book Antiqua" w:cs="Times New Roman"/>
          <w:kern w:val="2"/>
          <w:sz w:val="24"/>
          <w:szCs w:val="24"/>
          <w:lang w:val="en-US" w:eastAsia="zh-CN"/>
        </w:rPr>
        <w:t xml:space="preserve"> W, </w:t>
      </w:r>
      <w:proofErr w:type="spellStart"/>
      <w:r w:rsidRPr="005605FF">
        <w:rPr>
          <w:rFonts w:ascii="Book Antiqua" w:eastAsia="宋体" w:hAnsi="Book Antiqua" w:cs="Times New Roman"/>
          <w:kern w:val="2"/>
          <w:sz w:val="24"/>
          <w:szCs w:val="24"/>
          <w:lang w:val="en-US" w:eastAsia="zh-CN"/>
        </w:rPr>
        <w:t>Turnberg</w:t>
      </w:r>
      <w:proofErr w:type="spellEnd"/>
      <w:r w:rsidRPr="005605FF">
        <w:rPr>
          <w:rFonts w:ascii="Book Antiqua" w:eastAsia="宋体" w:hAnsi="Book Antiqua" w:cs="Times New Roman"/>
          <w:kern w:val="2"/>
          <w:sz w:val="24"/>
          <w:szCs w:val="24"/>
          <w:lang w:val="en-US" w:eastAsia="zh-CN"/>
        </w:rPr>
        <w:t xml:space="preserve"> L. Mechanism of mucosal protection in the upper gastrointestinal tract. New York: Raven; 1984</w:t>
      </w:r>
      <w:r w:rsidRPr="005605FF">
        <w:rPr>
          <w:rFonts w:ascii="Book Antiqua" w:eastAsia="宋体" w:hAnsi="Book Antiqua" w:cs="Times New Roman" w:hint="eastAsia"/>
          <w:kern w:val="2"/>
          <w:sz w:val="24"/>
          <w:szCs w:val="24"/>
          <w:lang w:val="en-US" w:eastAsia="zh-CN"/>
        </w:rPr>
        <w:t xml:space="preserve">: </w:t>
      </w:r>
      <w:r w:rsidRPr="005605FF">
        <w:rPr>
          <w:rFonts w:ascii="Book Antiqua" w:eastAsia="宋体" w:hAnsi="Book Antiqua" w:cs="Times New Roman"/>
          <w:kern w:val="2"/>
          <w:sz w:val="24"/>
          <w:szCs w:val="24"/>
          <w:lang w:val="en-US" w:eastAsia="zh-CN"/>
        </w:rPr>
        <w:t>387–</w:t>
      </w:r>
      <w:r w:rsidRPr="005605FF">
        <w:rPr>
          <w:rFonts w:ascii="Book Antiqua" w:eastAsia="宋体" w:hAnsi="Book Antiqua" w:cs="Times New Roman" w:hint="eastAsia"/>
          <w:kern w:val="2"/>
          <w:sz w:val="24"/>
          <w:szCs w:val="24"/>
          <w:lang w:val="en-US" w:eastAsia="zh-CN"/>
        </w:rPr>
        <w:t>3</w:t>
      </w:r>
      <w:r w:rsidRPr="005605FF">
        <w:rPr>
          <w:rFonts w:ascii="Book Antiqua" w:eastAsia="宋体" w:hAnsi="Book Antiqua" w:cs="Times New Roman"/>
          <w:kern w:val="2"/>
          <w:sz w:val="24"/>
          <w:szCs w:val="24"/>
          <w:lang w:val="en-US" w:eastAsia="zh-CN"/>
        </w:rPr>
        <w:t>93</w:t>
      </w:r>
    </w:p>
    <w:p w14:paraId="242AF107"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9 </w:t>
      </w:r>
      <w:r w:rsidRPr="005605FF">
        <w:rPr>
          <w:rFonts w:ascii="Book Antiqua" w:eastAsia="宋体" w:hAnsi="Book Antiqua" w:cs="Times New Roman"/>
          <w:b/>
          <w:kern w:val="2"/>
          <w:sz w:val="24"/>
          <w:szCs w:val="24"/>
          <w:lang w:val="en-US" w:eastAsia="zh-CN"/>
        </w:rPr>
        <w:t>Trier JS</w:t>
      </w:r>
      <w:r w:rsidRPr="005605FF">
        <w:rPr>
          <w:rFonts w:ascii="Book Antiqua" w:eastAsia="宋体" w:hAnsi="Book Antiqua" w:cs="Times New Roman"/>
          <w:kern w:val="2"/>
          <w:sz w:val="24"/>
          <w:szCs w:val="24"/>
          <w:lang w:val="en-US" w:eastAsia="zh-CN"/>
        </w:rPr>
        <w:t xml:space="preserve">, Szabo S, Allan CH. Ethanol-induced damage to mucosal capillaries of rat </w:t>
      </w:r>
      <w:r w:rsidRPr="005605FF">
        <w:rPr>
          <w:rFonts w:ascii="Book Antiqua" w:eastAsia="宋体" w:hAnsi="Book Antiqua" w:cs="Times New Roman"/>
          <w:kern w:val="2"/>
          <w:sz w:val="24"/>
          <w:szCs w:val="24"/>
          <w:lang w:val="en-US" w:eastAsia="zh-CN"/>
        </w:rPr>
        <w:lastRenderedPageBreak/>
        <w:t xml:space="preserve">stomach. Ultrastructural features and effects of prostaglandin F2 beta and cysteamine. </w:t>
      </w:r>
      <w:r w:rsidRPr="005605FF">
        <w:rPr>
          <w:rFonts w:ascii="Book Antiqua" w:eastAsia="宋体" w:hAnsi="Book Antiqua" w:cs="Times New Roman"/>
          <w:i/>
          <w:kern w:val="2"/>
          <w:sz w:val="24"/>
          <w:szCs w:val="24"/>
          <w:lang w:val="en-US" w:eastAsia="zh-CN"/>
        </w:rPr>
        <w:t>Gastroenterology</w:t>
      </w:r>
      <w:r w:rsidRPr="005605FF">
        <w:rPr>
          <w:rFonts w:ascii="Book Antiqua" w:eastAsia="宋体" w:hAnsi="Book Antiqua" w:cs="Times New Roman"/>
          <w:kern w:val="2"/>
          <w:sz w:val="24"/>
          <w:szCs w:val="24"/>
          <w:lang w:val="en-US" w:eastAsia="zh-CN"/>
        </w:rPr>
        <w:t xml:space="preserve"> 1987; </w:t>
      </w:r>
      <w:r w:rsidRPr="005605FF">
        <w:rPr>
          <w:rFonts w:ascii="Book Antiqua" w:eastAsia="宋体" w:hAnsi="Book Antiqua" w:cs="Times New Roman"/>
          <w:b/>
          <w:kern w:val="2"/>
          <w:sz w:val="24"/>
          <w:szCs w:val="24"/>
          <w:lang w:val="en-US" w:eastAsia="zh-CN"/>
        </w:rPr>
        <w:t>92</w:t>
      </w:r>
      <w:r w:rsidRPr="005605FF">
        <w:rPr>
          <w:rFonts w:ascii="Book Antiqua" w:eastAsia="宋体" w:hAnsi="Book Antiqua" w:cs="Times New Roman"/>
          <w:kern w:val="2"/>
          <w:sz w:val="24"/>
          <w:szCs w:val="24"/>
          <w:lang w:val="en-US" w:eastAsia="zh-CN"/>
        </w:rPr>
        <w:t>: 13-22 [PMID: 3781180]</w:t>
      </w:r>
    </w:p>
    <w:p w14:paraId="1E6D6692"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10 </w:t>
      </w:r>
      <w:proofErr w:type="spellStart"/>
      <w:r w:rsidRPr="005605FF">
        <w:rPr>
          <w:rFonts w:ascii="Book Antiqua" w:eastAsia="宋体" w:hAnsi="Book Antiqua" w:cs="Times New Roman"/>
          <w:b/>
          <w:kern w:val="2"/>
          <w:sz w:val="24"/>
          <w:szCs w:val="24"/>
          <w:lang w:val="en-US" w:eastAsia="zh-CN"/>
        </w:rPr>
        <w:t>Sikiric</w:t>
      </w:r>
      <w:proofErr w:type="spellEnd"/>
      <w:r w:rsidRPr="005605FF">
        <w:rPr>
          <w:rFonts w:ascii="Book Antiqua" w:eastAsia="宋体" w:hAnsi="Book Antiqua" w:cs="Times New Roman"/>
          <w:b/>
          <w:kern w:val="2"/>
          <w:sz w:val="24"/>
          <w:szCs w:val="24"/>
          <w:lang w:val="en-US" w:eastAsia="zh-CN"/>
        </w:rPr>
        <w:t xml:space="preserve"> P</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Rucman</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Drmic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Stupnisek</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Kokot</w:t>
      </w:r>
      <w:proofErr w:type="spellEnd"/>
      <w:r w:rsidRPr="005605FF">
        <w:rPr>
          <w:rFonts w:ascii="Book Antiqua" w:eastAsia="宋体" w:hAnsi="Book Antiqua" w:cs="Times New Roman"/>
          <w:kern w:val="2"/>
          <w:sz w:val="24"/>
          <w:szCs w:val="24"/>
          <w:lang w:val="en-US" w:eastAsia="zh-CN"/>
        </w:rPr>
        <w:t xml:space="preserve"> A, Sever M, </w:t>
      </w:r>
      <w:proofErr w:type="spellStart"/>
      <w:r w:rsidRPr="005605FF">
        <w:rPr>
          <w:rFonts w:ascii="Book Antiqua" w:eastAsia="宋体" w:hAnsi="Book Antiqua" w:cs="Times New Roman"/>
          <w:kern w:val="2"/>
          <w:sz w:val="24"/>
          <w:szCs w:val="24"/>
          <w:lang w:val="en-US" w:eastAsia="zh-CN"/>
        </w:rPr>
        <w:t>Zoricic</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Zoricic</w:t>
      </w:r>
      <w:proofErr w:type="spellEnd"/>
      <w:r w:rsidRPr="005605FF">
        <w:rPr>
          <w:rFonts w:ascii="Book Antiqua" w:eastAsia="宋体" w:hAnsi="Book Antiqua" w:cs="Times New Roman"/>
          <w:kern w:val="2"/>
          <w:sz w:val="24"/>
          <w:szCs w:val="24"/>
          <w:lang w:val="en-US" w:eastAsia="zh-CN"/>
        </w:rPr>
        <w:t xml:space="preserve"> Z, </w:t>
      </w:r>
      <w:proofErr w:type="spellStart"/>
      <w:r w:rsidRPr="005605FF">
        <w:rPr>
          <w:rFonts w:ascii="Book Antiqua" w:eastAsia="宋体" w:hAnsi="Book Antiqua" w:cs="Times New Roman"/>
          <w:kern w:val="2"/>
          <w:sz w:val="24"/>
          <w:szCs w:val="24"/>
          <w:lang w:val="en-US" w:eastAsia="zh-CN"/>
        </w:rPr>
        <w:t>Batelja</w:t>
      </w:r>
      <w:proofErr w:type="spellEnd"/>
      <w:r w:rsidRPr="005605FF">
        <w:rPr>
          <w:rFonts w:ascii="Book Antiqua" w:eastAsia="宋体" w:hAnsi="Book Antiqua" w:cs="Times New Roman"/>
          <w:kern w:val="2"/>
          <w:sz w:val="24"/>
          <w:szCs w:val="24"/>
          <w:lang w:val="en-US" w:eastAsia="zh-CN"/>
        </w:rPr>
        <w:t xml:space="preserve"> L, </w:t>
      </w:r>
      <w:proofErr w:type="spellStart"/>
      <w:r w:rsidRPr="005605FF">
        <w:rPr>
          <w:rFonts w:ascii="Book Antiqua" w:eastAsia="宋体" w:hAnsi="Book Antiqua" w:cs="Times New Roman"/>
          <w:kern w:val="2"/>
          <w:sz w:val="24"/>
          <w:szCs w:val="24"/>
          <w:lang w:val="en-US" w:eastAsia="zh-CN"/>
        </w:rPr>
        <w:t>Ziger</w:t>
      </w:r>
      <w:proofErr w:type="spellEnd"/>
      <w:r w:rsidRPr="005605FF">
        <w:rPr>
          <w:rFonts w:ascii="Book Antiqua" w:eastAsia="宋体" w:hAnsi="Book Antiqua" w:cs="Times New Roman"/>
          <w:kern w:val="2"/>
          <w:sz w:val="24"/>
          <w:szCs w:val="24"/>
          <w:lang w:val="en-US" w:eastAsia="zh-CN"/>
        </w:rPr>
        <w:t xml:space="preserve"> T, </w:t>
      </w:r>
      <w:proofErr w:type="spellStart"/>
      <w:r w:rsidRPr="005605FF">
        <w:rPr>
          <w:rFonts w:ascii="Book Antiqua" w:eastAsia="宋体" w:hAnsi="Book Antiqua" w:cs="Times New Roman"/>
          <w:kern w:val="2"/>
          <w:sz w:val="24"/>
          <w:szCs w:val="24"/>
          <w:lang w:val="en-US" w:eastAsia="zh-CN"/>
        </w:rPr>
        <w:t>Luetic</w:t>
      </w:r>
      <w:proofErr w:type="spellEnd"/>
      <w:r w:rsidRPr="005605FF">
        <w:rPr>
          <w:rFonts w:ascii="Book Antiqua" w:eastAsia="宋体" w:hAnsi="Book Antiqua" w:cs="Times New Roman"/>
          <w:kern w:val="2"/>
          <w:sz w:val="24"/>
          <w:szCs w:val="24"/>
          <w:lang w:val="en-US" w:eastAsia="zh-CN"/>
        </w:rPr>
        <w:t xml:space="preserve"> K, </w:t>
      </w:r>
      <w:proofErr w:type="spellStart"/>
      <w:r w:rsidRPr="005605FF">
        <w:rPr>
          <w:rFonts w:ascii="Book Antiqua" w:eastAsia="宋体" w:hAnsi="Book Antiqua" w:cs="Times New Roman"/>
          <w:kern w:val="2"/>
          <w:sz w:val="24"/>
          <w:szCs w:val="24"/>
          <w:lang w:val="en-US" w:eastAsia="zh-CN"/>
        </w:rPr>
        <w:t>Vlainic</w:t>
      </w:r>
      <w:proofErr w:type="spellEnd"/>
      <w:r w:rsidRPr="005605FF">
        <w:rPr>
          <w:rFonts w:ascii="Book Antiqua" w:eastAsia="宋体" w:hAnsi="Book Antiqua" w:cs="Times New Roman"/>
          <w:kern w:val="2"/>
          <w:sz w:val="24"/>
          <w:szCs w:val="24"/>
          <w:lang w:val="en-US" w:eastAsia="zh-CN"/>
        </w:rPr>
        <w:t xml:space="preserve"> J, </w:t>
      </w:r>
      <w:proofErr w:type="spellStart"/>
      <w:r w:rsidRPr="005605FF">
        <w:rPr>
          <w:rFonts w:ascii="Book Antiqua" w:eastAsia="宋体" w:hAnsi="Book Antiqua" w:cs="Times New Roman"/>
          <w:kern w:val="2"/>
          <w:sz w:val="24"/>
          <w:szCs w:val="24"/>
          <w:lang w:val="en-US" w:eastAsia="zh-CN"/>
        </w:rPr>
        <w:t>Rasic</w:t>
      </w:r>
      <w:proofErr w:type="spellEnd"/>
      <w:r w:rsidRPr="005605FF">
        <w:rPr>
          <w:rFonts w:ascii="Book Antiqua" w:eastAsia="宋体" w:hAnsi="Book Antiqua" w:cs="Times New Roman"/>
          <w:kern w:val="2"/>
          <w:sz w:val="24"/>
          <w:szCs w:val="24"/>
          <w:lang w:val="en-US" w:eastAsia="zh-CN"/>
        </w:rPr>
        <w:t xml:space="preserve"> Z, </w:t>
      </w:r>
      <w:proofErr w:type="spellStart"/>
      <w:r w:rsidRPr="005605FF">
        <w:rPr>
          <w:rFonts w:ascii="Book Antiqua" w:eastAsia="宋体" w:hAnsi="Book Antiqua" w:cs="Times New Roman"/>
          <w:kern w:val="2"/>
          <w:sz w:val="24"/>
          <w:szCs w:val="24"/>
          <w:lang w:val="en-US" w:eastAsia="zh-CN"/>
        </w:rPr>
        <w:t>Bencic</w:t>
      </w:r>
      <w:proofErr w:type="spellEnd"/>
      <w:r w:rsidRPr="005605FF">
        <w:rPr>
          <w:rFonts w:ascii="Book Antiqua" w:eastAsia="宋体" w:hAnsi="Book Antiqua" w:cs="Times New Roman"/>
          <w:kern w:val="2"/>
          <w:sz w:val="24"/>
          <w:szCs w:val="24"/>
          <w:lang w:val="en-US" w:eastAsia="zh-CN"/>
        </w:rPr>
        <w:t xml:space="preserve"> ML. Stress in Gastrointestinal Tract and Stable Gastric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Finally, do we have a Solution? </w:t>
      </w:r>
      <w:proofErr w:type="spellStart"/>
      <w:r w:rsidRPr="005605FF">
        <w:rPr>
          <w:rFonts w:ascii="Book Antiqua" w:eastAsia="宋体" w:hAnsi="Book Antiqua" w:cs="Times New Roman"/>
          <w:i/>
          <w:kern w:val="2"/>
          <w:sz w:val="24"/>
          <w:szCs w:val="24"/>
          <w:lang w:val="en-US" w:eastAsia="zh-CN"/>
        </w:rPr>
        <w:t>Curr</w:t>
      </w:r>
      <w:proofErr w:type="spellEnd"/>
      <w:r w:rsidRPr="005605FF">
        <w:rPr>
          <w:rFonts w:ascii="Book Antiqua" w:eastAsia="宋体" w:hAnsi="Book Antiqua" w:cs="Times New Roman"/>
          <w:i/>
          <w:kern w:val="2"/>
          <w:sz w:val="24"/>
          <w:szCs w:val="24"/>
          <w:lang w:val="en-US" w:eastAsia="zh-CN"/>
        </w:rPr>
        <w:t xml:space="preserve"> Pharm Des</w:t>
      </w:r>
      <w:r w:rsidRPr="005605FF">
        <w:rPr>
          <w:rFonts w:ascii="Book Antiqua" w:eastAsia="宋体" w:hAnsi="Book Antiqua" w:cs="Times New Roman"/>
          <w:kern w:val="2"/>
          <w:sz w:val="24"/>
          <w:szCs w:val="24"/>
          <w:lang w:val="en-US" w:eastAsia="zh-CN"/>
        </w:rPr>
        <w:t xml:space="preserve"> 2017; </w:t>
      </w:r>
      <w:r w:rsidRPr="005605FF">
        <w:rPr>
          <w:rFonts w:ascii="Book Antiqua" w:eastAsia="宋体" w:hAnsi="Book Antiqua" w:cs="Times New Roman"/>
          <w:b/>
          <w:kern w:val="2"/>
          <w:sz w:val="24"/>
          <w:szCs w:val="24"/>
          <w:lang w:val="en-US" w:eastAsia="zh-CN"/>
        </w:rPr>
        <w:t>23</w:t>
      </w:r>
      <w:r w:rsidRPr="005605FF">
        <w:rPr>
          <w:rFonts w:ascii="Book Antiqua" w:eastAsia="宋体" w:hAnsi="Book Antiqua" w:cs="Times New Roman"/>
          <w:kern w:val="2"/>
          <w:sz w:val="24"/>
          <w:szCs w:val="24"/>
          <w:lang w:val="en-US" w:eastAsia="zh-CN"/>
        </w:rPr>
        <w:t>: 4012-4028 [PMID: 28228068 DOI: 10.2174/1381612823666170220163219]</w:t>
      </w:r>
    </w:p>
    <w:p w14:paraId="6604BE63"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11 </w:t>
      </w:r>
      <w:proofErr w:type="spellStart"/>
      <w:r w:rsidRPr="005605FF">
        <w:rPr>
          <w:rFonts w:ascii="Book Antiqua" w:eastAsia="宋体" w:hAnsi="Book Antiqua" w:cs="Times New Roman"/>
          <w:b/>
          <w:kern w:val="2"/>
          <w:sz w:val="24"/>
          <w:szCs w:val="24"/>
          <w:lang w:val="en-US" w:eastAsia="zh-CN"/>
        </w:rPr>
        <w:t>Sikiric</w:t>
      </w:r>
      <w:proofErr w:type="spellEnd"/>
      <w:r w:rsidRPr="005605FF">
        <w:rPr>
          <w:rFonts w:ascii="Book Antiqua" w:eastAsia="宋体" w:hAnsi="Book Antiqua" w:cs="Times New Roman"/>
          <w:b/>
          <w:kern w:val="2"/>
          <w:sz w:val="24"/>
          <w:szCs w:val="24"/>
          <w:lang w:val="en-US" w:eastAsia="zh-CN"/>
        </w:rPr>
        <w:t xml:space="preserve"> P</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Rucman</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Kolenc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Vuletic</w:t>
      </w:r>
      <w:proofErr w:type="spellEnd"/>
      <w:r w:rsidRPr="005605FF">
        <w:rPr>
          <w:rFonts w:ascii="Book Antiqua" w:eastAsia="宋体" w:hAnsi="Book Antiqua" w:cs="Times New Roman"/>
          <w:kern w:val="2"/>
          <w:sz w:val="24"/>
          <w:szCs w:val="24"/>
          <w:lang w:val="en-US" w:eastAsia="zh-CN"/>
        </w:rPr>
        <w:t xml:space="preserve"> LB, </w:t>
      </w:r>
      <w:proofErr w:type="spellStart"/>
      <w:r w:rsidRPr="005605FF">
        <w:rPr>
          <w:rFonts w:ascii="Book Antiqua" w:eastAsia="宋体" w:hAnsi="Book Antiqua" w:cs="Times New Roman"/>
          <w:kern w:val="2"/>
          <w:sz w:val="24"/>
          <w:szCs w:val="24"/>
          <w:lang w:val="en-US" w:eastAsia="zh-CN"/>
        </w:rPr>
        <w:t>Drmic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Grgic</w:t>
      </w:r>
      <w:proofErr w:type="spellEnd"/>
      <w:r w:rsidRPr="005605FF">
        <w:rPr>
          <w:rFonts w:ascii="Book Antiqua" w:eastAsia="宋体" w:hAnsi="Book Antiqua" w:cs="Times New Roman"/>
          <w:kern w:val="2"/>
          <w:sz w:val="24"/>
          <w:szCs w:val="24"/>
          <w:lang w:val="en-US" w:eastAsia="zh-CN"/>
        </w:rPr>
        <w:t xml:space="preserve"> T, </w:t>
      </w:r>
      <w:proofErr w:type="spellStart"/>
      <w:r w:rsidRPr="005605FF">
        <w:rPr>
          <w:rFonts w:ascii="Book Antiqua" w:eastAsia="宋体" w:hAnsi="Book Antiqua" w:cs="Times New Roman"/>
          <w:kern w:val="2"/>
          <w:sz w:val="24"/>
          <w:szCs w:val="24"/>
          <w:lang w:val="en-US" w:eastAsia="zh-CN"/>
        </w:rPr>
        <w:t>Strbe</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Zukanovic</w:t>
      </w:r>
      <w:proofErr w:type="spellEnd"/>
      <w:r w:rsidRPr="005605FF">
        <w:rPr>
          <w:rFonts w:ascii="Book Antiqua" w:eastAsia="宋体" w:hAnsi="Book Antiqua" w:cs="Times New Roman"/>
          <w:kern w:val="2"/>
          <w:sz w:val="24"/>
          <w:szCs w:val="24"/>
          <w:lang w:val="en-US" w:eastAsia="zh-CN"/>
        </w:rPr>
        <w:t xml:space="preserve"> G, </w:t>
      </w:r>
      <w:proofErr w:type="spellStart"/>
      <w:r w:rsidRPr="005605FF">
        <w:rPr>
          <w:rFonts w:ascii="Book Antiqua" w:eastAsia="宋体" w:hAnsi="Book Antiqua" w:cs="Times New Roman"/>
          <w:kern w:val="2"/>
          <w:sz w:val="24"/>
          <w:szCs w:val="24"/>
          <w:lang w:val="en-US" w:eastAsia="zh-CN"/>
        </w:rPr>
        <w:t>Crvenkovic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Madzarac</w:t>
      </w:r>
      <w:proofErr w:type="spellEnd"/>
      <w:r w:rsidRPr="005605FF">
        <w:rPr>
          <w:rFonts w:ascii="Book Antiqua" w:eastAsia="宋体" w:hAnsi="Book Antiqua" w:cs="Times New Roman"/>
          <w:kern w:val="2"/>
          <w:sz w:val="24"/>
          <w:szCs w:val="24"/>
          <w:lang w:val="en-US" w:eastAsia="zh-CN"/>
        </w:rPr>
        <w:t xml:space="preserve"> G, </w:t>
      </w:r>
      <w:proofErr w:type="spellStart"/>
      <w:r w:rsidRPr="005605FF">
        <w:rPr>
          <w:rFonts w:ascii="Book Antiqua" w:eastAsia="宋体" w:hAnsi="Book Antiqua" w:cs="Times New Roman"/>
          <w:kern w:val="2"/>
          <w:sz w:val="24"/>
          <w:szCs w:val="24"/>
          <w:lang w:val="en-US" w:eastAsia="zh-CN"/>
        </w:rPr>
        <w:t>Rukavina</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Sucic</w:t>
      </w:r>
      <w:proofErr w:type="spellEnd"/>
      <w:r w:rsidRPr="005605FF">
        <w:rPr>
          <w:rFonts w:ascii="Book Antiqua" w:eastAsia="宋体" w:hAnsi="Book Antiqua" w:cs="Times New Roman"/>
          <w:kern w:val="2"/>
          <w:sz w:val="24"/>
          <w:szCs w:val="24"/>
          <w:lang w:val="en-US" w:eastAsia="zh-CN"/>
        </w:rPr>
        <w:t xml:space="preserve"> M, Baric M, </w:t>
      </w:r>
      <w:proofErr w:type="spellStart"/>
      <w:r w:rsidRPr="005605FF">
        <w:rPr>
          <w:rFonts w:ascii="Book Antiqua" w:eastAsia="宋体" w:hAnsi="Book Antiqua" w:cs="Times New Roman"/>
          <w:kern w:val="2"/>
          <w:sz w:val="24"/>
          <w:szCs w:val="24"/>
          <w:lang w:val="en-US" w:eastAsia="zh-CN"/>
        </w:rPr>
        <w:t>Starcevic</w:t>
      </w:r>
      <w:proofErr w:type="spellEnd"/>
      <w:r w:rsidRPr="005605FF">
        <w:rPr>
          <w:rFonts w:ascii="Book Antiqua" w:eastAsia="宋体" w:hAnsi="Book Antiqua" w:cs="Times New Roman"/>
          <w:kern w:val="2"/>
          <w:sz w:val="24"/>
          <w:szCs w:val="24"/>
          <w:lang w:val="en-US" w:eastAsia="zh-CN"/>
        </w:rPr>
        <w:t xml:space="preserve"> N, </w:t>
      </w:r>
      <w:proofErr w:type="spellStart"/>
      <w:r w:rsidRPr="005605FF">
        <w:rPr>
          <w:rFonts w:ascii="Book Antiqua" w:eastAsia="宋体" w:hAnsi="Book Antiqua" w:cs="Times New Roman"/>
          <w:kern w:val="2"/>
          <w:sz w:val="24"/>
          <w:szCs w:val="24"/>
          <w:lang w:val="en-US" w:eastAsia="zh-CN"/>
        </w:rPr>
        <w:t>Krstonijevic</w:t>
      </w:r>
      <w:proofErr w:type="spellEnd"/>
      <w:r w:rsidRPr="005605FF">
        <w:rPr>
          <w:rFonts w:ascii="Book Antiqua" w:eastAsia="宋体" w:hAnsi="Book Antiqua" w:cs="Times New Roman"/>
          <w:kern w:val="2"/>
          <w:sz w:val="24"/>
          <w:szCs w:val="24"/>
          <w:lang w:val="en-US" w:eastAsia="zh-CN"/>
        </w:rPr>
        <w:t xml:space="preserve"> Z, </w:t>
      </w:r>
      <w:proofErr w:type="spellStart"/>
      <w:r w:rsidRPr="005605FF">
        <w:rPr>
          <w:rFonts w:ascii="Book Antiqua" w:eastAsia="宋体" w:hAnsi="Book Antiqua" w:cs="Times New Roman"/>
          <w:kern w:val="2"/>
          <w:sz w:val="24"/>
          <w:szCs w:val="24"/>
          <w:lang w:val="en-US" w:eastAsia="zh-CN"/>
        </w:rPr>
        <w:t>Bencic</w:t>
      </w:r>
      <w:proofErr w:type="spellEnd"/>
      <w:r w:rsidRPr="005605FF">
        <w:rPr>
          <w:rFonts w:ascii="Book Antiqua" w:eastAsia="宋体" w:hAnsi="Book Antiqua" w:cs="Times New Roman"/>
          <w:kern w:val="2"/>
          <w:sz w:val="24"/>
          <w:szCs w:val="24"/>
          <w:lang w:val="en-US" w:eastAsia="zh-CN"/>
        </w:rPr>
        <w:t xml:space="preserve"> ML, </w:t>
      </w:r>
      <w:proofErr w:type="spellStart"/>
      <w:r w:rsidRPr="005605FF">
        <w:rPr>
          <w:rFonts w:ascii="Book Antiqua" w:eastAsia="宋体" w:hAnsi="Book Antiqua" w:cs="Times New Roman"/>
          <w:kern w:val="2"/>
          <w:sz w:val="24"/>
          <w:szCs w:val="24"/>
          <w:lang w:val="en-US" w:eastAsia="zh-CN"/>
        </w:rPr>
        <w:t>Filipcic</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Rokotov</w:t>
      </w:r>
      <w:proofErr w:type="spellEnd"/>
      <w:r w:rsidRPr="005605FF">
        <w:rPr>
          <w:rFonts w:ascii="Book Antiqua" w:eastAsia="宋体" w:hAnsi="Book Antiqua" w:cs="Times New Roman"/>
          <w:kern w:val="2"/>
          <w:sz w:val="24"/>
          <w:szCs w:val="24"/>
          <w:lang w:val="en-US" w:eastAsia="zh-CN"/>
        </w:rPr>
        <w:t xml:space="preserve"> DS, </w:t>
      </w:r>
      <w:proofErr w:type="spellStart"/>
      <w:r w:rsidRPr="005605FF">
        <w:rPr>
          <w:rFonts w:ascii="Book Antiqua" w:eastAsia="宋体" w:hAnsi="Book Antiqua" w:cs="Times New Roman"/>
          <w:kern w:val="2"/>
          <w:sz w:val="24"/>
          <w:szCs w:val="24"/>
          <w:lang w:val="en-US" w:eastAsia="zh-CN"/>
        </w:rPr>
        <w:t>Vlainic</w:t>
      </w:r>
      <w:proofErr w:type="spellEnd"/>
      <w:r w:rsidRPr="005605FF">
        <w:rPr>
          <w:rFonts w:ascii="Book Antiqua" w:eastAsia="宋体" w:hAnsi="Book Antiqua" w:cs="Times New Roman"/>
          <w:kern w:val="2"/>
          <w:sz w:val="24"/>
          <w:szCs w:val="24"/>
          <w:lang w:val="en-US" w:eastAsia="zh-CN"/>
        </w:rPr>
        <w:t xml:space="preserve"> J. Brain-gut Axis and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Theoretical and Practical Implications. </w:t>
      </w:r>
      <w:proofErr w:type="spellStart"/>
      <w:r w:rsidRPr="005605FF">
        <w:rPr>
          <w:rFonts w:ascii="Book Antiqua" w:eastAsia="宋体" w:hAnsi="Book Antiqua" w:cs="Times New Roman"/>
          <w:i/>
          <w:kern w:val="2"/>
          <w:sz w:val="24"/>
          <w:szCs w:val="24"/>
          <w:lang w:val="en-US" w:eastAsia="zh-CN"/>
        </w:rPr>
        <w:t>Curr</w:t>
      </w:r>
      <w:proofErr w:type="spellEnd"/>
      <w:r w:rsidRPr="005605FF">
        <w:rPr>
          <w:rFonts w:ascii="Book Antiqua" w:eastAsia="宋体" w:hAnsi="Book Antiqua" w:cs="Times New Roman"/>
          <w:i/>
          <w:kern w:val="2"/>
          <w:sz w:val="24"/>
          <w:szCs w:val="24"/>
          <w:lang w:val="en-US" w:eastAsia="zh-CN"/>
        </w:rPr>
        <w:t xml:space="preserve"> </w:t>
      </w:r>
      <w:proofErr w:type="spellStart"/>
      <w:r w:rsidRPr="005605FF">
        <w:rPr>
          <w:rFonts w:ascii="Book Antiqua" w:eastAsia="宋体" w:hAnsi="Book Antiqua" w:cs="Times New Roman"/>
          <w:i/>
          <w:kern w:val="2"/>
          <w:sz w:val="24"/>
          <w:szCs w:val="24"/>
          <w:lang w:val="en-US" w:eastAsia="zh-CN"/>
        </w:rPr>
        <w:t>Neuropharmacol</w:t>
      </w:r>
      <w:proofErr w:type="spellEnd"/>
      <w:r w:rsidRPr="005605FF">
        <w:rPr>
          <w:rFonts w:ascii="Book Antiqua" w:eastAsia="宋体" w:hAnsi="Book Antiqua" w:cs="Times New Roman"/>
          <w:kern w:val="2"/>
          <w:sz w:val="24"/>
          <w:szCs w:val="24"/>
          <w:lang w:val="en-US" w:eastAsia="zh-CN"/>
        </w:rPr>
        <w:t xml:space="preserve"> 2016; </w:t>
      </w:r>
      <w:r w:rsidRPr="005605FF">
        <w:rPr>
          <w:rFonts w:ascii="Book Antiqua" w:eastAsia="宋体" w:hAnsi="Book Antiqua" w:cs="Times New Roman"/>
          <w:b/>
          <w:kern w:val="2"/>
          <w:sz w:val="24"/>
          <w:szCs w:val="24"/>
          <w:lang w:val="en-US" w:eastAsia="zh-CN"/>
        </w:rPr>
        <w:t>14</w:t>
      </w:r>
      <w:r w:rsidRPr="005605FF">
        <w:rPr>
          <w:rFonts w:ascii="Book Antiqua" w:eastAsia="宋体" w:hAnsi="Book Antiqua" w:cs="Times New Roman"/>
          <w:kern w:val="2"/>
          <w:sz w:val="24"/>
          <w:szCs w:val="24"/>
          <w:lang w:val="en-US" w:eastAsia="zh-CN"/>
        </w:rPr>
        <w:t>: 857-865 [PMID: 27138887]</w:t>
      </w:r>
    </w:p>
    <w:p w14:paraId="5F08C384"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12 </w:t>
      </w:r>
      <w:proofErr w:type="spellStart"/>
      <w:r w:rsidRPr="005605FF">
        <w:rPr>
          <w:rFonts w:ascii="Book Antiqua" w:eastAsia="宋体" w:hAnsi="Book Antiqua" w:cs="Times New Roman"/>
          <w:b/>
          <w:kern w:val="2"/>
          <w:sz w:val="24"/>
          <w:szCs w:val="24"/>
          <w:lang w:val="en-US" w:eastAsia="zh-CN"/>
        </w:rPr>
        <w:t>Seiwerth</w:t>
      </w:r>
      <w:proofErr w:type="spellEnd"/>
      <w:r w:rsidRPr="005605FF">
        <w:rPr>
          <w:rFonts w:ascii="Book Antiqua" w:eastAsia="宋体" w:hAnsi="Book Antiqua" w:cs="Times New Roman"/>
          <w:b/>
          <w:kern w:val="2"/>
          <w:sz w:val="24"/>
          <w:szCs w:val="24"/>
          <w:lang w:val="en-US" w:eastAsia="zh-CN"/>
        </w:rPr>
        <w:t xml:space="preserve"> S</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Brcic</w:t>
      </w:r>
      <w:proofErr w:type="spellEnd"/>
      <w:r w:rsidRPr="005605FF">
        <w:rPr>
          <w:rFonts w:ascii="Book Antiqua" w:eastAsia="宋体" w:hAnsi="Book Antiqua" w:cs="Times New Roman"/>
          <w:kern w:val="2"/>
          <w:sz w:val="24"/>
          <w:szCs w:val="24"/>
          <w:lang w:val="en-US" w:eastAsia="zh-CN"/>
        </w:rPr>
        <w:t xml:space="preserve"> L, </w:t>
      </w:r>
      <w:proofErr w:type="spellStart"/>
      <w:r w:rsidRPr="005605FF">
        <w:rPr>
          <w:rFonts w:ascii="Book Antiqua" w:eastAsia="宋体" w:hAnsi="Book Antiqua" w:cs="Times New Roman"/>
          <w:kern w:val="2"/>
          <w:sz w:val="24"/>
          <w:szCs w:val="24"/>
          <w:lang w:val="en-US" w:eastAsia="zh-CN"/>
        </w:rPr>
        <w:t>Vuletic</w:t>
      </w:r>
      <w:proofErr w:type="spellEnd"/>
      <w:r w:rsidRPr="005605FF">
        <w:rPr>
          <w:rFonts w:ascii="Book Antiqua" w:eastAsia="宋体" w:hAnsi="Book Antiqua" w:cs="Times New Roman"/>
          <w:kern w:val="2"/>
          <w:sz w:val="24"/>
          <w:szCs w:val="24"/>
          <w:lang w:val="en-US" w:eastAsia="zh-CN"/>
        </w:rPr>
        <w:t xml:space="preserve"> LB, </w:t>
      </w:r>
      <w:proofErr w:type="spellStart"/>
      <w:r w:rsidRPr="005605FF">
        <w:rPr>
          <w:rFonts w:ascii="Book Antiqua" w:eastAsia="宋体" w:hAnsi="Book Antiqua" w:cs="Times New Roman"/>
          <w:kern w:val="2"/>
          <w:sz w:val="24"/>
          <w:szCs w:val="24"/>
          <w:lang w:val="en-US" w:eastAsia="zh-CN"/>
        </w:rPr>
        <w:t>Kolenc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Aralica</w:t>
      </w:r>
      <w:proofErr w:type="spellEnd"/>
      <w:r w:rsidRPr="005605FF">
        <w:rPr>
          <w:rFonts w:ascii="Book Antiqua" w:eastAsia="宋体" w:hAnsi="Book Antiqua" w:cs="Times New Roman"/>
          <w:kern w:val="2"/>
          <w:sz w:val="24"/>
          <w:szCs w:val="24"/>
          <w:lang w:val="en-US" w:eastAsia="zh-CN"/>
        </w:rPr>
        <w:t xml:space="preserve"> G, </w:t>
      </w:r>
      <w:proofErr w:type="spellStart"/>
      <w:r w:rsidRPr="005605FF">
        <w:rPr>
          <w:rFonts w:ascii="Book Antiqua" w:eastAsia="宋体" w:hAnsi="Book Antiqua" w:cs="Times New Roman"/>
          <w:kern w:val="2"/>
          <w:sz w:val="24"/>
          <w:szCs w:val="24"/>
          <w:lang w:val="en-US" w:eastAsia="zh-CN"/>
        </w:rPr>
        <w:t>Misic</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Zenko</w:t>
      </w:r>
      <w:proofErr w:type="spellEnd"/>
      <w:r w:rsidRPr="005605FF">
        <w:rPr>
          <w:rFonts w:ascii="Book Antiqua" w:eastAsia="宋体" w:hAnsi="Book Antiqua" w:cs="Times New Roman"/>
          <w:kern w:val="2"/>
          <w:sz w:val="24"/>
          <w:szCs w:val="24"/>
          <w:lang w:val="en-US" w:eastAsia="zh-CN"/>
        </w:rPr>
        <w:t xml:space="preserve"> A, </w:t>
      </w:r>
      <w:proofErr w:type="spellStart"/>
      <w:r w:rsidRPr="005605FF">
        <w:rPr>
          <w:rFonts w:ascii="Book Antiqua" w:eastAsia="宋体" w:hAnsi="Book Antiqua" w:cs="Times New Roman"/>
          <w:kern w:val="2"/>
          <w:sz w:val="24"/>
          <w:szCs w:val="24"/>
          <w:lang w:val="en-US" w:eastAsia="zh-CN"/>
        </w:rPr>
        <w:t>Drmic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Rucman</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Sikiric</w:t>
      </w:r>
      <w:proofErr w:type="spellEnd"/>
      <w:r w:rsidRPr="005605FF">
        <w:rPr>
          <w:rFonts w:ascii="Book Antiqua" w:eastAsia="宋体" w:hAnsi="Book Antiqua" w:cs="Times New Roman"/>
          <w:kern w:val="2"/>
          <w:sz w:val="24"/>
          <w:szCs w:val="24"/>
          <w:lang w:val="en-US" w:eastAsia="zh-CN"/>
        </w:rPr>
        <w:t xml:space="preserve"> P. BPC 157 and blood vessels. </w:t>
      </w:r>
      <w:proofErr w:type="spellStart"/>
      <w:r w:rsidRPr="005605FF">
        <w:rPr>
          <w:rFonts w:ascii="Book Antiqua" w:eastAsia="宋体" w:hAnsi="Book Antiqua" w:cs="Times New Roman"/>
          <w:i/>
          <w:kern w:val="2"/>
          <w:sz w:val="24"/>
          <w:szCs w:val="24"/>
          <w:lang w:val="en-US" w:eastAsia="zh-CN"/>
        </w:rPr>
        <w:t>Curr</w:t>
      </w:r>
      <w:proofErr w:type="spellEnd"/>
      <w:r w:rsidRPr="005605FF">
        <w:rPr>
          <w:rFonts w:ascii="Book Antiqua" w:eastAsia="宋体" w:hAnsi="Book Antiqua" w:cs="Times New Roman"/>
          <w:i/>
          <w:kern w:val="2"/>
          <w:sz w:val="24"/>
          <w:szCs w:val="24"/>
          <w:lang w:val="en-US" w:eastAsia="zh-CN"/>
        </w:rPr>
        <w:t xml:space="preserve"> Pharm Des</w:t>
      </w:r>
      <w:r w:rsidRPr="005605FF">
        <w:rPr>
          <w:rFonts w:ascii="Book Antiqua" w:eastAsia="宋体" w:hAnsi="Book Antiqua" w:cs="Times New Roman"/>
          <w:kern w:val="2"/>
          <w:sz w:val="24"/>
          <w:szCs w:val="24"/>
          <w:lang w:val="en-US" w:eastAsia="zh-CN"/>
        </w:rPr>
        <w:t xml:space="preserve"> 2014; </w:t>
      </w:r>
      <w:r w:rsidRPr="005605FF">
        <w:rPr>
          <w:rFonts w:ascii="Book Antiqua" w:eastAsia="宋体" w:hAnsi="Book Antiqua" w:cs="Times New Roman"/>
          <w:b/>
          <w:kern w:val="2"/>
          <w:sz w:val="24"/>
          <w:szCs w:val="24"/>
          <w:lang w:val="en-US" w:eastAsia="zh-CN"/>
        </w:rPr>
        <w:t>20</w:t>
      </w:r>
      <w:r w:rsidRPr="005605FF">
        <w:rPr>
          <w:rFonts w:ascii="Book Antiqua" w:eastAsia="宋体" w:hAnsi="Book Antiqua" w:cs="Times New Roman"/>
          <w:kern w:val="2"/>
          <w:sz w:val="24"/>
          <w:szCs w:val="24"/>
          <w:lang w:val="en-US" w:eastAsia="zh-CN"/>
        </w:rPr>
        <w:t>: 1121-1125 [PMID: 23782145 DOI: 10.2174/13816128113199990421]</w:t>
      </w:r>
    </w:p>
    <w:p w14:paraId="6E4179D7"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13 </w:t>
      </w:r>
      <w:proofErr w:type="spellStart"/>
      <w:r w:rsidRPr="005605FF">
        <w:rPr>
          <w:rFonts w:ascii="Book Antiqua" w:eastAsia="宋体" w:hAnsi="Book Antiqua" w:cs="Times New Roman"/>
          <w:b/>
          <w:kern w:val="2"/>
          <w:sz w:val="24"/>
          <w:szCs w:val="24"/>
          <w:lang w:val="en-US" w:eastAsia="zh-CN"/>
        </w:rPr>
        <w:t>Sikiric</w:t>
      </w:r>
      <w:proofErr w:type="spellEnd"/>
      <w:r w:rsidRPr="005605FF">
        <w:rPr>
          <w:rFonts w:ascii="Book Antiqua" w:eastAsia="宋体" w:hAnsi="Book Antiqua" w:cs="Times New Roman"/>
          <w:b/>
          <w:kern w:val="2"/>
          <w:sz w:val="24"/>
          <w:szCs w:val="24"/>
          <w:lang w:val="en-US" w:eastAsia="zh-CN"/>
        </w:rPr>
        <w:t xml:space="preserve"> P</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Rucman</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Turkovic</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Rokotov</w:t>
      </w:r>
      <w:proofErr w:type="spellEnd"/>
      <w:r w:rsidRPr="005605FF">
        <w:rPr>
          <w:rFonts w:ascii="Book Antiqua" w:eastAsia="宋体" w:hAnsi="Book Antiqua" w:cs="Times New Roman"/>
          <w:kern w:val="2"/>
          <w:sz w:val="24"/>
          <w:szCs w:val="24"/>
          <w:lang w:val="en-US" w:eastAsia="zh-CN"/>
        </w:rPr>
        <w:t xml:space="preserve"> DS, </w:t>
      </w:r>
      <w:proofErr w:type="spellStart"/>
      <w:r w:rsidRPr="005605FF">
        <w:rPr>
          <w:rFonts w:ascii="Book Antiqua" w:eastAsia="宋体" w:hAnsi="Book Antiqua" w:cs="Times New Roman"/>
          <w:kern w:val="2"/>
          <w:sz w:val="24"/>
          <w:szCs w:val="24"/>
          <w:lang w:val="en-US" w:eastAsia="zh-CN"/>
        </w:rPr>
        <w:t>Brcic</w:t>
      </w:r>
      <w:proofErr w:type="spellEnd"/>
      <w:r w:rsidRPr="005605FF">
        <w:rPr>
          <w:rFonts w:ascii="Book Antiqua" w:eastAsia="宋体" w:hAnsi="Book Antiqua" w:cs="Times New Roman"/>
          <w:kern w:val="2"/>
          <w:sz w:val="24"/>
          <w:szCs w:val="24"/>
          <w:lang w:val="en-US" w:eastAsia="zh-CN"/>
        </w:rPr>
        <w:t xml:space="preserve"> L, Sever M, </w:t>
      </w:r>
      <w:proofErr w:type="spellStart"/>
      <w:r w:rsidRPr="005605FF">
        <w:rPr>
          <w:rFonts w:ascii="Book Antiqua" w:eastAsia="宋体" w:hAnsi="Book Antiqua" w:cs="Times New Roman"/>
          <w:kern w:val="2"/>
          <w:sz w:val="24"/>
          <w:szCs w:val="24"/>
          <w:lang w:val="en-US" w:eastAsia="zh-CN"/>
        </w:rPr>
        <w:t>Klicek</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Radic</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Drmic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Ilic</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Kolenc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Aralica</w:t>
      </w:r>
      <w:proofErr w:type="spellEnd"/>
      <w:r w:rsidRPr="005605FF">
        <w:rPr>
          <w:rFonts w:ascii="Book Antiqua" w:eastAsia="宋体" w:hAnsi="Book Antiqua" w:cs="Times New Roman"/>
          <w:kern w:val="2"/>
          <w:sz w:val="24"/>
          <w:szCs w:val="24"/>
          <w:lang w:val="en-US" w:eastAsia="zh-CN"/>
        </w:rPr>
        <w:t xml:space="preserve"> G, </w:t>
      </w:r>
      <w:proofErr w:type="spellStart"/>
      <w:r w:rsidRPr="005605FF">
        <w:rPr>
          <w:rFonts w:ascii="Book Antiqua" w:eastAsia="宋体" w:hAnsi="Book Antiqua" w:cs="Times New Roman"/>
          <w:kern w:val="2"/>
          <w:sz w:val="24"/>
          <w:szCs w:val="24"/>
          <w:lang w:val="en-US" w:eastAsia="zh-CN"/>
        </w:rPr>
        <w:t>Stupnisek</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Suran</w:t>
      </w:r>
      <w:proofErr w:type="spellEnd"/>
      <w:r w:rsidRPr="005605FF">
        <w:rPr>
          <w:rFonts w:ascii="Book Antiqua" w:eastAsia="宋体" w:hAnsi="Book Antiqua" w:cs="Times New Roman"/>
          <w:kern w:val="2"/>
          <w:sz w:val="24"/>
          <w:szCs w:val="24"/>
          <w:lang w:val="en-US" w:eastAsia="zh-CN"/>
        </w:rPr>
        <w:t xml:space="preserve"> J, </w:t>
      </w:r>
      <w:proofErr w:type="spellStart"/>
      <w:r w:rsidRPr="005605FF">
        <w:rPr>
          <w:rFonts w:ascii="Book Antiqua" w:eastAsia="宋体" w:hAnsi="Book Antiqua" w:cs="Times New Roman"/>
          <w:kern w:val="2"/>
          <w:sz w:val="24"/>
          <w:szCs w:val="24"/>
          <w:lang w:val="en-US" w:eastAsia="zh-CN"/>
        </w:rPr>
        <w:t>Barisic</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Dzidic</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Vrcic</w:t>
      </w:r>
      <w:proofErr w:type="spellEnd"/>
      <w:r w:rsidRPr="005605FF">
        <w:rPr>
          <w:rFonts w:ascii="Book Antiqua" w:eastAsia="宋体" w:hAnsi="Book Antiqua" w:cs="Times New Roman"/>
          <w:kern w:val="2"/>
          <w:sz w:val="24"/>
          <w:szCs w:val="24"/>
          <w:lang w:val="en-US" w:eastAsia="zh-CN"/>
        </w:rPr>
        <w:t xml:space="preserve"> H, </w:t>
      </w:r>
      <w:proofErr w:type="spellStart"/>
      <w:r w:rsidRPr="005605FF">
        <w:rPr>
          <w:rFonts w:ascii="Book Antiqua" w:eastAsia="宋体" w:hAnsi="Book Antiqua" w:cs="Times New Roman"/>
          <w:kern w:val="2"/>
          <w:sz w:val="24"/>
          <w:szCs w:val="24"/>
          <w:lang w:val="en-US" w:eastAsia="zh-CN"/>
        </w:rPr>
        <w:t>Sebecic</w:t>
      </w:r>
      <w:proofErr w:type="spellEnd"/>
      <w:r w:rsidRPr="005605FF">
        <w:rPr>
          <w:rFonts w:ascii="Book Antiqua" w:eastAsia="宋体" w:hAnsi="Book Antiqua" w:cs="Times New Roman"/>
          <w:kern w:val="2"/>
          <w:sz w:val="24"/>
          <w:szCs w:val="24"/>
          <w:lang w:val="en-US" w:eastAsia="zh-CN"/>
        </w:rPr>
        <w:t xml:space="preserve"> B. Stable gastric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157-NO-system relation. </w:t>
      </w:r>
      <w:proofErr w:type="spellStart"/>
      <w:r w:rsidRPr="005605FF">
        <w:rPr>
          <w:rFonts w:ascii="Book Antiqua" w:eastAsia="宋体" w:hAnsi="Book Antiqua" w:cs="Times New Roman"/>
          <w:i/>
          <w:kern w:val="2"/>
          <w:sz w:val="24"/>
          <w:szCs w:val="24"/>
          <w:lang w:val="en-US" w:eastAsia="zh-CN"/>
        </w:rPr>
        <w:t>Curr</w:t>
      </w:r>
      <w:proofErr w:type="spellEnd"/>
      <w:r w:rsidRPr="005605FF">
        <w:rPr>
          <w:rFonts w:ascii="Book Antiqua" w:eastAsia="宋体" w:hAnsi="Book Antiqua" w:cs="Times New Roman"/>
          <w:i/>
          <w:kern w:val="2"/>
          <w:sz w:val="24"/>
          <w:szCs w:val="24"/>
          <w:lang w:val="en-US" w:eastAsia="zh-CN"/>
        </w:rPr>
        <w:t xml:space="preserve"> Pharm Des</w:t>
      </w:r>
      <w:r w:rsidRPr="005605FF">
        <w:rPr>
          <w:rFonts w:ascii="Book Antiqua" w:eastAsia="宋体" w:hAnsi="Book Antiqua" w:cs="Times New Roman"/>
          <w:kern w:val="2"/>
          <w:sz w:val="24"/>
          <w:szCs w:val="24"/>
          <w:lang w:val="en-US" w:eastAsia="zh-CN"/>
        </w:rPr>
        <w:t xml:space="preserve"> 2014; </w:t>
      </w:r>
      <w:r w:rsidRPr="005605FF">
        <w:rPr>
          <w:rFonts w:ascii="Book Antiqua" w:eastAsia="宋体" w:hAnsi="Book Antiqua" w:cs="Times New Roman"/>
          <w:b/>
          <w:kern w:val="2"/>
          <w:sz w:val="24"/>
          <w:szCs w:val="24"/>
          <w:lang w:val="en-US" w:eastAsia="zh-CN"/>
        </w:rPr>
        <w:t>20</w:t>
      </w:r>
      <w:r w:rsidRPr="005605FF">
        <w:rPr>
          <w:rFonts w:ascii="Book Antiqua" w:eastAsia="宋体" w:hAnsi="Book Antiqua" w:cs="Times New Roman"/>
          <w:kern w:val="2"/>
          <w:sz w:val="24"/>
          <w:szCs w:val="24"/>
          <w:lang w:val="en-US" w:eastAsia="zh-CN"/>
        </w:rPr>
        <w:t>: 1126-1135 [PMID: 23755725]</w:t>
      </w:r>
    </w:p>
    <w:p w14:paraId="60EC139B"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14 </w:t>
      </w:r>
      <w:proofErr w:type="spellStart"/>
      <w:r w:rsidRPr="005605FF">
        <w:rPr>
          <w:rFonts w:ascii="Book Antiqua" w:eastAsia="宋体" w:hAnsi="Book Antiqua" w:cs="Times New Roman"/>
          <w:b/>
          <w:kern w:val="2"/>
          <w:sz w:val="24"/>
          <w:szCs w:val="24"/>
          <w:lang w:val="en-US" w:eastAsia="zh-CN"/>
        </w:rPr>
        <w:t>Sikiric</w:t>
      </w:r>
      <w:proofErr w:type="spellEnd"/>
      <w:r w:rsidRPr="005605FF">
        <w:rPr>
          <w:rFonts w:ascii="Book Antiqua" w:eastAsia="宋体" w:hAnsi="Book Antiqua" w:cs="Times New Roman"/>
          <w:b/>
          <w:kern w:val="2"/>
          <w:sz w:val="24"/>
          <w:szCs w:val="24"/>
          <w:lang w:val="en-US" w:eastAsia="zh-CN"/>
        </w:rPr>
        <w:t xml:space="preserve"> P</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Rucman</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Turkovic</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Rokotov</w:t>
      </w:r>
      <w:proofErr w:type="spellEnd"/>
      <w:r w:rsidRPr="005605FF">
        <w:rPr>
          <w:rFonts w:ascii="Book Antiqua" w:eastAsia="宋体" w:hAnsi="Book Antiqua" w:cs="Times New Roman"/>
          <w:kern w:val="2"/>
          <w:sz w:val="24"/>
          <w:szCs w:val="24"/>
          <w:lang w:val="en-US" w:eastAsia="zh-CN"/>
        </w:rPr>
        <w:t xml:space="preserve"> DS, </w:t>
      </w:r>
      <w:proofErr w:type="spellStart"/>
      <w:r w:rsidRPr="005605FF">
        <w:rPr>
          <w:rFonts w:ascii="Book Antiqua" w:eastAsia="宋体" w:hAnsi="Book Antiqua" w:cs="Times New Roman"/>
          <w:kern w:val="2"/>
          <w:sz w:val="24"/>
          <w:szCs w:val="24"/>
          <w:lang w:val="en-US" w:eastAsia="zh-CN"/>
        </w:rPr>
        <w:t>Brcic</w:t>
      </w:r>
      <w:proofErr w:type="spellEnd"/>
      <w:r w:rsidRPr="005605FF">
        <w:rPr>
          <w:rFonts w:ascii="Book Antiqua" w:eastAsia="宋体" w:hAnsi="Book Antiqua" w:cs="Times New Roman"/>
          <w:kern w:val="2"/>
          <w:sz w:val="24"/>
          <w:szCs w:val="24"/>
          <w:lang w:val="en-US" w:eastAsia="zh-CN"/>
        </w:rPr>
        <w:t xml:space="preserve"> L, Sever M, </w:t>
      </w:r>
      <w:proofErr w:type="spellStart"/>
      <w:r w:rsidRPr="005605FF">
        <w:rPr>
          <w:rFonts w:ascii="Book Antiqua" w:eastAsia="宋体" w:hAnsi="Book Antiqua" w:cs="Times New Roman"/>
          <w:kern w:val="2"/>
          <w:sz w:val="24"/>
          <w:szCs w:val="24"/>
          <w:lang w:val="en-US" w:eastAsia="zh-CN"/>
        </w:rPr>
        <w:t>Klicek</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Radic</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Drmic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Ilic</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Kolenc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Aralica</w:t>
      </w:r>
      <w:proofErr w:type="spellEnd"/>
      <w:r w:rsidRPr="005605FF">
        <w:rPr>
          <w:rFonts w:ascii="Book Antiqua" w:eastAsia="宋体" w:hAnsi="Book Antiqua" w:cs="Times New Roman"/>
          <w:kern w:val="2"/>
          <w:sz w:val="24"/>
          <w:szCs w:val="24"/>
          <w:lang w:val="en-US" w:eastAsia="zh-CN"/>
        </w:rPr>
        <w:t xml:space="preserve"> G, </w:t>
      </w:r>
      <w:proofErr w:type="spellStart"/>
      <w:r w:rsidRPr="005605FF">
        <w:rPr>
          <w:rFonts w:ascii="Book Antiqua" w:eastAsia="宋体" w:hAnsi="Book Antiqua" w:cs="Times New Roman"/>
          <w:kern w:val="2"/>
          <w:sz w:val="24"/>
          <w:szCs w:val="24"/>
          <w:lang w:val="en-US" w:eastAsia="zh-CN"/>
        </w:rPr>
        <w:t>Safic</w:t>
      </w:r>
      <w:proofErr w:type="spellEnd"/>
      <w:r w:rsidRPr="005605FF">
        <w:rPr>
          <w:rFonts w:ascii="Book Antiqua" w:eastAsia="宋体" w:hAnsi="Book Antiqua" w:cs="Times New Roman"/>
          <w:kern w:val="2"/>
          <w:sz w:val="24"/>
          <w:szCs w:val="24"/>
          <w:lang w:val="en-US" w:eastAsia="zh-CN"/>
        </w:rPr>
        <w:t xml:space="preserve"> H, </w:t>
      </w:r>
      <w:proofErr w:type="spellStart"/>
      <w:r w:rsidRPr="005605FF">
        <w:rPr>
          <w:rFonts w:ascii="Book Antiqua" w:eastAsia="宋体" w:hAnsi="Book Antiqua" w:cs="Times New Roman"/>
          <w:kern w:val="2"/>
          <w:sz w:val="24"/>
          <w:szCs w:val="24"/>
          <w:lang w:val="en-US" w:eastAsia="zh-CN"/>
        </w:rPr>
        <w:t>Suran</w:t>
      </w:r>
      <w:proofErr w:type="spellEnd"/>
      <w:r w:rsidRPr="005605FF">
        <w:rPr>
          <w:rFonts w:ascii="Book Antiqua" w:eastAsia="宋体" w:hAnsi="Book Antiqua" w:cs="Times New Roman"/>
          <w:kern w:val="2"/>
          <w:sz w:val="24"/>
          <w:szCs w:val="24"/>
          <w:lang w:val="en-US" w:eastAsia="zh-CN"/>
        </w:rPr>
        <w:t xml:space="preserve"> J, </w:t>
      </w:r>
      <w:proofErr w:type="spellStart"/>
      <w:r w:rsidRPr="005605FF">
        <w:rPr>
          <w:rFonts w:ascii="Book Antiqua" w:eastAsia="宋体" w:hAnsi="Book Antiqua" w:cs="Times New Roman"/>
          <w:kern w:val="2"/>
          <w:sz w:val="24"/>
          <w:szCs w:val="24"/>
          <w:lang w:val="en-US" w:eastAsia="zh-CN"/>
        </w:rPr>
        <w:t>Rak</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Dzidic</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Vrcic</w:t>
      </w:r>
      <w:proofErr w:type="spellEnd"/>
      <w:r w:rsidRPr="005605FF">
        <w:rPr>
          <w:rFonts w:ascii="Book Antiqua" w:eastAsia="宋体" w:hAnsi="Book Antiqua" w:cs="Times New Roman"/>
          <w:kern w:val="2"/>
          <w:sz w:val="24"/>
          <w:szCs w:val="24"/>
          <w:lang w:val="en-US" w:eastAsia="zh-CN"/>
        </w:rPr>
        <w:t xml:space="preserve"> H, </w:t>
      </w:r>
      <w:proofErr w:type="spellStart"/>
      <w:r w:rsidRPr="005605FF">
        <w:rPr>
          <w:rFonts w:ascii="Book Antiqua" w:eastAsia="宋体" w:hAnsi="Book Antiqua" w:cs="Times New Roman"/>
          <w:kern w:val="2"/>
          <w:sz w:val="24"/>
          <w:szCs w:val="24"/>
          <w:lang w:val="en-US" w:eastAsia="zh-CN"/>
        </w:rPr>
        <w:t>Sebecic</w:t>
      </w:r>
      <w:proofErr w:type="spellEnd"/>
      <w:r w:rsidRPr="005605FF">
        <w:rPr>
          <w:rFonts w:ascii="Book Antiqua" w:eastAsia="宋体" w:hAnsi="Book Antiqua" w:cs="Times New Roman"/>
          <w:kern w:val="2"/>
          <w:sz w:val="24"/>
          <w:szCs w:val="24"/>
          <w:lang w:val="en-US" w:eastAsia="zh-CN"/>
        </w:rPr>
        <w:t xml:space="preserve"> B. Toxicity by NSAIDs. Counteraction by stable gastric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w:t>
      </w:r>
      <w:r w:rsidRPr="005605FF">
        <w:rPr>
          <w:rFonts w:ascii="Book Antiqua" w:eastAsia="宋体" w:hAnsi="Book Antiqua" w:cs="Times New Roman" w:hint="eastAsia"/>
          <w:kern w:val="2"/>
          <w:sz w:val="24"/>
          <w:szCs w:val="24"/>
          <w:lang w:val="en-US" w:eastAsia="zh-CN"/>
        </w:rPr>
        <w:t xml:space="preserve"> </w:t>
      </w:r>
      <w:proofErr w:type="spellStart"/>
      <w:r w:rsidRPr="005605FF">
        <w:rPr>
          <w:rFonts w:ascii="Book Antiqua" w:eastAsia="宋体" w:hAnsi="Book Antiqua" w:cs="Times New Roman"/>
          <w:i/>
          <w:kern w:val="2"/>
          <w:sz w:val="24"/>
          <w:szCs w:val="24"/>
          <w:lang w:val="en-US" w:eastAsia="zh-CN"/>
        </w:rPr>
        <w:t>Curr</w:t>
      </w:r>
      <w:proofErr w:type="spellEnd"/>
      <w:r w:rsidRPr="005605FF">
        <w:rPr>
          <w:rFonts w:ascii="Book Antiqua" w:eastAsia="宋体" w:hAnsi="Book Antiqua" w:cs="Times New Roman"/>
          <w:i/>
          <w:kern w:val="2"/>
          <w:sz w:val="24"/>
          <w:szCs w:val="24"/>
          <w:lang w:val="en-US" w:eastAsia="zh-CN"/>
        </w:rPr>
        <w:t xml:space="preserve"> Pharm Des</w:t>
      </w:r>
      <w:r w:rsidRPr="005605FF">
        <w:rPr>
          <w:rFonts w:ascii="Book Antiqua" w:eastAsia="宋体" w:hAnsi="Book Antiqua" w:cs="Times New Roman"/>
          <w:kern w:val="2"/>
          <w:sz w:val="24"/>
          <w:szCs w:val="24"/>
          <w:lang w:val="en-US" w:eastAsia="zh-CN"/>
        </w:rPr>
        <w:t xml:space="preserve"> 2013; </w:t>
      </w:r>
      <w:r w:rsidRPr="005605FF">
        <w:rPr>
          <w:rFonts w:ascii="Book Antiqua" w:eastAsia="宋体" w:hAnsi="Book Antiqua" w:cs="Times New Roman"/>
          <w:b/>
          <w:kern w:val="2"/>
          <w:sz w:val="24"/>
          <w:szCs w:val="24"/>
          <w:lang w:val="en-US" w:eastAsia="zh-CN"/>
        </w:rPr>
        <w:t>19</w:t>
      </w:r>
      <w:r w:rsidRPr="005605FF">
        <w:rPr>
          <w:rFonts w:ascii="Book Antiqua" w:eastAsia="宋体" w:hAnsi="Book Antiqua" w:cs="Times New Roman"/>
          <w:kern w:val="2"/>
          <w:sz w:val="24"/>
          <w:szCs w:val="24"/>
          <w:lang w:val="en-US" w:eastAsia="zh-CN"/>
        </w:rPr>
        <w:t>: 76-83 [PMID: 22950504]</w:t>
      </w:r>
    </w:p>
    <w:p w14:paraId="5BB90DBA"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15 </w:t>
      </w:r>
      <w:proofErr w:type="spellStart"/>
      <w:r w:rsidRPr="005605FF">
        <w:rPr>
          <w:rFonts w:ascii="Book Antiqua" w:eastAsia="宋体" w:hAnsi="Book Antiqua" w:cs="Times New Roman"/>
          <w:b/>
          <w:kern w:val="2"/>
          <w:sz w:val="24"/>
          <w:szCs w:val="24"/>
          <w:lang w:val="en-US" w:eastAsia="zh-CN"/>
        </w:rPr>
        <w:t>Sikiric</w:t>
      </w:r>
      <w:proofErr w:type="spellEnd"/>
      <w:r w:rsidRPr="005605FF">
        <w:rPr>
          <w:rFonts w:ascii="Book Antiqua" w:eastAsia="宋体" w:hAnsi="Book Antiqua" w:cs="Times New Roman"/>
          <w:b/>
          <w:kern w:val="2"/>
          <w:sz w:val="24"/>
          <w:szCs w:val="24"/>
          <w:lang w:val="en-US" w:eastAsia="zh-CN"/>
        </w:rPr>
        <w:t xml:space="preserve"> P</w:t>
      </w:r>
      <w:r w:rsidRPr="005605FF">
        <w:rPr>
          <w:rFonts w:ascii="Book Antiqua" w:eastAsia="宋体" w:hAnsi="Book Antiqua" w:cs="Times New Roman"/>
          <w:kern w:val="2"/>
          <w:sz w:val="24"/>
          <w:szCs w:val="24"/>
          <w:lang w:val="en-US" w:eastAsia="zh-CN"/>
        </w:rPr>
        <w:t>,</w:t>
      </w:r>
      <w:r w:rsidRPr="005605FF">
        <w:rPr>
          <w:rFonts w:ascii="Book Antiqua" w:eastAsia="宋体" w:hAnsi="Book Antiqua" w:cs="Times New Roman" w:hint="eastAsia"/>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Rucman</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Turkovic</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Rokotov</w:t>
      </w:r>
      <w:proofErr w:type="spellEnd"/>
      <w:r w:rsidRPr="005605FF">
        <w:rPr>
          <w:rFonts w:ascii="Book Antiqua" w:eastAsia="宋体" w:hAnsi="Book Antiqua" w:cs="Times New Roman"/>
          <w:kern w:val="2"/>
          <w:sz w:val="24"/>
          <w:szCs w:val="24"/>
          <w:lang w:val="en-US" w:eastAsia="zh-CN"/>
        </w:rPr>
        <w:t xml:space="preserve"> DS, </w:t>
      </w:r>
      <w:proofErr w:type="spellStart"/>
      <w:r w:rsidRPr="005605FF">
        <w:rPr>
          <w:rFonts w:ascii="Book Antiqua" w:eastAsia="宋体" w:hAnsi="Book Antiqua" w:cs="Times New Roman"/>
          <w:kern w:val="2"/>
          <w:sz w:val="24"/>
          <w:szCs w:val="24"/>
          <w:lang w:val="en-US" w:eastAsia="zh-CN"/>
        </w:rPr>
        <w:t>Brcic</w:t>
      </w:r>
      <w:proofErr w:type="spellEnd"/>
      <w:r w:rsidRPr="005605FF">
        <w:rPr>
          <w:rFonts w:ascii="Book Antiqua" w:eastAsia="宋体" w:hAnsi="Book Antiqua" w:cs="Times New Roman"/>
          <w:kern w:val="2"/>
          <w:sz w:val="24"/>
          <w:szCs w:val="24"/>
          <w:lang w:val="en-US" w:eastAsia="zh-CN"/>
        </w:rPr>
        <w:t xml:space="preserve"> L, Sever M, </w:t>
      </w:r>
      <w:proofErr w:type="spellStart"/>
      <w:r w:rsidRPr="005605FF">
        <w:rPr>
          <w:rFonts w:ascii="Book Antiqua" w:eastAsia="宋体" w:hAnsi="Book Antiqua" w:cs="Times New Roman"/>
          <w:kern w:val="2"/>
          <w:sz w:val="24"/>
          <w:szCs w:val="24"/>
          <w:lang w:val="en-US" w:eastAsia="zh-CN"/>
        </w:rPr>
        <w:t>Klicek</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Radic</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Drmic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Ilic</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Kolenc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Stambolija</w:t>
      </w:r>
      <w:proofErr w:type="spellEnd"/>
      <w:r w:rsidRPr="005605FF">
        <w:rPr>
          <w:rFonts w:ascii="Book Antiqua" w:eastAsia="宋体" w:hAnsi="Book Antiqua" w:cs="Times New Roman"/>
          <w:kern w:val="2"/>
          <w:sz w:val="24"/>
          <w:szCs w:val="24"/>
          <w:lang w:val="en-US" w:eastAsia="zh-CN"/>
        </w:rPr>
        <w:t xml:space="preserve"> V, </w:t>
      </w:r>
      <w:proofErr w:type="spellStart"/>
      <w:r w:rsidRPr="005605FF">
        <w:rPr>
          <w:rFonts w:ascii="Book Antiqua" w:eastAsia="宋体" w:hAnsi="Book Antiqua" w:cs="Times New Roman"/>
          <w:kern w:val="2"/>
          <w:sz w:val="24"/>
          <w:szCs w:val="24"/>
          <w:lang w:val="en-US" w:eastAsia="zh-CN"/>
        </w:rPr>
        <w:t>Zoricic</w:t>
      </w:r>
      <w:proofErr w:type="spellEnd"/>
      <w:r w:rsidRPr="005605FF">
        <w:rPr>
          <w:rFonts w:ascii="Book Antiqua" w:eastAsia="宋体" w:hAnsi="Book Antiqua" w:cs="Times New Roman"/>
          <w:kern w:val="2"/>
          <w:sz w:val="24"/>
          <w:szCs w:val="24"/>
          <w:lang w:val="en-US" w:eastAsia="zh-CN"/>
        </w:rPr>
        <w:t xml:space="preserve"> Z, </w:t>
      </w:r>
      <w:proofErr w:type="spellStart"/>
      <w:r w:rsidRPr="005605FF">
        <w:rPr>
          <w:rFonts w:ascii="Book Antiqua" w:eastAsia="宋体" w:hAnsi="Book Antiqua" w:cs="Times New Roman"/>
          <w:kern w:val="2"/>
          <w:sz w:val="24"/>
          <w:szCs w:val="24"/>
          <w:lang w:val="en-US" w:eastAsia="zh-CN"/>
        </w:rPr>
        <w:t>Vrcic</w:t>
      </w:r>
      <w:proofErr w:type="spellEnd"/>
      <w:r w:rsidRPr="005605FF">
        <w:rPr>
          <w:rFonts w:ascii="Book Antiqua" w:eastAsia="宋体" w:hAnsi="Book Antiqua" w:cs="Times New Roman"/>
          <w:kern w:val="2"/>
          <w:sz w:val="24"/>
          <w:szCs w:val="24"/>
          <w:lang w:val="en-US" w:eastAsia="zh-CN"/>
        </w:rPr>
        <w:t xml:space="preserve"> H, </w:t>
      </w:r>
      <w:proofErr w:type="spellStart"/>
      <w:r w:rsidRPr="005605FF">
        <w:rPr>
          <w:rFonts w:ascii="Book Antiqua" w:eastAsia="宋体" w:hAnsi="Book Antiqua" w:cs="Times New Roman"/>
          <w:kern w:val="2"/>
          <w:sz w:val="24"/>
          <w:szCs w:val="24"/>
          <w:lang w:val="en-US" w:eastAsia="zh-CN"/>
        </w:rPr>
        <w:t>Sebecic</w:t>
      </w:r>
      <w:proofErr w:type="spellEnd"/>
      <w:r w:rsidRPr="005605FF">
        <w:rPr>
          <w:rFonts w:ascii="Book Antiqua" w:eastAsia="宋体" w:hAnsi="Book Antiqua" w:cs="Times New Roman"/>
          <w:kern w:val="2"/>
          <w:sz w:val="24"/>
          <w:szCs w:val="24"/>
          <w:lang w:val="en-US" w:eastAsia="zh-CN"/>
        </w:rPr>
        <w:t xml:space="preserve"> B. Focus on ulcerative colitis: Stable gastric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w:t>
      </w:r>
      <w:proofErr w:type="spellStart"/>
      <w:r w:rsidRPr="005605FF">
        <w:rPr>
          <w:rFonts w:ascii="Book Antiqua" w:eastAsia="宋体" w:hAnsi="Book Antiqua" w:cs="Times New Roman"/>
          <w:i/>
          <w:kern w:val="2"/>
          <w:sz w:val="24"/>
          <w:szCs w:val="24"/>
          <w:lang w:val="en-US" w:eastAsia="zh-CN"/>
        </w:rPr>
        <w:t>Curr</w:t>
      </w:r>
      <w:proofErr w:type="spellEnd"/>
      <w:r w:rsidRPr="005605FF">
        <w:rPr>
          <w:rFonts w:ascii="Book Antiqua" w:eastAsia="宋体" w:hAnsi="Book Antiqua" w:cs="Times New Roman"/>
          <w:i/>
          <w:kern w:val="2"/>
          <w:sz w:val="24"/>
          <w:szCs w:val="24"/>
          <w:lang w:val="en-US" w:eastAsia="zh-CN"/>
        </w:rPr>
        <w:t xml:space="preserve"> Med Chem</w:t>
      </w:r>
      <w:r w:rsidRPr="005605FF">
        <w:rPr>
          <w:rFonts w:ascii="Book Antiqua" w:eastAsia="宋体" w:hAnsi="Book Antiqua" w:cs="Times New Roman" w:hint="eastAsia"/>
          <w:i/>
          <w:kern w:val="2"/>
          <w:sz w:val="24"/>
          <w:szCs w:val="24"/>
          <w:lang w:val="en-US" w:eastAsia="zh-CN"/>
        </w:rPr>
        <w:t xml:space="preserve"> </w:t>
      </w:r>
      <w:r w:rsidRPr="005605FF">
        <w:rPr>
          <w:rFonts w:ascii="Book Antiqua" w:eastAsia="宋体" w:hAnsi="Book Antiqua" w:cs="Times New Roman"/>
          <w:kern w:val="2"/>
          <w:sz w:val="24"/>
          <w:szCs w:val="24"/>
          <w:lang w:val="en-US" w:eastAsia="zh-CN"/>
        </w:rPr>
        <w:t>2012;</w:t>
      </w:r>
      <w:r w:rsidRPr="005605FF">
        <w:rPr>
          <w:rFonts w:ascii="Book Antiqua" w:eastAsia="宋体" w:hAnsi="Book Antiqua" w:cs="Times New Roman" w:hint="eastAsia"/>
          <w:kern w:val="2"/>
          <w:sz w:val="24"/>
          <w:szCs w:val="24"/>
          <w:lang w:val="en-US" w:eastAsia="zh-CN"/>
        </w:rPr>
        <w:t xml:space="preserve"> </w:t>
      </w:r>
      <w:r w:rsidRPr="005605FF">
        <w:rPr>
          <w:rFonts w:ascii="Book Antiqua" w:eastAsia="宋体" w:hAnsi="Book Antiqua" w:cs="Times New Roman"/>
          <w:b/>
          <w:kern w:val="2"/>
          <w:sz w:val="24"/>
          <w:szCs w:val="24"/>
          <w:lang w:val="en-US" w:eastAsia="zh-CN"/>
        </w:rPr>
        <w:t>19</w:t>
      </w:r>
      <w:r w:rsidRPr="005605FF">
        <w:rPr>
          <w:rFonts w:ascii="Book Antiqua" w:eastAsia="宋体" w:hAnsi="Book Antiqua" w:cs="Times New Roman"/>
          <w:kern w:val="2"/>
          <w:sz w:val="24"/>
          <w:szCs w:val="24"/>
          <w:lang w:val="en-US" w:eastAsia="zh-CN"/>
        </w:rPr>
        <w:t>:</w:t>
      </w:r>
      <w:r w:rsidRPr="005605FF">
        <w:rPr>
          <w:rFonts w:ascii="Book Antiqua" w:eastAsia="宋体" w:hAnsi="Book Antiqua" w:cs="Times New Roman" w:hint="eastAsia"/>
          <w:kern w:val="2"/>
          <w:sz w:val="24"/>
          <w:szCs w:val="24"/>
          <w:lang w:val="en-US" w:eastAsia="zh-CN"/>
        </w:rPr>
        <w:t xml:space="preserve"> </w:t>
      </w:r>
      <w:r w:rsidRPr="005605FF">
        <w:rPr>
          <w:rFonts w:ascii="Book Antiqua" w:eastAsia="宋体" w:hAnsi="Book Antiqua" w:cs="Times New Roman"/>
          <w:kern w:val="2"/>
          <w:sz w:val="24"/>
          <w:szCs w:val="24"/>
          <w:lang w:val="en-US" w:eastAsia="zh-CN"/>
        </w:rPr>
        <w:t>126–</w:t>
      </w:r>
      <w:r w:rsidRPr="005605FF">
        <w:rPr>
          <w:rFonts w:ascii="Book Antiqua" w:eastAsia="宋体" w:hAnsi="Book Antiqua" w:cs="Times New Roman" w:hint="eastAsia"/>
          <w:kern w:val="2"/>
          <w:sz w:val="24"/>
          <w:szCs w:val="24"/>
          <w:lang w:val="en-US" w:eastAsia="zh-CN"/>
        </w:rPr>
        <w:t>1</w:t>
      </w:r>
      <w:r w:rsidRPr="005605FF">
        <w:rPr>
          <w:rFonts w:ascii="Book Antiqua" w:eastAsia="宋体" w:hAnsi="Book Antiqua" w:cs="Times New Roman"/>
          <w:kern w:val="2"/>
          <w:sz w:val="24"/>
          <w:szCs w:val="24"/>
          <w:lang w:val="en-US" w:eastAsia="zh-CN"/>
        </w:rPr>
        <w:t>32 [PMID: 22300085]</w:t>
      </w:r>
    </w:p>
    <w:p w14:paraId="65509267"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16 </w:t>
      </w:r>
      <w:proofErr w:type="spellStart"/>
      <w:r w:rsidRPr="005605FF">
        <w:rPr>
          <w:rFonts w:ascii="Book Antiqua" w:eastAsia="宋体" w:hAnsi="Book Antiqua" w:cs="Times New Roman"/>
          <w:b/>
          <w:kern w:val="2"/>
          <w:sz w:val="24"/>
          <w:szCs w:val="24"/>
          <w:lang w:val="en-US" w:eastAsia="zh-CN"/>
        </w:rPr>
        <w:t>Sikiric</w:t>
      </w:r>
      <w:proofErr w:type="spellEnd"/>
      <w:r w:rsidRPr="005605FF">
        <w:rPr>
          <w:rFonts w:ascii="Book Antiqua" w:eastAsia="宋体" w:hAnsi="Book Antiqua" w:cs="Times New Roman"/>
          <w:b/>
          <w:kern w:val="2"/>
          <w:sz w:val="24"/>
          <w:szCs w:val="24"/>
          <w:lang w:val="en-US" w:eastAsia="zh-CN"/>
        </w:rPr>
        <w:t xml:space="preserve"> P</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Rucman</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Turkovic</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Rokotov</w:t>
      </w:r>
      <w:proofErr w:type="spellEnd"/>
      <w:r w:rsidRPr="005605FF">
        <w:rPr>
          <w:rFonts w:ascii="Book Antiqua" w:eastAsia="宋体" w:hAnsi="Book Antiqua" w:cs="Times New Roman"/>
          <w:kern w:val="2"/>
          <w:sz w:val="24"/>
          <w:szCs w:val="24"/>
          <w:lang w:val="en-US" w:eastAsia="zh-CN"/>
        </w:rPr>
        <w:t xml:space="preserve"> DS, </w:t>
      </w:r>
      <w:proofErr w:type="spellStart"/>
      <w:r w:rsidRPr="005605FF">
        <w:rPr>
          <w:rFonts w:ascii="Book Antiqua" w:eastAsia="宋体" w:hAnsi="Book Antiqua" w:cs="Times New Roman"/>
          <w:kern w:val="2"/>
          <w:sz w:val="24"/>
          <w:szCs w:val="24"/>
          <w:lang w:val="en-US" w:eastAsia="zh-CN"/>
        </w:rPr>
        <w:t>Brcic</w:t>
      </w:r>
      <w:proofErr w:type="spellEnd"/>
      <w:r w:rsidRPr="005605FF">
        <w:rPr>
          <w:rFonts w:ascii="Book Antiqua" w:eastAsia="宋体" w:hAnsi="Book Antiqua" w:cs="Times New Roman"/>
          <w:kern w:val="2"/>
          <w:sz w:val="24"/>
          <w:szCs w:val="24"/>
          <w:lang w:val="en-US" w:eastAsia="zh-CN"/>
        </w:rPr>
        <w:t xml:space="preserve"> L, Sever M, </w:t>
      </w:r>
      <w:proofErr w:type="spellStart"/>
      <w:r w:rsidRPr="005605FF">
        <w:rPr>
          <w:rFonts w:ascii="Book Antiqua" w:eastAsia="宋体" w:hAnsi="Book Antiqua" w:cs="Times New Roman"/>
          <w:kern w:val="2"/>
          <w:sz w:val="24"/>
          <w:szCs w:val="24"/>
          <w:lang w:val="en-US" w:eastAsia="zh-CN"/>
        </w:rPr>
        <w:t>Klicek</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Radic</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Drmic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Ilic</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Kolenc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Vrcic</w:t>
      </w:r>
      <w:proofErr w:type="spellEnd"/>
      <w:r w:rsidRPr="005605FF">
        <w:rPr>
          <w:rFonts w:ascii="Book Antiqua" w:eastAsia="宋体" w:hAnsi="Book Antiqua" w:cs="Times New Roman"/>
          <w:kern w:val="2"/>
          <w:sz w:val="24"/>
          <w:szCs w:val="24"/>
          <w:lang w:val="en-US" w:eastAsia="zh-CN"/>
        </w:rPr>
        <w:t xml:space="preserve"> H, </w:t>
      </w:r>
      <w:proofErr w:type="spellStart"/>
      <w:r w:rsidRPr="005605FF">
        <w:rPr>
          <w:rFonts w:ascii="Book Antiqua" w:eastAsia="宋体" w:hAnsi="Book Antiqua" w:cs="Times New Roman"/>
          <w:kern w:val="2"/>
          <w:sz w:val="24"/>
          <w:szCs w:val="24"/>
          <w:lang w:val="en-US" w:eastAsia="zh-CN"/>
        </w:rPr>
        <w:t>Sebecic</w:t>
      </w:r>
      <w:proofErr w:type="spellEnd"/>
      <w:r w:rsidRPr="005605FF">
        <w:rPr>
          <w:rFonts w:ascii="Book Antiqua" w:eastAsia="宋体" w:hAnsi="Book Antiqua" w:cs="Times New Roman"/>
          <w:kern w:val="2"/>
          <w:sz w:val="24"/>
          <w:szCs w:val="24"/>
          <w:lang w:val="en-US" w:eastAsia="zh-CN"/>
        </w:rPr>
        <w:t xml:space="preserve"> B. Stable gastric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novel therapy in gastrointestinal tract. </w:t>
      </w:r>
      <w:proofErr w:type="spellStart"/>
      <w:r w:rsidRPr="005605FF">
        <w:rPr>
          <w:rFonts w:ascii="Book Antiqua" w:eastAsia="宋体" w:hAnsi="Book Antiqua" w:cs="Times New Roman"/>
          <w:i/>
          <w:kern w:val="2"/>
          <w:sz w:val="24"/>
          <w:szCs w:val="24"/>
          <w:lang w:val="en-US" w:eastAsia="zh-CN"/>
        </w:rPr>
        <w:t>Curr</w:t>
      </w:r>
      <w:proofErr w:type="spellEnd"/>
      <w:r w:rsidRPr="005605FF">
        <w:rPr>
          <w:rFonts w:ascii="Book Antiqua" w:eastAsia="宋体" w:hAnsi="Book Antiqua" w:cs="Times New Roman"/>
          <w:i/>
          <w:kern w:val="2"/>
          <w:sz w:val="24"/>
          <w:szCs w:val="24"/>
          <w:lang w:val="en-US" w:eastAsia="zh-CN"/>
        </w:rPr>
        <w:t xml:space="preserve"> Pharm Des</w:t>
      </w:r>
      <w:r w:rsidRPr="005605FF">
        <w:rPr>
          <w:rFonts w:ascii="Book Antiqua" w:eastAsia="宋体" w:hAnsi="Book Antiqua" w:cs="Times New Roman"/>
          <w:kern w:val="2"/>
          <w:sz w:val="24"/>
          <w:szCs w:val="24"/>
          <w:lang w:val="en-US" w:eastAsia="zh-CN"/>
        </w:rPr>
        <w:t xml:space="preserve"> 2011; </w:t>
      </w:r>
      <w:r w:rsidRPr="005605FF">
        <w:rPr>
          <w:rFonts w:ascii="Book Antiqua" w:eastAsia="宋体" w:hAnsi="Book Antiqua" w:cs="Times New Roman"/>
          <w:b/>
          <w:kern w:val="2"/>
          <w:sz w:val="24"/>
          <w:szCs w:val="24"/>
          <w:lang w:val="en-US" w:eastAsia="zh-CN"/>
        </w:rPr>
        <w:t>17</w:t>
      </w:r>
      <w:r w:rsidRPr="005605FF">
        <w:rPr>
          <w:rFonts w:ascii="Book Antiqua" w:eastAsia="宋体" w:hAnsi="Book Antiqua" w:cs="Times New Roman"/>
          <w:kern w:val="2"/>
          <w:sz w:val="24"/>
          <w:szCs w:val="24"/>
          <w:lang w:val="en-US" w:eastAsia="zh-CN"/>
        </w:rPr>
        <w:t>: 1612-1632 [PMID: 21548867 DOI: 10.2174/138161211796196954]</w:t>
      </w:r>
    </w:p>
    <w:p w14:paraId="5F0D6098"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lastRenderedPageBreak/>
        <w:t xml:space="preserve">17 </w:t>
      </w:r>
      <w:proofErr w:type="spellStart"/>
      <w:r w:rsidRPr="005605FF">
        <w:rPr>
          <w:rFonts w:ascii="Book Antiqua" w:eastAsia="宋体" w:hAnsi="Book Antiqua" w:cs="Times New Roman"/>
          <w:b/>
          <w:kern w:val="2"/>
          <w:sz w:val="24"/>
          <w:szCs w:val="24"/>
          <w:lang w:val="en-US" w:eastAsia="zh-CN"/>
        </w:rPr>
        <w:t>Sikiric</w:t>
      </w:r>
      <w:proofErr w:type="spellEnd"/>
      <w:r w:rsidRPr="005605FF">
        <w:rPr>
          <w:rFonts w:ascii="Book Antiqua" w:eastAsia="宋体" w:hAnsi="Book Antiqua" w:cs="Times New Roman"/>
          <w:b/>
          <w:kern w:val="2"/>
          <w:sz w:val="24"/>
          <w:szCs w:val="24"/>
          <w:lang w:val="en-US" w:eastAsia="zh-CN"/>
        </w:rPr>
        <w:t xml:space="preserve"> P</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Brcic</w:t>
      </w:r>
      <w:proofErr w:type="spellEnd"/>
      <w:r w:rsidRPr="005605FF">
        <w:rPr>
          <w:rFonts w:ascii="Book Antiqua" w:eastAsia="宋体" w:hAnsi="Book Antiqua" w:cs="Times New Roman"/>
          <w:kern w:val="2"/>
          <w:sz w:val="24"/>
          <w:szCs w:val="24"/>
          <w:lang w:val="en-US" w:eastAsia="zh-CN"/>
        </w:rPr>
        <w:t xml:space="preserve"> L, Sever M, </w:t>
      </w:r>
      <w:proofErr w:type="spellStart"/>
      <w:r w:rsidRPr="005605FF">
        <w:rPr>
          <w:rFonts w:ascii="Book Antiqua" w:eastAsia="宋体" w:hAnsi="Book Antiqua" w:cs="Times New Roman"/>
          <w:kern w:val="2"/>
          <w:sz w:val="24"/>
          <w:szCs w:val="24"/>
          <w:lang w:val="en-US" w:eastAsia="zh-CN"/>
        </w:rPr>
        <w:t>Klicek</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Radic</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Drmic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Ilic</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Kolenc</w:t>
      </w:r>
      <w:proofErr w:type="spellEnd"/>
      <w:r w:rsidRPr="005605FF">
        <w:rPr>
          <w:rFonts w:ascii="Book Antiqua" w:eastAsia="宋体" w:hAnsi="Book Antiqua" w:cs="Times New Roman"/>
          <w:kern w:val="2"/>
          <w:sz w:val="24"/>
          <w:szCs w:val="24"/>
          <w:lang w:val="en-US" w:eastAsia="zh-CN"/>
        </w:rPr>
        <w:t xml:space="preserve"> D. Revised Robert's </w:t>
      </w:r>
      <w:proofErr w:type="spellStart"/>
      <w:r w:rsidRPr="005605FF">
        <w:rPr>
          <w:rFonts w:ascii="Book Antiqua" w:eastAsia="宋体" w:hAnsi="Book Antiqua" w:cs="Times New Roman"/>
          <w:kern w:val="2"/>
          <w:sz w:val="24"/>
          <w:szCs w:val="24"/>
          <w:lang w:val="en-US" w:eastAsia="zh-CN"/>
        </w:rPr>
        <w:t>cytoprotection</w:t>
      </w:r>
      <w:proofErr w:type="spellEnd"/>
      <w:r w:rsidRPr="005605FF">
        <w:rPr>
          <w:rFonts w:ascii="Book Antiqua" w:eastAsia="宋体" w:hAnsi="Book Antiqua" w:cs="Times New Roman"/>
          <w:kern w:val="2"/>
          <w:sz w:val="24"/>
          <w:szCs w:val="24"/>
          <w:lang w:val="en-US" w:eastAsia="zh-CN"/>
        </w:rPr>
        <w:t xml:space="preserve"> and adaptive </w:t>
      </w:r>
      <w:proofErr w:type="spellStart"/>
      <w:r w:rsidRPr="005605FF">
        <w:rPr>
          <w:rFonts w:ascii="Book Antiqua" w:eastAsia="宋体" w:hAnsi="Book Antiqua" w:cs="Times New Roman"/>
          <w:kern w:val="2"/>
          <w:sz w:val="24"/>
          <w:szCs w:val="24"/>
          <w:lang w:val="en-US" w:eastAsia="zh-CN"/>
        </w:rPr>
        <w:t>cytoprotection</w:t>
      </w:r>
      <w:proofErr w:type="spellEnd"/>
      <w:r w:rsidRPr="005605FF">
        <w:rPr>
          <w:rFonts w:ascii="Book Antiqua" w:eastAsia="宋体" w:hAnsi="Book Antiqua" w:cs="Times New Roman"/>
          <w:kern w:val="2"/>
          <w:sz w:val="24"/>
          <w:szCs w:val="24"/>
          <w:lang w:val="en-US" w:eastAsia="zh-CN"/>
        </w:rPr>
        <w:t xml:space="preserve"> and stable gastric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Possible significance and implications for novel mediator. </w:t>
      </w:r>
      <w:proofErr w:type="spellStart"/>
      <w:r w:rsidRPr="005605FF">
        <w:rPr>
          <w:rFonts w:ascii="Book Antiqua" w:eastAsia="宋体" w:hAnsi="Book Antiqua" w:cs="Times New Roman"/>
          <w:i/>
          <w:kern w:val="2"/>
          <w:sz w:val="24"/>
          <w:szCs w:val="24"/>
          <w:lang w:val="en-US" w:eastAsia="zh-CN"/>
        </w:rPr>
        <w:t>Curr</w:t>
      </w:r>
      <w:proofErr w:type="spellEnd"/>
      <w:r w:rsidRPr="005605FF">
        <w:rPr>
          <w:rFonts w:ascii="Book Antiqua" w:eastAsia="宋体" w:hAnsi="Book Antiqua" w:cs="Times New Roman"/>
          <w:i/>
          <w:kern w:val="2"/>
          <w:sz w:val="24"/>
          <w:szCs w:val="24"/>
          <w:lang w:val="en-US" w:eastAsia="zh-CN"/>
        </w:rPr>
        <w:t xml:space="preserve"> Pharm Des</w:t>
      </w:r>
      <w:r w:rsidRPr="005605FF">
        <w:rPr>
          <w:rFonts w:ascii="Book Antiqua" w:eastAsia="宋体" w:hAnsi="Book Antiqua" w:cs="Times New Roman"/>
          <w:kern w:val="2"/>
          <w:sz w:val="24"/>
          <w:szCs w:val="24"/>
          <w:lang w:val="en-US" w:eastAsia="zh-CN"/>
        </w:rPr>
        <w:t xml:space="preserve"> 2010; </w:t>
      </w:r>
      <w:r w:rsidRPr="005605FF">
        <w:rPr>
          <w:rFonts w:ascii="Book Antiqua" w:eastAsia="宋体" w:hAnsi="Book Antiqua" w:cs="Times New Roman"/>
          <w:b/>
          <w:kern w:val="2"/>
          <w:sz w:val="24"/>
          <w:szCs w:val="24"/>
          <w:lang w:val="en-US" w:eastAsia="zh-CN"/>
        </w:rPr>
        <w:t>16</w:t>
      </w:r>
      <w:r w:rsidRPr="005605FF">
        <w:rPr>
          <w:rFonts w:ascii="Book Antiqua" w:eastAsia="宋体" w:hAnsi="Book Antiqua" w:cs="Times New Roman"/>
          <w:kern w:val="2"/>
          <w:sz w:val="24"/>
          <w:szCs w:val="24"/>
          <w:lang w:val="en-US" w:eastAsia="zh-CN"/>
        </w:rPr>
        <w:t>: 1224-1234 [PMID: 20166993]</w:t>
      </w:r>
    </w:p>
    <w:p w14:paraId="1F3F85A1"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18 </w:t>
      </w:r>
      <w:proofErr w:type="spellStart"/>
      <w:r w:rsidRPr="005605FF">
        <w:rPr>
          <w:rFonts w:ascii="Book Antiqua" w:eastAsia="宋体" w:hAnsi="Book Antiqua" w:cs="Times New Roman"/>
          <w:b/>
          <w:kern w:val="2"/>
          <w:sz w:val="24"/>
          <w:szCs w:val="24"/>
          <w:lang w:val="en-US" w:eastAsia="zh-CN"/>
        </w:rPr>
        <w:t>Sikiric</w:t>
      </w:r>
      <w:proofErr w:type="spellEnd"/>
      <w:r w:rsidRPr="005605FF">
        <w:rPr>
          <w:rFonts w:ascii="Book Antiqua" w:eastAsia="宋体" w:hAnsi="Book Antiqua" w:cs="Times New Roman"/>
          <w:b/>
          <w:kern w:val="2"/>
          <w:sz w:val="24"/>
          <w:szCs w:val="24"/>
          <w:lang w:val="en-US" w:eastAsia="zh-CN"/>
        </w:rPr>
        <w:t xml:space="preserve"> P</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Brcic</w:t>
      </w:r>
      <w:proofErr w:type="spellEnd"/>
      <w:r w:rsidRPr="005605FF">
        <w:rPr>
          <w:rFonts w:ascii="Book Antiqua" w:eastAsia="宋体" w:hAnsi="Book Antiqua" w:cs="Times New Roman"/>
          <w:kern w:val="2"/>
          <w:sz w:val="24"/>
          <w:szCs w:val="24"/>
          <w:lang w:val="en-US" w:eastAsia="zh-CN"/>
        </w:rPr>
        <w:t xml:space="preserve"> L, </w:t>
      </w:r>
      <w:proofErr w:type="spellStart"/>
      <w:r w:rsidRPr="005605FF">
        <w:rPr>
          <w:rFonts w:ascii="Book Antiqua" w:eastAsia="宋体" w:hAnsi="Book Antiqua" w:cs="Times New Roman"/>
          <w:kern w:val="2"/>
          <w:sz w:val="24"/>
          <w:szCs w:val="24"/>
          <w:lang w:val="en-US" w:eastAsia="zh-CN"/>
        </w:rPr>
        <w:t>Blagaic</w:t>
      </w:r>
      <w:proofErr w:type="spellEnd"/>
      <w:r w:rsidRPr="005605FF">
        <w:rPr>
          <w:rFonts w:ascii="Book Antiqua" w:eastAsia="宋体" w:hAnsi="Book Antiqua" w:cs="Times New Roman"/>
          <w:kern w:val="2"/>
          <w:sz w:val="24"/>
          <w:szCs w:val="24"/>
          <w:lang w:val="en-US" w:eastAsia="zh-CN"/>
        </w:rPr>
        <w:t xml:space="preserve"> AB, </w:t>
      </w:r>
      <w:proofErr w:type="spellStart"/>
      <w:r w:rsidRPr="005605FF">
        <w:rPr>
          <w:rFonts w:ascii="Book Antiqua" w:eastAsia="宋体" w:hAnsi="Book Antiqua" w:cs="Times New Roman"/>
          <w:kern w:val="2"/>
          <w:sz w:val="24"/>
          <w:szCs w:val="24"/>
          <w:lang w:val="en-US" w:eastAsia="zh-CN"/>
        </w:rPr>
        <w:t>Zoricic</w:t>
      </w:r>
      <w:proofErr w:type="spellEnd"/>
      <w:r w:rsidRPr="005605FF">
        <w:rPr>
          <w:rFonts w:ascii="Book Antiqua" w:eastAsia="宋体" w:hAnsi="Book Antiqua" w:cs="Times New Roman"/>
          <w:kern w:val="2"/>
          <w:sz w:val="24"/>
          <w:szCs w:val="24"/>
          <w:lang w:val="en-US" w:eastAsia="zh-CN"/>
        </w:rPr>
        <w:t xml:space="preserve"> I, Sever M, </w:t>
      </w:r>
      <w:proofErr w:type="spellStart"/>
      <w:r w:rsidRPr="005605FF">
        <w:rPr>
          <w:rFonts w:ascii="Book Antiqua" w:eastAsia="宋体" w:hAnsi="Book Antiqua" w:cs="Times New Roman"/>
          <w:kern w:val="2"/>
          <w:sz w:val="24"/>
          <w:szCs w:val="24"/>
          <w:lang w:val="en-US" w:eastAsia="zh-CN"/>
        </w:rPr>
        <w:t>Klicek</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Radic</w:t>
      </w:r>
      <w:proofErr w:type="spellEnd"/>
      <w:r w:rsidRPr="005605FF">
        <w:rPr>
          <w:rFonts w:ascii="Book Antiqua" w:eastAsia="宋体" w:hAnsi="Book Antiqua" w:cs="Times New Roman"/>
          <w:kern w:val="2"/>
          <w:sz w:val="24"/>
          <w:szCs w:val="24"/>
          <w:lang w:val="en-US" w:eastAsia="zh-CN"/>
        </w:rPr>
        <w:t xml:space="preserve"> B, Keller N, </w:t>
      </w:r>
      <w:proofErr w:type="spellStart"/>
      <w:r w:rsidRPr="005605FF">
        <w:rPr>
          <w:rFonts w:ascii="Book Antiqua" w:eastAsia="宋体" w:hAnsi="Book Antiqua" w:cs="Times New Roman"/>
          <w:kern w:val="2"/>
          <w:sz w:val="24"/>
          <w:szCs w:val="24"/>
          <w:lang w:val="en-US" w:eastAsia="zh-CN"/>
        </w:rPr>
        <w:t>Sipos</w:t>
      </w:r>
      <w:proofErr w:type="spellEnd"/>
      <w:r w:rsidRPr="005605FF">
        <w:rPr>
          <w:rFonts w:ascii="Book Antiqua" w:eastAsia="宋体" w:hAnsi="Book Antiqua" w:cs="Times New Roman"/>
          <w:kern w:val="2"/>
          <w:sz w:val="24"/>
          <w:szCs w:val="24"/>
          <w:lang w:val="en-US" w:eastAsia="zh-CN"/>
        </w:rPr>
        <w:t xml:space="preserve"> K, </w:t>
      </w:r>
      <w:proofErr w:type="spellStart"/>
      <w:r w:rsidRPr="005605FF">
        <w:rPr>
          <w:rFonts w:ascii="Book Antiqua" w:eastAsia="宋体" w:hAnsi="Book Antiqua" w:cs="Times New Roman"/>
          <w:kern w:val="2"/>
          <w:sz w:val="24"/>
          <w:szCs w:val="24"/>
          <w:lang w:val="en-US" w:eastAsia="zh-CN"/>
        </w:rPr>
        <w:t>Jakir</w:t>
      </w:r>
      <w:proofErr w:type="spellEnd"/>
      <w:r w:rsidRPr="005605FF">
        <w:rPr>
          <w:rFonts w:ascii="Book Antiqua" w:eastAsia="宋体" w:hAnsi="Book Antiqua" w:cs="Times New Roman"/>
          <w:kern w:val="2"/>
          <w:sz w:val="24"/>
          <w:szCs w:val="24"/>
          <w:lang w:val="en-US" w:eastAsia="zh-CN"/>
        </w:rPr>
        <w:t xml:space="preserve"> A, </w:t>
      </w:r>
      <w:proofErr w:type="spellStart"/>
      <w:r w:rsidRPr="005605FF">
        <w:rPr>
          <w:rFonts w:ascii="Book Antiqua" w:eastAsia="宋体" w:hAnsi="Book Antiqua" w:cs="Times New Roman"/>
          <w:kern w:val="2"/>
          <w:sz w:val="24"/>
          <w:szCs w:val="24"/>
          <w:lang w:val="en-US" w:eastAsia="zh-CN"/>
        </w:rPr>
        <w:t>Udovicic</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Tonkic</w:t>
      </w:r>
      <w:proofErr w:type="spellEnd"/>
      <w:r w:rsidRPr="005605FF">
        <w:rPr>
          <w:rFonts w:ascii="Book Antiqua" w:eastAsia="宋体" w:hAnsi="Book Antiqua" w:cs="Times New Roman"/>
          <w:kern w:val="2"/>
          <w:sz w:val="24"/>
          <w:szCs w:val="24"/>
          <w:lang w:val="en-US" w:eastAsia="zh-CN"/>
        </w:rPr>
        <w:t xml:space="preserve"> A, </w:t>
      </w:r>
      <w:proofErr w:type="spellStart"/>
      <w:r w:rsidRPr="005605FF">
        <w:rPr>
          <w:rFonts w:ascii="Book Antiqua" w:eastAsia="宋体" w:hAnsi="Book Antiqua" w:cs="Times New Roman"/>
          <w:kern w:val="2"/>
          <w:sz w:val="24"/>
          <w:szCs w:val="24"/>
          <w:lang w:val="en-US" w:eastAsia="zh-CN"/>
        </w:rPr>
        <w:t>Kokic</w:t>
      </w:r>
      <w:proofErr w:type="spellEnd"/>
      <w:r w:rsidRPr="005605FF">
        <w:rPr>
          <w:rFonts w:ascii="Book Antiqua" w:eastAsia="宋体" w:hAnsi="Book Antiqua" w:cs="Times New Roman"/>
          <w:kern w:val="2"/>
          <w:sz w:val="24"/>
          <w:szCs w:val="24"/>
          <w:lang w:val="en-US" w:eastAsia="zh-CN"/>
        </w:rPr>
        <w:t xml:space="preserve"> N, </w:t>
      </w:r>
      <w:proofErr w:type="spellStart"/>
      <w:r w:rsidRPr="005605FF">
        <w:rPr>
          <w:rFonts w:ascii="Book Antiqua" w:eastAsia="宋体" w:hAnsi="Book Antiqua" w:cs="Times New Roman"/>
          <w:kern w:val="2"/>
          <w:sz w:val="24"/>
          <w:szCs w:val="24"/>
          <w:lang w:val="en-US" w:eastAsia="zh-CN"/>
        </w:rPr>
        <w:t>Turkovic</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Mise</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Anic</w:t>
      </w:r>
      <w:proofErr w:type="spellEnd"/>
      <w:r w:rsidRPr="005605FF">
        <w:rPr>
          <w:rFonts w:ascii="Book Antiqua" w:eastAsia="宋体" w:hAnsi="Book Antiqua" w:cs="Times New Roman"/>
          <w:kern w:val="2"/>
          <w:sz w:val="24"/>
          <w:szCs w:val="24"/>
          <w:lang w:val="en-US" w:eastAsia="zh-CN"/>
        </w:rPr>
        <w:t xml:space="preserve"> T. Stable gastric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in trials for inflammatory bowel disease (PL-10, PLD-116, PL 14736, </w:t>
      </w:r>
      <w:proofErr w:type="spellStart"/>
      <w:r w:rsidRPr="005605FF">
        <w:rPr>
          <w:rFonts w:ascii="Book Antiqua" w:eastAsia="宋体" w:hAnsi="Book Antiqua" w:cs="Times New Roman"/>
          <w:kern w:val="2"/>
          <w:sz w:val="24"/>
          <w:szCs w:val="24"/>
          <w:lang w:val="en-US" w:eastAsia="zh-CN"/>
        </w:rPr>
        <w:t>Pliva</w:t>
      </w:r>
      <w:proofErr w:type="spellEnd"/>
      <w:r w:rsidRPr="005605FF">
        <w:rPr>
          <w:rFonts w:ascii="Book Antiqua" w:eastAsia="宋体" w:hAnsi="Book Antiqua" w:cs="Times New Roman"/>
          <w:kern w:val="2"/>
          <w:sz w:val="24"/>
          <w:szCs w:val="24"/>
          <w:lang w:val="en-US" w:eastAsia="zh-CN"/>
        </w:rPr>
        <w:t xml:space="preserve">, Croatia). Full and distended stomach, and vascular response. </w:t>
      </w:r>
      <w:proofErr w:type="spellStart"/>
      <w:r w:rsidRPr="005605FF">
        <w:rPr>
          <w:rFonts w:ascii="Book Antiqua" w:eastAsia="宋体" w:hAnsi="Book Antiqua" w:cs="Times New Roman"/>
          <w:i/>
          <w:kern w:val="2"/>
          <w:sz w:val="24"/>
          <w:szCs w:val="24"/>
          <w:lang w:val="en-US" w:eastAsia="zh-CN"/>
        </w:rPr>
        <w:t>Inflammopharmacology</w:t>
      </w:r>
      <w:proofErr w:type="spellEnd"/>
      <w:r w:rsidRPr="005605FF">
        <w:rPr>
          <w:rFonts w:ascii="Book Antiqua" w:eastAsia="宋体" w:hAnsi="Book Antiqua" w:cs="Times New Roman"/>
          <w:kern w:val="2"/>
          <w:sz w:val="24"/>
          <w:szCs w:val="24"/>
          <w:lang w:val="en-US" w:eastAsia="zh-CN"/>
        </w:rPr>
        <w:t xml:space="preserve"> 2006; </w:t>
      </w:r>
      <w:r w:rsidRPr="005605FF">
        <w:rPr>
          <w:rFonts w:ascii="Book Antiqua" w:eastAsia="宋体" w:hAnsi="Book Antiqua" w:cs="Times New Roman"/>
          <w:b/>
          <w:kern w:val="2"/>
          <w:sz w:val="24"/>
          <w:szCs w:val="24"/>
          <w:lang w:val="en-US" w:eastAsia="zh-CN"/>
        </w:rPr>
        <w:t>14</w:t>
      </w:r>
      <w:r w:rsidRPr="005605FF">
        <w:rPr>
          <w:rFonts w:ascii="Book Antiqua" w:eastAsia="宋体" w:hAnsi="Book Antiqua" w:cs="Times New Roman"/>
          <w:kern w:val="2"/>
          <w:sz w:val="24"/>
          <w:szCs w:val="24"/>
          <w:lang w:val="en-US" w:eastAsia="zh-CN"/>
        </w:rPr>
        <w:t>: 214-221 [PMID: 17186181 DOI: 10.1007/s10787-006-1531-7]</w:t>
      </w:r>
    </w:p>
    <w:p w14:paraId="62F6463B"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19 </w:t>
      </w:r>
      <w:proofErr w:type="spellStart"/>
      <w:r w:rsidRPr="005605FF">
        <w:rPr>
          <w:rFonts w:ascii="Book Antiqua" w:eastAsia="宋体" w:hAnsi="Book Antiqua" w:cs="Times New Roman"/>
          <w:b/>
          <w:kern w:val="2"/>
          <w:sz w:val="24"/>
          <w:szCs w:val="24"/>
          <w:lang w:val="en-US" w:eastAsia="zh-CN"/>
        </w:rPr>
        <w:t>Sikirić</w:t>
      </w:r>
      <w:proofErr w:type="spellEnd"/>
      <w:r w:rsidRPr="005605FF">
        <w:rPr>
          <w:rFonts w:ascii="Book Antiqua" w:eastAsia="宋体" w:hAnsi="Book Antiqua" w:cs="Times New Roman"/>
          <w:b/>
          <w:kern w:val="2"/>
          <w:sz w:val="24"/>
          <w:szCs w:val="24"/>
          <w:lang w:val="en-US" w:eastAsia="zh-CN"/>
        </w:rPr>
        <w:t xml:space="preserve"> P</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Petek</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Rucman</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Grabarević</w:t>
      </w:r>
      <w:proofErr w:type="spellEnd"/>
      <w:r w:rsidRPr="005605FF">
        <w:rPr>
          <w:rFonts w:ascii="Book Antiqua" w:eastAsia="宋体" w:hAnsi="Book Antiqua" w:cs="Times New Roman"/>
          <w:kern w:val="2"/>
          <w:sz w:val="24"/>
          <w:szCs w:val="24"/>
          <w:lang w:val="en-US" w:eastAsia="zh-CN"/>
        </w:rPr>
        <w:t xml:space="preserve"> Z, </w:t>
      </w:r>
      <w:proofErr w:type="spellStart"/>
      <w:r w:rsidRPr="005605FF">
        <w:rPr>
          <w:rFonts w:ascii="Book Antiqua" w:eastAsia="宋体" w:hAnsi="Book Antiqua" w:cs="Times New Roman"/>
          <w:kern w:val="2"/>
          <w:sz w:val="24"/>
          <w:szCs w:val="24"/>
          <w:lang w:val="en-US" w:eastAsia="zh-CN"/>
        </w:rPr>
        <w:t>Rotkvić</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Turković</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Jagić</w:t>
      </w:r>
      <w:proofErr w:type="spellEnd"/>
      <w:r w:rsidRPr="005605FF">
        <w:rPr>
          <w:rFonts w:ascii="Book Antiqua" w:eastAsia="宋体" w:hAnsi="Book Antiqua" w:cs="Times New Roman"/>
          <w:kern w:val="2"/>
          <w:sz w:val="24"/>
          <w:szCs w:val="24"/>
          <w:lang w:val="en-US" w:eastAsia="zh-CN"/>
        </w:rPr>
        <w:t xml:space="preserve"> V, </w:t>
      </w:r>
      <w:proofErr w:type="spellStart"/>
      <w:r w:rsidRPr="005605FF">
        <w:rPr>
          <w:rFonts w:ascii="Book Antiqua" w:eastAsia="宋体" w:hAnsi="Book Antiqua" w:cs="Times New Roman"/>
          <w:kern w:val="2"/>
          <w:sz w:val="24"/>
          <w:szCs w:val="24"/>
          <w:lang w:val="en-US" w:eastAsia="zh-CN"/>
        </w:rPr>
        <w:t>Mildner</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Duvnjak</w:t>
      </w:r>
      <w:proofErr w:type="spellEnd"/>
      <w:r w:rsidRPr="005605FF">
        <w:rPr>
          <w:rFonts w:ascii="Book Antiqua" w:eastAsia="宋体" w:hAnsi="Book Antiqua" w:cs="Times New Roman"/>
          <w:kern w:val="2"/>
          <w:sz w:val="24"/>
          <w:szCs w:val="24"/>
          <w:lang w:val="en-US" w:eastAsia="zh-CN"/>
        </w:rPr>
        <w:t xml:space="preserve"> M. A new gastric juice peptide, BPC. An overview of the stomach-stress-</w:t>
      </w:r>
      <w:proofErr w:type="spellStart"/>
      <w:r w:rsidRPr="005605FF">
        <w:rPr>
          <w:rFonts w:ascii="Book Antiqua" w:eastAsia="宋体" w:hAnsi="Book Antiqua" w:cs="Times New Roman"/>
          <w:kern w:val="2"/>
          <w:sz w:val="24"/>
          <w:szCs w:val="24"/>
          <w:lang w:val="en-US" w:eastAsia="zh-CN"/>
        </w:rPr>
        <w:t>organoprotection</w:t>
      </w:r>
      <w:proofErr w:type="spellEnd"/>
      <w:r w:rsidRPr="005605FF">
        <w:rPr>
          <w:rFonts w:ascii="Book Antiqua" w:eastAsia="宋体" w:hAnsi="Book Antiqua" w:cs="Times New Roman"/>
          <w:kern w:val="2"/>
          <w:sz w:val="24"/>
          <w:szCs w:val="24"/>
          <w:lang w:val="en-US" w:eastAsia="zh-CN"/>
        </w:rPr>
        <w:t xml:space="preserve"> hypothesis and beneficial effects of BPC. </w:t>
      </w:r>
      <w:r w:rsidRPr="005605FF">
        <w:rPr>
          <w:rFonts w:ascii="Book Antiqua" w:eastAsia="宋体" w:hAnsi="Book Antiqua" w:cs="Times New Roman"/>
          <w:i/>
          <w:kern w:val="2"/>
          <w:sz w:val="24"/>
          <w:szCs w:val="24"/>
          <w:lang w:val="en-US" w:eastAsia="zh-CN"/>
        </w:rPr>
        <w:t xml:space="preserve">J </w:t>
      </w:r>
      <w:proofErr w:type="spellStart"/>
      <w:r w:rsidRPr="005605FF">
        <w:rPr>
          <w:rFonts w:ascii="Book Antiqua" w:eastAsia="宋体" w:hAnsi="Book Antiqua" w:cs="Times New Roman"/>
          <w:i/>
          <w:kern w:val="2"/>
          <w:sz w:val="24"/>
          <w:szCs w:val="24"/>
          <w:lang w:val="en-US" w:eastAsia="zh-CN"/>
        </w:rPr>
        <w:t>Physiol</w:t>
      </w:r>
      <w:proofErr w:type="spellEnd"/>
      <w:r w:rsidRPr="005605FF">
        <w:rPr>
          <w:rFonts w:ascii="Book Antiqua" w:eastAsia="宋体" w:hAnsi="Book Antiqua" w:cs="Times New Roman"/>
          <w:i/>
          <w:kern w:val="2"/>
          <w:sz w:val="24"/>
          <w:szCs w:val="24"/>
          <w:lang w:val="en-US" w:eastAsia="zh-CN"/>
        </w:rPr>
        <w:t xml:space="preserve"> Paris</w:t>
      </w:r>
      <w:r w:rsidRPr="005605FF">
        <w:rPr>
          <w:rFonts w:ascii="Book Antiqua" w:eastAsia="宋体" w:hAnsi="Book Antiqua" w:cs="Times New Roman"/>
          <w:kern w:val="2"/>
          <w:sz w:val="24"/>
          <w:szCs w:val="24"/>
          <w:lang w:val="en-US" w:eastAsia="zh-CN"/>
        </w:rPr>
        <w:t xml:space="preserve"> 1993; </w:t>
      </w:r>
      <w:r w:rsidRPr="005605FF">
        <w:rPr>
          <w:rFonts w:ascii="Book Antiqua" w:eastAsia="宋体" w:hAnsi="Book Antiqua" w:cs="Times New Roman"/>
          <w:b/>
          <w:kern w:val="2"/>
          <w:sz w:val="24"/>
          <w:szCs w:val="24"/>
          <w:lang w:val="en-US" w:eastAsia="zh-CN"/>
        </w:rPr>
        <w:t>87</w:t>
      </w:r>
      <w:r w:rsidRPr="005605FF">
        <w:rPr>
          <w:rFonts w:ascii="Book Antiqua" w:eastAsia="宋体" w:hAnsi="Book Antiqua" w:cs="Times New Roman"/>
          <w:kern w:val="2"/>
          <w:sz w:val="24"/>
          <w:szCs w:val="24"/>
          <w:lang w:val="en-US" w:eastAsia="zh-CN"/>
        </w:rPr>
        <w:t>: 313-327 [PMID: 8298609 DOI: 10.1016/0928-4257(93)90038-U]</w:t>
      </w:r>
    </w:p>
    <w:p w14:paraId="1CF12FFC"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20 </w:t>
      </w:r>
      <w:proofErr w:type="spellStart"/>
      <w:r w:rsidRPr="005605FF">
        <w:rPr>
          <w:rFonts w:ascii="Book Antiqua" w:eastAsia="宋体" w:hAnsi="Book Antiqua" w:cs="Times New Roman"/>
          <w:b/>
          <w:kern w:val="2"/>
          <w:sz w:val="24"/>
          <w:szCs w:val="24"/>
          <w:lang w:val="en-US" w:eastAsia="zh-CN"/>
        </w:rPr>
        <w:t>Duzel</w:t>
      </w:r>
      <w:proofErr w:type="spellEnd"/>
      <w:r w:rsidRPr="005605FF">
        <w:rPr>
          <w:rFonts w:ascii="Book Antiqua" w:eastAsia="宋体" w:hAnsi="Book Antiqua" w:cs="Times New Roman"/>
          <w:b/>
          <w:kern w:val="2"/>
          <w:sz w:val="24"/>
          <w:szCs w:val="24"/>
          <w:lang w:val="en-US" w:eastAsia="zh-CN"/>
        </w:rPr>
        <w:t xml:space="preserve"> A</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Vlainic</w:t>
      </w:r>
      <w:proofErr w:type="spellEnd"/>
      <w:r w:rsidRPr="005605FF">
        <w:rPr>
          <w:rFonts w:ascii="Book Antiqua" w:eastAsia="宋体" w:hAnsi="Book Antiqua" w:cs="Times New Roman"/>
          <w:kern w:val="2"/>
          <w:sz w:val="24"/>
          <w:szCs w:val="24"/>
          <w:lang w:val="en-US" w:eastAsia="zh-CN"/>
        </w:rPr>
        <w:t xml:space="preserve"> J, </w:t>
      </w:r>
      <w:proofErr w:type="spellStart"/>
      <w:r w:rsidRPr="005605FF">
        <w:rPr>
          <w:rFonts w:ascii="Book Antiqua" w:eastAsia="宋体" w:hAnsi="Book Antiqua" w:cs="Times New Roman"/>
          <w:kern w:val="2"/>
          <w:sz w:val="24"/>
          <w:szCs w:val="24"/>
          <w:lang w:val="en-US" w:eastAsia="zh-CN"/>
        </w:rPr>
        <w:t>Antunovic</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Malekinusic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Vrdoljak</w:t>
      </w:r>
      <w:proofErr w:type="spellEnd"/>
      <w:r w:rsidRPr="005605FF">
        <w:rPr>
          <w:rFonts w:ascii="Book Antiqua" w:eastAsia="宋体" w:hAnsi="Book Antiqua" w:cs="Times New Roman"/>
          <w:kern w:val="2"/>
          <w:sz w:val="24"/>
          <w:szCs w:val="24"/>
          <w:lang w:val="en-US" w:eastAsia="zh-CN"/>
        </w:rPr>
        <w:t xml:space="preserve"> B, Samara M, </w:t>
      </w:r>
      <w:proofErr w:type="spellStart"/>
      <w:r w:rsidRPr="005605FF">
        <w:rPr>
          <w:rFonts w:ascii="Book Antiqua" w:eastAsia="宋体" w:hAnsi="Book Antiqua" w:cs="Times New Roman"/>
          <w:kern w:val="2"/>
          <w:sz w:val="24"/>
          <w:szCs w:val="24"/>
          <w:lang w:val="en-US" w:eastAsia="zh-CN"/>
        </w:rPr>
        <w:t>Gojkovic</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Krezic</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Vidovic</w:t>
      </w:r>
      <w:proofErr w:type="spellEnd"/>
      <w:r w:rsidRPr="005605FF">
        <w:rPr>
          <w:rFonts w:ascii="Book Antiqua" w:eastAsia="宋体" w:hAnsi="Book Antiqua" w:cs="Times New Roman"/>
          <w:kern w:val="2"/>
          <w:sz w:val="24"/>
          <w:szCs w:val="24"/>
          <w:lang w:val="en-US" w:eastAsia="zh-CN"/>
        </w:rPr>
        <w:t xml:space="preserve"> T, </w:t>
      </w:r>
      <w:proofErr w:type="spellStart"/>
      <w:r w:rsidRPr="005605FF">
        <w:rPr>
          <w:rFonts w:ascii="Book Antiqua" w:eastAsia="宋体" w:hAnsi="Book Antiqua" w:cs="Times New Roman"/>
          <w:kern w:val="2"/>
          <w:sz w:val="24"/>
          <w:szCs w:val="24"/>
          <w:lang w:val="en-US" w:eastAsia="zh-CN"/>
        </w:rPr>
        <w:t>Bilic</w:t>
      </w:r>
      <w:proofErr w:type="spellEnd"/>
      <w:r w:rsidRPr="005605FF">
        <w:rPr>
          <w:rFonts w:ascii="Book Antiqua" w:eastAsia="宋体" w:hAnsi="Book Antiqua" w:cs="Times New Roman"/>
          <w:kern w:val="2"/>
          <w:sz w:val="24"/>
          <w:szCs w:val="24"/>
          <w:lang w:val="en-US" w:eastAsia="zh-CN"/>
        </w:rPr>
        <w:t xml:space="preserve"> Z, </w:t>
      </w:r>
      <w:proofErr w:type="spellStart"/>
      <w:r w:rsidRPr="005605FF">
        <w:rPr>
          <w:rFonts w:ascii="Book Antiqua" w:eastAsia="宋体" w:hAnsi="Book Antiqua" w:cs="Times New Roman"/>
          <w:kern w:val="2"/>
          <w:sz w:val="24"/>
          <w:szCs w:val="24"/>
          <w:lang w:val="en-US" w:eastAsia="zh-CN"/>
        </w:rPr>
        <w:t>Knezevic</w:t>
      </w:r>
      <w:proofErr w:type="spellEnd"/>
      <w:r w:rsidRPr="005605FF">
        <w:rPr>
          <w:rFonts w:ascii="Book Antiqua" w:eastAsia="宋体" w:hAnsi="Book Antiqua" w:cs="Times New Roman"/>
          <w:kern w:val="2"/>
          <w:sz w:val="24"/>
          <w:szCs w:val="24"/>
          <w:lang w:val="en-US" w:eastAsia="zh-CN"/>
        </w:rPr>
        <w:t xml:space="preserve"> M, Sever M, </w:t>
      </w:r>
      <w:proofErr w:type="spellStart"/>
      <w:r w:rsidRPr="005605FF">
        <w:rPr>
          <w:rFonts w:ascii="Book Antiqua" w:eastAsia="宋体" w:hAnsi="Book Antiqua" w:cs="Times New Roman"/>
          <w:kern w:val="2"/>
          <w:sz w:val="24"/>
          <w:szCs w:val="24"/>
          <w:lang w:val="en-US" w:eastAsia="zh-CN"/>
        </w:rPr>
        <w:t>Lojo</w:t>
      </w:r>
      <w:proofErr w:type="spellEnd"/>
      <w:r w:rsidRPr="005605FF">
        <w:rPr>
          <w:rFonts w:ascii="Book Antiqua" w:eastAsia="宋体" w:hAnsi="Book Antiqua" w:cs="Times New Roman"/>
          <w:kern w:val="2"/>
          <w:sz w:val="24"/>
          <w:szCs w:val="24"/>
          <w:lang w:val="en-US" w:eastAsia="zh-CN"/>
        </w:rPr>
        <w:t xml:space="preserve"> N, </w:t>
      </w:r>
      <w:proofErr w:type="spellStart"/>
      <w:r w:rsidRPr="005605FF">
        <w:rPr>
          <w:rFonts w:ascii="Book Antiqua" w:eastAsia="宋体" w:hAnsi="Book Antiqua" w:cs="Times New Roman"/>
          <w:kern w:val="2"/>
          <w:sz w:val="24"/>
          <w:szCs w:val="24"/>
          <w:lang w:val="en-US" w:eastAsia="zh-CN"/>
        </w:rPr>
        <w:t>Kokot</w:t>
      </w:r>
      <w:proofErr w:type="spellEnd"/>
      <w:r w:rsidRPr="005605FF">
        <w:rPr>
          <w:rFonts w:ascii="Book Antiqua" w:eastAsia="宋体" w:hAnsi="Book Antiqua" w:cs="Times New Roman"/>
          <w:kern w:val="2"/>
          <w:sz w:val="24"/>
          <w:szCs w:val="24"/>
          <w:lang w:val="en-US" w:eastAsia="zh-CN"/>
        </w:rPr>
        <w:t xml:space="preserve"> A, </w:t>
      </w:r>
      <w:proofErr w:type="spellStart"/>
      <w:r w:rsidRPr="005605FF">
        <w:rPr>
          <w:rFonts w:ascii="Book Antiqua" w:eastAsia="宋体" w:hAnsi="Book Antiqua" w:cs="Times New Roman"/>
          <w:kern w:val="2"/>
          <w:sz w:val="24"/>
          <w:szCs w:val="24"/>
          <w:lang w:val="en-US" w:eastAsia="zh-CN"/>
        </w:rPr>
        <w:t>Kolovrat</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Drmic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Vukojevic</w:t>
      </w:r>
      <w:proofErr w:type="spellEnd"/>
      <w:r w:rsidRPr="005605FF">
        <w:rPr>
          <w:rFonts w:ascii="Book Antiqua" w:eastAsia="宋体" w:hAnsi="Book Antiqua" w:cs="Times New Roman"/>
          <w:kern w:val="2"/>
          <w:sz w:val="24"/>
          <w:szCs w:val="24"/>
          <w:lang w:val="en-US" w:eastAsia="zh-CN"/>
        </w:rPr>
        <w:t xml:space="preserve"> J, </w:t>
      </w:r>
      <w:proofErr w:type="spellStart"/>
      <w:r w:rsidRPr="005605FF">
        <w:rPr>
          <w:rFonts w:ascii="Book Antiqua" w:eastAsia="宋体" w:hAnsi="Book Antiqua" w:cs="Times New Roman"/>
          <w:kern w:val="2"/>
          <w:sz w:val="24"/>
          <w:szCs w:val="24"/>
          <w:lang w:val="en-US" w:eastAsia="zh-CN"/>
        </w:rPr>
        <w:t>Kralj</w:t>
      </w:r>
      <w:proofErr w:type="spellEnd"/>
      <w:r w:rsidRPr="005605FF">
        <w:rPr>
          <w:rFonts w:ascii="Book Antiqua" w:eastAsia="宋体" w:hAnsi="Book Antiqua" w:cs="Times New Roman"/>
          <w:kern w:val="2"/>
          <w:sz w:val="24"/>
          <w:szCs w:val="24"/>
          <w:lang w:val="en-US" w:eastAsia="zh-CN"/>
        </w:rPr>
        <w:t xml:space="preserve"> T, </w:t>
      </w:r>
      <w:proofErr w:type="spellStart"/>
      <w:r w:rsidRPr="005605FF">
        <w:rPr>
          <w:rFonts w:ascii="Book Antiqua" w:eastAsia="宋体" w:hAnsi="Book Antiqua" w:cs="Times New Roman"/>
          <w:kern w:val="2"/>
          <w:sz w:val="24"/>
          <w:szCs w:val="24"/>
          <w:lang w:val="en-US" w:eastAsia="zh-CN"/>
        </w:rPr>
        <w:t>Kasnik</w:t>
      </w:r>
      <w:proofErr w:type="spellEnd"/>
      <w:r w:rsidRPr="005605FF">
        <w:rPr>
          <w:rFonts w:ascii="Book Antiqua" w:eastAsia="宋体" w:hAnsi="Book Antiqua" w:cs="Times New Roman"/>
          <w:kern w:val="2"/>
          <w:sz w:val="24"/>
          <w:szCs w:val="24"/>
          <w:lang w:val="en-US" w:eastAsia="zh-CN"/>
        </w:rPr>
        <w:t xml:space="preserve"> K, </w:t>
      </w:r>
      <w:proofErr w:type="spellStart"/>
      <w:r w:rsidRPr="005605FF">
        <w:rPr>
          <w:rFonts w:ascii="Book Antiqua" w:eastAsia="宋体" w:hAnsi="Book Antiqua" w:cs="Times New Roman"/>
          <w:kern w:val="2"/>
          <w:sz w:val="24"/>
          <w:szCs w:val="24"/>
          <w:lang w:val="en-US" w:eastAsia="zh-CN"/>
        </w:rPr>
        <w:t>Siroglavic</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Sikiric</w:t>
      </w:r>
      <w:proofErr w:type="spellEnd"/>
      <w:r w:rsidRPr="005605FF">
        <w:rPr>
          <w:rFonts w:ascii="Book Antiqua" w:eastAsia="宋体" w:hAnsi="Book Antiqua" w:cs="Times New Roman"/>
          <w:kern w:val="2"/>
          <w:sz w:val="24"/>
          <w:szCs w:val="24"/>
          <w:lang w:val="en-US" w:eastAsia="zh-CN"/>
        </w:rPr>
        <w:t xml:space="preserve"> P. Stable gastric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in the treatment of colitis and ischemia and reperfusion in rats: New insights. </w:t>
      </w:r>
      <w:r w:rsidRPr="005605FF">
        <w:rPr>
          <w:rFonts w:ascii="Book Antiqua" w:eastAsia="宋体" w:hAnsi="Book Antiqua" w:cs="Times New Roman"/>
          <w:i/>
          <w:kern w:val="2"/>
          <w:sz w:val="24"/>
          <w:szCs w:val="24"/>
          <w:lang w:val="en-US" w:eastAsia="zh-CN"/>
        </w:rPr>
        <w:t>World J Gastroenterol</w:t>
      </w:r>
      <w:r w:rsidRPr="005605FF">
        <w:rPr>
          <w:rFonts w:ascii="Book Antiqua" w:eastAsia="宋体" w:hAnsi="Book Antiqua" w:cs="Times New Roman"/>
          <w:kern w:val="2"/>
          <w:sz w:val="24"/>
          <w:szCs w:val="24"/>
          <w:lang w:val="en-US" w:eastAsia="zh-CN"/>
        </w:rPr>
        <w:t xml:space="preserve"> 2017; </w:t>
      </w:r>
      <w:r w:rsidRPr="005605FF">
        <w:rPr>
          <w:rFonts w:ascii="Book Antiqua" w:eastAsia="宋体" w:hAnsi="Book Antiqua" w:cs="Times New Roman"/>
          <w:b/>
          <w:kern w:val="2"/>
          <w:sz w:val="24"/>
          <w:szCs w:val="24"/>
          <w:lang w:val="en-US" w:eastAsia="zh-CN"/>
        </w:rPr>
        <w:t>23</w:t>
      </w:r>
      <w:r w:rsidRPr="005605FF">
        <w:rPr>
          <w:rFonts w:ascii="Book Antiqua" w:eastAsia="宋体" w:hAnsi="Book Antiqua" w:cs="Times New Roman"/>
          <w:kern w:val="2"/>
          <w:sz w:val="24"/>
          <w:szCs w:val="24"/>
          <w:lang w:val="en-US" w:eastAsia="zh-CN"/>
        </w:rPr>
        <w:t>: 8465-8488 [PMID: 29358856 DOI: 10.3748/wjg.v23.i48.8465]</w:t>
      </w:r>
    </w:p>
    <w:p w14:paraId="6BCA9542"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21 </w:t>
      </w:r>
      <w:proofErr w:type="spellStart"/>
      <w:r w:rsidRPr="005605FF">
        <w:rPr>
          <w:rFonts w:ascii="Book Antiqua" w:eastAsia="宋体" w:hAnsi="Book Antiqua" w:cs="Times New Roman"/>
          <w:b/>
          <w:kern w:val="2"/>
          <w:sz w:val="24"/>
          <w:szCs w:val="24"/>
          <w:lang w:val="en-US" w:eastAsia="zh-CN"/>
        </w:rPr>
        <w:t>Vukojević</w:t>
      </w:r>
      <w:proofErr w:type="spellEnd"/>
      <w:r w:rsidRPr="005605FF">
        <w:rPr>
          <w:rFonts w:ascii="Book Antiqua" w:eastAsia="宋体" w:hAnsi="Book Antiqua" w:cs="Times New Roman"/>
          <w:b/>
          <w:kern w:val="2"/>
          <w:sz w:val="24"/>
          <w:szCs w:val="24"/>
          <w:lang w:val="en-US" w:eastAsia="zh-CN"/>
        </w:rPr>
        <w:t xml:space="preserve"> J</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Siroglavić</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Kašnik</w:t>
      </w:r>
      <w:proofErr w:type="spellEnd"/>
      <w:r w:rsidRPr="005605FF">
        <w:rPr>
          <w:rFonts w:ascii="Book Antiqua" w:eastAsia="宋体" w:hAnsi="Book Antiqua" w:cs="Times New Roman"/>
          <w:kern w:val="2"/>
          <w:sz w:val="24"/>
          <w:szCs w:val="24"/>
          <w:lang w:val="en-US" w:eastAsia="zh-CN"/>
        </w:rPr>
        <w:t xml:space="preserve"> K, </w:t>
      </w:r>
      <w:proofErr w:type="spellStart"/>
      <w:r w:rsidRPr="005605FF">
        <w:rPr>
          <w:rFonts w:ascii="Book Antiqua" w:eastAsia="宋体" w:hAnsi="Book Antiqua" w:cs="Times New Roman"/>
          <w:kern w:val="2"/>
          <w:sz w:val="24"/>
          <w:szCs w:val="24"/>
          <w:lang w:val="en-US" w:eastAsia="zh-CN"/>
        </w:rPr>
        <w:t>Kralj</w:t>
      </w:r>
      <w:proofErr w:type="spellEnd"/>
      <w:r w:rsidRPr="005605FF">
        <w:rPr>
          <w:rFonts w:ascii="Book Antiqua" w:eastAsia="宋体" w:hAnsi="Book Antiqua" w:cs="Times New Roman"/>
          <w:kern w:val="2"/>
          <w:sz w:val="24"/>
          <w:szCs w:val="24"/>
          <w:lang w:val="en-US" w:eastAsia="zh-CN"/>
        </w:rPr>
        <w:t xml:space="preserve"> T, </w:t>
      </w:r>
      <w:proofErr w:type="spellStart"/>
      <w:r w:rsidRPr="005605FF">
        <w:rPr>
          <w:rFonts w:ascii="Book Antiqua" w:eastAsia="宋体" w:hAnsi="Book Antiqua" w:cs="Times New Roman"/>
          <w:kern w:val="2"/>
          <w:sz w:val="24"/>
          <w:szCs w:val="24"/>
          <w:lang w:val="en-US" w:eastAsia="zh-CN"/>
        </w:rPr>
        <w:t>Stanćić</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Kokot</w:t>
      </w:r>
      <w:proofErr w:type="spellEnd"/>
      <w:r w:rsidRPr="005605FF">
        <w:rPr>
          <w:rFonts w:ascii="Book Antiqua" w:eastAsia="宋体" w:hAnsi="Book Antiqua" w:cs="Times New Roman"/>
          <w:kern w:val="2"/>
          <w:sz w:val="24"/>
          <w:szCs w:val="24"/>
          <w:lang w:val="en-US" w:eastAsia="zh-CN"/>
        </w:rPr>
        <w:t xml:space="preserve"> A, </w:t>
      </w:r>
      <w:proofErr w:type="spellStart"/>
      <w:r w:rsidRPr="005605FF">
        <w:rPr>
          <w:rFonts w:ascii="Book Antiqua" w:eastAsia="宋体" w:hAnsi="Book Antiqua" w:cs="Times New Roman"/>
          <w:kern w:val="2"/>
          <w:sz w:val="24"/>
          <w:szCs w:val="24"/>
          <w:lang w:val="en-US" w:eastAsia="zh-CN"/>
        </w:rPr>
        <w:t>Kolarić</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Drmić</w:t>
      </w:r>
      <w:proofErr w:type="spellEnd"/>
      <w:r w:rsidRPr="005605FF">
        <w:rPr>
          <w:rFonts w:ascii="Book Antiqua" w:eastAsia="宋体" w:hAnsi="Book Antiqua" w:cs="Times New Roman"/>
          <w:kern w:val="2"/>
          <w:sz w:val="24"/>
          <w:szCs w:val="24"/>
          <w:lang w:val="en-US" w:eastAsia="zh-CN"/>
        </w:rPr>
        <w:t xml:space="preserve"> D, Sever AZ, </w:t>
      </w:r>
      <w:proofErr w:type="spellStart"/>
      <w:r w:rsidRPr="005605FF">
        <w:rPr>
          <w:rFonts w:ascii="Book Antiqua" w:eastAsia="宋体" w:hAnsi="Book Antiqua" w:cs="Times New Roman"/>
          <w:kern w:val="2"/>
          <w:sz w:val="24"/>
          <w:szCs w:val="24"/>
          <w:lang w:val="en-US" w:eastAsia="zh-CN"/>
        </w:rPr>
        <w:t>Barišić</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Šuran</w:t>
      </w:r>
      <w:proofErr w:type="spellEnd"/>
      <w:r w:rsidRPr="005605FF">
        <w:rPr>
          <w:rFonts w:ascii="Book Antiqua" w:eastAsia="宋体" w:hAnsi="Book Antiqua" w:cs="Times New Roman"/>
          <w:kern w:val="2"/>
          <w:sz w:val="24"/>
          <w:szCs w:val="24"/>
          <w:lang w:val="en-US" w:eastAsia="zh-CN"/>
        </w:rPr>
        <w:t xml:space="preserve"> J, </w:t>
      </w:r>
      <w:proofErr w:type="spellStart"/>
      <w:r w:rsidRPr="005605FF">
        <w:rPr>
          <w:rFonts w:ascii="Book Antiqua" w:eastAsia="宋体" w:hAnsi="Book Antiqua" w:cs="Times New Roman"/>
          <w:kern w:val="2"/>
          <w:sz w:val="24"/>
          <w:szCs w:val="24"/>
          <w:lang w:val="en-US" w:eastAsia="zh-CN"/>
        </w:rPr>
        <w:t>Bojić</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Patrlj</w:t>
      </w:r>
      <w:proofErr w:type="spellEnd"/>
      <w:r w:rsidRPr="005605FF">
        <w:rPr>
          <w:rFonts w:ascii="Book Antiqua" w:eastAsia="宋体" w:hAnsi="Book Antiqua" w:cs="Times New Roman"/>
          <w:kern w:val="2"/>
          <w:sz w:val="24"/>
          <w:szCs w:val="24"/>
          <w:lang w:val="en-US" w:eastAsia="zh-CN"/>
        </w:rPr>
        <w:t xml:space="preserve"> MH, </w:t>
      </w:r>
      <w:proofErr w:type="spellStart"/>
      <w:r w:rsidRPr="005605FF">
        <w:rPr>
          <w:rFonts w:ascii="Book Antiqua" w:eastAsia="宋体" w:hAnsi="Book Antiqua" w:cs="Times New Roman"/>
          <w:kern w:val="2"/>
          <w:sz w:val="24"/>
          <w:szCs w:val="24"/>
          <w:lang w:val="en-US" w:eastAsia="zh-CN"/>
        </w:rPr>
        <w:t>Sjekavica</w:t>
      </w:r>
      <w:proofErr w:type="spellEnd"/>
      <w:r w:rsidRPr="005605FF">
        <w:rPr>
          <w:rFonts w:ascii="Book Antiqua" w:eastAsia="宋体" w:hAnsi="Book Antiqua" w:cs="Times New Roman"/>
          <w:kern w:val="2"/>
          <w:sz w:val="24"/>
          <w:szCs w:val="24"/>
          <w:lang w:val="en-US" w:eastAsia="zh-CN"/>
        </w:rPr>
        <w:t xml:space="preserve"> I, Pavlov KH, </w:t>
      </w:r>
      <w:proofErr w:type="spellStart"/>
      <w:r w:rsidRPr="005605FF">
        <w:rPr>
          <w:rFonts w:ascii="Book Antiqua" w:eastAsia="宋体" w:hAnsi="Book Antiqua" w:cs="Times New Roman"/>
          <w:kern w:val="2"/>
          <w:sz w:val="24"/>
          <w:szCs w:val="24"/>
          <w:lang w:val="en-US" w:eastAsia="zh-CN"/>
        </w:rPr>
        <w:t>Vidović</w:t>
      </w:r>
      <w:proofErr w:type="spellEnd"/>
      <w:r w:rsidRPr="005605FF">
        <w:rPr>
          <w:rFonts w:ascii="Book Antiqua" w:eastAsia="宋体" w:hAnsi="Book Antiqua" w:cs="Times New Roman"/>
          <w:kern w:val="2"/>
          <w:sz w:val="24"/>
          <w:szCs w:val="24"/>
          <w:lang w:val="en-US" w:eastAsia="zh-CN"/>
        </w:rPr>
        <w:t xml:space="preserve"> T, </w:t>
      </w:r>
      <w:proofErr w:type="spellStart"/>
      <w:r w:rsidRPr="005605FF">
        <w:rPr>
          <w:rFonts w:ascii="Book Antiqua" w:eastAsia="宋体" w:hAnsi="Book Antiqua" w:cs="Times New Roman"/>
          <w:kern w:val="2"/>
          <w:sz w:val="24"/>
          <w:szCs w:val="24"/>
          <w:lang w:val="en-US" w:eastAsia="zh-CN"/>
        </w:rPr>
        <w:t>Vlainić</w:t>
      </w:r>
      <w:proofErr w:type="spellEnd"/>
      <w:r w:rsidRPr="005605FF">
        <w:rPr>
          <w:rFonts w:ascii="Book Antiqua" w:eastAsia="宋体" w:hAnsi="Book Antiqua" w:cs="Times New Roman"/>
          <w:kern w:val="2"/>
          <w:sz w:val="24"/>
          <w:szCs w:val="24"/>
          <w:lang w:val="en-US" w:eastAsia="zh-CN"/>
        </w:rPr>
        <w:t xml:space="preserve"> J, </w:t>
      </w:r>
      <w:proofErr w:type="spellStart"/>
      <w:r w:rsidRPr="005605FF">
        <w:rPr>
          <w:rFonts w:ascii="Book Antiqua" w:eastAsia="宋体" w:hAnsi="Book Antiqua" w:cs="Times New Roman"/>
          <w:kern w:val="2"/>
          <w:sz w:val="24"/>
          <w:szCs w:val="24"/>
          <w:lang w:val="en-US" w:eastAsia="zh-CN"/>
        </w:rPr>
        <w:t>Stupnišek</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Sikirić</w:t>
      </w:r>
      <w:proofErr w:type="spellEnd"/>
      <w:r w:rsidRPr="005605FF">
        <w:rPr>
          <w:rFonts w:ascii="Book Antiqua" w:eastAsia="宋体" w:hAnsi="Book Antiqua" w:cs="Times New Roman"/>
          <w:kern w:val="2"/>
          <w:sz w:val="24"/>
          <w:szCs w:val="24"/>
          <w:lang w:val="en-US" w:eastAsia="zh-CN"/>
        </w:rPr>
        <w:t xml:space="preserve"> P. Rat inferior </w:t>
      </w:r>
      <w:proofErr w:type="spellStart"/>
      <w:r w:rsidRPr="005605FF">
        <w:rPr>
          <w:rFonts w:ascii="Book Antiqua" w:eastAsia="宋体" w:hAnsi="Book Antiqua" w:cs="Times New Roman"/>
          <w:kern w:val="2"/>
          <w:sz w:val="24"/>
          <w:szCs w:val="24"/>
          <w:lang w:val="en-US" w:eastAsia="zh-CN"/>
        </w:rPr>
        <w:t>caval</w:t>
      </w:r>
      <w:proofErr w:type="spellEnd"/>
      <w:r w:rsidRPr="005605FF">
        <w:rPr>
          <w:rFonts w:ascii="Book Antiqua" w:eastAsia="宋体" w:hAnsi="Book Antiqua" w:cs="Times New Roman"/>
          <w:kern w:val="2"/>
          <w:sz w:val="24"/>
          <w:szCs w:val="24"/>
          <w:lang w:val="en-US" w:eastAsia="zh-CN"/>
        </w:rPr>
        <w:t xml:space="preserve"> vein (ICV) ligature and particular new insights with the stable gastric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w:t>
      </w:r>
      <w:proofErr w:type="spellStart"/>
      <w:r w:rsidRPr="005605FF">
        <w:rPr>
          <w:rFonts w:ascii="Book Antiqua" w:eastAsia="宋体" w:hAnsi="Book Antiqua" w:cs="Times New Roman"/>
          <w:i/>
          <w:kern w:val="2"/>
          <w:sz w:val="24"/>
          <w:szCs w:val="24"/>
          <w:lang w:val="en-US" w:eastAsia="zh-CN"/>
        </w:rPr>
        <w:t>Vascul</w:t>
      </w:r>
      <w:proofErr w:type="spellEnd"/>
      <w:r w:rsidRPr="005605FF">
        <w:rPr>
          <w:rFonts w:ascii="Book Antiqua" w:eastAsia="宋体" w:hAnsi="Book Antiqua" w:cs="Times New Roman"/>
          <w:i/>
          <w:kern w:val="2"/>
          <w:sz w:val="24"/>
          <w:szCs w:val="24"/>
          <w:lang w:val="en-US" w:eastAsia="zh-CN"/>
        </w:rPr>
        <w:t xml:space="preserve"> </w:t>
      </w:r>
      <w:proofErr w:type="spellStart"/>
      <w:r w:rsidRPr="005605FF">
        <w:rPr>
          <w:rFonts w:ascii="Book Antiqua" w:eastAsia="宋体" w:hAnsi="Book Antiqua" w:cs="Times New Roman"/>
          <w:i/>
          <w:kern w:val="2"/>
          <w:sz w:val="24"/>
          <w:szCs w:val="24"/>
          <w:lang w:val="en-US" w:eastAsia="zh-CN"/>
        </w:rPr>
        <w:t>Pharmacol</w:t>
      </w:r>
      <w:proofErr w:type="spellEnd"/>
      <w:r w:rsidRPr="005605FF">
        <w:rPr>
          <w:rFonts w:ascii="Book Antiqua" w:eastAsia="宋体" w:hAnsi="Book Antiqua" w:cs="Times New Roman"/>
          <w:kern w:val="2"/>
          <w:sz w:val="24"/>
          <w:szCs w:val="24"/>
          <w:lang w:val="en-US" w:eastAsia="zh-CN"/>
        </w:rPr>
        <w:t xml:space="preserve"> 2018; </w:t>
      </w:r>
      <w:r w:rsidRPr="005605FF">
        <w:rPr>
          <w:rFonts w:ascii="Book Antiqua" w:eastAsia="宋体" w:hAnsi="Book Antiqua" w:cs="Times New Roman"/>
          <w:b/>
          <w:kern w:val="2"/>
          <w:sz w:val="24"/>
          <w:szCs w:val="24"/>
          <w:lang w:val="en-US" w:eastAsia="zh-CN"/>
        </w:rPr>
        <w:t>106</w:t>
      </w:r>
      <w:r w:rsidRPr="005605FF">
        <w:rPr>
          <w:rFonts w:ascii="Book Antiqua" w:eastAsia="宋体" w:hAnsi="Book Antiqua" w:cs="Times New Roman"/>
          <w:kern w:val="2"/>
          <w:sz w:val="24"/>
          <w:szCs w:val="24"/>
          <w:lang w:val="en-US" w:eastAsia="zh-CN"/>
        </w:rPr>
        <w:t>: 54-66 [PMID: 29510201 DOI: 10.1016/j.vph.2018.02.010]</w:t>
      </w:r>
    </w:p>
    <w:p w14:paraId="55CD0674"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22 </w:t>
      </w:r>
      <w:proofErr w:type="spellStart"/>
      <w:r w:rsidRPr="005605FF">
        <w:rPr>
          <w:rFonts w:ascii="Book Antiqua" w:eastAsia="宋体" w:hAnsi="Book Antiqua" w:cs="Times New Roman"/>
          <w:b/>
          <w:kern w:val="2"/>
          <w:sz w:val="24"/>
          <w:szCs w:val="24"/>
          <w:lang w:val="en-US" w:eastAsia="zh-CN"/>
        </w:rPr>
        <w:t>Cesarec</w:t>
      </w:r>
      <w:proofErr w:type="spellEnd"/>
      <w:r w:rsidRPr="005605FF">
        <w:rPr>
          <w:rFonts w:ascii="Book Antiqua" w:eastAsia="宋体" w:hAnsi="Book Antiqua" w:cs="Times New Roman"/>
          <w:b/>
          <w:kern w:val="2"/>
          <w:sz w:val="24"/>
          <w:szCs w:val="24"/>
          <w:lang w:val="en-US" w:eastAsia="zh-CN"/>
        </w:rPr>
        <w:t xml:space="preserve"> V</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Becejac</w:t>
      </w:r>
      <w:proofErr w:type="spellEnd"/>
      <w:r w:rsidRPr="005605FF">
        <w:rPr>
          <w:rFonts w:ascii="Book Antiqua" w:eastAsia="宋体" w:hAnsi="Book Antiqua" w:cs="Times New Roman"/>
          <w:kern w:val="2"/>
          <w:sz w:val="24"/>
          <w:szCs w:val="24"/>
          <w:lang w:val="en-US" w:eastAsia="zh-CN"/>
        </w:rPr>
        <w:t xml:space="preserve"> T, </w:t>
      </w:r>
      <w:proofErr w:type="spellStart"/>
      <w:r w:rsidRPr="005605FF">
        <w:rPr>
          <w:rFonts w:ascii="Book Antiqua" w:eastAsia="宋体" w:hAnsi="Book Antiqua" w:cs="Times New Roman"/>
          <w:kern w:val="2"/>
          <w:sz w:val="24"/>
          <w:szCs w:val="24"/>
          <w:lang w:val="en-US" w:eastAsia="zh-CN"/>
        </w:rPr>
        <w:t>Misic</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Djakovic</w:t>
      </w:r>
      <w:proofErr w:type="spellEnd"/>
      <w:r w:rsidRPr="005605FF">
        <w:rPr>
          <w:rFonts w:ascii="Book Antiqua" w:eastAsia="宋体" w:hAnsi="Book Antiqua" w:cs="Times New Roman"/>
          <w:kern w:val="2"/>
          <w:sz w:val="24"/>
          <w:szCs w:val="24"/>
          <w:lang w:val="en-US" w:eastAsia="zh-CN"/>
        </w:rPr>
        <w:t xml:space="preserve"> Z, </w:t>
      </w:r>
      <w:proofErr w:type="spellStart"/>
      <w:r w:rsidRPr="005605FF">
        <w:rPr>
          <w:rFonts w:ascii="Book Antiqua" w:eastAsia="宋体" w:hAnsi="Book Antiqua" w:cs="Times New Roman"/>
          <w:kern w:val="2"/>
          <w:sz w:val="24"/>
          <w:szCs w:val="24"/>
          <w:lang w:val="en-US" w:eastAsia="zh-CN"/>
        </w:rPr>
        <w:t>Olujic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Drmic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Brcic</w:t>
      </w:r>
      <w:proofErr w:type="spellEnd"/>
      <w:r w:rsidRPr="005605FF">
        <w:rPr>
          <w:rFonts w:ascii="Book Antiqua" w:eastAsia="宋体" w:hAnsi="Book Antiqua" w:cs="Times New Roman"/>
          <w:kern w:val="2"/>
          <w:sz w:val="24"/>
          <w:szCs w:val="24"/>
          <w:lang w:val="en-US" w:eastAsia="zh-CN"/>
        </w:rPr>
        <w:t xml:space="preserve"> L, </w:t>
      </w:r>
      <w:proofErr w:type="spellStart"/>
      <w:r w:rsidRPr="005605FF">
        <w:rPr>
          <w:rFonts w:ascii="Book Antiqua" w:eastAsia="宋体" w:hAnsi="Book Antiqua" w:cs="Times New Roman"/>
          <w:kern w:val="2"/>
          <w:sz w:val="24"/>
          <w:szCs w:val="24"/>
          <w:lang w:val="en-US" w:eastAsia="zh-CN"/>
        </w:rPr>
        <w:t>Rokotov</w:t>
      </w:r>
      <w:proofErr w:type="spellEnd"/>
      <w:r w:rsidRPr="005605FF">
        <w:rPr>
          <w:rFonts w:ascii="Book Antiqua" w:eastAsia="宋体" w:hAnsi="Book Antiqua" w:cs="Times New Roman"/>
          <w:kern w:val="2"/>
          <w:sz w:val="24"/>
          <w:szCs w:val="24"/>
          <w:lang w:val="en-US" w:eastAsia="zh-CN"/>
        </w:rPr>
        <w:t xml:space="preserve"> DS,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Sikiric</w:t>
      </w:r>
      <w:proofErr w:type="spellEnd"/>
      <w:r w:rsidRPr="005605FF">
        <w:rPr>
          <w:rFonts w:ascii="Book Antiqua" w:eastAsia="宋体" w:hAnsi="Book Antiqua" w:cs="Times New Roman"/>
          <w:kern w:val="2"/>
          <w:sz w:val="24"/>
          <w:szCs w:val="24"/>
          <w:lang w:val="en-US" w:eastAsia="zh-CN"/>
        </w:rPr>
        <w:t xml:space="preserve"> P.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and the </w:t>
      </w:r>
      <w:proofErr w:type="spellStart"/>
      <w:r w:rsidRPr="005605FF">
        <w:rPr>
          <w:rFonts w:ascii="Book Antiqua" w:eastAsia="宋体" w:hAnsi="Book Antiqua" w:cs="Times New Roman"/>
          <w:kern w:val="2"/>
          <w:sz w:val="24"/>
          <w:szCs w:val="24"/>
          <w:lang w:val="en-US" w:eastAsia="zh-CN"/>
        </w:rPr>
        <w:t>esophagocutaneous</w:t>
      </w:r>
      <w:proofErr w:type="spellEnd"/>
      <w:r w:rsidRPr="005605FF">
        <w:rPr>
          <w:rFonts w:ascii="Book Antiqua" w:eastAsia="宋体" w:hAnsi="Book Antiqua" w:cs="Times New Roman"/>
          <w:kern w:val="2"/>
          <w:sz w:val="24"/>
          <w:szCs w:val="24"/>
          <w:lang w:val="en-US" w:eastAsia="zh-CN"/>
        </w:rPr>
        <w:t xml:space="preserve"> fistula healing therapy. </w:t>
      </w:r>
      <w:proofErr w:type="spellStart"/>
      <w:r w:rsidRPr="005605FF">
        <w:rPr>
          <w:rFonts w:ascii="Book Antiqua" w:eastAsia="宋体" w:hAnsi="Book Antiqua" w:cs="Times New Roman"/>
          <w:i/>
          <w:kern w:val="2"/>
          <w:sz w:val="24"/>
          <w:szCs w:val="24"/>
          <w:lang w:val="en-US" w:eastAsia="zh-CN"/>
        </w:rPr>
        <w:t>Eur</w:t>
      </w:r>
      <w:proofErr w:type="spellEnd"/>
      <w:r w:rsidRPr="005605FF">
        <w:rPr>
          <w:rFonts w:ascii="Book Antiqua" w:eastAsia="宋体" w:hAnsi="Book Antiqua" w:cs="Times New Roman"/>
          <w:i/>
          <w:kern w:val="2"/>
          <w:sz w:val="24"/>
          <w:szCs w:val="24"/>
          <w:lang w:val="en-US" w:eastAsia="zh-CN"/>
        </w:rPr>
        <w:t xml:space="preserve"> J </w:t>
      </w:r>
      <w:proofErr w:type="spellStart"/>
      <w:r w:rsidRPr="005605FF">
        <w:rPr>
          <w:rFonts w:ascii="Book Antiqua" w:eastAsia="宋体" w:hAnsi="Book Antiqua" w:cs="Times New Roman"/>
          <w:i/>
          <w:kern w:val="2"/>
          <w:sz w:val="24"/>
          <w:szCs w:val="24"/>
          <w:lang w:val="en-US" w:eastAsia="zh-CN"/>
        </w:rPr>
        <w:t>Pharmacol</w:t>
      </w:r>
      <w:proofErr w:type="spellEnd"/>
      <w:r w:rsidRPr="005605FF">
        <w:rPr>
          <w:rFonts w:ascii="Book Antiqua" w:eastAsia="宋体" w:hAnsi="Book Antiqua" w:cs="Times New Roman"/>
          <w:kern w:val="2"/>
          <w:sz w:val="24"/>
          <w:szCs w:val="24"/>
          <w:lang w:val="en-US" w:eastAsia="zh-CN"/>
        </w:rPr>
        <w:t xml:space="preserve"> 2013; </w:t>
      </w:r>
      <w:r w:rsidRPr="005605FF">
        <w:rPr>
          <w:rFonts w:ascii="Book Antiqua" w:eastAsia="宋体" w:hAnsi="Book Antiqua" w:cs="Times New Roman"/>
          <w:b/>
          <w:kern w:val="2"/>
          <w:sz w:val="24"/>
          <w:szCs w:val="24"/>
          <w:lang w:val="en-US" w:eastAsia="zh-CN"/>
        </w:rPr>
        <w:t>701</w:t>
      </w:r>
      <w:r w:rsidRPr="005605FF">
        <w:rPr>
          <w:rFonts w:ascii="Book Antiqua" w:eastAsia="宋体" w:hAnsi="Book Antiqua" w:cs="Times New Roman"/>
          <w:kern w:val="2"/>
          <w:sz w:val="24"/>
          <w:szCs w:val="24"/>
          <w:lang w:val="en-US" w:eastAsia="zh-CN"/>
        </w:rPr>
        <w:t>: 203-212 [PMID: 23220707 DOI: 10.1016/j.ejphar.2012.11.055]</w:t>
      </w:r>
    </w:p>
    <w:p w14:paraId="357D652F"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23 </w:t>
      </w:r>
      <w:r w:rsidRPr="005605FF">
        <w:rPr>
          <w:rFonts w:ascii="Book Antiqua" w:eastAsia="宋体" w:hAnsi="Book Antiqua" w:cs="Times New Roman"/>
          <w:b/>
          <w:kern w:val="2"/>
          <w:sz w:val="24"/>
          <w:szCs w:val="24"/>
          <w:lang w:val="en-US" w:eastAsia="zh-CN"/>
        </w:rPr>
        <w:t>Chang CH</w:t>
      </w:r>
      <w:r w:rsidRPr="005605FF">
        <w:rPr>
          <w:rFonts w:ascii="Book Antiqua" w:eastAsia="宋体" w:hAnsi="Book Antiqua" w:cs="Times New Roman"/>
          <w:kern w:val="2"/>
          <w:sz w:val="24"/>
          <w:szCs w:val="24"/>
          <w:lang w:val="en-US" w:eastAsia="zh-CN"/>
        </w:rPr>
        <w:t xml:space="preserve">, Tsai WC, Lin MS, Hsu YH, Pang JH. The promoting effect of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on tendon healing involves tendon outgrowth, cell </w:t>
      </w:r>
      <w:r w:rsidRPr="005605FF">
        <w:rPr>
          <w:rFonts w:ascii="Book Antiqua" w:eastAsia="宋体" w:hAnsi="Book Antiqua" w:cs="Times New Roman"/>
          <w:kern w:val="2"/>
          <w:sz w:val="24"/>
          <w:szCs w:val="24"/>
          <w:lang w:val="en-US" w:eastAsia="zh-CN"/>
        </w:rPr>
        <w:lastRenderedPageBreak/>
        <w:t xml:space="preserve">survival, and cell migration. </w:t>
      </w:r>
      <w:r w:rsidRPr="005605FF">
        <w:rPr>
          <w:rFonts w:ascii="Book Antiqua" w:eastAsia="宋体" w:hAnsi="Book Antiqua" w:cs="Times New Roman"/>
          <w:i/>
          <w:kern w:val="2"/>
          <w:sz w:val="24"/>
          <w:szCs w:val="24"/>
          <w:lang w:val="en-US" w:eastAsia="zh-CN"/>
        </w:rPr>
        <w:t xml:space="preserve">J </w:t>
      </w:r>
      <w:proofErr w:type="spellStart"/>
      <w:r w:rsidRPr="005605FF">
        <w:rPr>
          <w:rFonts w:ascii="Book Antiqua" w:eastAsia="宋体" w:hAnsi="Book Antiqua" w:cs="Times New Roman"/>
          <w:i/>
          <w:kern w:val="2"/>
          <w:sz w:val="24"/>
          <w:szCs w:val="24"/>
          <w:lang w:val="en-US" w:eastAsia="zh-CN"/>
        </w:rPr>
        <w:t>Appl</w:t>
      </w:r>
      <w:proofErr w:type="spellEnd"/>
      <w:r w:rsidRPr="005605FF">
        <w:rPr>
          <w:rFonts w:ascii="Book Antiqua" w:eastAsia="宋体" w:hAnsi="Book Antiqua" w:cs="Times New Roman"/>
          <w:i/>
          <w:kern w:val="2"/>
          <w:sz w:val="24"/>
          <w:szCs w:val="24"/>
          <w:lang w:val="en-US" w:eastAsia="zh-CN"/>
        </w:rPr>
        <w:t xml:space="preserve"> </w:t>
      </w:r>
      <w:proofErr w:type="spellStart"/>
      <w:r w:rsidRPr="005605FF">
        <w:rPr>
          <w:rFonts w:ascii="Book Antiqua" w:eastAsia="宋体" w:hAnsi="Book Antiqua" w:cs="Times New Roman"/>
          <w:i/>
          <w:kern w:val="2"/>
          <w:sz w:val="24"/>
          <w:szCs w:val="24"/>
          <w:lang w:val="en-US" w:eastAsia="zh-CN"/>
        </w:rPr>
        <w:t>Physiol</w:t>
      </w:r>
      <w:proofErr w:type="spellEnd"/>
      <w:r w:rsidRPr="005605FF">
        <w:rPr>
          <w:rFonts w:ascii="Book Antiqua" w:eastAsia="宋体" w:hAnsi="Book Antiqua" w:cs="Times New Roman"/>
          <w:i/>
          <w:kern w:val="2"/>
          <w:sz w:val="24"/>
          <w:szCs w:val="24"/>
          <w:lang w:val="en-US" w:eastAsia="zh-CN"/>
        </w:rPr>
        <w:t xml:space="preserve"> (1985)</w:t>
      </w:r>
      <w:r w:rsidRPr="005605FF">
        <w:rPr>
          <w:rFonts w:ascii="Book Antiqua" w:eastAsia="宋体" w:hAnsi="Book Antiqua" w:cs="Times New Roman"/>
          <w:kern w:val="2"/>
          <w:sz w:val="24"/>
          <w:szCs w:val="24"/>
          <w:lang w:val="en-US" w:eastAsia="zh-CN"/>
        </w:rPr>
        <w:t xml:space="preserve"> 2011; </w:t>
      </w:r>
      <w:r w:rsidRPr="005605FF">
        <w:rPr>
          <w:rFonts w:ascii="Book Antiqua" w:eastAsia="宋体" w:hAnsi="Book Antiqua" w:cs="Times New Roman"/>
          <w:b/>
          <w:kern w:val="2"/>
          <w:sz w:val="24"/>
          <w:szCs w:val="24"/>
          <w:lang w:val="en-US" w:eastAsia="zh-CN"/>
        </w:rPr>
        <w:t>110</w:t>
      </w:r>
      <w:r w:rsidRPr="005605FF">
        <w:rPr>
          <w:rFonts w:ascii="Book Antiqua" w:eastAsia="宋体" w:hAnsi="Book Antiqua" w:cs="Times New Roman"/>
          <w:kern w:val="2"/>
          <w:sz w:val="24"/>
          <w:szCs w:val="24"/>
          <w:lang w:val="en-US" w:eastAsia="zh-CN"/>
        </w:rPr>
        <w:t>: 774-780 [PMID: 21030672 DOI: 10.1152/japplphysiol.00945.2010]</w:t>
      </w:r>
    </w:p>
    <w:p w14:paraId="269F9C22"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24 </w:t>
      </w:r>
      <w:r w:rsidRPr="005605FF">
        <w:rPr>
          <w:rFonts w:ascii="Book Antiqua" w:eastAsia="宋体" w:hAnsi="Book Antiqua" w:cs="Times New Roman"/>
          <w:b/>
          <w:kern w:val="2"/>
          <w:sz w:val="24"/>
          <w:szCs w:val="24"/>
          <w:lang w:val="en-US" w:eastAsia="zh-CN"/>
        </w:rPr>
        <w:t>Chang CH</w:t>
      </w:r>
      <w:r w:rsidRPr="005605FF">
        <w:rPr>
          <w:rFonts w:ascii="Book Antiqua" w:eastAsia="宋体" w:hAnsi="Book Antiqua" w:cs="Times New Roman"/>
          <w:kern w:val="2"/>
          <w:sz w:val="24"/>
          <w:szCs w:val="24"/>
          <w:lang w:val="en-US" w:eastAsia="zh-CN"/>
        </w:rPr>
        <w:t xml:space="preserve">, Tsai WC, Hsu YH, Pang JH.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enhances the growth hormone receptor expression in tendon fibroblasts. </w:t>
      </w:r>
      <w:r w:rsidRPr="005605FF">
        <w:rPr>
          <w:rFonts w:ascii="Book Antiqua" w:eastAsia="宋体" w:hAnsi="Book Antiqua" w:cs="Times New Roman"/>
          <w:i/>
          <w:kern w:val="2"/>
          <w:sz w:val="24"/>
          <w:szCs w:val="24"/>
          <w:lang w:val="en-US" w:eastAsia="zh-CN"/>
        </w:rPr>
        <w:t>Molecules</w:t>
      </w:r>
      <w:r w:rsidRPr="005605FF">
        <w:rPr>
          <w:rFonts w:ascii="Book Antiqua" w:eastAsia="宋体" w:hAnsi="Book Antiqua" w:cs="Times New Roman"/>
          <w:kern w:val="2"/>
          <w:sz w:val="24"/>
          <w:szCs w:val="24"/>
          <w:lang w:val="en-US" w:eastAsia="zh-CN"/>
        </w:rPr>
        <w:t xml:space="preserve"> 2014; </w:t>
      </w:r>
      <w:r w:rsidRPr="005605FF">
        <w:rPr>
          <w:rFonts w:ascii="Book Antiqua" w:eastAsia="宋体" w:hAnsi="Book Antiqua" w:cs="Times New Roman"/>
          <w:b/>
          <w:kern w:val="2"/>
          <w:sz w:val="24"/>
          <w:szCs w:val="24"/>
          <w:lang w:val="en-US" w:eastAsia="zh-CN"/>
        </w:rPr>
        <w:t>19</w:t>
      </w:r>
      <w:r w:rsidRPr="005605FF">
        <w:rPr>
          <w:rFonts w:ascii="Book Antiqua" w:eastAsia="宋体" w:hAnsi="Book Antiqua" w:cs="Times New Roman"/>
          <w:kern w:val="2"/>
          <w:sz w:val="24"/>
          <w:szCs w:val="24"/>
          <w:lang w:val="en-US" w:eastAsia="zh-CN"/>
        </w:rPr>
        <w:t>: 19066-19077 [PMID: 25415472 DOI: 10.3390/molecules191119066]</w:t>
      </w:r>
    </w:p>
    <w:p w14:paraId="543598F2"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25 </w:t>
      </w:r>
      <w:r w:rsidRPr="005605FF">
        <w:rPr>
          <w:rFonts w:ascii="Book Antiqua" w:eastAsia="宋体" w:hAnsi="Book Antiqua" w:cs="Times New Roman"/>
          <w:b/>
          <w:kern w:val="2"/>
          <w:sz w:val="24"/>
          <w:szCs w:val="24"/>
          <w:lang w:val="en-US" w:eastAsia="zh-CN"/>
        </w:rPr>
        <w:t>Hsieh MJ</w:t>
      </w:r>
      <w:r w:rsidRPr="005605FF">
        <w:rPr>
          <w:rFonts w:ascii="Book Antiqua" w:eastAsia="宋体" w:hAnsi="Book Antiqua" w:cs="Times New Roman"/>
          <w:kern w:val="2"/>
          <w:sz w:val="24"/>
          <w:szCs w:val="24"/>
          <w:lang w:val="en-US" w:eastAsia="zh-CN"/>
        </w:rPr>
        <w:t xml:space="preserve">, Liu HT, Wang CN, Huang HY, Lin Y, Ko YS, Wang JS, Chang VH, Pang JS. Therapeutic potential of pro-angiogenic BPC157 is associated with VEGFR2 activation and up-regulation. </w:t>
      </w:r>
      <w:r w:rsidRPr="005605FF">
        <w:rPr>
          <w:rFonts w:ascii="Book Antiqua" w:eastAsia="宋体" w:hAnsi="Book Antiqua" w:cs="Times New Roman"/>
          <w:i/>
          <w:kern w:val="2"/>
          <w:sz w:val="24"/>
          <w:szCs w:val="24"/>
          <w:lang w:val="en-US" w:eastAsia="zh-CN"/>
        </w:rPr>
        <w:t xml:space="preserve">J </w:t>
      </w:r>
      <w:proofErr w:type="spellStart"/>
      <w:r w:rsidRPr="005605FF">
        <w:rPr>
          <w:rFonts w:ascii="Book Antiqua" w:eastAsia="宋体" w:hAnsi="Book Antiqua" w:cs="Times New Roman"/>
          <w:i/>
          <w:kern w:val="2"/>
          <w:sz w:val="24"/>
          <w:szCs w:val="24"/>
          <w:lang w:val="en-US" w:eastAsia="zh-CN"/>
        </w:rPr>
        <w:t>Mol</w:t>
      </w:r>
      <w:proofErr w:type="spellEnd"/>
      <w:r w:rsidRPr="005605FF">
        <w:rPr>
          <w:rFonts w:ascii="Book Antiqua" w:eastAsia="宋体" w:hAnsi="Book Antiqua" w:cs="Times New Roman"/>
          <w:i/>
          <w:kern w:val="2"/>
          <w:sz w:val="24"/>
          <w:szCs w:val="24"/>
          <w:lang w:val="en-US" w:eastAsia="zh-CN"/>
        </w:rPr>
        <w:t xml:space="preserve"> Med (</w:t>
      </w:r>
      <w:proofErr w:type="spellStart"/>
      <w:r w:rsidRPr="005605FF">
        <w:rPr>
          <w:rFonts w:ascii="Book Antiqua" w:eastAsia="宋体" w:hAnsi="Book Antiqua" w:cs="Times New Roman"/>
          <w:i/>
          <w:kern w:val="2"/>
          <w:sz w:val="24"/>
          <w:szCs w:val="24"/>
          <w:lang w:val="en-US" w:eastAsia="zh-CN"/>
        </w:rPr>
        <w:t>Berl</w:t>
      </w:r>
      <w:proofErr w:type="spellEnd"/>
      <w:r w:rsidRPr="005605FF">
        <w:rPr>
          <w:rFonts w:ascii="Book Antiqua" w:eastAsia="宋体" w:hAnsi="Book Antiqua" w:cs="Times New Roman"/>
          <w:i/>
          <w:kern w:val="2"/>
          <w:sz w:val="24"/>
          <w:szCs w:val="24"/>
          <w:lang w:val="en-US" w:eastAsia="zh-CN"/>
        </w:rPr>
        <w:t>)</w:t>
      </w:r>
      <w:r w:rsidRPr="005605FF">
        <w:rPr>
          <w:rFonts w:ascii="Book Antiqua" w:eastAsia="宋体" w:hAnsi="Book Antiqua" w:cs="Times New Roman"/>
          <w:kern w:val="2"/>
          <w:sz w:val="24"/>
          <w:szCs w:val="24"/>
          <w:lang w:val="en-US" w:eastAsia="zh-CN"/>
        </w:rPr>
        <w:t xml:space="preserve"> 2017; </w:t>
      </w:r>
      <w:r w:rsidRPr="005605FF">
        <w:rPr>
          <w:rFonts w:ascii="Book Antiqua" w:eastAsia="宋体" w:hAnsi="Book Antiqua" w:cs="Times New Roman"/>
          <w:b/>
          <w:kern w:val="2"/>
          <w:sz w:val="24"/>
          <w:szCs w:val="24"/>
          <w:lang w:val="en-US" w:eastAsia="zh-CN"/>
        </w:rPr>
        <w:t>95</w:t>
      </w:r>
      <w:r w:rsidRPr="005605FF">
        <w:rPr>
          <w:rFonts w:ascii="Book Antiqua" w:eastAsia="宋体" w:hAnsi="Book Antiqua" w:cs="Times New Roman"/>
          <w:kern w:val="2"/>
          <w:sz w:val="24"/>
          <w:szCs w:val="24"/>
          <w:lang w:val="en-US" w:eastAsia="zh-CN"/>
        </w:rPr>
        <w:t>: 323-333 [PMID: 27847966 DOI: 10.1007/s00109-016-1488-y]</w:t>
      </w:r>
    </w:p>
    <w:p w14:paraId="27395887"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26 </w:t>
      </w:r>
      <w:r w:rsidRPr="005605FF">
        <w:rPr>
          <w:rFonts w:ascii="Book Antiqua" w:eastAsia="宋体" w:hAnsi="Book Antiqua" w:cs="Times New Roman"/>
          <w:b/>
          <w:kern w:val="2"/>
          <w:sz w:val="24"/>
          <w:szCs w:val="24"/>
          <w:lang w:val="en-US" w:eastAsia="zh-CN"/>
        </w:rPr>
        <w:t>Huang T</w:t>
      </w:r>
      <w:r w:rsidRPr="005605FF">
        <w:rPr>
          <w:rFonts w:ascii="Book Antiqua" w:eastAsia="宋体" w:hAnsi="Book Antiqua" w:cs="Times New Roman"/>
          <w:kern w:val="2"/>
          <w:sz w:val="24"/>
          <w:szCs w:val="24"/>
          <w:lang w:val="en-US" w:eastAsia="zh-CN"/>
        </w:rPr>
        <w:t xml:space="preserve">, Zhang K, Sun L, </w:t>
      </w:r>
      <w:proofErr w:type="spellStart"/>
      <w:r w:rsidRPr="005605FF">
        <w:rPr>
          <w:rFonts w:ascii="Book Antiqua" w:eastAsia="宋体" w:hAnsi="Book Antiqua" w:cs="Times New Roman"/>
          <w:kern w:val="2"/>
          <w:sz w:val="24"/>
          <w:szCs w:val="24"/>
          <w:lang w:val="en-US" w:eastAsia="zh-CN"/>
        </w:rPr>
        <w:t>Xue</w:t>
      </w:r>
      <w:proofErr w:type="spellEnd"/>
      <w:r w:rsidRPr="005605FF">
        <w:rPr>
          <w:rFonts w:ascii="Book Antiqua" w:eastAsia="宋体" w:hAnsi="Book Antiqua" w:cs="Times New Roman"/>
          <w:kern w:val="2"/>
          <w:sz w:val="24"/>
          <w:szCs w:val="24"/>
          <w:lang w:val="en-US" w:eastAsia="zh-CN"/>
        </w:rPr>
        <w:t xml:space="preserve"> X, Zhang C, Shu Z, Mu N, Gu J, Zhang W, Wang Y, Zhang Y, Zhang W. Body protective compound-157 enhances alkali-burn wound healing in vivo and promotes proliferation, migration, and angiogenesis in vitro. </w:t>
      </w:r>
      <w:r w:rsidRPr="005605FF">
        <w:rPr>
          <w:rFonts w:ascii="Book Antiqua" w:eastAsia="宋体" w:hAnsi="Book Antiqua" w:cs="Times New Roman"/>
          <w:i/>
          <w:kern w:val="2"/>
          <w:sz w:val="24"/>
          <w:szCs w:val="24"/>
          <w:lang w:val="en-US" w:eastAsia="zh-CN"/>
        </w:rPr>
        <w:t xml:space="preserve">Drug Des </w:t>
      </w:r>
      <w:proofErr w:type="spellStart"/>
      <w:r w:rsidRPr="005605FF">
        <w:rPr>
          <w:rFonts w:ascii="Book Antiqua" w:eastAsia="宋体" w:hAnsi="Book Antiqua" w:cs="Times New Roman"/>
          <w:i/>
          <w:kern w:val="2"/>
          <w:sz w:val="24"/>
          <w:szCs w:val="24"/>
          <w:lang w:val="en-US" w:eastAsia="zh-CN"/>
        </w:rPr>
        <w:t>Devel</w:t>
      </w:r>
      <w:proofErr w:type="spellEnd"/>
      <w:r w:rsidRPr="005605FF">
        <w:rPr>
          <w:rFonts w:ascii="Book Antiqua" w:eastAsia="宋体" w:hAnsi="Book Antiqua" w:cs="Times New Roman"/>
          <w:i/>
          <w:kern w:val="2"/>
          <w:sz w:val="24"/>
          <w:szCs w:val="24"/>
          <w:lang w:val="en-US" w:eastAsia="zh-CN"/>
        </w:rPr>
        <w:t xml:space="preserve"> </w:t>
      </w:r>
      <w:proofErr w:type="spellStart"/>
      <w:r w:rsidRPr="005605FF">
        <w:rPr>
          <w:rFonts w:ascii="Book Antiqua" w:eastAsia="宋体" w:hAnsi="Book Antiqua" w:cs="Times New Roman"/>
          <w:i/>
          <w:kern w:val="2"/>
          <w:sz w:val="24"/>
          <w:szCs w:val="24"/>
          <w:lang w:val="en-US" w:eastAsia="zh-CN"/>
        </w:rPr>
        <w:t>Ther</w:t>
      </w:r>
      <w:proofErr w:type="spellEnd"/>
      <w:r w:rsidRPr="005605FF">
        <w:rPr>
          <w:rFonts w:ascii="Book Antiqua" w:eastAsia="宋体" w:hAnsi="Book Antiqua" w:cs="Times New Roman"/>
          <w:kern w:val="2"/>
          <w:sz w:val="24"/>
          <w:szCs w:val="24"/>
          <w:lang w:val="en-US" w:eastAsia="zh-CN"/>
        </w:rPr>
        <w:t xml:space="preserve"> 2015; </w:t>
      </w:r>
      <w:r w:rsidRPr="005605FF">
        <w:rPr>
          <w:rFonts w:ascii="Book Antiqua" w:eastAsia="宋体" w:hAnsi="Book Antiqua" w:cs="Times New Roman"/>
          <w:b/>
          <w:kern w:val="2"/>
          <w:sz w:val="24"/>
          <w:szCs w:val="24"/>
          <w:lang w:val="en-US" w:eastAsia="zh-CN"/>
        </w:rPr>
        <w:t>9</w:t>
      </w:r>
      <w:r w:rsidRPr="005605FF">
        <w:rPr>
          <w:rFonts w:ascii="Book Antiqua" w:eastAsia="宋体" w:hAnsi="Book Antiqua" w:cs="Times New Roman"/>
          <w:kern w:val="2"/>
          <w:sz w:val="24"/>
          <w:szCs w:val="24"/>
          <w:lang w:val="en-US" w:eastAsia="zh-CN"/>
        </w:rPr>
        <w:t>: 2485-2499 [PMID: 25995620 DOI: 10.2147/DDDT.S82030]</w:t>
      </w:r>
    </w:p>
    <w:p w14:paraId="5E05FA00"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27 </w:t>
      </w:r>
      <w:proofErr w:type="spellStart"/>
      <w:r w:rsidRPr="005605FF">
        <w:rPr>
          <w:rFonts w:ascii="Book Antiqua" w:eastAsia="宋体" w:hAnsi="Book Antiqua" w:cs="Times New Roman"/>
          <w:b/>
          <w:kern w:val="2"/>
          <w:sz w:val="24"/>
          <w:szCs w:val="24"/>
          <w:lang w:val="en-US" w:eastAsia="zh-CN"/>
        </w:rPr>
        <w:t>Tkalcević</w:t>
      </w:r>
      <w:proofErr w:type="spellEnd"/>
      <w:r w:rsidRPr="005605FF">
        <w:rPr>
          <w:rFonts w:ascii="Book Antiqua" w:eastAsia="宋体" w:hAnsi="Book Antiqua" w:cs="Times New Roman"/>
          <w:b/>
          <w:kern w:val="2"/>
          <w:sz w:val="24"/>
          <w:szCs w:val="24"/>
          <w:lang w:val="en-US" w:eastAsia="zh-CN"/>
        </w:rPr>
        <w:t xml:space="preserve"> VI</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Cuzić</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Brajsa</w:t>
      </w:r>
      <w:proofErr w:type="spellEnd"/>
      <w:r w:rsidRPr="005605FF">
        <w:rPr>
          <w:rFonts w:ascii="Book Antiqua" w:eastAsia="宋体" w:hAnsi="Book Antiqua" w:cs="Times New Roman"/>
          <w:kern w:val="2"/>
          <w:sz w:val="24"/>
          <w:szCs w:val="24"/>
          <w:lang w:val="en-US" w:eastAsia="zh-CN"/>
        </w:rPr>
        <w:t xml:space="preserve"> K, </w:t>
      </w:r>
      <w:proofErr w:type="spellStart"/>
      <w:r w:rsidRPr="005605FF">
        <w:rPr>
          <w:rFonts w:ascii="Book Antiqua" w:eastAsia="宋体" w:hAnsi="Book Antiqua" w:cs="Times New Roman"/>
          <w:kern w:val="2"/>
          <w:sz w:val="24"/>
          <w:szCs w:val="24"/>
          <w:lang w:val="en-US" w:eastAsia="zh-CN"/>
        </w:rPr>
        <w:t>Mildner</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Bokulić</w:t>
      </w:r>
      <w:proofErr w:type="spellEnd"/>
      <w:r w:rsidRPr="005605FF">
        <w:rPr>
          <w:rFonts w:ascii="Book Antiqua" w:eastAsia="宋体" w:hAnsi="Book Antiqua" w:cs="Times New Roman"/>
          <w:kern w:val="2"/>
          <w:sz w:val="24"/>
          <w:szCs w:val="24"/>
          <w:lang w:val="en-US" w:eastAsia="zh-CN"/>
        </w:rPr>
        <w:t xml:space="preserve"> A, </w:t>
      </w:r>
      <w:proofErr w:type="spellStart"/>
      <w:r w:rsidRPr="005605FF">
        <w:rPr>
          <w:rFonts w:ascii="Book Antiqua" w:eastAsia="宋体" w:hAnsi="Book Antiqua" w:cs="Times New Roman"/>
          <w:kern w:val="2"/>
          <w:sz w:val="24"/>
          <w:szCs w:val="24"/>
          <w:lang w:val="en-US" w:eastAsia="zh-CN"/>
        </w:rPr>
        <w:t>Situm</w:t>
      </w:r>
      <w:proofErr w:type="spellEnd"/>
      <w:r w:rsidRPr="005605FF">
        <w:rPr>
          <w:rFonts w:ascii="Book Antiqua" w:eastAsia="宋体" w:hAnsi="Book Antiqua" w:cs="Times New Roman"/>
          <w:kern w:val="2"/>
          <w:sz w:val="24"/>
          <w:szCs w:val="24"/>
          <w:lang w:val="en-US" w:eastAsia="zh-CN"/>
        </w:rPr>
        <w:t xml:space="preserve"> K, </w:t>
      </w:r>
      <w:proofErr w:type="spellStart"/>
      <w:r w:rsidRPr="005605FF">
        <w:rPr>
          <w:rFonts w:ascii="Book Antiqua" w:eastAsia="宋体" w:hAnsi="Book Antiqua" w:cs="Times New Roman"/>
          <w:kern w:val="2"/>
          <w:sz w:val="24"/>
          <w:szCs w:val="24"/>
          <w:lang w:val="en-US" w:eastAsia="zh-CN"/>
        </w:rPr>
        <w:t>Perović</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Glojnarić</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Parnham</w:t>
      </w:r>
      <w:proofErr w:type="spellEnd"/>
      <w:r w:rsidRPr="005605FF">
        <w:rPr>
          <w:rFonts w:ascii="Book Antiqua" w:eastAsia="宋体" w:hAnsi="Book Antiqua" w:cs="Times New Roman"/>
          <w:kern w:val="2"/>
          <w:sz w:val="24"/>
          <w:szCs w:val="24"/>
          <w:lang w:val="en-US" w:eastAsia="zh-CN"/>
        </w:rPr>
        <w:t xml:space="preserve"> MJ. Enhancement by PL 14736 of granulation and collagen organization in healing wounds and the potential role of egr-1 expression. </w:t>
      </w:r>
      <w:proofErr w:type="spellStart"/>
      <w:r w:rsidRPr="005605FF">
        <w:rPr>
          <w:rFonts w:ascii="Book Antiqua" w:eastAsia="宋体" w:hAnsi="Book Antiqua" w:cs="Times New Roman"/>
          <w:i/>
          <w:kern w:val="2"/>
          <w:sz w:val="24"/>
          <w:szCs w:val="24"/>
          <w:lang w:val="en-US" w:eastAsia="zh-CN"/>
        </w:rPr>
        <w:t>Eur</w:t>
      </w:r>
      <w:proofErr w:type="spellEnd"/>
      <w:r w:rsidRPr="005605FF">
        <w:rPr>
          <w:rFonts w:ascii="Book Antiqua" w:eastAsia="宋体" w:hAnsi="Book Antiqua" w:cs="Times New Roman"/>
          <w:i/>
          <w:kern w:val="2"/>
          <w:sz w:val="24"/>
          <w:szCs w:val="24"/>
          <w:lang w:val="en-US" w:eastAsia="zh-CN"/>
        </w:rPr>
        <w:t xml:space="preserve"> J </w:t>
      </w:r>
      <w:proofErr w:type="spellStart"/>
      <w:r w:rsidRPr="005605FF">
        <w:rPr>
          <w:rFonts w:ascii="Book Antiqua" w:eastAsia="宋体" w:hAnsi="Book Antiqua" w:cs="Times New Roman"/>
          <w:i/>
          <w:kern w:val="2"/>
          <w:sz w:val="24"/>
          <w:szCs w:val="24"/>
          <w:lang w:val="en-US" w:eastAsia="zh-CN"/>
        </w:rPr>
        <w:t>Pharmacol</w:t>
      </w:r>
      <w:proofErr w:type="spellEnd"/>
      <w:r w:rsidRPr="005605FF">
        <w:rPr>
          <w:rFonts w:ascii="Book Antiqua" w:eastAsia="宋体" w:hAnsi="Book Antiqua" w:cs="Times New Roman"/>
          <w:kern w:val="2"/>
          <w:sz w:val="24"/>
          <w:szCs w:val="24"/>
          <w:lang w:val="en-US" w:eastAsia="zh-CN"/>
        </w:rPr>
        <w:t xml:space="preserve"> 2007; </w:t>
      </w:r>
      <w:r w:rsidRPr="005605FF">
        <w:rPr>
          <w:rFonts w:ascii="Book Antiqua" w:eastAsia="宋体" w:hAnsi="Book Antiqua" w:cs="Times New Roman"/>
          <w:b/>
          <w:kern w:val="2"/>
          <w:sz w:val="24"/>
          <w:szCs w:val="24"/>
          <w:lang w:val="en-US" w:eastAsia="zh-CN"/>
        </w:rPr>
        <w:t>570</w:t>
      </w:r>
      <w:r w:rsidRPr="005605FF">
        <w:rPr>
          <w:rFonts w:ascii="Book Antiqua" w:eastAsia="宋体" w:hAnsi="Book Antiqua" w:cs="Times New Roman"/>
          <w:kern w:val="2"/>
          <w:sz w:val="24"/>
          <w:szCs w:val="24"/>
          <w:lang w:val="en-US" w:eastAsia="zh-CN"/>
        </w:rPr>
        <w:t>: 212-221 [PMID: 17628536 DOI: 10.1016/j.ejphar.2007.05.072]</w:t>
      </w:r>
    </w:p>
    <w:p w14:paraId="2654AC5E"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28 </w:t>
      </w:r>
      <w:proofErr w:type="spellStart"/>
      <w:r w:rsidRPr="005605FF">
        <w:rPr>
          <w:rFonts w:ascii="Book Antiqua" w:eastAsia="宋体" w:hAnsi="Book Antiqua" w:cs="Times New Roman"/>
          <w:b/>
          <w:kern w:val="2"/>
          <w:sz w:val="24"/>
          <w:szCs w:val="24"/>
          <w:lang w:val="en-US" w:eastAsia="zh-CN"/>
        </w:rPr>
        <w:t>Klicek</w:t>
      </w:r>
      <w:proofErr w:type="spellEnd"/>
      <w:r w:rsidRPr="005605FF">
        <w:rPr>
          <w:rFonts w:ascii="Book Antiqua" w:eastAsia="宋体" w:hAnsi="Book Antiqua" w:cs="Times New Roman"/>
          <w:b/>
          <w:kern w:val="2"/>
          <w:sz w:val="24"/>
          <w:szCs w:val="24"/>
          <w:lang w:val="en-US" w:eastAsia="zh-CN"/>
        </w:rPr>
        <w:t xml:space="preserve"> R</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Kolenc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Suran</w:t>
      </w:r>
      <w:proofErr w:type="spellEnd"/>
      <w:r w:rsidRPr="005605FF">
        <w:rPr>
          <w:rFonts w:ascii="Book Antiqua" w:eastAsia="宋体" w:hAnsi="Book Antiqua" w:cs="Times New Roman"/>
          <w:kern w:val="2"/>
          <w:sz w:val="24"/>
          <w:szCs w:val="24"/>
          <w:lang w:val="en-US" w:eastAsia="zh-CN"/>
        </w:rPr>
        <w:t xml:space="preserve"> J, </w:t>
      </w:r>
      <w:proofErr w:type="spellStart"/>
      <w:r w:rsidRPr="005605FF">
        <w:rPr>
          <w:rFonts w:ascii="Book Antiqua" w:eastAsia="宋体" w:hAnsi="Book Antiqua" w:cs="Times New Roman"/>
          <w:kern w:val="2"/>
          <w:sz w:val="24"/>
          <w:szCs w:val="24"/>
          <w:lang w:val="en-US" w:eastAsia="zh-CN"/>
        </w:rPr>
        <w:t>Drmic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Brcic</w:t>
      </w:r>
      <w:proofErr w:type="spellEnd"/>
      <w:r w:rsidRPr="005605FF">
        <w:rPr>
          <w:rFonts w:ascii="Book Antiqua" w:eastAsia="宋体" w:hAnsi="Book Antiqua" w:cs="Times New Roman"/>
          <w:kern w:val="2"/>
          <w:sz w:val="24"/>
          <w:szCs w:val="24"/>
          <w:lang w:val="en-US" w:eastAsia="zh-CN"/>
        </w:rPr>
        <w:t xml:space="preserve"> L, </w:t>
      </w:r>
      <w:proofErr w:type="spellStart"/>
      <w:r w:rsidRPr="005605FF">
        <w:rPr>
          <w:rFonts w:ascii="Book Antiqua" w:eastAsia="宋体" w:hAnsi="Book Antiqua" w:cs="Times New Roman"/>
          <w:kern w:val="2"/>
          <w:sz w:val="24"/>
          <w:szCs w:val="24"/>
          <w:lang w:val="en-US" w:eastAsia="zh-CN"/>
        </w:rPr>
        <w:t>Aralica</w:t>
      </w:r>
      <w:proofErr w:type="spellEnd"/>
      <w:r w:rsidRPr="005605FF">
        <w:rPr>
          <w:rFonts w:ascii="Book Antiqua" w:eastAsia="宋体" w:hAnsi="Book Antiqua" w:cs="Times New Roman"/>
          <w:kern w:val="2"/>
          <w:sz w:val="24"/>
          <w:szCs w:val="24"/>
          <w:lang w:val="en-US" w:eastAsia="zh-CN"/>
        </w:rPr>
        <w:t xml:space="preserve"> G, Sever M, </w:t>
      </w:r>
      <w:proofErr w:type="spellStart"/>
      <w:r w:rsidRPr="005605FF">
        <w:rPr>
          <w:rFonts w:ascii="Book Antiqua" w:eastAsia="宋体" w:hAnsi="Book Antiqua" w:cs="Times New Roman"/>
          <w:kern w:val="2"/>
          <w:sz w:val="24"/>
          <w:szCs w:val="24"/>
          <w:lang w:val="en-US" w:eastAsia="zh-CN"/>
        </w:rPr>
        <w:t>Holjevac</w:t>
      </w:r>
      <w:proofErr w:type="spellEnd"/>
      <w:r w:rsidRPr="005605FF">
        <w:rPr>
          <w:rFonts w:ascii="Book Antiqua" w:eastAsia="宋体" w:hAnsi="Book Antiqua" w:cs="Times New Roman"/>
          <w:kern w:val="2"/>
          <w:sz w:val="24"/>
          <w:szCs w:val="24"/>
          <w:lang w:val="en-US" w:eastAsia="zh-CN"/>
        </w:rPr>
        <w:t xml:space="preserve"> J, </w:t>
      </w:r>
      <w:proofErr w:type="spellStart"/>
      <w:r w:rsidRPr="005605FF">
        <w:rPr>
          <w:rFonts w:ascii="Book Antiqua" w:eastAsia="宋体" w:hAnsi="Book Antiqua" w:cs="Times New Roman"/>
          <w:kern w:val="2"/>
          <w:sz w:val="24"/>
          <w:szCs w:val="24"/>
          <w:lang w:val="en-US" w:eastAsia="zh-CN"/>
        </w:rPr>
        <w:t>Radic</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Turudic</w:t>
      </w:r>
      <w:proofErr w:type="spellEnd"/>
      <w:r w:rsidRPr="005605FF">
        <w:rPr>
          <w:rFonts w:ascii="Book Antiqua" w:eastAsia="宋体" w:hAnsi="Book Antiqua" w:cs="Times New Roman"/>
          <w:kern w:val="2"/>
          <w:sz w:val="24"/>
          <w:szCs w:val="24"/>
          <w:lang w:val="en-US" w:eastAsia="zh-CN"/>
        </w:rPr>
        <w:t xml:space="preserve"> T, </w:t>
      </w:r>
      <w:proofErr w:type="spellStart"/>
      <w:r w:rsidRPr="005605FF">
        <w:rPr>
          <w:rFonts w:ascii="Book Antiqua" w:eastAsia="宋体" w:hAnsi="Book Antiqua" w:cs="Times New Roman"/>
          <w:kern w:val="2"/>
          <w:sz w:val="24"/>
          <w:szCs w:val="24"/>
          <w:lang w:val="en-US" w:eastAsia="zh-CN"/>
        </w:rPr>
        <w:t>Kokot</w:t>
      </w:r>
      <w:proofErr w:type="spellEnd"/>
      <w:r w:rsidRPr="005605FF">
        <w:rPr>
          <w:rFonts w:ascii="Book Antiqua" w:eastAsia="宋体" w:hAnsi="Book Antiqua" w:cs="Times New Roman"/>
          <w:kern w:val="2"/>
          <w:sz w:val="24"/>
          <w:szCs w:val="24"/>
          <w:lang w:val="en-US" w:eastAsia="zh-CN"/>
        </w:rPr>
        <w:t xml:space="preserve"> A, </w:t>
      </w:r>
      <w:proofErr w:type="spellStart"/>
      <w:r w:rsidRPr="005605FF">
        <w:rPr>
          <w:rFonts w:ascii="Book Antiqua" w:eastAsia="宋体" w:hAnsi="Book Antiqua" w:cs="Times New Roman"/>
          <w:kern w:val="2"/>
          <w:sz w:val="24"/>
          <w:szCs w:val="24"/>
          <w:lang w:val="en-US" w:eastAsia="zh-CN"/>
        </w:rPr>
        <w:t>Patrlj</w:t>
      </w:r>
      <w:proofErr w:type="spellEnd"/>
      <w:r w:rsidRPr="005605FF">
        <w:rPr>
          <w:rFonts w:ascii="Book Antiqua" w:eastAsia="宋体" w:hAnsi="Book Antiqua" w:cs="Times New Roman"/>
          <w:kern w:val="2"/>
          <w:sz w:val="24"/>
          <w:szCs w:val="24"/>
          <w:lang w:val="en-US" w:eastAsia="zh-CN"/>
        </w:rPr>
        <w:t xml:space="preserve"> L, </w:t>
      </w:r>
      <w:proofErr w:type="spellStart"/>
      <w:r w:rsidRPr="005605FF">
        <w:rPr>
          <w:rFonts w:ascii="Book Antiqua" w:eastAsia="宋体" w:hAnsi="Book Antiqua" w:cs="Times New Roman"/>
          <w:kern w:val="2"/>
          <w:sz w:val="24"/>
          <w:szCs w:val="24"/>
          <w:lang w:val="en-US" w:eastAsia="zh-CN"/>
        </w:rPr>
        <w:t>Rucman</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Sikiric</w:t>
      </w:r>
      <w:proofErr w:type="spellEnd"/>
      <w:r w:rsidRPr="005605FF">
        <w:rPr>
          <w:rFonts w:ascii="Book Antiqua" w:eastAsia="宋体" w:hAnsi="Book Antiqua" w:cs="Times New Roman"/>
          <w:kern w:val="2"/>
          <w:sz w:val="24"/>
          <w:szCs w:val="24"/>
          <w:lang w:val="en-US" w:eastAsia="zh-CN"/>
        </w:rPr>
        <w:t xml:space="preserve"> P. Stable gastric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heals cysteamine-colitis and colon-colon-anastomosis and counteracts cuprizone brain injuries and motor disability. </w:t>
      </w:r>
      <w:r w:rsidRPr="005605FF">
        <w:rPr>
          <w:rFonts w:ascii="Book Antiqua" w:eastAsia="宋体" w:hAnsi="Book Antiqua" w:cs="Times New Roman"/>
          <w:i/>
          <w:kern w:val="2"/>
          <w:sz w:val="24"/>
          <w:szCs w:val="24"/>
          <w:lang w:val="en-US" w:eastAsia="zh-CN"/>
        </w:rPr>
        <w:t xml:space="preserve">J </w:t>
      </w:r>
      <w:proofErr w:type="spellStart"/>
      <w:r w:rsidRPr="005605FF">
        <w:rPr>
          <w:rFonts w:ascii="Book Antiqua" w:eastAsia="宋体" w:hAnsi="Book Antiqua" w:cs="Times New Roman"/>
          <w:i/>
          <w:kern w:val="2"/>
          <w:sz w:val="24"/>
          <w:szCs w:val="24"/>
          <w:lang w:val="en-US" w:eastAsia="zh-CN"/>
        </w:rPr>
        <w:t>Physiol</w:t>
      </w:r>
      <w:proofErr w:type="spellEnd"/>
      <w:r w:rsidRPr="005605FF">
        <w:rPr>
          <w:rFonts w:ascii="Book Antiqua" w:eastAsia="宋体" w:hAnsi="Book Antiqua" w:cs="Times New Roman"/>
          <w:i/>
          <w:kern w:val="2"/>
          <w:sz w:val="24"/>
          <w:szCs w:val="24"/>
          <w:lang w:val="en-US" w:eastAsia="zh-CN"/>
        </w:rPr>
        <w:t xml:space="preserve"> </w:t>
      </w:r>
      <w:proofErr w:type="spellStart"/>
      <w:r w:rsidRPr="005605FF">
        <w:rPr>
          <w:rFonts w:ascii="Book Antiqua" w:eastAsia="宋体" w:hAnsi="Book Antiqua" w:cs="Times New Roman"/>
          <w:i/>
          <w:kern w:val="2"/>
          <w:sz w:val="24"/>
          <w:szCs w:val="24"/>
          <w:lang w:val="en-US" w:eastAsia="zh-CN"/>
        </w:rPr>
        <w:t>Pharmacol</w:t>
      </w:r>
      <w:proofErr w:type="spellEnd"/>
      <w:r w:rsidRPr="005605FF">
        <w:rPr>
          <w:rFonts w:ascii="Book Antiqua" w:eastAsia="宋体" w:hAnsi="Book Antiqua" w:cs="Times New Roman"/>
          <w:kern w:val="2"/>
          <w:sz w:val="24"/>
          <w:szCs w:val="24"/>
          <w:lang w:val="en-US" w:eastAsia="zh-CN"/>
        </w:rPr>
        <w:t xml:space="preserve"> 2013; </w:t>
      </w:r>
      <w:r w:rsidRPr="005605FF">
        <w:rPr>
          <w:rFonts w:ascii="Book Antiqua" w:eastAsia="宋体" w:hAnsi="Book Antiqua" w:cs="Times New Roman"/>
          <w:b/>
          <w:kern w:val="2"/>
          <w:sz w:val="24"/>
          <w:szCs w:val="24"/>
          <w:lang w:val="en-US" w:eastAsia="zh-CN"/>
        </w:rPr>
        <w:t>64</w:t>
      </w:r>
      <w:r w:rsidRPr="005605FF">
        <w:rPr>
          <w:rFonts w:ascii="Book Antiqua" w:eastAsia="宋体" w:hAnsi="Book Antiqua" w:cs="Times New Roman"/>
          <w:kern w:val="2"/>
          <w:sz w:val="24"/>
          <w:szCs w:val="24"/>
          <w:lang w:val="en-US" w:eastAsia="zh-CN"/>
        </w:rPr>
        <w:t>: 597-612 [PMID: 24304574]</w:t>
      </w:r>
    </w:p>
    <w:p w14:paraId="196547E0"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29 </w:t>
      </w:r>
      <w:proofErr w:type="spellStart"/>
      <w:r w:rsidRPr="005605FF">
        <w:rPr>
          <w:rFonts w:ascii="Book Antiqua" w:eastAsia="宋体" w:hAnsi="Book Antiqua" w:cs="Times New Roman"/>
          <w:b/>
          <w:kern w:val="2"/>
          <w:sz w:val="24"/>
          <w:szCs w:val="24"/>
          <w:lang w:val="en-US" w:eastAsia="zh-CN"/>
        </w:rPr>
        <w:t>Lojo</w:t>
      </w:r>
      <w:proofErr w:type="spellEnd"/>
      <w:r w:rsidRPr="005605FF">
        <w:rPr>
          <w:rFonts w:ascii="Book Antiqua" w:eastAsia="宋体" w:hAnsi="Book Antiqua" w:cs="Times New Roman"/>
          <w:b/>
          <w:kern w:val="2"/>
          <w:sz w:val="24"/>
          <w:szCs w:val="24"/>
          <w:lang w:val="en-US" w:eastAsia="zh-CN"/>
        </w:rPr>
        <w:t xml:space="preserve"> N</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Rasic</w:t>
      </w:r>
      <w:proofErr w:type="spellEnd"/>
      <w:r w:rsidRPr="005605FF">
        <w:rPr>
          <w:rFonts w:ascii="Book Antiqua" w:eastAsia="宋体" w:hAnsi="Book Antiqua" w:cs="Times New Roman"/>
          <w:kern w:val="2"/>
          <w:sz w:val="24"/>
          <w:szCs w:val="24"/>
          <w:lang w:val="en-US" w:eastAsia="zh-CN"/>
        </w:rPr>
        <w:t xml:space="preserve"> Z, </w:t>
      </w:r>
      <w:proofErr w:type="spellStart"/>
      <w:r w:rsidRPr="005605FF">
        <w:rPr>
          <w:rFonts w:ascii="Book Antiqua" w:eastAsia="宋体" w:hAnsi="Book Antiqua" w:cs="Times New Roman"/>
          <w:kern w:val="2"/>
          <w:sz w:val="24"/>
          <w:szCs w:val="24"/>
          <w:lang w:val="en-US" w:eastAsia="zh-CN"/>
        </w:rPr>
        <w:t>Zenko</w:t>
      </w:r>
      <w:proofErr w:type="spellEnd"/>
      <w:r w:rsidRPr="005605FF">
        <w:rPr>
          <w:rFonts w:ascii="Book Antiqua" w:eastAsia="宋体" w:hAnsi="Book Antiqua" w:cs="Times New Roman"/>
          <w:kern w:val="2"/>
          <w:sz w:val="24"/>
          <w:szCs w:val="24"/>
          <w:lang w:val="en-US" w:eastAsia="zh-CN"/>
        </w:rPr>
        <w:t xml:space="preserve"> Sever A, </w:t>
      </w:r>
      <w:proofErr w:type="spellStart"/>
      <w:r w:rsidRPr="005605FF">
        <w:rPr>
          <w:rFonts w:ascii="Book Antiqua" w:eastAsia="宋体" w:hAnsi="Book Antiqua" w:cs="Times New Roman"/>
          <w:kern w:val="2"/>
          <w:sz w:val="24"/>
          <w:szCs w:val="24"/>
          <w:lang w:val="en-US" w:eastAsia="zh-CN"/>
        </w:rPr>
        <w:t>Kolenc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Vukusic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Drmic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Zoricic</w:t>
      </w:r>
      <w:proofErr w:type="spellEnd"/>
      <w:r w:rsidRPr="005605FF">
        <w:rPr>
          <w:rFonts w:ascii="Book Antiqua" w:eastAsia="宋体" w:hAnsi="Book Antiqua" w:cs="Times New Roman"/>
          <w:kern w:val="2"/>
          <w:sz w:val="24"/>
          <w:szCs w:val="24"/>
          <w:lang w:val="en-US" w:eastAsia="zh-CN"/>
        </w:rPr>
        <w:t xml:space="preserve"> I, Sever M,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Sikiric</w:t>
      </w:r>
      <w:proofErr w:type="spellEnd"/>
      <w:r w:rsidRPr="005605FF">
        <w:rPr>
          <w:rFonts w:ascii="Book Antiqua" w:eastAsia="宋体" w:hAnsi="Book Antiqua" w:cs="Times New Roman"/>
          <w:kern w:val="2"/>
          <w:sz w:val="24"/>
          <w:szCs w:val="24"/>
          <w:lang w:val="en-US" w:eastAsia="zh-CN"/>
        </w:rPr>
        <w:t xml:space="preserve"> P. Effects of Diclofenac, L-NAME, L-Arginine, and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on Gastrointestinal, Liver, and Brain Lesions, Failed Anastomosis, and Intestinal Adaptation Deterioration in 24 Hour-Short-Bowel Rats. </w:t>
      </w:r>
      <w:proofErr w:type="spellStart"/>
      <w:r w:rsidRPr="005605FF">
        <w:rPr>
          <w:rFonts w:ascii="Book Antiqua" w:eastAsia="宋体" w:hAnsi="Book Antiqua" w:cs="Times New Roman"/>
          <w:i/>
          <w:kern w:val="2"/>
          <w:sz w:val="24"/>
          <w:szCs w:val="24"/>
          <w:lang w:val="en-US" w:eastAsia="zh-CN"/>
        </w:rPr>
        <w:t>PLoS</w:t>
      </w:r>
      <w:proofErr w:type="spellEnd"/>
      <w:r w:rsidRPr="005605FF">
        <w:rPr>
          <w:rFonts w:ascii="Book Antiqua" w:eastAsia="宋体" w:hAnsi="Book Antiqua" w:cs="Times New Roman"/>
          <w:i/>
          <w:kern w:val="2"/>
          <w:sz w:val="24"/>
          <w:szCs w:val="24"/>
          <w:lang w:val="en-US" w:eastAsia="zh-CN"/>
        </w:rPr>
        <w:t xml:space="preserve"> One</w:t>
      </w:r>
      <w:r w:rsidRPr="005605FF">
        <w:rPr>
          <w:rFonts w:ascii="Book Antiqua" w:eastAsia="宋体" w:hAnsi="Book Antiqua" w:cs="Times New Roman"/>
          <w:kern w:val="2"/>
          <w:sz w:val="24"/>
          <w:szCs w:val="24"/>
          <w:lang w:val="en-US" w:eastAsia="zh-CN"/>
        </w:rPr>
        <w:t xml:space="preserve"> 2016; </w:t>
      </w:r>
      <w:r w:rsidRPr="005605FF">
        <w:rPr>
          <w:rFonts w:ascii="Book Antiqua" w:eastAsia="宋体" w:hAnsi="Book Antiqua" w:cs="Times New Roman"/>
          <w:b/>
          <w:kern w:val="2"/>
          <w:sz w:val="24"/>
          <w:szCs w:val="24"/>
          <w:lang w:val="en-US" w:eastAsia="zh-CN"/>
        </w:rPr>
        <w:t>11</w:t>
      </w:r>
      <w:r w:rsidRPr="005605FF">
        <w:rPr>
          <w:rFonts w:ascii="Book Antiqua" w:eastAsia="宋体" w:hAnsi="Book Antiqua" w:cs="Times New Roman"/>
          <w:kern w:val="2"/>
          <w:sz w:val="24"/>
          <w:szCs w:val="24"/>
          <w:lang w:val="en-US" w:eastAsia="zh-CN"/>
        </w:rPr>
        <w:t>: e0162590 [PMID: 27627764 DOI: 10.1371/journal.pone.0162590]</w:t>
      </w:r>
    </w:p>
    <w:p w14:paraId="5D8318EA" w14:textId="077588CB"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30 </w:t>
      </w:r>
      <w:proofErr w:type="spellStart"/>
      <w:r w:rsidRPr="005605FF">
        <w:rPr>
          <w:rFonts w:ascii="Book Antiqua" w:eastAsia="宋体" w:hAnsi="Book Antiqua" w:cs="Times New Roman"/>
          <w:b/>
          <w:kern w:val="2"/>
          <w:sz w:val="24"/>
          <w:szCs w:val="24"/>
          <w:lang w:val="en-US" w:eastAsia="zh-CN"/>
        </w:rPr>
        <w:t>Sandor</w:t>
      </w:r>
      <w:proofErr w:type="spellEnd"/>
      <w:r w:rsidRPr="005605FF">
        <w:rPr>
          <w:rFonts w:ascii="Book Antiqua" w:eastAsia="宋体" w:hAnsi="Book Antiqua" w:cs="Times New Roman"/>
          <w:b/>
          <w:kern w:val="2"/>
          <w:sz w:val="24"/>
          <w:szCs w:val="24"/>
          <w:lang w:val="en-US" w:eastAsia="zh-CN"/>
        </w:rPr>
        <w:t xml:space="preserve"> Z,</w:t>
      </w:r>
      <w:r w:rsidR="00BC3C35">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Vincze</w:t>
      </w:r>
      <w:proofErr w:type="spellEnd"/>
      <w:r w:rsidRPr="005605FF">
        <w:rPr>
          <w:rFonts w:ascii="Book Antiqua" w:eastAsia="宋体" w:hAnsi="Book Antiqua" w:cs="Times New Roman"/>
          <w:kern w:val="2"/>
          <w:sz w:val="24"/>
          <w:szCs w:val="24"/>
          <w:lang w:val="en-US" w:eastAsia="zh-CN"/>
        </w:rPr>
        <w:t xml:space="preserve"> A, </w:t>
      </w:r>
      <w:proofErr w:type="spellStart"/>
      <w:r w:rsidRPr="005605FF">
        <w:rPr>
          <w:rFonts w:ascii="Book Antiqua" w:eastAsia="宋体" w:hAnsi="Book Antiqua" w:cs="Times New Roman"/>
          <w:kern w:val="2"/>
          <w:sz w:val="24"/>
          <w:szCs w:val="24"/>
          <w:lang w:val="en-US" w:eastAsia="zh-CN"/>
        </w:rPr>
        <w:t>Jadus</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Dohoczky</w:t>
      </w:r>
      <w:proofErr w:type="spellEnd"/>
      <w:r w:rsidRPr="005605FF">
        <w:rPr>
          <w:rFonts w:ascii="Book Antiqua" w:eastAsia="宋体" w:hAnsi="Book Antiqua" w:cs="Times New Roman"/>
          <w:kern w:val="2"/>
          <w:sz w:val="24"/>
          <w:szCs w:val="24"/>
          <w:lang w:val="en-US" w:eastAsia="zh-CN"/>
        </w:rPr>
        <w:t xml:space="preserve"> C, </w:t>
      </w:r>
      <w:proofErr w:type="spellStart"/>
      <w:r w:rsidRPr="005605FF">
        <w:rPr>
          <w:rFonts w:ascii="Book Antiqua" w:eastAsia="宋体" w:hAnsi="Book Antiqua" w:cs="Times New Roman"/>
          <w:kern w:val="2"/>
          <w:sz w:val="24"/>
          <w:szCs w:val="24"/>
          <w:lang w:val="en-US" w:eastAsia="zh-CN"/>
        </w:rPr>
        <w:t>Erceg</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Brajsa</w:t>
      </w:r>
      <w:proofErr w:type="spellEnd"/>
      <w:r w:rsidRPr="005605FF">
        <w:rPr>
          <w:rFonts w:ascii="Book Antiqua" w:eastAsia="宋体" w:hAnsi="Book Antiqua" w:cs="Times New Roman"/>
          <w:kern w:val="2"/>
          <w:sz w:val="24"/>
          <w:szCs w:val="24"/>
          <w:lang w:val="en-US" w:eastAsia="zh-CN"/>
        </w:rPr>
        <w:t xml:space="preserve"> K, </w:t>
      </w:r>
      <w:proofErr w:type="spellStart"/>
      <w:r w:rsidRPr="005605FF">
        <w:rPr>
          <w:rFonts w:ascii="Book Antiqua" w:eastAsia="宋体" w:hAnsi="Book Antiqua" w:cs="Times New Roman"/>
          <w:kern w:val="2"/>
          <w:sz w:val="24"/>
          <w:szCs w:val="24"/>
          <w:lang w:val="en-US" w:eastAsia="zh-CN"/>
        </w:rPr>
        <w:t>Kolega</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Szabo</w:t>
      </w:r>
      <w:proofErr w:type="spellEnd"/>
      <w:r w:rsidRPr="005605FF">
        <w:rPr>
          <w:rFonts w:ascii="Book Antiqua" w:eastAsia="宋体" w:hAnsi="Book Antiqua" w:cs="Times New Roman"/>
          <w:kern w:val="2"/>
          <w:sz w:val="24"/>
          <w:szCs w:val="24"/>
          <w:lang w:val="en-US" w:eastAsia="zh-CN"/>
        </w:rPr>
        <w:t xml:space="preserve"> S. The protective effect of newly isolated peptide PL-10 in the iodoacetamide colitis model in rats. In: Gastroenterology. 1997. </w:t>
      </w:r>
      <w:proofErr w:type="gramStart"/>
      <w:r w:rsidRPr="005605FF">
        <w:rPr>
          <w:rFonts w:ascii="Book Antiqua" w:eastAsia="宋体" w:hAnsi="Book Antiqua" w:cs="Times New Roman"/>
          <w:kern w:val="2"/>
          <w:sz w:val="24"/>
          <w:szCs w:val="24"/>
          <w:lang w:val="en-US" w:eastAsia="zh-CN"/>
        </w:rPr>
        <w:t>page</w:t>
      </w:r>
      <w:proofErr w:type="gramEnd"/>
      <w:r w:rsidRPr="005605FF">
        <w:rPr>
          <w:rFonts w:ascii="Book Antiqua" w:eastAsia="宋体" w:hAnsi="Book Antiqua" w:cs="Times New Roman"/>
          <w:kern w:val="2"/>
          <w:sz w:val="24"/>
          <w:szCs w:val="24"/>
          <w:lang w:val="en-US" w:eastAsia="zh-CN"/>
        </w:rPr>
        <w:t xml:space="preserve"> 112:A400</w:t>
      </w:r>
    </w:p>
    <w:p w14:paraId="095FC039"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31 </w:t>
      </w:r>
      <w:proofErr w:type="spellStart"/>
      <w:r w:rsidRPr="005605FF">
        <w:rPr>
          <w:rFonts w:ascii="Book Antiqua" w:eastAsia="宋体" w:hAnsi="Book Antiqua" w:cs="Times New Roman"/>
          <w:b/>
          <w:kern w:val="2"/>
          <w:sz w:val="24"/>
          <w:szCs w:val="24"/>
          <w:lang w:val="en-US" w:eastAsia="zh-CN"/>
        </w:rPr>
        <w:t>Sikiric</w:t>
      </w:r>
      <w:proofErr w:type="spellEnd"/>
      <w:r w:rsidRPr="005605FF">
        <w:rPr>
          <w:rFonts w:ascii="Book Antiqua" w:eastAsia="宋体" w:hAnsi="Book Antiqua" w:cs="Times New Roman"/>
          <w:b/>
          <w:kern w:val="2"/>
          <w:sz w:val="24"/>
          <w:szCs w:val="24"/>
          <w:lang w:val="en-US" w:eastAsia="zh-CN"/>
        </w:rPr>
        <w:t xml:space="preserve"> P</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Grabarevic</w:t>
      </w:r>
      <w:proofErr w:type="spellEnd"/>
      <w:r w:rsidRPr="005605FF">
        <w:rPr>
          <w:rFonts w:ascii="Book Antiqua" w:eastAsia="宋体" w:hAnsi="Book Antiqua" w:cs="Times New Roman"/>
          <w:kern w:val="2"/>
          <w:sz w:val="24"/>
          <w:szCs w:val="24"/>
          <w:lang w:val="en-US" w:eastAsia="zh-CN"/>
        </w:rPr>
        <w:t xml:space="preserve"> Z, </w:t>
      </w:r>
      <w:proofErr w:type="spellStart"/>
      <w:r w:rsidRPr="005605FF">
        <w:rPr>
          <w:rFonts w:ascii="Book Antiqua" w:eastAsia="宋体" w:hAnsi="Book Antiqua" w:cs="Times New Roman"/>
          <w:kern w:val="2"/>
          <w:sz w:val="24"/>
          <w:szCs w:val="24"/>
          <w:lang w:val="en-US" w:eastAsia="zh-CN"/>
        </w:rPr>
        <w:t>Balen</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Aralica</w:t>
      </w:r>
      <w:proofErr w:type="spellEnd"/>
      <w:r w:rsidRPr="005605FF">
        <w:rPr>
          <w:rFonts w:ascii="Book Antiqua" w:eastAsia="宋体" w:hAnsi="Book Antiqua" w:cs="Times New Roman"/>
          <w:kern w:val="2"/>
          <w:sz w:val="24"/>
          <w:szCs w:val="24"/>
          <w:lang w:val="en-US" w:eastAsia="zh-CN"/>
        </w:rPr>
        <w:t xml:space="preserve"> G, </w:t>
      </w:r>
      <w:proofErr w:type="spellStart"/>
      <w:r w:rsidRPr="005605FF">
        <w:rPr>
          <w:rFonts w:ascii="Book Antiqua" w:eastAsia="宋体" w:hAnsi="Book Antiqua" w:cs="Times New Roman"/>
          <w:kern w:val="2"/>
          <w:sz w:val="24"/>
          <w:szCs w:val="24"/>
          <w:lang w:val="en-US" w:eastAsia="zh-CN"/>
        </w:rPr>
        <w:t>Gjurasin</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Komericki</w:t>
      </w:r>
      <w:proofErr w:type="spellEnd"/>
      <w:r w:rsidRPr="005605FF">
        <w:rPr>
          <w:rFonts w:ascii="Book Antiqua" w:eastAsia="宋体" w:hAnsi="Book Antiqua" w:cs="Times New Roman"/>
          <w:kern w:val="2"/>
          <w:sz w:val="24"/>
          <w:szCs w:val="24"/>
          <w:lang w:val="en-US" w:eastAsia="zh-CN"/>
        </w:rPr>
        <w:t xml:space="preserve"> L, </w:t>
      </w:r>
      <w:proofErr w:type="spellStart"/>
      <w:r w:rsidRPr="005605FF">
        <w:rPr>
          <w:rFonts w:ascii="Book Antiqua" w:eastAsia="宋体" w:hAnsi="Book Antiqua" w:cs="Times New Roman"/>
          <w:kern w:val="2"/>
          <w:sz w:val="24"/>
          <w:szCs w:val="24"/>
          <w:lang w:val="en-US" w:eastAsia="zh-CN"/>
        </w:rPr>
        <w:lastRenderedPageBreak/>
        <w:t>Perovic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Ziger</w:t>
      </w:r>
      <w:proofErr w:type="spellEnd"/>
      <w:r w:rsidRPr="005605FF">
        <w:rPr>
          <w:rFonts w:ascii="Book Antiqua" w:eastAsia="宋体" w:hAnsi="Book Antiqua" w:cs="Times New Roman"/>
          <w:kern w:val="2"/>
          <w:sz w:val="24"/>
          <w:szCs w:val="24"/>
          <w:lang w:val="en-US" w:eastAsia="zh-CN"/>
        </w:rPr>
        <w:t xml:space="preserve"> T, </w:t>
      </w:r>
      <w:proofErr w:type="spellStart"/>
      <w:r w:rsidRPr="005605FF">
        <w:rPr>
          <w:rFonts w:ascii="Book Antiqua" w:eastAsia="宋体" w:hAnsi="Book Antiqua" w:cs="Times New Roman"/>
          <w:kern w:val="2"/>
          <w:sz w:val="24"/>
          <w:szCs w:val="24"/>
          <w:lang w:val="en-US" w:eastAsia="zh-CN"/>
        </w:rPr>
        <w:t>Anic</w:t>
      </w:r>
      <w:proofErr w:type="spellEnd"/>
      <w:r w:rsidRPr="005605FF">
        <w:rPr>
          <w:rFonts w:ascii="Book Antiqua" w:eastAsia="宋体" w:hAnsi="Book Antiqua" w:cs="Times New Roman"/>
          <w:kern w:val="2"/>
          <w:sz w:val="24"/>
          <w:szCs w:val="24"/>
          <w:lang w:val="en-US" w:eastAsia="zh-CN"/>
        </w:rPr>
        <w:t xml:space="preserve"> T, </w:t>
      </w:r>
      <w:proofErr w:type="spellStart"/>
      <w:r w:rsidRPr="005605FF">
        <w:rPr>
          <w:rFonts w:ascii="Book Antiqua" w:eastAsia="宋体" w:hAnsi="Book Antiqua" w:cs="Times New Roman"/>
          <w:kern w:val="2"/>
          <w:sz w:val="24"/>
          <w:szCs w:val="24"/>
          <w:lang w:val="en-US" w:eastAsia="zh-CN"/>
        </w:rPr>
        <w:t>Prkacin</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Separovic</w:t>
      </w:r>
      <w:proofErr w:type="spellEnd"/>
      <w:r w:rsidRPr="005605FF">
        <w:rPr>
          <w:rFonts w:ascii="Book Antiqua" w:eastAsia="宋体" w:hAnsi="Book Antiqua" w:cs="Times New Roman"/>
          <w:kern w:val="2"/>
          <w:sz w:val="24"/>
          <w:szCs w:val="24"/>
          <w:lang w:val="en-US" w:eastAsia="zh-CN"/>
        </w:rPr>
        <w:t xml:space="preserve"> J, </w:t>
      </w:r>
      <w:proofErr w:type="spellStart"/>
      <w:r w:rsidRPr="005605FF">
        <w:rPr>
          <w:rFonts w:ascii="Book Antiqua" w:eastAsia="宋体" w:hAnsi="Book Antiqua" w:cs="Times New Roman"/>
          <w:kern w:val="2"/>
          <w:sz w:val="24"/>
          <w:szCs w:val="24"/>
          <w:lang w:val="en-US" w:eastAsia="zh-CN"/>
        </w:rPr>
        <w:t>Stancic-Rokotov</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Lovric-Bencic</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Mikus</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Staresinic</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Aralica</w:t>
      </w:r>
      <w:proofErr w:type="spellEnd"/>
      <w:r w:rsidRPr="005605FF">
        <w:rPr>
          <w:rFonts w:ascii="Book Antiqua" w:eastAsia="宋体" w:hAnsi="Book Antiqua" w:cs="Times New Roman"/>
          <w:kern w:val="2"/>
          <w:sz w:val="24"/>
          <w:szCs w:val="24"/>
          <w:lang w:val="en-US" w:eastAsia="zh-CN"/>
        </w:rPr>
        <w:t xml:space="preserve"> J, </w:t>
      </w:r>
      <w:proofErr w:type="spellStart"/>
      <w:r w:rsidRPr="005605FF">
        <w:rPr>
          <w:rFonts w:ascii="Book Antiqua" w:eastAsia="宋体" w:hAnsi="Book Antiqua" w:cs="Times New Roman"/>
          <w:kern w:val="2"/>
          <w:sz w:val="24"/>
          <w:szCs w:val="24"/>
          <w:lang w:val="en-US" w:eastAsia="zh-CN"/>
        </w:rPr>
        <w:t>DiBiaggio</w:t>
      </w:r>
      <w:proofErr w:type="spellEnd"/>
      <w:r w:rsidRPr="005605FF">
        <w:rPr>
          <w:rFonts w:ascii="Book Antiqua" w:eastAsia="宋体" w:hAnsi="Book Antiqua" w:cs="Times New Roman"/>
          <w:kern w:val="2"/>
          <w:sz w:val="24"/>
          <w:szCs w:val="24"/>
          <w:lang w:val="en-US" w:eastAsia="zh-CN"/>
        </w:rPr>
        <w:t xml:space="preserve"> N, </w:t>
      </w:r>
      <w:proofErr w:type="spellStart"/>
      <w:r w:rsidRPr="005605FF">
        <w:rPr>
          <w:rFonts w:ascii="Book Antiqua" w:eastAsia="宋体" w:hAnsi="Book Antiqua" w:cs="Times New Roman"/>
          <w:kern w:val="2"/>
          <w:sz w:val="24"/>
          <w:szCs w:val="24"/>
          <w:lang w:val="en-US" w:eastAsia="zh-CN"/>
        </w:rPr>
        <w:t>Simec</w:t>
      </w:r>
      <w:proofErr w:type="spellEnd"/>
      <w:r w:rsidRPr="005605FF">
        <w:rPr>
          <w:rFonts w:ascii="Book Antiqua" w:eastAsia="宋体" w:hAnsi="Book Antiqua" w:cs="Times New Roman"/>
          <w:kern w:val="2"/>
          <w:sz w:val="24"/>
          <w:szCs w:val="24"/>
          <w:lang w:val="en-US" w:eastAsia="zh-CN"/>
        </w:rPr>
        <w:t xml:space="preserve"> Z, </w:t>
      </w:r>
      <w:proofErr w:type="spellStart"/>
      <w:r w:rsidRPr="005605FF">
        <w:rPr>
          <w:rFonts w:ascii="Book Antiqua" w:eastAsia="宋体" w:hAnsi="Book Antiqua" w:cs="Times New Roman"/>
          <w:kern w:val="2"/>
          <w:sz w:val="24"/>
          <w:szCs w:val="24"/>
          <w:lang w:val="en-US" w:eastAsia="zh-CN"/>
        </w:rPr>
        <w:t>Turkovic</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Rotkvic</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Mise</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Rucman</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Petek</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Sebecic</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Ivasovic</w:t>
      </w:r>
      <w:proofErr w:type="spellEnd"/>
      <w:r w:rsidRPr="005605FF">
        <w:rPr>
          <w:rFonts w:ascii="Book Antiqua" w:eastAsia="宋体" w:hAnsi="Book Antiqua" w:cs="Times New Roman"/>
          <w:kern w:val="2"/>
          <w:sz w:val="24"/>
          <w:szCs w:val="24"/>
          <w:lang w:val="en-US" w:eastAsia="zh-CN"/>
        </w:rPr>
        <w:t xml:space="preserve"> Z, </w:t>
      </w:r>
      <w:proofErr w:type="spellStart"/>
      <w:r w:rsidRPr="005605FF">
        <w:rPr>
          <w:rFonts w:ascii="Book Antiqua" w:eastAsia="宋体" w:hAnsi="Book Antiqua" w:cs="Times New Roman"/>
          <w:kern w:val="2"/>
          <w:sz w:val="24"/>
          <w:szCs w:val="24"/>
          <w:lang w:val="en-US" w:eastAsia="zh-CN"/>
        </w:rPr>
        <w:t>Boban-Blagaic</w:t>
      </w:r>
      <w:proofErr w:type="spellEnd"/>
      <w:r w:rsidRPr="005605FF">
        <w:rPr>
          <w:rFonts w:ascii="Book Antiqua" w:eastAsia="宋体" w:hAnsi="Book Antiqua" w:cs="Times New Roman"/>
          <w:kern w:val="2"/>
          <w:sz w:val="24"/>
          <w:szCs w:val="24"/>
          <w:lang w:val="en-US" w:eastAsia="zh-CN"/>
        </w:rPr>
        <w:t xml:space="preserve"> A, </w:t>
      </w:r>
      <w:proofErr w:type="spellStart"/>
      <w:r w:rsidRPr="005605FF">
        <w:rPr>
          <w:rFonts w:ascii="Book Antiqua" w:eastAsia="宋体" w:hAnsi="Book Antiqua" w:cs="Times New Roman"/>
          <w:kern w:val="2"/>
          <w:sz w:val="24"/>
          <w:szCs w:val="24"/>
          <w:lang w:val="en-US" w:eastAsia="zh-CN"/>
        </w:rPr>
        <w:t>Sjekavica</w:t>
      </w:r>
      <w:proofErr w:type="spellEnd"/>
      <w:r w:rsidRPr="005605FF">
        <w:rPr>
          <w:rFonts w:ascii="Book Antiqua" w:eastAsia="宋体" w:hAnsi="Book Antiqua" w:cs="Times New Roman"/>
          <w:kern w:val="2"/>
          <w:sz w:val="24"/>
          <w:szCs w:val="24"/>
          <w:lang w:val="en-US" w:eastAsia="zh-CN"/>
        </w:rPr>
        <w:t xml:space="preserve"> I. Cysteamine-colon and cysteamine-duodenum lesions in rats. Attenuation by gastric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cimetidine, ranitidine, atropine, omeprazole, </w:t>
      </w:r>
      <w:proofErr w:type="spellStart"/>
      <w:r w:rsidRPr="005605FF">
        <w:rPr>
          <w:rFonts w:ascii="Book Antiqua" w:eastAsia="宋体" w:hAnsi="Book Antiqua" w:cs="Times New Roman"/>
          <w:kern w:val="2"/>
          <w:sz w:val="24"/>
          <w:szCs w:val="24"/>
          <w:lang w:val="en-US" w:eastAsia="zh-CN"/>
        </w:rPr>
        <w:t>sulphasalazine</w:t>
      </w:r>
      <w:proofErr w:type="spellEnd"/>
      <w:r w:rsidRPr="005605FF">
        <w:rPr>
          <w:rFonts w:ascii="Book Antiqua" w:eastAsia="宋体" w:hAnsi="Book Antiqua" w:cs="Times New Roman"/>
          <w:kern w:val="2"/>
          <w:sz w:val="24"/>
          <w:szCs w:val="24"/>
          <w:lang w:val="en-US" w:eastAsia="zh-CN"/>
        </w:rPr>
        <w:t xml:space="preserve"> and methylprednisolone. </w:t>
      </w:r>
      <w:r w:rsidRPr="005605FF">
        <w:rPr>
          <w:rFonts w:ascii="Book Antiqua" w:eastAsia="宋体" w:hAnsi="Book Antiqua" w:cs="Times New Roman"/>
          <w:i/>
          <w:kern w:val="2"/>
          <w:sz w:val="24"/>
          <w:szCs w:val="24"/>
          <w:lang w:val="en-US" w:eastAsia="zh-CN"/>
        </w:rPr>
        <w:t xml:space="preserve">J </w:t>
      </w:r>
      <w:proofErr w:type="spellStart"/>
      <w:r w:rsidRPr="005605FF">
        <w:rPr>
          <w:rFonts w:ascii="Book Antiqua" w:eastAsia="宋体" w:hAnsi="Book Antiqua" w:cs="Times New Roman"/>
          <w:i/>
          <w:kern w:val="2"/>
          <w:sz w:val="24"/>
          <w:szCs w:val="24"/>
          <w:lang w:val="en-US" w:eastAsia="zh-CN"/>
        </w:rPr>
        <w:t>Physiol</w:t>
      </w:r>
      <w:proofErr w:type="spellEnd"/>
      <w:r w:rsidRPr="005605FF">
        <w:rPr>
          <w:rFonts w:ascii="Book Antiqua" w:eastAsia="宋体" w:hAnsi="Book Antiqua" w:cs="Times New Roman"/>
          <w:i/>
          <w:kern w:val="2"/>
          <w:sz w:val="24"/>
          <w:szCs w:val="24"/>
          <w:lang w:val="en-US" w:eastAsia="zh-CN"/>
        </w:rPr>
        <w:t xml:space="preserve"> Paris</w:t>
      </w:r>
      <w:r w:rsidRPr="005605FF">
        <w:rPr>
          <w:rFonts w:ascii="Book Antiqua" w:eastAsia="宋体" w:hAnsi="Book Antiqua" w:cs="Times New Roman"/>
          <w:kern w:val="2"/>
          <w:sz w:val="24"/>
          <w:szCs w:val="24"/>
          <w:lang w:val="en-US" w:eastAsia="zh-CN"/>
        </w:rPr>
        <w:t xml:space="preserve"> 2001; </w:t>
      </w:r>
      <w:r w:rsidRPr="005605FF">
        <w:rPr>
          <w:rFonts w:ascii="Book Antiqua" w:eastAsia="宋体" w:hAnsi="Book Antiqua" w:cs="Times New Roman"/>
          <w:b/>
          <w:kern w:val="2"/>
          <w:sz w:val="24"/>
          <w:szCs w:val="24"/>
          <w:lang w:val="en-US" w:eastAsia="zh-CN"/>
        </w:rPr>
        <w:t>95</w:t>
      </w:r>
      <w:r w:rsidRPr="005605FF">
        <w:rPr>
          <w:rFonts w:ascii="Book Antiqua" w:eastAsia="宋体" w:hAnsi="Book Antiqua" w:cs="Times New Roman"/>
          <w:kern w:val="2"/>
          <w:sz w:val="24"/>
          <w:szCs w:val="24"/>
          <w:lang w:val="en-US" w:eastAsia="zh-CN"/>
        </w:rPr>
        <w:t>: 261-270 [PMID: 11595448 DOI: 10.1016/S0928-4257(01)00036-5]</w:t>
      </w:r>
    </w:p>
    <w:p w14:paraId="395DFDCF"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32 </w:t>
      </w:r>
      <w:proofErr w:type="spellStart"/>
      <w:r w:rsidRPr="005605FF">
        <w:rPr>
          <w:rFonts w:ascii="Book Antiqua" w:eastAsia="宋体" w:hAnsi="Book Antiqua" w:cs="Times New Roman"/>
          <w:b/>
          <w:kern w:val="2"/>
          <w:sz w:val="24"/>
          <w:szCs w:val="24"/>
          <w:lang w:val="en-US" w:eastAsia="zh-CN"/>
        </w:rPr>
        <w:t>Sikiric</w:t>
      </w:r>
      <w:proofErr w:type="spellEnd"/>
      <w:r w:rsidRPr="005605FF">
        <w:rPr>
          <w:rFonts w:ascii="Book Antiqua" w:eastAsia="宋体" w:hAnsi="Book Antiqua" w:cs="Times New Roman"/>
          <w:b/>
          <w:kern w:val="2"/>
          <w:sz w:val="24"/>
          <w:szCs w:val="24"/>
          <w:lang w:val="en-US" w:eastAsia="zh-CN"/>
        </w:rPr>
        <w:t xml:space="preserve"> P</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Aralica</w:t>
      </w:r>
      <w:proofErr w:type="spellEnd"/>
      <w:r w:rsidRPr="005605FF">
        <w:rPr>
          <w:rFonts w:ascii="Book Antiqua" w:eastAsia="宋体" w:hAnsi="Book Antiqua" w:cs="Times New Roman"/>
          <w:kern w:val="2"/>
          <w:sz w:val="24"/>
          <w:szCs w:val="24"/>
          <w:lang w:val="en-US" w:eastAsia="zh-CN"/>
        </w:rPr>
        <w:t xml:space="preserve"> G, </w:t>
      </w:r>
      <w:proofErr w:type="spellStart"/>
      <w:r w:rsidRPr="005605FF">
        <w:rPr>
          <w:rFonts w:ascii="Book Antiqua" w:eastAsia="宋体" w:hAnsi="Book Antiqua" w:cs="Times New Roman"/>
          <w:kern w:val="2"/>
          <w:sz w:val="24"/>
          <w:szCs w:val="24"/>
          <w:lang w:val="en-US" w:eastAsia="zh-CN"/>
        </w:rPr>
        <w:t>Perovic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Staresinic</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Anic</w:t>
      </w:r>
      <w:proofErr w:type="spellEnd"/>
      <w:r w:rsidRPr="005605FF">
        <w:rPr>
          <w:rFonts w:ascii="Book Antiqua" w:eastAsia="宋体" w:hAnsi="Book Antiqua" w:cs="Times New Roman"/>
          <w:kern w:val="2"/>
          <w:sz w:val="24"/>
          <w:szCs w:val="24"/>
          <w:lang w:val="en-US" w:eastAsia="zh-CN"/>
        </w:rPr>
        <w:t xml:space="preserve"> T, </w:t>
      </w:r>
      <w:proofErr w:type="spellStart"/>
      <w:r w:rsidRPr="005605FF">
        <w:rPr>
          <w:rFonts w:ascii="Book Antiqua" w:eastAsia="宋体" w:hAnsi="Book Antiqua" w:cs="Times New Roman"/>
          <w:kern w:val="2"/>
          <w:sz w:val="24"/>
          <w:szCs w:val="24"/>
          <w:lang w:val="en-US" w:eastAsia="zh-CN"/>
        </w:rPr>
        <w:t>Gjurasin</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Prkacin</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Separovic</w:t>
      </w:r>
      <w:proofErr w:type="spellEnd"/>
      <w:r w:rsidRPr="005605FF">
        <w:rPr>
          <w:rFonts w:ascii="Book Antiqua" w:eastAsia="宋体" w:hAnsi="Book Antiqua" w:cs="Times New Roman"/>
          <w:kern w:val="2"/>
          <w:sz w:val="24"/>
          <w:szCs w:val="24"/>
          <w:lang w:val="en-US" w:eastAsia="zh-CN"/>
        </w:rPr>
        <w:t xml:space="preserve"> J, </w:t>
      </w:r>
      <w:proofErr w:type="spellStart"/>
      <w:r w:rsidRPr="005605FF">
        <w:rPr>
          <w:rFonts w:ascii="Book Antiqua" w:eastAsia="宋体" w:hAnsi="Book Antiqua" w:cs="Times New Roman"/>
          <w:kern w:val="2"/>
          <w:sz w:val="24"/>
          <w:szCs w:val="24"/>
          <w:lang w:val="en-US" w:eastAsia="zh-CN"/>
        </w:rPr>
        <w:t>Stancic-Rokotov</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Lovric-Bencic</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Mikus</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Turkovic</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Rotkvic</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Mise</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Rucman</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Petek</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Ziger</w:t>
      </w:r>
      <w:proofErr w:type="spellEnd"/>
      <w:r w:rsidRPr="005605FF">
        <w:rPr>
          <w:rFonts w:ascii="Book Antiqua" w:eastAsia="宋体" w:hAnsi="Book Antiqua" w:cs="Times New Roman"/>
          <w:kern w:val="2"/>
          <w:sz w:val="24"/>
          <w:szCs w:val="24"/>
          <w:lang w:val="en-US" w:eastAsia="zh-CN"/>
        </w:rPr>
        <w:t xml:space="preserve"> T, </w:t>
      </w:r>
      <w:proofErr w:type="spellStart"/>
      <w:r w:rsidRPr="005605FF">
        <w:rPr>
          <w:rFonts w:ascii="Book Antiqua" w:eastAsia="宋体" w:hAnsi="Book Antiqua" w:cs="Times New Roman"/>
          <w:kern w:val="2"/>
          <w:sz w:val="24"/>
          <w:szCs w:val="24"/>
          <w:lang w:val="en-US" w:eastAsia="zh-CN"/>
        </w:rPr>
        <w:t>Sebecic</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Ivasovic</w:t>
      </w:r>
      <w:proofErr w:type="spellEnd"/>
      <w:r w:rsidRPr="005605FF">
        <w:rPr>
          <w:rFonts w:ascii="Book Antiqua" w:eastAsia="宋体" w:hAnsi="Book Antiqua" w:cs="Times New Roman"/>
          <w:kern w:val="2"/>
          <w:sz w:val="24"/>
          <w:szCs w:val="24"/>
          <w:lang w:val="en-US" w:eastAsia="zh-CN"/>
        </w:rPr>
        <w:t xml:space="preserve"> Z, </w:t>
      </w:r>
      <w:proofErr w:type="spellStart"/>
      <w:r w:rsidRPr="005605FF">
        <w:rPr>
          <w:rFonts w:ascii="Book Antiqua" w:eastAsia="宋体" w:hAnsi="Book Antiqua" w:cs="Times New Roman"/>
          <w:kern w:val="2"/>
          <w:sz w:val="24"/>
          <w:szCs w:val="24"/>
          <w:lang w:val="en-US" w:eastAsia="zh-CN"/>
        </w:rPr>
        <w:t>Jagic</w:t>
      </w:r>
      <w:proofErr w:type="spellEnd"/>
      <w:r w:rsidRPr="005605FF">
        <w:rPr>
          <w:rFonts w:ascii="Book Antiqua" w:eastAsia="宋体" w:hAnsi="Book Antiqua" w:cs="Times New Roman"/>
          <w:kern w:val="2"/>
          <w:sz w:val="24"/>
          <w:szCs w:val="24"/>
          <w:lang w:val="en-US" w:eastAsia="zh-CN"/>
        </w:rPr>
        <w:t xml:space="preserve"> V, </w:t>
      </w:r>
      <w:proofErr w:type="spellStart"/>
      <w:r w:rsidRPr="005605FF">
        <w:rPr>
          <w:rFonts w:ascii="Book Antiqua" w:eastAsia="宋体" w:hAnsi="Book Antiqua" w:cs="Times New Roman"/>
          <w:kern w:val="2"/>
          <w:sz w:val="24"/>
          <w:szCs w:val="24"/>
          <w:lang w:val="en-US" w:eastAsia="zh-CN"/>
        </w:rPr>
        <w:t>Komericki</w:t>
      </w:r>
      <w:proofErr w:type="spellEnd"/>
      <w:r w:rsidRPr="005605FF">
        <w:rPr>
          <w:rFonts w:ascii="Book Antiqua" w:eastAsia="宋体" w:hAnsi="Book Antiqua" w:cs="Times New Roman"/>
          <w:kern w:val="2"/>
          <w:sz w:val="24"/>
          <w:szCs w:val="24"/>
          <w:lang w:val="en-US" w:eastAsia="zh-CN"/>
        </w:rPr>
        <w:t xml:space="preserve"> L, </w:t>
      </w:r>
      <w:proofErr w:type="spellStart"/>
      <w:r w:rsidRPr="005605FF">
        <w:rPr>
          <w:rFonts w:ascii="Book Antiqua" w:eastAsia="宋体" w:hAnsi="Book Antiqua" w:cs="Times New Roman"/>
          <w:kern w:val="2"/>
          <w:sz w:val="24"/>
          <w:szCs w:val="24"/>
          <w:lang w:val="en-US" w:eastAsia="zh-CN"/>
        </w:rPr>
        <w:t>Balen</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Boban-Blagaic</w:t>
      </w:r>
      <w:proofErr w:type="spellEnd"/>
      <w:r w:rsidRPr="005605FF">
        <w:rPr>
          <w:rFonts w:ascii="Book Antiqua" w:eastAsia="宋体" w:hAnsi="Book Antiqua" w:cs="Times New Roman"/>
          <w:kern w:val="2"/>
          <w:sz w:val="24"/>
          <w:szCs w:val="24"/>
          <w:lang w:val="en-US" w:eastAsia="zh-CN"/>
        </w:rPr>
        <w:t xml:space="preserve"> A, </w:t>
      </w:r>
      <w:proofErr w:type="spellStart"/>
      <w:r w:rsidRPr="005605FF">
        <w:rPr>
          <w:rFonts w:ascii="Book Antiqua" w:eastAsia="宋体" w:hAnsi="Book Antiqua" w:cs="Times New Roman"/>
          <w:kern w:val="2"/>
          <w:sz w:val="24"/>
          <w:szCs w:val="24"/>
          <w:lang w:val="en-US" w:eastAsia="zh-CN"/>
        </w:rPr>
        <w:t>Sjekavica</w:t>
      </w:r>
      <w:proofErr w:type="spellEnd"/>
      <w:r w:rsidRPr="005605FF">
        <w:rPr>
          <w:rFonts w:ascii="Book Antiqua" w:eastAsia="宋体" w:hAnsi="Book Antiqua" w:cs="Times New Roman"/>
          <w:kern w:val="2"/>
          <w:sz w:val="24"/>
          <w:szCs w:val="24"/>
          <w:lang w:val="en-US" w:eastAsia="zh-CN"/>
        </w:rPr>
        <w:t xml:space="preserve"> I. Therapy effect of antiulcer agents on new chronic cysteamine colon lesion in rat. </w:t>
      </w:r>
      <w:r w:rsidRPr="005605FF">
        <w:rPr>
          <w:rFonts w:ascii="Book Antiqua" w:eastAsia="宋体" w:hAnsi="Book Antiqua" w:cs="Times New Roman"/>
          <w:i/>
          <w:kern w:val="2"/>
          <w:sz w:val="24"/>
          <w:szCs w:val="24"/>
          <w:lang w:val="en-US" w:eastAsia="zh-CN"/>
        </w:rPr>
        <w:t xml:space="preserve">J </w:t>
      </w:r>
      <w:proofErr w:type="spellStart"/>
      <w:r w:rsidRPr="005605FF">
        <w:rPr>
          <w:rFonts w:ascii="Book Antiqua" w:eastAsia="宋体" w:hAnsi="Book Antiqua" w:cs="Times New Roman"/>
          <w:i/>
          <w:kern w:val="2"/>
          <w:sz w:val="24"/>
          <w:szCs w:val="24"/>
          <w:lang w:val="en-US" w:eastAsia="zh-CN"/>
        </w:rPr>
        <w:t>Physiol</w:t>
      </w:r>
      <w:proofErr w:type="spellEnd"/>
      <w:r w:rsidRPr="005605FF">
        <w:rPr>
          <w:rFonts w:ascii="Book Antiqua" w:eastAsia="宋体" w:hAnsi="Book Antiqua" w:cs="Times New Roman"/>
          <w:i/>
          <w:kern w:val="2"/>
          <w:sz w:val="24"/>
          <w:szCs w:val="24"/>
          <w:lang w:val="en-US" w:eastAsia="zh-CN"/>
        </w:rPr>
        <w:t xml:space="preserve"> Paris</w:t>
      </w:r>
      <w:r w:rsidRPr="005605FF">
        <w:rPr>
          <w:rFonts w:ascii="Book Antiqua" w:eastAsia="宋体" w:hAnsi="Book Antiqua" w:cs="Times New Roman"/>
          <w:kern w:val="2"/>
          <w:sz w:val="24"/>
          <w:szCs w:val="24"/>
          <w:lang w:val="en-US" w:eastAsia="zh-CN"/>
        </w:rPr>
        <w:t xml:space="preserve"> 2001; </w:t>
      </w:r>
      <w:r w:rsidRPr="005605FF">
        <w:rPr>
          <w:rFonts w:ascii="Book Antiqua" w:eastAsia="宋体" w:hAnsi="Book Antiqua" w:cs="Times New Roman"/>
          <w:b/>
          <w:kern w:val="2"/>
          <w:sz w:val="24"/>
          <w:szCs w:val="24"/>
          <w:lang w:val="en-US" w:eastAsia="zh-CN"/>
        </w:rPr>
        <w:t>95</w:t>
      </w:r>
      <w:r w:rsidRPr="005605FF">
        <w:rPr>
          <w:rFonts w:ascii="Book Antiqua" w:eastAsia="宋体" w:hAnsi="Book Antiqua" w:cs="Times New Roman"/>
          <w:kern w:val="2"/>
          <w:sz w:val="24"/>
          <w:szCs w:val="24"/>
          <w:lang w:val="en-US" w:eastAsia="zh-CN"/>
        </w:rPr>
        <w:t>: 283-288 [PMID: 11595451 DOI: 10.1016/S0928-4257(01)00039-0]</w:t>
      </w:r>
    </w:p>
    <w:p w14:paraId="65DEC364"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33 </w:t>
      </w:r>
      <w:proofErr w:type="spellStart"/>
      <w:r w:rsidRPr="005605FF">
        <w:rPr>
          <w:rFonts w:ascii="Book Antiqua" w:eastAsia="宋体" w:hAnsi="Book Antiqua" w:cs="Times New Roman"/>
          <w:b/>
          <w:kern w:val="2"/>
          <w:sz w:val="24"/>
          <w:szCs w:val="24"/>
          <w:lang w:val="en-US" w:eastAsia="zh-CN"/>
        </w:rPr>
        <w:t>Veljaca</w:t>
      </w:r>
      <w:proofErr w:type="spellEnd"/>
      <w:r w:rsidRPr="005605FF">
        <w:rPr>
          <w:rFonts w:ascii="Book Antiqua" w:eastAsia="宋体" w:hAnsi="Book Antiqua" w:cs="Times New Roman"/>
          <w:b/>
          <w:kern w:val="2"/>
          <w:sz w:val="24"/>
          <w:szCs w:val="24"/>
          <w:lang w:val="en-US" w:eastAsia="zh-CN"/>
        </w:rPr>
        <w:t xml:space="preserve"> M</w:t>
      </w:r>
      <w:r w:rsidRPr="005605FF">
        <w:rPr>
          <w:rFonts w:ascii="Book Antiqua" w:eastAsia="宋体" w:hAnsi="Book Antiqua" w:cs="Times New Roman"/>
          <w:kern w:val="2"/>
          <w:sz w:val="24"/>
          <w:szCs w:val="24"/>
          <w:lang w:val="en-US" w:eastAsia="zh-CN"/>
        </w:rPr>
        <w:t>,</w:t>
      </w:r>
      <w:r w:rsidRPr="005605FF">
        <w:rPr>
          <w:rFonts w:ascii="Book Antiqua" w:eastAsia="宋体" w:hAnsi="Book Antiqua" w:cs="Times New Roman" w:hint="eastAsia"/>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Lesch</w:t>
      </w:r>
      <w:proofErr w:type="spellEnd"/>
      <w:r w:rsidRPr="005605FF">
        <w:rPr>
          <w:rFonts w:ascii="Book Antiqua" w:eastAsia="宋体" w:hAnsi="Book Antiqua" w:cs="Times New Roman"/>
          <w:kern w:val="2"/>
          <w:sz w:val="24"/>
          <w:szCs w:val="24"/>
          <w:lang w:val="en-US" w:eastAsia="zh-CN"/>
        </w:rPr>
        <w:t xml:space="preserve"> C, Sanchez B, Low J, </w:t>
      </w:r>
      <w:proofErr w:type="spellStart"/>
      <w:r w:rsidRPr="005605FF">
        <w:rPr>
          <w:rFonts w:ascii="Book Antiqua" w:eastAsia="宋体" w:hAnsi="Book Antiqua" w:cs="Times New Roman"/>
          <w:kern w:val="2"/>
          <w:sz w:val="24"/>
          <w:szCs w:val="24"/>
          <w:lang w:val="en-US" w:eastAsia="zh-CN"/>
        </w:rPr>
        <w:t>Guglietta</w:t>
      </w:r>
      <w:proofErr w:type="spellEnd"/>
      <w:r w:rsidRPr="005605FF">
        <w:rPr>
          <w:rFonts w:ascii="Book Antiqua" w:eastAsia="宋体" w:hAnsi="Book Antiqua" w:cs="Times New Roman"/>
          <w:kern w:val="2"/>
          <w:sz w:val="24"/>
          <w:szCs w:val="24"/>
          <w:lang w:val="en-US" w:eastAsia="zh-CN"/>
        </w:rPr>
        <w:t xml:space="preserve"> A. Protection of BPC-15 on TNBS-induced colitis in rats: possible mechanisms of action. </w:t>
      </w:r>
      <w:r w:rsidRPr="005605FF">
        <w:rPr>
          <w:rFonts w:ascii="Book Antiqua" w:eastAsia="宋体" w:hAnsi="Book Antiqua" w:cs="Times New Roman"/>
          <w:i/>
          <w:kern w:val="2"/>
          <w:sz w:val="24"/>
          <w:szCs w:val="24"/>
          <w:lang w:val="en-US" w:eastAsia="zh-CN"/>
        </w:rPr>
        <w:t>Gastroenterology</w:t>
      </w:r>
      <w:r w:rsidRPr="005605FF">
        <w:rPr>
          <w:rFonts w:ascii="Book Antiqua" w:eastAsia="宋体" w:hAnsi="Book Antiqua" w:cs="Times New Roman"/>
          <w:kern w:val="2"/>
          <w:sz w:val="24"/>
          <w:szCs w:val="24"/>
          <w:lang w:val="en-US" w:eastAsia="zh-CN"/>
        </w:rPr>
        <w:t xml:space="preserve"> 1995;</w:t>
      </w:r>
      <w:r w:rsidRPr="005605FF">
        <w:rPr>
          <w:rFonts w:ascii="Book Antiqua" w:eastAsia="宋体" w:hAnsi="Book Antiqua" w:cs="Times New Roman" w:hint="eastAsia"/>
          <w:kern w:val="2"/>
          <w:sz w:val="24"/>
          <w:szCs w:val="24"/>
          <w:lang w:val="en-US" w:eastAsia="zh-CN"/>
        </w:rPr>
        <w:t xml:space="preserve"> </w:t>
      </w:r>
      <w:r w:rsidRPr="005605FF">
        <w:rPr>
          <w:rFonts w:ascii="Book Antiqua" w:eastAsia="宋体" w:hAnsi="Book Antiqua" w:cs="Times New Roman"/>
          <w:b/>
          <w:kern w:val="2"/>
          <w:sz w:val="24"/>
          <w:szCs w:val="24"/>
          <w:lang w:val="en-US" w:eastAsia="zh-CN"/>
        </w:rPr>
        <w:t>108</w:t>
      </w:r>
      <w:r w:rsidRPr="005605FF">
        <w:rPr>
          <w:rFonts w:ascii="Book Antiqua" w:eastAsia="宋体" w:hAnsi="Book Antiqua" w:cs="Times New Roman"/>
          <w:kern w:val="2"/>
          <w:sz w:val="24"/>
          <w:szCs w:val="24"/>
          <w:lang w:val="en-US" w:eastAsia="zh-CN"/>
        </w:rPr>
        <w:t>:</w:t>
      </w:r>
      <w:r w:rsidRPr="005605FF">
        <w:rPr>
          <w:rFonts w:ascii="Book Antiqua" w:eastAsia="宋体" w:hAnsi="Book Antiqua" w:cs="Times New Roman" w:hint="eastAsia"/>
          <w:kern w:val="2"/>
          <w:sz w:val="24"/>
          <w:szCs w:val="24"/>
          <w:lang w:val="en-US" w:eastAsia="zh-CN"/>
        </w:rPr>
        <w:t xml:space="preserve"> </w:t>
      </w:r>
      <w:r w:rsidRPr="005605FF">
        <w:rPr>
          <w:rFonts w:ascii="Book Antiqua" w:eastAsia="宋体" w:hAnsi="Book Antiqua" w:cs="Times New Roman"/>
          <w:kern w:val="2"/>
          <w:sz w:val="24"/>
          <w:szCs w:val="24"/>
          <w:lang w:val="en-US" w:eastAsia="zh-CN"/>
        </w:rPr>
        <w:t>936</w:t>
      </w:r>
    </w:p>
    <w:p w14:paraId="2DFAC153"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34 </w:t>
      </w:r>
      <w:r w:rsidRPr="005605FF">
        <w:rPr>
          <w:rFonts w:ascii="Book Antiqua" w:eastAsia="宋体" w:hAnsi="Book Antiqua" w:cs="Times New Roman"/>
          <w:b/>
          <w:kern w:val="2"/>
          <w:sz w:val="24"/>
          <w:szCs w:val="24"/>
          <w:lang w:val="en-US" w:eastAsia="zh-CN"/>
        </w:rPr>
        <w:t>Baric M</w:t>
      </w:r>
      <w:r w:rsidRPr="005605FF">
        <w:rPr>
          <w:rFonts w:ascii="Book Antiqua" w:eastAsia="宋体" w:hAnsi="Book Antiqua" w:cs="Times New Roman"/>
          <w:kern w:val="2"/>
          <w:sz w:val="24"/>
          <w:szCs w:val="24"/>
          <w:lang w:val="en-US" w:eastAsia="zh-CN"/>
        </w:rPr>
        <w:t xml:space="preserve">, Sever AZ, </w:t>
      </w:r>
      <w:proofErr w:type="spellStart"/>
      <w:r w:rsidRPr="005605FF">
        <w:rPr>
          <w:rFonts w:ascii="Book Antiqua" w:eastAsia="宋体" w:hAnsi="Book Antiqua" w:cs="Times New Roman"/>
          <w:kern w:val="2"/>
          <w:sz w:val="24"/>
          <w:szCs w:val="24"/>
          <w:lang w:val="en-US" w:eastAsia="zh-CN"/>
        </w:rPr>
        <w:t>Vuletic</w:t>
      </w:r>
      <w:proofErr w:type="spellEnd"/>
      <w:r w:rsidRPr="005605FF">
        <w:rPr>
          <w:rFonts w:ascii="Book Antiqua" w:eastAsia="宋体" w:hAnsi="Book Antiqua" w:cs="Times New Roman"/>
          <w:kern w:val="2"/>
          <w:sz w:val="24"/>
          <w:szCs w:val="24"/>
          <w:lang w:val="en-US" w:eastAsia="zh-CN"/>
        </w:rPr>
        <w:t xml:space="preserve"> LB, </w:t>
      </w:r>
      <w:proofErr w:type="spellStart"/>
      <w:r w:rsidRPr="005605FF">
        <w:rPr>
          <w:rFonts w:ascii="Book Antiqua" w:eastAsia="宋体" w:hAnsi="Book Antiqua" w:cs="Times New Roman"/>
          <w:kern w:val="2"/>
          <w:sz w:val="24"/>
          <w:szCs w:val="24"/>
          <w:lang w:val="en-US" w:eastAsia="zh-CN"/>
        </w:rPr>
        <w:t>Rasic</w:t>
      </w:r>
      <w:proofErr w:type="spellEnd"/>
      <w:r w:rsidRPr="005605FF">
        <w:rPr>
          <w:rFonts w:ascii="Book Antiqua" w:eastAsia="宋体" w:hAnsi="Book Antiqua" w:cs="Times New Roman"/>
          <w:kern w:val="2"/>
          <w:sz w:val="24"/>
          <w:szCs w:val="24"/>
          <w:lang w:val="en-US" w:eastAsia="zh-CN"/>
        </w:rPr>
        <w:t xml:space="preserve"> Z, Sever M, </w:t>
      </w:r>
      <w:proofErr w:type="spellStart"/>
      <w:r w:rsidRPr="005605FF">
        <w:rPr>
          <w:rFonts w:ascii="Book Antiqua" w:eastAsia="宋体" w:hAnsi="Book Antiqua" w:cs="Times New Roman"/>
          <w:kern w:val="2"/>
          <w:sz w:val="24"/>
          <w:szCs w:val="24"/>
          <w:lang w:val="en-US" w:eastAsia="zh-CN"/>
        </w:rPr>
        <w:t>Drmic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Pavelic-Turudic</w:t>
      </w:r>
      <w:proofErr w:type="spellEnd"/>
      <w:r w:rsidRPr="005605FF">
        <w:rPr>
          <w:rFonts w:ascii="Book Antiqua" w:eastAsia="宋体" w:hAnsi="Book Antiqua" w:cs="Times New Roman"/>
          <w:kern w:val="2"/>
          <w:sz w:val="24"/>
          <w:szCs w:val="24"/>
          <w:lang w:val="en-US" w:eastAsia="zh-CN"/>
        </w:rPr>
        <w:t xml:space="preserve"> T, </w:t>
      </w:r>
      <w:proofErr w:type="spellStart"/>
      <w:r w:rsidRPr="005605FF">
        <w:rPr>
          <w:rFonts w:ascii="Book Antiqua" w:eastAsia="宋体" w:hAnsi="Book Antiqua" w:cs="Times New Roman"/>
          <w:kern w:val="2"/>
          <w:sz w:val="24"/>
          <w:szCs w:val="24"/>
          <w:lang w:val="en-US" w:eastAsia="zh-CN"/>
        </w:rPr>
        <w:t>Sucic</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Vrcic</w:t>
      </w:r>
      <w:proofErr w:type="spellEnd"/>
      <w:r w:rsidRPr="005605FF">
        <w:rPr>
          <w:rFonts w:ascii="Book Antiqua" w:eastAsia="宋体" w:hAnsi="Book Antiqua" w:cs="Times New Roman"/>
          <w:kern w:val="2"/>
          <w:sz w:val="24"/>
          <w:szCs w:val="24"/>
          <w:lang w:val="en-US" w:eastAsia="zh-CN"/>
        </w:rPr>
        <w:t xml:space="preserve"> H,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Sikiric</w:t>
      </w:r>
      <w:proofErr w:type="spellEnd"/>
      <w:r w:rsidRPr="005605FF">
        <w:rPr>
          <w:rFonts w:ascii="Book Antiqua" w:eastAsia="宋体" w:hAnsi="Book Antiqua" w:cs="Times New Roman"/>
          <w:kern w:val="2"/>
          <w:sz w:val="24"/>
          <w:szCs w:val="24"/>
          <w:lang w:val="en-US" w:eastAsia="zh-CN"/>
        </w:rPr>
        <w:t xml:space="preserve"> P. Stable gastric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heals rectovaginal fistula in rats. </w:t>
      </w:r>
      <w:r w:rsidRPr="005605FF">
        <w:rPr>
          <w:rFonts w:ascii="Book Antiqua" w:eastAsia="宋体" w:hAnsi="Book Antiqua" w:cs="Times New Roman"/>
          <w:i/>
          <w:kern w:val="2"/>
          <w:sz w:val="24"/>
          <w:szCs w:val="24"/>
          <w:lang w:val="en-US" w:eastAsia="zh-CN"/>
        </w:rPr>
        <w:t>Life Sci</w:t>
      </w:r>
      <w:r w:rsidRPr="005605FF">
        <w:rPr>
          <w:rFonts w:ascii="Book Antiqua" w:eastAsia="宋体" w:hAnsi="Book Antiqua" w:cs="Times New Roman"/>
          <w:kern w:val="2"/>
          <w:sz w:val="24"/>
          <w:szCs w:val="24"/>
          <w:lang w:val="en-US" w:eastAsia="zh-CN"/>
        </w:rPr>
        <w:t xml:space="preserve"> 2016; </w:t>
      </w:r>
      <w:r w:rsidRPr="005605FF">
        <w:rPr>
          <w:rFonts w:ascii="Book Antiqua" w:eastAsia="宋体" w:hAnsi="Book Antiqua" w:cs="Times New Roman"/>
          <w:b/>
          <w:kern w:val="2"/>
          <w:sz w:val="24"/>
          <w:szCs w:val="24"/>
          <w:lang w:val="en-US" w:eastAsia="zh-CN"/>
        </w:rPr>
        <w:t>148</w:t>
      </w:r>
      <w:r w:rsidRPr="005605FF">
        <w:rPr>
          <w:rFonts w:ascii="Book Antiqua" w:eastAsia="宋体" w:hAnsi="Book Antiqua" w:cs="Times New Roman"/>
          <w:kern w:val="2"/>
          <w:sz w:val="24"/>
          <w:szCs w:val="24"/>
          <w:lang w:val="en-US" w:eastAsia="zh-CN"/>
        </w:rPr>
        <w:t>: 63-70 [PMID: 26872976 DOI: 10.1016/j.lfs.2016.02.029]</w:t>
      </w:r>
    </w:p>
    <w:p w14:paraId="07D75982"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35 </w:t>
      </w:r>
      <w:proofErr w:type="spellStart"/>
      <w:r w:rsidRPr="005605FF">
        <w:rPr>
          <w:rFonts w:ascii="Book Antiqua" w:eastAsia="宋体" w:hAnsi="Book Antiqua" w:cs="Times New Roman"/>
          <w:b/>
          <w:kern w:val="2"/>
          <w:sz w:val="24"/>
          <w:szCs w:val="24"/>
          <w:lang w:val="en-US" w:eastAsia="zh-CN"/>
        </w:rPr>
        <w:t>Grgic</w:t>
      </w:r>
      <w:proofErr w:type="spellEnd"/>
      <w:r w:rsidRPr="005605FF">
        <w:rPr>
          <w:rFonts w:ascii="Book Antiqua" w:eastAsia="宋体" w:hAnsi="Book Antiqua" w:cs="Times New Roman"/>
          <w:b/>
          <w:kern w:val="2"/>
          <w:sz w:val="24"/>
          <w:szCs w:val="24"/>
          <w:lang w:val="en-US" w:eastAsia="zh-CN"/>
        </w:rPr>
        <w:t xml:space="preserve"> T</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Grgic</w:t>
      </w:r>
      <w:proofErr w:type="spellEnd"/>
      <w:r w:rsidRPr="005605FF">
        <w:rPr>
          <w:rFonts w:ascii="Book Antiqua" w:eastAsia="宋体" w:hAnsi="Book Antiqua" w:cs="Times New Roman"/>
          <w:kern w:val="2"/>
          <w:sz w:val="24"/>
          <w:szCs w:val="24"/>
          <w:lang w:val="en-US" w:eastAsia="zh-CN"/>
        </w:rPr>
        <w:t xml:space="preserve"> D, Drmic D, Sever AZ, </w:t>
      </w:r>
      <w:proofErr w:type="spellStart"/>
      <w:r w:rsidRPr="005605FF">
        <w:rPr>
          <w:rFonts w:ascii="Book Antiqua" w:eastAsia="宋体" w:hAnsi="Book Antiqua" w:cs="Times New Roman"/>
          <w:kern w:val="2"/>
          <w:sz w:val="24"/>
          <w:szCs w:val="24"/>
          <w:lang w:val="en-US" w:eastAsia="zh-CN"/>
        </w:rPr>
        <w:t>Petrovic</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Sucic</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Kokot</w:t>
      </w:r>
      <w:proofErr w:type="spellEnd"/>
      <w:r w:rsidRPr="005605FF">
        <w:rPr>
          <w:rFonts w:ascii="Book Antiqua" w:eastAsia="宋体" w:hAnsi="Book Antiqua" w:cs="Times New Roman"/>
          <w:kern w:val="2"/>
          <w:sz w:val="24"/>
          <w:szCs w:val="24"/>
          <w:lang w:val="en-US" w:eastAsia="zh-CN"/>
        </w:rPr>
        <w:t xml:space="preserve"> A, </w:t>
      </w:r>
      <w:proofErr w:type="spellStart"/>
      <w:r w:rsidRPr="005605FF">
        <w:rPr>
          <w:rFonts w:ascii="Book Antiqua" w:eastAsia="宋体" w:hAnsi="Book Antiqua" w:cs="Times New Roman"/>
          <w:kern w:val="2"/>
          <w:sz w:val="24"/>
          <w:szCs w:val="24"/>
          <w:lang w:val="en-US" w:eastAsia="zh-CN"/>
        </w:rPr>
        <w:t>Klicek</w:t>
      </w:r>
      <w:proofErr w:type="spellEnd"/>
      <w:r w:rsidRPr="005605FF">
        <w:rPr>
          <w:rFonts w:ascii="Book Antiqua" w:eastAsia="宋体" w:hAnsi="Book Antiqua" w:cs="Times New Roman"/>
          <w:kern w:val="2"/>
          <w:sz w:val="24"/>
          <w:szCs w:val="24"/>
          <w:lang w:val="en-US" w:eastAsia="zh-CN"/>
        </w:rPr>
        <w:t xml:space="preserve"> R, Sever M,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Sikiric</w:t>
      </w:r>
      <w:proofErr w:type="spellEnd"/>
      <w:r w:rsidRPr="005605FF">
        <w:rPr>
          <w:rFonts w:ascii="Book Antiqua" w:eastAsia="宋体" w:hAnsi="Book Antiqua" w:cs="Times New Roman"/>
          <w:kern w:val="2"/>
          <w:sz w:val="24"/>
          <w:szCs w:val="24"/>
          <w:lang w:val="en-US" w:eastAsia="zh-CN"/>
        </w:rPr>
        <w:t xml:space="preserve"> P. Stable gastric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heals rat </w:t>
      </w:r>
      <w:proofErr w:type="spellStart"/>
      <w:r w:rsidRPr="005605FF">
        <w:rPr>
          <w:rFonts w:ascii="Book Antiqua" w:eastAsia="宋体" w:hAnsi="Book Antiqua" w:cs="Times New Roman"/>
          <w:kern w:val="2"/>
          <w:sz w:val="24"/>
          <w:szCs w:val="24"/>
          <w:lang w:val="en-US" w:eastAsia="zh-CN"/>
        </w:rPr>
        <w:t>colovesical</w:t>
      </w:r>
      <w:proofErr w:type="spellEnd"/>
      <w:r w:rsidRPr="005605FF">
        <w:rPr>
          <w:rFonts w:ascii="Book Antiqua" w:eastAsia="宋体" w:hAnsi="Book Antiqua" w:cs="Times New Roman"/>
          <w:kern w:val="2"/>
          <w:sz w:val="24"/>
          <w:szCs w:val="24"/>
          <w:lang w:val="en-US" w:eastAsia="zh-CN"/>
        </w:rPr>
        <w:t xml:space="preserve"> fistula. </w:t>
      </w:r>
      <w:proofErr w:type="spellStart"/>
      <w:r w:rsidRPr="005605FF">
        <w:rPr>
          <w:rFonts w:ascii="Book Antiqua" w:eastAsia="宋体" w:hAnsi="Book Antiqua" w:cs="Times New Roman"/>
          <w:i/>
          <w:kern w:val="2"/>
          <w:sz w:val="24"/>
          <w:szCs w:val="24"/>
          <w:lang w:val="en-US" w:eastAsia="zh-CN"/>
        </w:rPr>
        <w:t>Eur</w:t>
      </w:r>
      <w:proofErr w:type="spellEnd"/>
      <w:r w:rsidRPr="005605FF">
        <w:rPr>
          <w:rFonts w:ascii="Book Antiqua" w:eastAsia="宋体" w:hAnsi="Book Antiqua" w:cs="Times New Roman"/>
          <w:i/>
          <w:kern w:val="2"/>
          <w:sz w:val="24"/>
          <w:szCs w:val="24"/>
          <w:lang w:val="en-US" w:eastAsia="zh-CN"/>
        </w:rPr>
        <w:t xml:space="preserve"> J </w:t>
      </w:r>
      <w:proofErr w:type="spellStart"/>
      <w:r w:rsidRPr="005605FF">
        <w:rPr>
          <w:rFonts w:ascii="Book Antiqua" w:eastAsia="宋体" w:hAnsi="Book Antiqua" w:cs="Times New Roman"/>
          <w:i/>
          <w:kern w:val="2"/>
          <w:sz w:val="24"/>
          <w:szCs w:val="24"/>
          <w:lang w:val="en-US" w:eastAsia="zh-CN"/>
        </w:rPr>
        <w:t>Pharmacol</w:t>
      </w:r>
      <w:proofErr w:type="spellEnd"/>
      <w:r w:rsidRPr="005605FF">
        <w:rPr>
          <w:rFonts w:ascii="Book Antiqua" w:eastAsia="宋体" w:hAnsi="Book Antiqua" w:cs="Times New Roman"/>
          <w:kern w:val="2"/>
          <w:sz w:val="24"/>
          <w:szCs w:val="24"/>
          <w:lang w:val="en-US" w:eastAsia="zh-CN"/>
        </w:rPr>
        <w:t xml:space="preserve"> 2016; </w:t>
      </w:r>
      <w:r w:rsidRPr="005605FF">
        <w:rPr>
          <w:rFonts w:ascii="Book Antiqua" w:eastAsia="宋体" w:hAnsi="Book Antiqua" w:cs="Times New Roman"/>
          <w:b/>
          <w:kern w:val="2"/>
          <w:sz w:val="24"/>
          <w:szCs w:val="24"/>
          <w:lang w:val="en-US" w:eastAsia="zh-CN"/>
        </w:rPr>
        <w:t>780</w:t>
      </w:r>
      <w:r w:rsidRPr="005605FF">
        <w:rPr>
          <w:rFonts w:ascii="Book Antiqua" w:eastAsia="宋体" w:hAnsi="Book Antiqua" w:cs="Times New Roman"/>
          <w:kern w:val="2"/>
          <w:sz w:val="24"/>
          <w:szCs w:val="24"/>
          <w:lang w:val="en-US" w:eastAsia="zh-CN"/>
        </w:rPr>
        <w:t>: 1-7 [PMID: 26875638 DOI: 10.1016/j.ejphar.2016.02.038]</w:t>
      </w:r>
    </w:p>
    <w:p w14:paraId="6B918739"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36 </w:t>
      </w:r>
      <w:proofErr w:type="spellStart"/>
      <w:r w:rsidRPr="005605FF">
        <w:rPr>
          <w:rFonts w:ascii="Book Antiqua" w:eastAsia="宋体" w:hAnsi="Book Antiqua" w:cs="Times New Roman"/>
          <w:b/>
          <w:kern w:val="2"/>
          <w:sz w:val="24"/>
          <w:szCs w:val="24"/>
          <w:lang w:val="en-US" w:eastAsia="zh-CN"/>
        </w:rPr>
        <w:t>Klicek</w:t>
      </w:r>
      <w:proofErr w:type="spellEnd"/>
      <w:r w:rsidRPr="005605FF">
        <w:rPr>
          <w:rFonts w:ascii="Book Antiqua" w:eastAsia="宋体" w:hAnsi="Book Antiqua" w:cs="Times New Roman"/>
          <w:b/>
          <w:kern w:val="2"/>
          <w:sz w:val="24"/>
          <w:szCs w:val="24"/>
          <w:lang w:val="en-US" w:eastAsia="zh-CN"/>
        </w:rPr>
        <w:t xml:space="preserve"> R</w:t>
      </w:r>
      <w:r w:rsidRPr="005605FF">
        <w:rPr>
          <w:rFonts w:ascii="Book Antiqua" w:eastAsia="宋体" w:hAnsi="Book Antiqua" w:cs="Times New Roman"/>
          <w:kern w:val="2"/>
          <w:sz w:val="24"/>
          <w:szCs w:val="24"/>
          <w:lang w:val="en-US" w:eastAsia="zh-CN"/>
        </w:rPr>
        <w:t xml:space="preserve">, Sever M, </w:t>
      </w:r>
      <w:proofErr w:type="spellStart"/>
      <w:r w:rsidRPr="005605FF">
        <w:rPr>
          <w:rFonts w:ascii="Book Antiqua" w:eastAsia="宋体" w:hAnsi="Book Antiqua" w:cs="Times New Roman"/>
          <w:kern w:val="2"/>
          <w:sz w:val="24"/>
          <w:szCs w:val="24"/>
          <w:lang w:val="en-US" w:eastAsia="zh-CN"/>
        </w:rPr>
        <w:t>Radic</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Drmic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Kocman</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Zoricic</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Vuksic</w:t>
      </w:r>
      <w:proofErr w:type="spellEnd"/>
      <w:r w:rsidRPr="005605FF">
        <w:rPr>
          <w:rFonts w:ascii="Book Antiqua" w:eastAsia="宋体" w:hAnsi="Book Antiqua" w:cs="Times New Roman"/>
          <w:kern w:val="2"/>
          <w:sz w:val="24"/>
          <w:szCs w:val="24"/>
          <w:lang w:val="en-US" w:eastAsia="zh-CN"/>
        </w:rPr>
        <w:t xml:space="preserve"> T, </w:t>
      </w:r>
      <w:proofErr w:type="spellStart"/>
      <w:r w:rsidRPr="005605FF">
        <w:rPr>
          <w:rFonts w:ascii="Book Antiqua" w:eastAsia="宋体" w:hAnsi="Book Antiqua" w:cs="Times New Roman"/>
          <w:kern w:val="2"/>
          <w:sz w:val="24"/>
          <w:szCs w:val="24"/>
          <w:lang w:val="en-US" w:eastAsia="zh-CN"/>
        </w:rPr>
        <w:t>Ivica</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Barisic</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Ilic</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Berkopic</w:t>
      </w:r>
      <w:proofErr w:type="spellEnd"/>
      <w:r w:rsidRPr="005605FF">
        <w:rPr>
          <w:rFonts w:ascii="Book Antiqua" w:eastAsia="宋体" w:hAnsi="Book Antiqua" w:cs="Times New Roman"/>
          <w:kern w:val="2"/>
          <w:sz w:val="24"/>
          <w:szCs w:val="24"/>
          <w:lang w:val="en-US" w:eastAsia="zh-CN"/>
        </w:rPr>
        <w:t xml:space="preserve"> L, </w:t>
      </w:r>
      <w:proofErr w:type="spellStart"/>
      <w:r w:rsidRPr="005605FF">
        <w:rPr>
          <w:rFonts w:ascii="Book Antiqua" w:eastAsia="宋体" w:hAnsi="Book Antiqua" w:cs="Times New Roman"/>
          <w:kern w:val="2"/>
          <w:sz w:val="24"/>
          <w:szCs w:val="24"/>
          <w:lang w:val="en-US" w:eastAsia="zh-CN"/>
        </w:rPr>
        <w:t>Vrcic</w:t>
      </w:r>
      <w:proofErr w:type="spellEnd"/>
      <w:r w:rsidRPr="005605FF">
        <w:rPr>
          <w:rFonts w:ascii="Book Antiqua" w:eastAsia="宋体" w:hAnsi="Book Antiqua" w:cs="Times New Roman"/>
          <w:kern w:val="2"/>
          <w:sz w:val="24"/>
          <w:szCs w:val="24"/>
          <w:lang w:val="en-US" w:eastAsia="zh-CN"/>
        </w:rPr>
        <w:t xml:space="preserve"> H, </w:t>
      </w:r>
      <w:proofErr w:type="spellStart"/>
      <w:r w:rsidRPr="005605FF">
        <w:rPr>
          <w:rFonts w:ascii="Book Antiqua" w:eastAsia="宋体" w:hAnsi="Book Antiqua" w:cs="Times New Roman"/>
          <w:kern w:val="2"/>
          <w:sz w:val="24"/>
          <w:szCs w:val="24"/>
          <w:lang w:val="en-US" w:eastAsia="zh-CN"/>
        </w:rPr>
        <w:t>Brcic</w:t>
      </w:r>
      <w:proofErr w:type="spellEnd"/>
      <w:r w:rsidRPr="005605FF">
        <w:rPr>
          <w:rFonts w:ascii="Book Antiqua" w:eastAsia="宋体" w:hAnsi="Book Antiqua" w:cs="Times New Roman"/>
          <w:kern w:val="2"/>
          <w:sz w:val="24"/>
          <w:szCs w:val="24"/>
          <w:lang w:val="en-US" w:eastAsia="zh-CN"/>
        </w:rPr>
        <w:t xml:space="preserve"> L, </w:t>
      </w:r>
      <w:proofErr w:type="spellStart"/>
      <w:r w:rsidRPr="005605FF">
        <w:rPr>
          <w:rFonts w:ascii="Book Antiqua" w:eastAsia="宋体" w:hAnsi="Book Antiqua" w:cs="Times New Roman"/>
          <w:kern w:val="2"/>
          <w:sz w:val="24"/>
          <w:szCs w:val="24"/>
          <w:lang w:val="en-US" w:eastAsia="zh-CN"/>
        </w:rPr>
        <w:t>Blagaic</w:t>
      </w:r>
      <w:proofErr w:type="spellEnd"/>
      <w:r w:rsidRPr="005605FF">
        <w:rPr>
          <w:rFonts w:ascii="Book Antiqua" w:eastAsia="宋体" w:hAnsi="Book Antiqua" w:cs="Times New Roman"/>
          <w:kern w:val="2"/>
          <w:sz w:val="24"/>
          <w:szCs w:val="24"/>
          <w:lang w:val="en-US" w:eastAsia="zh-CN"/>
        </w:rPr>
        <w:t xml:space="preserve"> AB, </w:t>
      </w:r>
      <w:proofErr w:type="spellStart"/>
      <w:r w:rsidRPr="005605FF">
        <w:rPr>
          <w:rFonts w:ascii="Book Antiqua" w:eastAsia="宋体" w:hAnsi="Book Antiqua" w:cs="Times New Roman"/>
          <w:kern w:val="2"/>
          <w:sz w:val="24"/>
          <w:szCs w:val="24"/>
          <w:lang w:val="en-US" w:eastAsia="zh-CN"/>
        </w:rPr>
        <w:t>Coric</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Brcic</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Rokotov</w:t>
      </w:r>
      <w:proofErr w:type="spellEnd"/>
      <w:r w:rsidRPr="005605FF">
        <w:rPr>
          <w:rFonts w:ascii="Book Antiqua" w:eastAsia="宋体" w:hAnsi="Book Antiqua" w:cs="Times New Roman"/>
          <w:kern w:val="2"/>
          <w:sz w:val="24"/>
          <w:szCs w:val="24"/>
          <w:lang w:val="en-US" w:eastAsia="zh-CN"/>
        </w:rPr>
        <w:t xml:space="preserve"> DS, </w:t>
      </w:r>
      <w:proofErr w:type="spellStart"/>
      <w:r w:rsidRPr="005605FF">
        <w:rPr>
          <w:rFonts w:ascii="Book Antiqua" w:eastAsia="宋体" w:hAnsi="Book Antiqua" w:cs="Times New Roman"/>
          <w:kern w:val="2"/>
          <w:sz w:val="24"/>
          <w:szCs w:val="24"/>
          <w:lang w:val="en-US" w:eastAsia="zh-CN"/>
        </w:rPr>
        <w:t>Anic</w:t>
      </w:r>
      <w:proofErr w:type="spellEnd"/>
      <w:r w:rsidRPr="005605FF">
        <w:rPr>
          <w:rFonts w:ascii="Book Antiqua" w:eastAsia="宋体" w:hAnsi="Book Antiqua" w:cs="Times New Roman"/>
          <w:kern w:val="2"/>
          <w:sz w:val="24"/>
          <w:szCs w:val="24"/>
          <w:lang w:val="en-US" w:eastAsia="zh-CN"/>
        </w:rPr>
        <w:t xml:space="preserve"> T,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Sikiric</w:t>
      </w:r>
      <w:proofErr w:type="spellEnd"/>
      <w:r w:rsidRPr="005605FF">
        <w:rPr>
          <w:rFonts w:ascii="Book Antiqua" w:eastAsia="宋体" w:hAnsi="Book Antiqua" w:cs="Times New Roman"/>
          <w:kern w:val="2"/>
          <w:sz w:val="24"/>
          <w:szCs w:val="24"/>
          <w:lang w:val="en-US" w:eastAsia="zh-CN"/>
        </w:rPr>
        <w:t xml:space="preserve"> P.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in clinical trials as a therapy for inflammatory bowel disease (PL14736), is effective in the healing of </w:t>
      </w:r>
      <w:proofErr w:type="spellStart"/>
      <w:r w:rsidRPr="005605FF">
        <w:rPr>
          <w:rFonts w:ascii="Book Antiqua" w:eastAsia="宋体" w:hAnsi="Book Antiqua" w:cs="Times New Roman"/>
          <w:kern w:val="2"/>
          <w:sz w:val="24"/>
          <w:szCs w:val="24"/>
          <w:lang w:val="en-US" w:eastAsia="zh-CN"/>
        </w:rPr>
        <w:t>colocutaneous</w:t>
      </w:r>
      <w:proofErr w:type="spellEnd"/>
      <w:r w:rsidRPr="005605FF">
        <w:rPr>
          <w:rFonts w:ascii="Book Antiqua" w:eastAsia="宋体" w:hAnsi="Book Antiqua" w:cs="Times New Roman"/>
          <w:kern w:val="2"/>
          <w:sz w:val="24"/>
          <w:szCs w:val="24"/>
          <w:lang w:val="en-US" w:eastAsia="zh-CN"/>
        </w:rPr>
        <w:t xml:space="preserve"> fistulas in rats: role of the nitric oxide-system. </w:t>
      </w:r>
      <w:r w:rsidRPr="005605FF">
        <w:rPr>
          <w:rFonts w:ascii="Book Antiqua" w:eastAsia="宋体" w:hAnsi="Book Antiqua" w:cs="Times New Roman"/>
          <w:i/>
          <w:kern w:val="2"/>
          <w:sz w:val="24"/>
          <w:szCs w:val="24"/>
          <w:lang w:val="en-US" w:eastAsia="zh-CN"/>
        </w:rPr>
        <w:t xml:space="preserve">J </w:t>
      </w:r>
      <w:proofErr w:type="spellStart"/>
      <w:r w:rsidRPr="005605FF">
        <w:rPr>
          <w:rFonts w:ascii="Book Antiqua" w:eastAsia="宋体" w:hAnsi="Book Antiqua" w:cs="Times New Roman"/>
          <w:i/>
          <w:kern w:val="2"/>
          <w:sz w:val="24"/>
          <w:szCs w:val="24"/>
          <w:lang w:val="en-US" w:eastAsia="zh-CN"/>
        </w:rPr>
        <w:t>Pharmacol</w:t>
      </w:r>
      <w:proofErr w:type="spellEnd"/>
      <w:r w:rsidRPr="005605FF">
        <w:rPr>
          <w:rFonts w:ascii="Book Antiqua" w:eastAsia="宋体" w:hAnsi="Book Antiqua" w:cs="Times New Roman"/>
          <w:i/>
          <w:kern w:val="2"/>
          <w:sz w:val="24"/>
          <w:szCs w:val="24"/>
          <w:lang w:val="en-US" w:eastAsia="zh-CN"/>
        </w:rPr>
        <w:t xml:space="preserve"> </w:t>
      </w:r>
      <w:proofErr w:type="spellStart"/>
      <w:r w:rsidRPr="005605FF">
        <w:rPr>
          <w:rFonts w:ascii="Book Antiqua" w:eastAsia="宋体" w:hAnsi="Book Antiqua" w:cs="Times New Roman"/>
          <w:i/>
          <w:kern w:val="2"/>
          <w:sz w:val="24"/>
          <w:szCs w:val="24"/>
          <w:lang w:val="en-US" w:eastAsia="zh-CN"/>
        </w:rPr>
        <w:t>Sci</w:t>
      </w:r>
      <w:proofErr w:type="spellEnd"/>
      <w:r w:rsidRPr="005605FF">
        <w:rPr>
          <w:rFonts w:ascii="Book Antiqua" w:eastAsia="宋体" w:hAnsi="Book Antiqua" w:cs="Times New Roman"/>
          <w:kern w:val="2"/>
          <w:sz w:val="24"/>
          <w:szCs w:val="24"/>
          <w:lang w:val="en-US" w:eastAsia="zh-CN"/>
        </w:rPr>
        <w:t xml:space="preserve"> 2008; </w:t>
      </w:r>
      <w:r w:rsidRPr="005605FF">
        <w:rPr>
          <w:rFonts w:ascii="Book Antiqua" w:eastAsia="宋体" w:hAnsi="Book Antiqua" w:cs="Times New Roman"/>
          <w:b/>
          <w:kern w:val="2"/>
          <w:sz w:val="24"/>
          <w:szCs w:val="24"/>
          <w:lang w:val="en-US" w:eastAsia="zh-CN"/>
        </w:rPr>
        <w:t>108</w:t>
      </w:r>
      <w:r w:rsidRPr="005605FF">
        <w:rPr>
          <w:rFonts w:ascii="Book Antiqua" w:eastAsia="宋体" w:hAnsi="Book Antiqua" w:cs="Times New Roman"/>
          <w:kern w:val="2"/>
          <w:sz w:val="24"/>
          <w:szCs w:val="24"/>
          <w:lang w:val="en-US" w:eastAsia="zh-CN"/>
        </w:rPr>
        <w:t>: 7-17 [PMID: 18818478]</w:t>
      </w:r>
    </w:p>
    <w:p w14:paraId="48FD7BFC"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37 </w:t>
      </w:r>
      <w:proofErr w:type="spellStart"/>
      <w:r w:rsidRPr="005605FF">
        <w:rPr>
          <w:rFonts w:ascii="Book Antiqua" w:eastAsia="宋体" w:hAnsi="Book Antiqua" w:cs="Times New Roman"/>
          <w:b/>
          <w:kern w:val="2"/>
          <w:sz w:val="24"/>
          <w:szCs w:val="24"/>
          <w:lang w:val="en-US" w:eastAsia="zh-CN"/>
        </w:rPr>
        <w:t>Skorjanec</w:t>
      </w:r>
      <w:proofErr w:type="spellEnd"/>
      <w:r w:rsidRPr="005605FF">
        <w:rPr>
          <w:rFonts w:ascii="Book Antiqua" w:eastAsia="宋体" w:hAnsi="Book Antiqua" w:cs="Times New Roman"/>
          <w:b/>
          <w:kern w:val="2"/>
          <w:sz w:val="24"/>
          <w:szCs w:val="24"/>
          <w:lang w:val="en-US" w:eastAsia="zh-CN"/>
        </w:rPr>
        <w:t xml:space="preserve"> S</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Kokot</w:t>
      </w:r>
      <w:proofErr w:type="spellEnd"/>
      <w:r w:rsidRPr="005605FF">
        <w:rPr>
          <w:rFonts w:ascii="Book Antiqua" w:eastAsia="宋体" w:hAnsi="Book Antiqua" w:cs="Times New Roman"/>
          <w:kern w:val="2"/>
          <w:sz w:val="24"/>
          <w:szCs w:val="24"/>
          <w:lang w:val="en-US" w:eastAsia="zh-CN"/>
        </w:rPr>
        <w:t xml:space="preserve"> A, </w:t>
      </w:r>
      <w:proofErr w:type="spellStart"/>
      <w:r w:rsidRPr="005605FF">
        <w:rPr>
          <w:rFonts w:ascii="Book Antiqua" w:eastAsia="宋体" w:hAnsi="Book Antiqua" w:cs="Times New Roman"/>
          <w:kern w:val="2"/>
          <w:sz w:val="24"/>
          <w:szCs w:val="24"/>
          <w:lang w:val="en-US" w:eastAsia="zh-CN"/>
        </w:rPr>
        <w:t>Drmic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Radic</w:t>
      </w:r>
      <w:proofErr w:type="spellEnd"/>
      <w:r w:rsidRPr="005605FF">
        <w:rPr>
          <w:rFonts w:ascii="Book Antiqua" w:eastAsia="宋体" w:hAnsi="Book Antiqua" w:cs="Times New Roman"/>
          <w:kern w:val="2"/>
          <w:sz w:val="24"/>
          <w:szCs w:val="24"/>
          <w:lang w:val="en-US" w:eastAsia="zh-CN"/>
        </w:rPr>
        <w:t xml:space="preserve"> B, Sever M, </w:t>
      </w:r>
      <w:proofErr w:type="spellStart"/>
      <w:r w:rsidRPr="005605FF">
        <w:rPr>
          <w:rFonts w:ascii="Book Antiqua" w:eastAsia="宋体" w:hAnsi="Book Antiqua" w:cs="Times New Roman"/>
          <w:kern w:val="2"/>
          <w:sz w:val="24"/>
          <w:szCs w:val="24"/>
          <w:lang w:val="en-US" w:eastAsia="zh-CN"/>
        </w:rPr>
        <w:t>Klicek</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Kolenc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Zenko</w:t>
      </w:r>
      <w:proofErr w:type="spellEnd"/>
      <w:r w:rsidRPr="005605FF">
        <w:rPr>
          <w:rFonts w:ascii="Book Antiqua" w:eastAsia="宋体" w:hAnsi="Book Antiqua" w:cs="Times New Roman"/>
          <w:kern w:val="2"/>
          <w:sz w:val="24"/>
          <w:szCs w:val="24"/>
          <w:lang w:val="en-US" w:eastAsia="zh-CN"/>
        </w:rPr>
        <w:t xml:space="preserve"> A, </w:t>
      </w:r>
      <w:proofErr w:type="spellStart"/>
      <w:r w:rsidRPr="005605FF">
        <w:rPr>
          <w:rFonts w:ascii="Book Antiqua" w:eastAsia="宋体" w:hAnsi="Book Antiqua" w:cs="Times New Roman"/>
          <w:kern w:val="2"/>
          <w:sz w:val="24"/>
          <w:szCs w:val="24"/>
          <w:lang w:val="en-US" w:eastAsia="zh-CN"/>
        </w:rPr>
        <w:lastRenderedPageBreak/>
        <w:t>Lovric</w:t>
      </w:r>
      <w:proofErr w:type="spellEnd"/>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Bencic</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Belosic</w:t>
      </w:r>
      <w:proofErr w:type="spellEnd"/>
      <w:r w:rsidRPr="005605FF">
        <w:rPr>
          <w:rFonts w:ascii="Book Antiqua" w:eastAsia="宋体" w:hAnsi="Book Antiqua" w:cs="Times New Roman"/>
          <w:kern w:val="2"/>
          <w:sz w:val="24"/>
          <w:szCs w:val="24"/>
          <w:lang w:val="en-US" w:eastAsia="zh-CN"/>
        </w:rPr>
        <w:t xml:space="preserve"> Halle Z, </w:t>
      </w:r>
      <w:proofErr w:type="spellStart"/>
      <w:r w:rsidRPr="005605FF">
        <w:rPr>
          <w:rFonts w:ascii="Book Antiqua" w:eastAsia="宋体" w:hAnsi="Book Antiqua" w:cs="Times New Roman"/>
          <w:kern w:val="2"/>
          <w:sz w:val="24"/>
          <w:szCs w:val="24"/>
          <w:lang w:val="en-US" w:eastAsia="zh-CN"/>
        </w:rPr>
        <w:t>Situm</w:t>
      </w:r>
      <w:proofErr w:type="spellEnd"/>
      <w:r w:rsidRPr="005605FF">
        <w:rPr>
          <w:rFonts w:ascii="Book Antiqua" w:eastAsia="宋体" w:hAnsi="Book Antiqua" w:cs="Times New Roman"/>
          <w:kern w:val="2"/>
          <w:sz w:val="24"/>
          <w:szCs w:val="24"/>
          <w:lang w:val="en-US" w:eastAsia="zh-CN"/>
        </w:rPr>
        <w:t xml:space="preserve"> A, </w:t>
      </w:r>
      <w:proofErr w:type="spellStart"/>
      <w:r w:rsidRPr="005605FF">
        <w:rPr>
          <w:rFonts w:ascii="Book Antiqua" w:eastAsia="宋体" w:hAnsi="Book Antiqua" w:cs="Times New Roman"/>
          <w:kern w:val="2"/>
          <w:sz w:val="24"/>
          <w:szCs w:val="24"/>
          <w:lang w:val="en-US" w:eastAsia="zh-CN"/>
        </w:rPr>
        <w:t>Zivanovic</w:t>
      </w:r>
      <w:proofErr w:type="spellEnd"/>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Posilovic</w:t>
      </w:r>
      <w:proofErr w:type="spellEnd"/>
      <w:r w:rsidRPr="005605FF">
        <w:rPr>
          <w:rFonts w:ascii="Book Antiqua" w:eastAsia="宋体" w:hAnsi="Book Antiqua" w:cs="Times New Roman"/>
          <w:kern w:val="2"/>
          <w:sz w:val="24"/>
          <w:szCs w:val="24"/>
          <w:lang w:val="en-US" w:eastAsia="zh-CN"/>
        </w:rPr>
        <w:t xml:space="preserve"> G, </w:t>
      </w:r>
      <w:proofErr w:type="spellStart"/>
      <w:r w:rsidRPr="005605FF">
        <w:rPr>
          <w:rFonts w:ascii="Book Antiqua" w:eastAsia="宋体" w:hAnsi="Book Antiqua" w:cs="Times New Roman"/>
          <w:kern w:val="2"/>
          <w:sz w:val="24"/>
          <w:szCs w:val="24"/>
          <w:lang w:val="en-US" w:eastAsia="zh-CN"/>
        </w:rPr>
        <w:t>Masnec</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Suran</w:t>
      </w:r>
      <w:proofErr w:type="spellEnd"/>
      <w:r w:rsidRPr="005605FF">
        <w:rPr>
          <w:rFonts w:ascii="Book Antiqua" w:eastAsia="宋体" w:hAnsi="Book Antiqua" w:cs="Times New Roman"/>
          <w:kern w:val="2"/>
          <w:sz w:val="24"/>
          <w:szCs w:val="24"/>
          <w:lang w:val="en-US" w:eastAsia="zh-CN"/>
        </w:rPr>
        <w:t xml:space="preserve"> J, </w:t>
      </w:r>
      <w:proofErr w:type="spellStart"/>
      <w:r w:rsidRPr="005605FF">
        <w:rPr>
          <w:rFonts w:ascii="Book Antiqua" w:eastAsia="宋体" w:hAnsi="Book Antiqua" w:cs="Times New Roman"/>
          <w:kern w:val="2"/>
          <w:sz w:val="24"/>
          <w:szCs w:val="24"/>
          <w:lang w:val="en-US" w:eastAsia="zh-CN"/>
        </w:rPr>
        <w:t>Aralica</w:t>
      </w:r>
      <w:proofErr w:type="spellEnd"/>
      <w:r w:rsidRPr="005605FF">
        <w:rPr>
          <w:rFonts w:ascii="Book Antiqua" w:eastAsia="宋体" w:hAnsi="Book Antiqua" w:cs="Times New Roman"/>
          <w:kern w:val="2"/>
          <w:sz w:val="24"/>
          <w:szCs w:val="24"/>
          <w:lang w:val="en-US" w:eastAsia="zh-CN"/>
        </w:rPr>
        <w:t xml:space="preserve"> G,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Sikiric</w:t>
      </w:r>
      <w:proofErr w:type="spellEnd"/>
      <w:r w:rsidRPr="005605FF">
        <w:rPr>
          <w:rFonts w:ascii="Book Antiqua" w:eastAsia="宋体" w:hAnsi="Book Antiqua" w:cs="Times New Roman"/>
          <w:kern w:val="2"/>
          <w:sz w:val="24"/>
          <w:szCs w:val="24"/>
          <w:lang w:val="en-US" w:eastAsia="zh-CN"/>
        </w:rPr>
        <w:t xml:space="preserve"> P. </w:t>
      </w:r>
      <w:proofErr w:type="spellStart"/>
      <w:r w:rsidRPr="005605FF">
        <w:rPr>
          <w:rFonts w:ascii="Book Antiqua" w:eastAsia="宋体" w:hAnsi="Book Antiqua" w:cs="Times New Roman"/>
          <w:kern w:val="2"/>
          <w:sz w:val="24"/>
          <w:szCs w:val="24"/>
          <w:lang w:val="en-US" w:eastAsia="zh-CN"/>
        </w:rPr>
        <w:t>Duodenocutaneous</w:t>
      </w:r>
      <w:proofErr w:type="spellEnd"/>
      <w:r w:rsidRPr="005605FF">
        <w:rPr>
          <w:rFonts w:ascii="Book Antiqua" w:eastAsia="宋体" w:hAnsi="Book Antiqua" w:cs="Times New Roman"/>
          <w:kern w:val="2"/>
          <w:sz w:val="24"/>
          <w:szCs w:val="24"/>
          <w:lang w:val="en-US" w:eastAsia="zh-CN"/>
        </w:rPr>
        <w:t xml:space="preserve"> fistula in rats as a model for "wound healing-therapy" in ulcer healing: the effect of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L-nitro-arginine methyl ester and L-arginine. </w:t>
      </w:r>
      <w:r w:rsidRPr="005605FF">
        <w:rPr>
          <w:rFonts w:ascii="Book Antiqua" w:eastAsia="宋体" w:hAnsi="Book Antiqua" w:cs="Times New Roman"/>
          <w:i/>
          <w:kern w:val="2"/>
          <w:sz w:val="24"/>
          <w:szCs w:val="24"/>
          <w:lang w:val="en-US" w:eastAsia="zh-CN"/>
        </w:rPr>
        <w:t xml:space="preserve">J </w:t>
      </w:r>
      <w:proofErr w:type="spellStart"/>
      <w:r w:rsidRPr="005605FF">
        <w:rPr>
          <w:rFonts w:ascii="Book Antiqua" w:eastAsia="宋体" w:hAnsi="Book Antiqua" w:cs="Times New Roman"/>
          <w:i/>
          <w:kern w:val="2"/>
          <w:sz w:val="24"/>
          <w:szCs w:val="24"/>
          <w:lang w:val="en-US" w:eastAsia="zh-CN"/>
        </w:rPr>
        <w:t>Physiol</w:t>
      </w:r>
      <w:proofErr w:type="spellEnd"/>
      <w:r w:rsidRPr="005605FF">
        <w:rPr>
          <w:rFonts w:ascii="Book Antiqua" w:eastAsia="宋体" w:hAnsi="Book Antiqua" w:cs="Times New Roman"/>
          <w:i/>
          <w:kern w:val="2"/>
          <w:sz w:val="24"/>
          <w:szCs w:val="24"/>
          <w:lang w:val="en-US" w:eastAsia="zh-CN"/>
        </w:rPr>
        <w:t xml:space="preserve"> </w:t>
      </w:r>
      <w:proofErr w:type="spellStart"/>
      <w:r w:rsidRPr="005605FF">
        <w:rPr>
          <w:rFonts w:ascii="Book Antiqua" w:eastAsia="宋体" w:hAnsi="Book Antiqua" w:cs="Times New Roman"/>
          <w:i/>
          <w:kern w:val="2"/>
          <w:sz w:val="24"/>
          <w:szCs w:val="24"/>
          <w:lang w:val="en-US" w:eastAsia="zh-CN"/>
        </w:rPr>
        <w:t>Pharmacol</w:t>
      </w:r>
      <w:proofErr w:type="spellEnd"/>
      <w:r w:rsidRPr="005605FF">
        <w:rPr>
          <w:rFonts w:ascii="Book Antiqua" w:eastAsia="宋体" w:hAnsi="Book Antiqua" w:cs="Times New Roman"/>
          <w:kern w:val="2"/>
          <w:sz w:val="24"/>
          <w:szCs w:val="24"/>
          <w:lang w:val="en-US" w:eastAsia="zh-CN"/>
        </w:rPr>
        <w:t xml:space="preserve"> 2015; </w:t>
      </w:r>
      <w:r w:rsidRPr="005605FF">
        <w:rPr>
          <w:rFonts w:ascii="Book Antiqua" w:eastAsia="宋体" w:hAnsi="Book Antiqua" w:cs="Times New Roman"/>
          <w:b/>
          <w:kern w:val="2"/>
          <w:sz w:val="24"/>
          <w:szCs w:val="24"/>
          <w:lang w:val="en-US" w:eastAsia="zh-CN"/>
        </w:rPr>
        <w:t>66</w:t>
      </w:r>
      <w:r w:rsidRPr="005605FF">
        <w:rPr>
          <w:rFonts w:ascii="Book Antiqua" w:eastAsia="宋体" w:hAnsi="Book Antiqua" w:cs="Times New Roman"/>
          <w:kern w:val="2"/>
          <w:sz w:val="24"/>
          <w:szCs w:val="24"/>
          <w:lang w:val="en-US" w:eastAsia="zh-CN"/>
        </w:rPr>
        <w:t>: 581-590 [PMID: 26348082]</w:t>
      </w:r>
    </w:p>
    <w:p w14:paraId="3F8A4A23"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38 </w:t>
      </w:r>
      <w:proofErr w:type="spellStart"/>
      <w:r w:rsidRPr="005605FF">
        <w:rPr>
          <w:rFonts w:ascii="Book Antiqua" w:eastAsia="宋体" w:hAnsi="Book Antiqua" w:cs="Times New Roman"/>
          <w:b/>
          <w:kern w:val="2"/>
          <w:sz w:val="24"/>
          <w:szCs w:val="24"/>
          <w:lang w:val="en-US" w:eastAsia="zh-CN"/>
        </w:rPr>
        <w:t>Skorjanec</w:t>
      </w:r>
      <w:proofErr w:type="spellEnd"/>
      <w:r w:rsidRPr="005605FF">
        <w:rPr>
          <w:rFonts w:ascii="Book Antiqua" w:eastAsia="宋体" w:hAnsi="Book Antiqua" w:cs="Times New Roman"/>
          <w:b/>
          <w:kern w:val="2"/>
          <w:sz w:val="24"/>
          <w:szCs w:val="24"/>
          <w:lang w:val="en-US" w:eastAsia="zh-CN"/>
        </w:rPr>
        <w:t xml:space="preserve"> S</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Dolovski</w:t>
      </w:r>
      <w:proofErr w:type="spellEnd"/>
      <w:r w:rsidRPr="005605FF">
        <w:rPr>
          <w:rFonts w:ascii="Book Antiqua" w:eastAsia="宋体" w:hAnsi="Book Antiqua" w:cs="Times New Roman"/>
          <w:kern w:val="2"/>
          <w:sz w:val="24"/>
          <w:szCs w:val="24"/>
          <w:lang w:val="en-US" w:eastAsia="zh-CN"/>
        </w:rPr>
        <w:t xml:space="preserve"> Z, </w:t>
      </w:r>
      <w:proofErr w:type="spellStart"/>
      <w:r w:rsidRPr="005605FF">
        <w:rPr>
          <w:rFonts w:ascii="Book Antiqua" w:eastAsia="宋体" w:hAnsi="Book Antiqua" w:cs="Times New Roman"/>
          <w:kern w:val="2"/>
          <w:sz w:val="24"/>
          <w:szCs w:val="24"/>
          <w:lang w:val="en-US" w:eastAsia="zh-CN"/>
        </w:rPr>
        <w:t>Kocman</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Brcic</w:t>
      </w:r>
      <w:proofErr w:type="spellEnd"/>
      <w:r w:rsidRPr="005605FF">
        <w:rPr>
          <w:rFonts w:ascii="Book Antiqua" w:eastAsia="宋体" w:hAnsi="Book Antiqua" w:cs="Times New Roman"/>
          <w:kern w:val="2"/>
          <w:sz w:val="24"/>
          <w:szCs w:val="24"/>
          <w:lang w:val="en-US" w:eastAsia="zh-CN"/>
        </w:rPr>
        <w:t xml:space="preserve"> L, </w:t>
      </w:r>
      <w:proofErr w:type="spellStart"/>
      <w:r w:rsidRPr="005605FF">
        <w:rPr>
          <w:rFonts w:ascii="Book Antiqua" w:eastAsia="宋体" w:hAnsi="Book Antiqua" w:cs="Times New Roman"/>
          <w:kern w:val="2"/>
          <w:sz w:val="24"/>
          <w:szCs w:val="24"/>
          <w:lang w:val="en-US" w:eastAsia="zh-CN"/>
        </w:rPr>
        <w:t>Blagaic</w:t>
      </w:r>
      <w:proofErr w:type="spellEnd"/>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Boban</w:t>
      </w:r>
      <w:proofErr w:type="spellEnd"/>
      <w:r w:rsidRPr="005605FF">
        <w:rPr>
          <w:rFonts w:ascii="Book Antiqua" w:eastAsia="宋体" w:hAnsi="Book Antiqua" w:cs="Times New Roman"/>
          <w:kern w:val="2"/>
          <w:sz w:val="24"/>
          <w:szCs w:val="24"/>
          <w:lang w:val="en-US" w:eastAsia="zh-CN"/>
        </w:rPr>
        <w:t xml:space="preserve"> A, </w:t>
      </w:r>
      <w:proofErr w:type="spellStart"/>
      <w:r w:rsidRPr="005605FF">
        <w:rPr>
          <w:rFonts w:ascii="Book Antiqua" w:eastAsia="宋体" w:hAnsi="Book Antiqua" w:cs="Times New Roman"/>
          <w:kern w:val="2"/>
          <w:sz w:val="24"/>
          <w:szCs w:val="24"/>
          <w:lang w:val="en-US" w:eastAsia="zh-CN"/>
        </w:rPr>
        <w:t>Batelja</w:t>
      </w:r>
      <w:proofErr w:type="spellEnd"/>
      <w:r w:rsidRPr="005605FF">
        <w:rPr>
          <w:rFonts w:ascii="Book Antiqua" w:eastAsia="宋体" w:hAnsi="Book Antiqua" w:cs="Times New Roman"/>
          <w:kern w:val="2"/>
          <w:sz w:val="24"/>
          <w:szCs w:val="24"/>
          <w:lang w:val="en-US" w:eastAsia="zh-CN"/>
        </w:rPr>
        <w:t xml:space="preserve"> L, </w:t>
      </w:r>
      <w:proofErr w:type="spellStart"/>
      <w:r w:rsidRPr="005605FF">
        <w:rPr>
          <w:rFonts w:ascii="Book Antiqua" w:eastAsia="宋体" w:hAnsi="Book Antiqua" w:cs="Times New Roman"/>
          <w:kern w:val="2"/>
          <w:sz w:val="24"/>
          <w:szCs w:val="24"/>
          <w:lang w:val="en-US" w:eastAsia="zh-CN"/>
        </w:rPr>
        <w:t>Coric</w:t>
      </w:r>
      <w:proofErr w:type="spellEnd"/>
      <w:r w:rsidRPr="005605FF">
        <w:rPr>
          <w:rFonts w:ascii="Book Antiqua" w:eastAsia="宋体" w:hAnsi="Book Antiqua" w:cs="Times New Roman"/>
          <w:kern w:val="2"/>
          <w:sz w:val="24"/>
          <w:szCs w:val="24"/>
          <w:lang w:val="en-US" w:eastAsia="zh-CN"/>
        </w:rPr>
        <w:t xml:space="preserve"> M, Sever M, </w:t>
      </w:r>
      <w:proofErr w:type="spellStart"/>
      <w:r w:rsidRPr="005605FF">
        <w:rPr>
          <w:rFonts w:ascii="Book Antiqua" w:eastAsia="宋体" w:hAnsi="Book Antiqua" w:cs="Times New Roman"/>
          <w:kern w:val="2"/>
          <w:sz w:val="24"/>
          <w:szCs w:val="24"/>
          <w:lang w:val="en-US" w:eastAsia="zh-CN"/>
        </w:rPr>
        <w:t>Klicek</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Berkopic</w:t>
      </w:r>
      <w:proofErr w:type="spellEnd"/>
      <w:r w:rsidRPr="005605FF">
        <w:rPr>
          <w:rFonts w:ascii="Book Antiqua" w:eastAsia="宋体" w:hAnsi="Book Antiqua" w:cs="Times New Roman"/>
          <w:kern w:val="2"/>
          <w:sz w:val="24"/>
          <w:szCs w:val="24"/>
          <w:lang w:val="en-US" w:eastAsia="zh-CN"/>
        </w:rPr>
        <w:t xml:space="preserve"> L, </w:t>
      </w:r>
      <w:proofErr w:type="spellStart"/>
      <w:r w:rsidRPr="005605FF">
        <w:rPr>
          <w:rFonts w:ascii="Book Antiqua" w:eastAsia="宋体" w:hAnsi="Book Antiqua" w:cs="Times New Roman"/>
          <w:kern w:val="2"/>
          <w:sz w:val="24"/>
          <w:szCs w:val="24"/>
          <w:lang w:val="en-US" w:eastAsia="zh-CN"/>
        </w:rPr>
        <w:t>Radic</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Drmic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Kolenc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Ilic</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Cesarec</w:t>
      </w:r>
      <w:proofErr w:type="spellEnd"/>
      <w:r w:rsidRPr="005605FF">
        <w:rPr>
          <w:rFonts w:ascii="Book Antiqua" w:eastAsia="宋体" w:hAnsi="Book Antiqua" w:cs="Times New Roman"/>
          <w:kern w:val="2"/>
          <w:sz w:val="24"/>
          <w:szCs w:val="24"/>
          <w:lang w:val="en-US" w:eastAsia="zh-CN"/>
        </w:rPr>
        <w:t xml:space="preserve"> V, </w:t>
      </w:r>
      <w:proofErr w:type="spellStart"/>
      <w:r w:rsidRPr="005605FF">
        <w:rPr>
          <w:rFonts w:ascii="Book Antiqua" w:eastAsia="宋体" w:hAnsi="Book Antiqua" w:cs="Times New Roman"/>
          <w:kern w:val="2"/>
          <w:sz w:val="24"/>
          <w:szCs w:val="24"/>
          <w:lang w:val="en-US" w:eastAsia="zh-CN"/>
        </w:rPr>
        <w:t>Tonkic</w:t>
      </w:r>
      <w:proofErr w:type="spellEnd"/>
      <w:r w:rsidRPr="005605FF">
        <w:rPr>
          <w:rFonts w:ascii="Book Antiqua" w:eastAsia="宋体" w:hAnsi="Book Antiqua" w:cs="Times New Roman"/>
          <w:kern w:val="2"/>
          <w:sz w:val="24"/>
          <w:szCs w:val="24"/>
          <w:lang w:val="en-US" w:eastAsia="zh-CN"/>
        </w:rPr>
        <w:t xml:space="preserve"> A, </w:t>
      </w:r>
      <w:proofErr w:type="spellStart"/>
      <w:r w:rsidRPr="005605FF">
        <w:rPr>
          <w:rFonts w:ascii="Book Antiqua" w:eastAsia="宋体" w:hAnsi="Book Antiqua" w:cs="Times New Roman"/>
          <w:kern w:val="2"/>
          <w:sz w:val="24"/>
          <w:szCs w:val="24"/>
          <w:lang w:val="en-US" w:eastAsia="zh-CN"/>
        </w:rPr>
        <w:t>Zoricic</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Mise</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Staresinic</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Ivica</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Lovric</w:t>
      </w:r>
      <w:proofErr w:type="spellEnd"/>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Bencic</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Anic</w:t>
      </w:r>
      <w:proofErr w:type="spellEnd"/>
      <w:r w:rsidRPr="005605FF">
        <w:rPr>
          <w:rFonts w:ascii="Book Antiqua" w:eastAsia="宋体" w:hAnsi="Book Antiqua" w:cs="Times New Roman"/>
          <w:kern w:val="2"/>
          <w:sz w:val="24"/>
          <w:szCs w:val="24"/>
          <w:lang w:val="en-US" w:eastAsia="zh-CN"/>
        </w:rPr>
        <w:t xml:space="preserve"> T,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Sikiric</w:t>
      </w:r>
      <w:proofErr w:type="spellEnd"/>
      <w:r w:rsidRPr="005605FF">
        <w:rPr>
          <w:rFonts w:ascii="Book Antiqua" w:eastAsia="宋体" w:hAnsi="Book Antiqua" w:cs="Times New Roman"/>
          <w:kern w:val="2"/>
          <w:sz w:val="24"/>
          <w:szCs w:val="24"/>
          <w:lang w:val="en-US" w:eastAsia="zh-CN"/>
        </w:rPr>
        <w:t xml:space="preserve"> P. Therapy for unhealed </w:t>
      </w:r>
      <w:proofErr w:type="spellStart"/>
      <w:r w:rsidRPr="005605FF">
        <w:rPr>
          <w:rFonts w:ascii="Book Antiqua" w:eastAsia="宋体" w:hAnsi="Book Antiqua" w:cs="Times New Roman"/>
          <w:kern w:val="2"/>
          <w:sz w:val="24"/>
          <w:szCs w:val="24"/>
          <w:lang w:val="en-US" w:eastAsia="zh-CN"/>
        </w:rPr>
        <w:t>gastrocutaneous</w:t>
      </w:r>
      <w:proofErr w:type="spellEnd"/>
      <w:r w:rsidRPr="005605FF">
        <w:rPr>
          <w:rFonts w:ascii="Book Antiqua" w:eastAsia="宋体" w:hAnsi="Book Antiqua" w:cs="Times New Roman"/>
          <w:kern w:val="2"/>
          <w:sz w:val="24"/>
          <w:szCs w:val="24"/>
          <w:lang w:val="en-US" w:eastAsia="zh-CN"/>
        </w:rPr>
        <w:t xml:space="preserve"> fistulas in rats as a model for analogous healing of persistent skin wounds and persistent gastric ulcers: stable gastric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atropine, ranitidine, and omeprazole. </w:t>
      </w:r>
      <w:r w:rsidRPr="005605FF">
        <w:rPr>
          <w:rFonts w:ascii="Book Antiqua" w:eastAsia="宋体" w:hAnsi="Book Antiqua" w:cs="Times New Roman"/>
          <w:i/>
          <w:kern w:val="2"/>
          <w:sz w:val="24"/>
          <w:szCs w:val="24"/>
          <w:lang w:val="en-US" w:eastAsia="zh-CN"/>
        </w:rPr>
        <w:t>Dig Dis Sci</w:t>
      </w:r>
      <w:r w:rsidRPr="005605FF">
        <w:rPr>
          <w:rFonts w:ascii="Book Antiqua" w:eastAsia="宋体" w:hAnsi="Book Antiqua" w:cs="Times New Roman"/>
          <w:kern w:val="2"/>
          <w:sz w:val="24"/>
          <w:szCs w:val="24"/>
          <w:lang w:val="en-US" w:eastAsia="zh-CN"/>
        </w:rPr>
        <w:t xml:space="preserve"> 2009; </w:t>
      </w:r>
      <w:r w:rsidRPr="005605FF">
        <w:rPr>
          <w:rFonts w:ascii="Book Antiqua" w:eastAsia="宋体" w:hAnsi="Book Antiqua" w:cs="Times New Roman"/>
          <w:b/>
          <w:kern w:val="2"/>
          <w:sz w:val="24"/>
          <w:szCs w:val="24"/>
          <w:lang w:val="en-US" w:eastAsia="zh-CN"/>
        </w:rPr>
        <w:t>54</w:t>
      </w:r>
      <w:r w:rsidRPr="005605FF">
        <w:rPr>
          <w:rFonts w:ascii="Book Antiqua" w:eastAsia="宋体" w:hAnsi="Book Antiqua" w:cs="Times New Roman"/>
          <w:kern w:val="2"/>
          <w:sz w:val="24"/>
          <w:szCs w:val="24"/>
          <w:lang w:val="en-US" w:eastAsia="zh-CN"/>
        </w:rPr>
        <w:t>: 46-56 [PMID: 18649140 DOI: 10.1007/s10620-008-0332-9]</w:t>
      </w:r>
    </w:p>
    <w:p w14:paraId="374B0784"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39 </w:t>
      </w:r>
      <w:r w:rsidRPr="005605FF">
        <w:rPr>
          <w:rFonts w:ascii="Book Antiqua" w:eastAsia="宋体" w:hAnsi="Book Antiqua" w:cs="Times New Roman"/>
          <w:b/>
          <w:kern w:val="2"/>
          <w:sz w:val="24"/>
          <w:szCs w:val="24"/>
          <w:lang w:val="en-US" w:eastAsia="zh-CN"/>
        </w:rPr>
        <w:t>Sever M</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Klicek</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Radic</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Brcic</w:t>
      </w:r>
      <w:proofErr w:type="spellEnd"/>
      <w:r w:rsidRPr="005605FF">
        <w:rPr>
          <w:rFonts w:ascii="Book Antiqua" w:eastAsia="宋体" w:hAnsi="Book Antiqua" w:cs="Times New Roman"/>
          <w:kern w:val="2"/>
          <w:sz w:val="24"/>
          <w:szCs w:val="24"/>
          <w:lang w:val="en-US" w:eastAsia="zh-CN"/>
        </w:rPr>
        <w:t xml:space="preserve"> L, </w:t>
      </w:r>
      <w:proofErr w:type="spellStart"/>
      <w:r w:rsidRPr="005605FF">
        <w:rPr>
          <w:rFonts w:ascii="Book Antiqua" w:eastAsia="宋体" w:hAnsi="Book Antiqua" w:cs="Times New Roman"/>
          <w:kern w:val="2"/>
          <w:sz w:val="24"/>
          <w:szCs w:val="24"/>
          <w:lang w:val="en-US" w:eastAsia="zh-CN"/>
        </w:rPr>
        <w:t>Zoricic</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Drmic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Ivica</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Barisic</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Ilic</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Berkopic</w:t>
      </w:r>
      <w:proofErr w:type="spellEnd"/>
      <w:r w:rsidRPr="005605FF">
        <w:rPr>
          <w:rFonts w:ascii="Book Antiqua" w:eastAsia="宋体" w:hAnsi="Book Antiqua" w:cs="Times New Roman"/>
          <w:kern w:val="2"/>
          <w:sz w:val="24"/>
          <w:szCs w:val="24"/>
          <w:lang w:val="en-US" w:eastAsia="zh-CN"/>
        </w:rPr>
        <w:t xml:space="preserve"> L, </w:t>
      </w:r>
      <w:proofErr w:type="spellStart"/>
      <w:r w:rsidRPr="005605FF">
        <w:rPr>
          <w:rFonts w:ascii="Book Antiqua" w:eastAsia="宋体" w:hAnsi="Book Antiqua" w:cs="Times New Roman"/>
          <w:kern w:val="2"/>
          <w:sz w:val="24"/>
          <w:szCs w:val="24"/>
          <w:lang w:val="en-US" w:eastAsia="zh-CN"/>
        </w:rPr>
        <w:t>Blagaic</w:t>
      </w:r>
      <w:proofErr w:type="spellEnd"/>
      <w:r w:rsidRPr="005605FF">
        <w:rPr>
          <w:rFonts w:ascii="Book Antiqua" w:eastAsia="宋体" w:hAnsi="Book Antiqua" w:cs="Times New Roman"/>
          <w:kern w:val="2"/>
          <w:sz w:val="24"/>
          <w:szCs w:val="24"/>
          <w:lang w:val="en-US" w:eastAsia="zh-CN"/>
        </w:rPr>
        <w:t xml:space="preserve"> AB, </w:t>
      </w:r>
      <w:proofErr w:type="spellStart"/>
      <w:r w:rsidRPr="005605FF">
        <w:rPr>
          <w:rFonts w:ascii="Book Antiqua" w:eastAsia="宋体" w:hAnsi="Book Antiqua" w:cs="Times New Roman"/>
          <w:kern w:val="2"/>
          <w:sz w:val="24"/>
          <w:szCs w:val="24"/>
          <w:lang w:val="en-US" w:eastAsia="zh-CN"/>
        </w:rPr>
        <w:t>Coric</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Kolenc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Vrcic</w:t>
      </w:r>
      <w:proofErr w:type="spellEnd"/>
      <w:r w:rsidRPr="005605FF">
        <w:rPr>
          <w:rFonts w:ascii="Book Antiqua" w:eastAsia="宋体" w:hAnsi="Book Antiqua" w:cs="Times New Roman"/>
          <w:kern w:val="2"/>
          <w:sz w:val="24"/>
          <w:szCs w:val="24"/>
          <w:lang w:val="en-US" w:eastAsia="zh-CN"/>
        </w:rPr>
        <w:t xml:space="preserve"> H, </w:t>
      </w:r>
      <w:proofErr w:type="spellStart"/>
      <w:r w:rsidRPr="005605FF">
        <w:rPr>
          <w:rFonts w:ascii="Book Antiqua" w:eastAsia="宋体" w:hAnsi="Book Antiqua" w:cs="Times New Roman"/>
          <w:kern w:val="2"/>
          <w:sz w:val="24"/>
          <w:szCs w:val="24"/>
          <w:lang w:val="en-US" w:eastAsia="zh-CN"/>
        </w:rPr>
        <w:t>Anic</w:t>
      </w:r>
      <w:proofErr w:type="spellEnd"/>
      <w:r w:rsidRPr="005605FF">
        <w:rPr>
          <w:rFonts w:ascii="Book Antiqua" w:eastAsia="宋体" w:hAnsi="Book Antiqua" w:cs="Times New Roman"/>
          <w:kern w:val="2"/>
          <w:sz w:val="24"/>
          <w:szCs w:val="24"/>
          <w:lang w:val="en-US" w:eastAsia="zh-CN"/>
        </w:rPr>
        <w:t xml:space="preserve"> T,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Sikiric</w:t>
      </w:r>
      <w:proofErr w:type="spellEnd"/>
      <w:r w:rsidRPr="005605FF">
        <w:rPr>
          <w:rFonts w:ascii="Book Antiqua" w:eastAsia="宋体" w:hAnsi="Book Antiqua" w:cs="Times New Roman"/>
          <w:kern w:val="2"/>
          <w:sz w:val="24"/>
          <w:szCs w:val="24"/>
          <w:lang w:val="en-US" w:eastAsia="zh-CN"/>
        </w:rPr>
        <w:t xml:space="preserve"> P. Gastric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and short bowel syndrome in rats. </w:t>
      </w:r>
      <w:r w:rsidRPr="005605FF">
        <w:rPr>
          <w:rFonts w:ascii="Book Antiqua" w:eastAsia="宋体" w:hAnsi="Book Antiqua" w:cs="Times New Roman"/>
          <w:i/>
          <w:kern w:val="2"/>
          <w:sz w:val="24"/>
          <w:szCs w:val="24"/>
          <w:lang w:val="en-US" w:eastAsia="zh-CN"/>
        </w:rPr>
        <w:t>Dig Dis Sci</w:t>
      </w:r>
      <w:r w:rsidRPr="005605FF">
        <w:rPr>
          <w:rFonts w:ascii="Book Antiqua" w:eastAsia="宋体" w:hAnsi="Book Antiqua" w:cs="Times New Roman"/>
          <w:kern w:val="2"/>
          <w:sz w:val="24"/>
          <w:szCs w:val="24"/>
          <w:lang w:val="en-US" w:eastAsia="zh-CN"/>
        </w:rPr>
        <w:t xml:space="preserve"> 2009; </w:t>
      </w:r>
      <w:r w:rsidRPr="005605FF">
        <w:rPr>
          <w:rFonts w:ascii="Book Antiqua" w:eastAsia="宋体" w:hAnsi="Book Antiqua" w:cs="Times New Roman"/>
          <w:b/>
          <w:kern w:val="2"/>
          <w:sz w:val="24"/>
          <w:szCs w:val="24"/>
          <w:lang w:val="en-US" w:eastAsia="zh-CN"/>
        </w:rPr>
        <w:t>54</w:t>
      </w:r>
      <w:r w:rsidRPr="005605FF">
        <w:rPr>
          <w:rFonts w:ascii="Book Antiqua" w:eastAsia="宋体" w:hAnsi="Book Antiqua" w:cs="Times New Roman"/>
          <w:kern w:val="2"/>
          <w:sz w:val="24"/>
          <w:szCs w:val="24"/>
          <w:lang w:val="en-US" w:eastAsia="zh-CN"/>
        </w:rPr>
        <w:t>: 2070-2083 [PMID: 19093208 DOI: 10.1007/s10620-008-0598-y]</w:t>
      </w:r>
    </w:p>
    <w:p w14:paraId="546C34E2"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40 </w:t>
      </w:r>
      <w:proofErr w:type="spellStart"/>
      <w:r w:rsidRPr="005605FF">
        <w:rPr>
          <w:rFonts w:ascii="Book Antiqua" w:eastAsia="宋体" w:hAnsi="Book Antiqua" w:cs="Times New Roman"/>
          <w:b/>
          <w:kern w:val="2"/>
          <w:sz w:val="24"/>
          <w:szCs w:val="24"/>
          <w:lang w:val="en-US" w:eastAsia="zh-CN"/>
        </w:rPr>
        <w:t>Vuksic</w:t>
      </w:r>
      <w:proofErr w:type="spellEnd"/>
      <w:r w:rsidRPr="005605FF">
        <w:rPr>
          <w:rFonts w:ascii="Book Antiqua" w:eastAsia="宋体" w:hAnsi="Book Antiqua" w:cs="Times New Roman"/>
          <w:b/>
          <w:kern w:val="2"/>
          <w:sz w:val="24"/>
          <w:szCs w:val="24"/>
          <w:lang w:val="en-US" w:eastAsia="zh-CN"/>
        </w:rPr>
        <w:t xml:space="preserve"> T</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Zoricic</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Brcic</w:t>
      </w:r>
      <w:proofErr w:type="spellEnd"/>
      <w:r w:rsidRPr="005605FF">
        <w:rPr>
          <w:rFonts w:ascii="Book Antiqua" w:eastAsia="宋体" w:hAnsi="Book Antiqua" w:cs="Times New Roman"/>
          <w:kern w:val="2"/>
          <w:sz w:val="24"/>
          <w:szCs w:val="24"/>
          <w:lang w:val="en-US" w:eastAsia="zh-CN"/>
        </w:rPr>
        <w:t xml:space="preserve"> L, Sever M, </w:t>
      </w:r>
      <w:proofErr w:type="spellStart"/>
      <w:r w:rsidRPr="005605FF">
        <w:rPr>
          <w:rFonts w:ascii="Book Antiqua" w:eastAsia="宋体" w:hAnsi="Book Antiqua" w:cs="Times New Roman"/>
          <w:kern w:val="2"/>
          <w:sz w:val="24"/>
          <w:szCs w:val="24"/>
          <w:lang w:val="en-US" w:eastAsia="zh-CN"/>
        </w:rPr>
        <w:t>Klicek</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Radic</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Cesarec</w:t>
      </w:r>
      <w:proofErr w:type="spellEnd"/>
      <w:r w:rsidRPr="005605FF">
        <w:rPr>
          <w:rFonts w:ascii="Book Antiqua" w:eastAsia="宋体" w:hAnsi="Book Antiqua" w:cs="Times New Roman"/>
          <w:kern w:val="2"/>
          <w:sz w:val="24"/>
          <w:szCs w:val="24"/>
          <w:lang w:val="en-US" w:eastAsia="zh-CN"/>
        </w:rPr>
        <w:t xml:space="preserve"> V, </w:t>
      </w:r>
      <w:proofErr w:type="spellStart"/>
      <w:r w:rsidRPr="005605FF">
        <w:rPr>
          <w:rFonts w:ascii="Book Antiqua" w:eastAsia="宋体" w:hAnsi="Book Antiqua" w:cs="Times New Roman"/>
          <w:kern w:val="2"/>
          <w:sz w:val="24"/>
          <w:szCs w:val="24"/>
          <w:lang w:val="en-US" w:eastAsia="zh-CN"/>
        </w:rPr>
        <w:t>Berkopic</w:t>
      </w:r>
      <w:proofErr w:type="spellEnd"/>
      <w:r w:rsidRPr="005605FF">
        <w:rPr>
          <w:rFonts w:ascii="Book Antiqua" w:eastAsia="宋体" w:hAnsi="Book Antiqua" w:cs="Times New Roman"/>
          <w:kern w:val="2"/>
          <w:sz w:val="24"/>
          <w:szCs w:val="24"/>
          <w:lang w:val="en-US" w:eastAsia="zh-CN"/>
        </w:rPr>
        <w:t xml:space="preserve"> L, Keller N, </w:t>
      </w:r>
      <w:proofErr w:type="spellStart"/>
      <w:r w:rsidRPr="005605FF">
        <w:rPr>
          <w:rFonts w:ascii="Book Antiqua" w:eastAsia="宋体" w:hAnsi="Book Antiqua" w:cs="Times New Roman"/>
          <w:kern w:val="2"/>
          <w:sz w:val="24"/>
          <w:szCs w:val="24"/>
          <w:lang w:val="en-US" w:eastAsia="zh-CN"/>
        </w:rPr>
        <w:t>Blagaic</w:t>
      </w:r>
      <w:proofErr w:type="spellEnd"/>
      <w:r w:rsidRPr="005605FF">
        <w:rPr>
          <w:rFonts w:ascii="Book Antiqua" w:eastAsia="宋体" w:hAnsi="Book Antiqua" w:cs="Times New Roman"/>
          <w:kern w:val="2"/>
          <w:sz w:val="24"/>
          <w:szCs w:val="24"/>
          <w:lang w:val="en-US" w:eastAsia="zh-CN"/>
        </w:rPr>
        <w:t xml:space="preserve"> AB, </w:t>
      </w:r>
      <w:proofErr w:type="spellStart"/>
      <w:r w:rsidRPr="005605FF">
        <w:rPr>
          <w:rFonts w:ascii="Book Antiqua" w:eastAsia="宋体" w:hAnsi="Book Antiqua" w:cs="Times New Roman"/>
          <w:kern w:val="2"/>
          <w:sz w:val="24"/>
          <w:szCs w:val="24"/>
          <w:lang w:val="en-US" w:eastAsia="zh-CN"/>
        </w:rPr>
        <w:t>Kokic</w:t>
      </w:r>
      <w:proofErr w:type="spellEnd"/>
      <w:r w:rsidRPr="005605FF">
        <w:rPr>
          <w:rFonts w:ascii="Book Antiqua" w:eastAsia="宋体" w:hAnsi="Book Antiqua" w:cs="Times New Roman"/>
          <w:kern w:val="2"/>
          <w:sz w:val="24"/>
          <w:szCs w:val="24"/>
          <w:lang w:val="en-US" w:eastAsia="zh-CN"/>
        </w:rPr>
        <w:t xml:space="preserve"> N, </w:t>
      </w:r>
      <w:proofErr w:type="spellStart"/>
      <w:r w:rsidRPr="005605FF">
        <w:rPr>
          <w:rFonts w:ascii="Book Antiqua" w:eastAsia="宋体" w:hAnsi="Book Antiqua" w:cs="Times New Roman"/>
          <w:kern w:val="2"/>
          <w:sz w:val="24"/>
          <w:szCs w:val="24"/>
          <w:lang w:val="en-US" w:eastAsia="zh-CN"/>
        </w:rPr>
        <w:t>Jelic</w:t>
      </w:r>
      <w:proofErr w:type="spellEnd"/>
      <w:r w:rsidRPr="005605FF">
        <w:rPr>
          <w:rFonts w:ascii="Book Antiqua" w:eastAsia="宋体" w:hAnsi="Book Antiqua" w:cs="Times New Roman"/>
          <w:kern w:val="2"/>
          <w:sz w:val="24"/>
          <w:szCs w:val="24"/>
          <w:lang w:val="en-US" w:eastAsia="zh-CN"/>
        </w:rPr>
        <w:t xml:space="preserve"> I, Geber J, </w:t>
      </w:r>
      <w:proofErr w:type="spellStart"/>
      <w:r w:rsidRPr="005605FF">
        <w:rPr>
          <w:rFonts w:ascii="Book Antiqua" w:eastAsia="宋体" w:hAnsi="Book Antiqua" w:cs="Times New Roman"/>
          <w:kern w:val="2"/>
          <w:sz w:val="24"/>
          <w:szCs w:val="24"/>
          <w:lang w:val="en-US" w:eastAsia="zh-CN"/>
        </w:rPr>
        <w:t>Anic</w:t>
      </w:r>
      <w:proofErr w:type="spellEnd"/>
      <w:r w:rsidRPr="005605FF">
        <w:rPr>
          <w:rFonts w:ascii="Book Antiqua" w:eastAsia="宋体" w:hAnsi="Book Antiqua" w:cs="Times New Roman"/>
          <w:kern w:val="2"/>
          <w:sz w:val="24"/>
          <w:szCs w:val="24"/>
          <w:lang w:val="en-US" w:eastAsia="zh-CN"/>
        </w:rPr>
        <w:t xml:space="preserve"> T,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Sikiric</w:t>
      </w:r>
      <w:proofErr w:type="spellEnd"/>
      <w:r w:rsidRPr="005605FF">
        <w:rPr>
          <w:rFonts w:ascii="Book Antiqua" w:eastAsia="宋体" w:hAnsi="Book Antiqua" w:cs="Times New Roman"/>
          <w:kern w:val="2"/>
          <w:sz w:val="24"/>
          <w:szCs w:val="24"/>
          <w:lang w:val="en-US" w:eastAsia="zh-CN"/>
        </w:rPr>
        <w:t xml:space="preserve"> P. Stable gastric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in trials for inflammatory bowel disease (PL-10, PLD-116, PL14736, </w:t>
      </w:r>
      <w:proofErr w:type="spellStart"/>
      <w:r w:rsidRPr="005605FF">
        <w:rPr>
          <w:rFonts w:ascii="Book Antiqua" w:eastAsia="宋体" w:hAnsi="Book Antiqua" w:cs="Times New Roman"/>
          <w:kern w:val="2"/>
          <w:sz w:val="24"/>
          <w:szCs w:val="24"/>
          <w:lang w:val="en-US" w:eastAsia="zh-CN"/>
        </w:rPr>
        <w:t>Pliva</w:t>
      </w:r>
      <w:proofErr w:type="spellEnd"/>
      <w:r w:rsidRPr="005605FF">
        <w:rPr>
          <w:rFonts w:ascii="Book Antiqua" w:eastAsia="宋体" w:hAnsi="Book Antiqua" w:cs="Times New Roman"/>
          <w:kern w:val="2"/>
          <w:sz w:val="24"/>
          <w:szCs w:val="24"/>
          <w:lang w:val="en-US" w:eastAsia="zh-CN"/>
        </w:rPr>
        <w:t xml:space="preserve">, Croatia) heals </w:t>
      </w:r>
      <w:proofErr w:type="spellStart"/>
      <w:r w:rsidRPr="005605FF">
        <w:rPr>
          <w:rFonts w:ascii="Book Antiqua" w:eastAsia="宋体" w:hAnsi="Book Antiqua" w:cs="Times New Roman"/>
          <w:kern w:val="2"/>
          <w:sz w:val="24"/>
          <w:szCs w:val="24"/>
          <w:lang w:val="en-US" w:eastAsia="zh-CN"/>
        </w:rPr>
        <w:t>ileoileal</w:t>
      </w:r>
      <w:proofErr w:type="spellEnd"/>
      <w:r w:rsidRPr="005605FF">
        <w:rPr>
          <w:rFonts w:ascii="Book Antiqua" w:eastAsia="宋体" w:hAnsi="Book Antiqua" w:cs="Times New Roman"/>
          <w:kern w:val="2"/>
          <w:sz w:val="24"/>
          <w:szCs w:val="24"/>
          <w:lang w:val="en-US" w:eastAsia="zh-CN"/>
        </w:rPr>
        <w:t xml:space="preserve"> anastomosis in the rat. </w:t>
      </w:r>
      <w:r w:rsidRPr="005605FF">
        <w:rPr>
          <w:rFonts w:ascii="Book Antiqua" w:eastAsia="宋体" w:hAnsi="Book Antiqua" w:cs="Times New Roman"/>
          <w:i/>
          <w:kern w:val="2"/>
          <w:sz w:val="24"/>
          <w:szCs w:val="24"/>
          <w:lang w:val="en-US" w:eastAsia="zh-CN"/>
        </w:rPr>
        <w:t>Surg Today</w:t>
      </w:r>
      <w:r w:rsidRPr="005605FF">
        <w:rPr>
          <w:rFonts w:ascii="Book Antiqua" w:eastAsia="宋体" w:hAnsi="Book Antiqua" w:cs="Times New Roman"/>
          <w:kern w:val="2"/>
          <w:sz w:val="24"/>
          <w:szCs w:val="24"/>
          <w:lang w:val="en-US" w:eastAsia="zh-CN"/>
        </w:rPr>
        <w:t xml:space="preserve"> 2007; </w:t>
      </w:r>
      <w:r w:rsidRPr="005605FF">
        <w:rPr>
          <w:rFonts w:ascii="Book Antiqua" w:eastAsia="宋体" w:hAnsi="Book Antiqua" w:cs="Times New Roman"/>
          <w:b/>
          <w:kern w:val="2"/>
          <w:sz w:val="24"/>
          <w:szCs w:val="24"/>
          <w:lang w:val="en-US" w:eastAsia="zh-CN"/>
        </w:rPr>
        <w:t>37</w:t>
      </w:r>
      <w:r w:rsidRPr="005605FF">
        <w:rPr>
          <w:rFonts w:ascii="Book Antiqua" w:eastAsia="宋体" w:hAnsi="Book Antiqua" w:cs="Times New Roman"/>
          <w:kern w:val="2"/>
          <w:sz w:val="24"/>
          <w:szCs w:val="24"/>
          <w:lang w:val="en-US" w:eastAsia="zh-CN"/>
        </w:rPr>
        <w:t>: 768-777 [PMID: 17713731 DOI: 10.1007/s00595-006-3498-9]</w:t>
      </w:r>
    </w:p>
    <w:p w14:paraId="5635AB73"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41 </w:t>
      </w:r>
      <w:proofErr w:type="spellStart"/>
      <w:r w:rsidRPr="005605FF">
        <w:rPr>
          <w:rFonts w:ascii="Book Antiqua" w:eastAsia="宋体" w:hAnsi="Book Antiqua" w:cs="Times New Roman"/>
          <w:b/>
          <w:kern w:val="2"/>
          <w:sz w:val="24"/>
          <w:szCs w:val="24"/>
          <w:lang w:val="en-US" w:eastAsia="zh-CN"/>
        </w:rPr>
        <w:t>Hrelec</w:t>
      </w:r>
      <w:proofErr w:type="spellEnd"/>
      <w:r w:rsidRPr="005605FF">
        <w:rPr>
          <w:rFonts w:ascii="Book Antiqua" w:eastAsia="宋体" w:hAnsi="Book Antiqua" w:cs="Times New Roman"/>
          <w:b/>
          <w:kern w:val="2"/>
          <w:sz w:val="24"/>
          <w:szCs w:val="24"/>
          <w:lang w:val="en-US" w:eastAsia="zh-CN"/>
        </w:rPr>
        <w:t xml:space="preserve"> M</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Klicek</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Brcic</w:t>
      </w:r>
      <w:proofErr w:type="spellEnd"/>
      <w:r w:rsidRPr="005605FF">
        <w:rPr>
          <w:rFonts w:ascii="Book Antiqua" w:eastAsia="宋体" w:hAnsi="Book Antiqua" w:cs="Times New Roman"/>
          <w:kern w:val="2"/>
          <w:sz w:val="24"/>
          <w:szCs w:val="24"/>
          <w:lang w:val="en-US" w:eastAsia="zh-CN"/>
        </w:rPr>
        <w:t xml:space="preserve"> L, </w:t>
      </w:r>
      <w:proofErr w:type="spellStart"/>
      <w:r w:rsidRPr="005605FF">
        <w:rPr>
          <w:rFonts w:ascii="Book Antiqua" w:eastAsia="宋体" w:hAnsi="Book Antiqua" w:cs="Times New Roman"/>
          <w:kern w:val="2"/>
          <w:sz w:val="24"/>
          <w:szCs w:val="24"/>
          <w:lang w:val="en-US" w:eastAsia="zh-CN"/>
        </w:rPr>
        <w:t>Brcic</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Cvjetko</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Sikiric</w:t>
      </w:r>
      <w:proofErr w:type="spellEnd"/>
      <w:r w:rsidRPr="005605FF">
        <w:rPr>
          <w:rFonts w:ascii="Book Antiqua" w:eastAsia="宋体" w:hAnsi="Book Antiqua" w:cs="Times New Roman"/>
          <w:kern w:val="2"/>
          <w:sz w:val="24"/>
          <w:szCs w:val="24"/>
          <w:lang w:val="en-US" w:eastAsia="zh-CN"/>
        </w:rPr>
        <w:t xml:space="preserve"> P. Abdominal aorta anastomosis in rats and stable gastric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prophylaxis and therapy. </w:t>
      </w:r>
      <w:r w:rsidRPr="005605FF">
        <w:rPr>
          <w:rFonts w:ascii="Book Antiqua" w:eastAsia="宋体" w:hAnsi="Book Antiqua" w:cs="Times New Roman"/>
          <w:i/>
          <w:kern w:val="2"/>
          <w:sz w:val="24"/>
          <w:szCs w:val="24"/>
          <w:lang w:val="en-US" w:eastAsia="zh-CN"/>
        </w:rPr>
        <w:t xml:space="preserve">J </w:t>
      </w:r>
      <w:proofErr w:type="spellStart"/>
      <w:r w:rsidRPr="005605FF">
        <w:rPr>
          <w:rFonts w:ascii="Book Antiqua" w:eastAsia="宋体" w:hAnsi="Book Antiqua" w:cs="Times New Roman"/>
          <w:i/>
          <w:kern w:val="2"/>
          <w:sz w:val="24"/>
          <w:szCs w:val="24"/>
          <w:lang w:val="en-US" w:eastAsia="zh-CN"/>
        </w:rPr>
        <w:t>Physiol</w:t>
      </w:r>
      <w:proofErr w:type="spellEnd"/>
      <w:r w:rsidRPr="005605FF">
        <w:rPr>
          <w:rFonts w:ascii="Book Antiqua" w:eastAsia="宋体" w:hAnsi="Book Antiqua" w:cs="Times New Roman"/>
          <w:i/>
          <w:kern w:val="2"/>
          <w:sz w:val="24"/>
          <w:szCs w:val="24"/>
          <w:lang w:val="en-US" w:eastAsia="zh-CN"/>
        </w:rPr>
        <w:t xml:space="preserve"> </w:t>
      </w:r>
      <w:proofErr w:type="spellStart"/>
      <w:r w:rsidRPr="005605FF">
        <w:rPr>
          <w:rFonts w:ascii="Book Antiqua" w:eastAsia="宋体" w:hAnsi="Book Antiqua" w:cs="Times New Roman"/>
          <w:i/>
          <w:kern w:val="2"/>
          <w:sz w:val="24"/>
          <w:szCs w:val="24"/>
          <w:lang w:val="en-US" w:eastAsia="zh-CN"/>
        </w:rPr>
        <w:t>Pharmacol</w:t>
      </w:r>
      <w:proofErr w:type="spellEnd"/>
      <w:r w:rsidRPr="005605FF">
        <w:rPr>
          <w:rFonts w:ascii="Book Antiqua" w:eastAsia="宋体" w:hAnsi="Book Antiqua" w:cs="Times New Roman"/>
          <w:kern w:val="2"/>
          <w:sz w:val="24"/>
          <w:szCs w:val="24"/>
          <w:lang w:val="en-US" w:eastAsia="zh-CN"/>
        </w:rPr>
        <w:t xml:space="preserve"> 2009; </w:t>
      </w:r>
      <w:r w:rsidRPr="005605FF">
        <w:rPr>
          <w:rFonts w:ascii="Book Antiqua" w:eastAsia="宋体" w:hAnsi="Book Antiqua" w:cs="Times New Roman"/>
          <w:b/>
          <w:kern w:val="2"/>
          <w:sz w:val="24"/>
          <w:szCs w:val="24"/>
          <w:lang w:val="en-US" w:eastAsia="zh-CN"/>
        </w:rPr>
        <w:t>60 Suppl 7</w:t>
      </w:r>
      <w:r w:rsidRPr="005605FF">
        <w:rPr>
          <w:rFonts w:ascii="Book Antiqua" w:eastAsia="宋体" w:hAnsi="Book Antiqua" w:cs="Times New Roman"/>
          <w:kern w:val="2"/>
          <w:sz w:val="24"/>
          <w:szCs w:val="24"/>
          <w:lang w:val="en-US" w:eastAsia="zh-CN"/>
        </w:rPr>
        <w:t>: 161-165 [PMID: 20388960]</w:t>
      </w:r>
    </w:p>
    <w:p w14:paraId="63FF4373"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42 </w:t>
      </w:r>
      <w:proofErr w:type="spellStart"/>
      <w:r w:rsidRPr="005605FF">
        <w:rPr>
          <w:rFonts w:ascii="Book Antiqua" w:eastAsia="宋体" w:hAnsi="Book Antiqua" w:cs="Times New Roman"/>
          <w:b/>
          <w:kern w:val="2"/>
          <w:sz w:val="24"/>
          <w:szCs w:val="24"/>
          <w:lang w:val="en-US" w:eastAsia="zh-CN"/>
        </w:rPr>
        <w:t>Stupnisek</w:t>
      </w:r>
      <w:proofErr w:type="spellEnd"/>
      <w:r w:rsidRPr="005605FF">
        <w:rPr>
          <w:rFonts w:ascii="Book Antiqua" w:eastAsia="宋体" w:hAnsi="Book Antiqua" w:cs="Times New Roman"/>
          <w:b/>
          <w:kern w:val="2"/>
          <w:sz w:val="24"/>
          <w:szCs w:val="24"/>
          <w:lang w:val="en-US" w:eastAsia="zh-CN"/>
        </w:rPr>
        <w:t xml:space="preserve"> M</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Franjic</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Drmic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Hrelec</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Kolenc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Radic</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Bojic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Vcev</w:t>
      </w:r>
      <w:proofErr w:type="spellEnd"/>
      <w:r w:rsidRPr="005605FF">
        <w:rPr>
          <w:rFonts w:ascii="Book Antiqua" w:eastAsia="宋体" w:hAnsi="Book Antiqua" w:cs="Times New Roman"/>
          <w:kern w:val="2"/>
          <w:sz w:val="24"/>
          <w:szCs w:val="24"/>
          <w:lang w:val="en-US" w:eastAsia="zh-CN"/>
        </w:rPr>
        <w:t xml:space="preserve"> A,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Sikiric</w:t>
      </w:r>
      <w:proofErr w:type="spellEnd"/>
      <w:r w:rsidRPr="005605FF">
        <w:rPr>
          <w:rFonts w:ascii="Book Antiqua" w:eastAsia="宋体" w:hAnsi="Book Antiqua" w:cs="Times New Roman"/>
          <w:kern w:val="2"/>
          <w:sz w:val="24"/>
          <w:szCs w:val="24"/>
          <w:lang w:val="en-US" w:eastAsia="zh-CN"/>
        </w:rPr>
        <w:t xml:space="preserve"> P.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reduces bleeding time and thrombocytopenia after amputation in rats treated with heparin, warfarin or aspirin. </w:t>
      </w:r>
      <w:proofErr w:type="spellStart"/>
      <w:r w:rsidRPr="005605FF">
        <w:rPr>
          <w:rFonts w:ascii="Book Antiqua" w:eastAsia="宋体" w:hAnsi="Book Antiqua" w:cs="Times New Roman"/>
          <w:i/>
          <w:kern w:val="2"/>
          <w:sz w:val="24"/>
          <w:szCs w:val="24"/>
          <w:lang w:val="en-US" w:eastAsia="zh-CN"/>
        </w:rPr>
        <w:t>Thromb</w:t>
      </w:r>
      <w:proofErr w:type="spellEnd"/>
      <w:r w:rsidRPr="005605FF">
        <w:rPr>
          <w:rFonts w:ascii="Book Antiqua" w:eastAsia="宋体" w:hAnsi="Book Antiqua" w:cs="Times New Roman"/>
          <w:i/>
          <w:kern w:val="2"/>
          <w:sz w:val="24"/>
          <w:szCs w:val="24"/>
          <w:lang w:val="en-US" w:eastAsia="zh-CN"/>
        </w:rPr>
        <w:t xml:space="preserve"> Res</w:t>
      </w:r>
      <w:r w:rsidRPr="005605FF">
        <w:rPr>
          <w:rFonts w:ascii="Book Antiqua" w:eastAsia="宋体" w:hAnsi="Book Antiqua" w:cs="Times New Roman"/>
          <w:kern w:val="2"/>
          <w:sz w:val="24"/>
          <w:szCs w:val="24"/>
          <w:lang w:val="en-US" w:eastAsia="zh-CN"/>
        </w:rPr>
        <w:t xml:space="preserve"> 2012; </w:t>
      </w:r>
      <w:r w:rsidRPr="005605FF">
        <w:rPr>
          <w:rFonts w:ascii="Book Antiqua" w:eastAsia="宋体" w:hAnsi="Book Antiqua" w:cs="Times New Roman"/>
          <w:b/>
          <w:kern w:val="2"/>
          <w:sz w:val="24"/>
          <w:szCs w:val="24"/>
          <w:lang w:val="en-US" w:eastAsia="zh-CN"/>
        </w:rPr>
        <w:t>129</w:t>
      </w:r>
      <w:r w:rsidRPr="005605FF">
        <w:rPr>
          <w:rFonts w:ascii="Book Antiqua" w:eastAsia="宋体" w:hAnsi="Book Antiqua" w:cs="Times New Roman"/>
          <w:kern w:val="2"/>
          <w:sz w:val="24"/>
          <w:szCs w:val="24"/>
          <w:lang w:val="en-US" w:eastAsia="zh-CN"/>
        </w:rPr>
        <w:t>: 652-659 [PMID: 21840572 DOI: 10.1016/j.thromres.2011.07.035]</w:t>
      </w:r>
    </w:p>
    <w:p w14:paraId="52CB8977"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43 </w:t>
      </w:r>
      <w:proofErr w:type="spellStart"/>
      <w:r w:rsidRPr="005605FF">
        <w:rPr>
          <w:rFonts w:ascii="Book Antiqua" w:eastAsia="宋体" w:hAnsi="Book Antiqua" w:cs="Times New Roman"/>
          <w:b/>
          <w:kern w:val="2"/>
          <w:sz w:val="24"/>
          <w:szCs w:val="24"/>
          <w:lang w:val="en-US" w:eastAsia="zh-CN"/>
        </w:rPr>
        <w:t>Stupnisek</w:t>
      </w:r>
      <w:proofErr w:type="spellEnd"/>
      <w:r w:rsidRPr="005605FF">
        <w:rPr>
          <w:rFonts w:ascii="Book Antiqua" w:eastAsia="宋体" w:hAnsi="Book Antiqua" w:cs="Times New Roman"/>
          <w:b/>
          <w:kern w:val="2"/>
          <w:sz w:val="24"/>
          <w:szCs w:val="24"/>
          <w:lang w:val="en-US" w:eastAsia="zh-CN"/>
        </w:rPr>
        <w:t xml:space="preserve"> M</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Kokot</w:t>
      </w:r>
      <w:proofErr w:type="spellEnd"/>
      <w:r w:rsidRPr="005605FF">
        <w:rPr>
          <w:rFonts w:ascii="Book Antiqua" w:eastAsia="宋体" w:hAnsi="Book Antiqua" w:cs="Times New Roman"/>
          <w:kern w:val="2"/>
          <w:sz w:val="24"/>
          <w:szCs w:val="24"/>
          <w:lang w:val="en-US" w:eastAsia="zh-CN"/>
        </w:rPr>
        <w:t xml:space="preserve"> A, </w:t>
      </w:r>
      <w:proofErr w:type="spellStart"/>
      <w:r w:rsidRPr="005605FF">
        <w:rPr>
          <w:rFonts w:ascii="Book Antiqua" w:eastAsia="宋体" w:hAnsi="Book Antiqua" w:cs="Times New Roman"/>
          <w:kern w:val="2"/>
          <w:sz w:val="24"/>
          <w:szCs w:val="24"/>
          <w:lang w:val="en-US" w:eastAsia="zh-CN"/>
        </w:rPr>
        <w:t>Drmic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Hrelec</w:t>
      </w:r>
      <w:proofErr w:type="spellEnd"/>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Patrlj</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Zenko</w:t>
      </w:r>
      <w:proofErr w:type="spellEnd"/>
      <w:r w:rsidRPr="005605FF">
        <w:rPr>
          <w:rFonts w:ascii="Book Antiqua" w:eastAsia="宋体" w:hAnsi="Book Antiqua" w:cs="Times New Roman"/>
          <w:kern w:val="2"/>
          <w:sz w:val="24"/>
          <w:szCs w:val="24"/>
          <w:lang w:val="en-US" w:eastAsia="zh-CN"/>
        </w:rPr>
        <w:t xml:space="preserve"> Sever A, </w:t>
      </w:r>
      <w:proofErr w:type="spellStart"/>
      <w:r w:rsidRPr="005605FF">
        <w:rPr>
          <w:rFonts w:ascii="Book Antiqua" w:eastAsia="宋体" w:hAnsi="Book Antiqua" w:cs="Times New Roman"/>
          <w:kern w:val="2"/>
          <w:sz w:val="24"/>
          <w:szCs w:val="24"/>
          <w:lang w:val="en-US" w:eastAsia="zh-CN"/>
        </w:rPr>
        <w:t>Kolenc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Radic</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Suran</w:t>
      </w:r>
      <w:proofErr w:type="spellEnd"/>
      <w:r w:rsidRPr="005605FF">
        <w:rPr>
          <w:rFonts w:ascii="Book Antiqua" w:eastAsia="宋体" w:hAnsi="Book Antiqua" w:cs="Times New Roman"/>
          <w:kern w:val="2"/>
          <w:sz w:val="24"/>
          <w:szCs w:val="24"/>
          <w:lang w:val="en-US" w:eastAsia="zh-CN"/>
        </w:rPr>
        <w:t xml:space="preserve"> J, </w:t>
      </w:r>
      <w:proofErr w:type="spellStart"/>
      <w:r w:rsidRPr="005605FF">
        <w:rPr>
          <w:rFonts w:ascii="Book Antiqua" w:eastAsia="宋体" w:hAnsi="Book Antiqua" w:cs="Times New Roman"/>
          <w:kern w:val="2"/>
          <w:sz w:val="24"/>
          <w:szCs w:val="24"/>
          <w:lang w:val="en-US" w:eastAsia="zh-CN"/>
        </w:rPr>
        <w:t>Bojic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Vcev</w:t>
      </w:r>
      <w:proofErr w:type="spellEnd"/>
      <w:r w:rsidRPr="005605FF">
        <w:rPr>
          <w:rFonts w:ascii="Book Antiqua" w:eastAsia="宋体" w:hAnsi="Book Antiqua" w:cs="Times New Roman"/>
          <w:kern w:val="2"/>
          <w:sz w:val="24"/>
          <w:szCs w:val="24"/>
          <w:lang w:val="en-US" w:eastAsia="zh-CN"/>
        </w:rPr>
        <w:t xml:space="preserve"> A,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Sikiric</w:t>
      </w:r>
      <w:proofErr w:type="spellEnd"/>
      <w:r w:rsidRPr="005605FF">
        <w:rPr>
          <w:rFonts w:ascii="Book Antiqua" w:eastAsia="宋体" w:hAnsi="Book Antiqua" w:cs="Times New Roman"/>
          <w:kern w:val="2"/>
          <w:sz w:val="24"/>
          <w:szCs w:val="24"/>
          <w:lang w:val="en-US" w:eastAsia="zh-CN"/>
        </w:rPr>
        <w:t xml:space="preserve"> P.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Reduces Bleeding and Thrombocytopenia after Amputation in Rats Treated with Heparin, </w:t>
      </w:r>
      <w:r w:rsidRPr="005605FF">
        <w:rPr>
          <w:rFonts w:ascii="Book Antiqua" w:eastAsia="宋体" w:hAnsi="Book Antiqua" w:cs="Times New Roman"/>
          <w:kern w:val="2"/>
          <w:sz w:val="24"/>
          <w:szCs w:val="24"/>
          <w:lang w:val="en-US" w:eastAsia="zh-CN"/>
        </w:rPr>
        <w:lastRenderedPageBreak/>
        <w:t xml:space="preserve">Warfarin, L-NAME and L-Arginine. </w:t>
      </w:r>
      <w:proofErr w:type="spellStart"/>
      <w:r w:rsidRPr="005605FF">
        <w:rPr>
          <w:rFonts w:ascii="Book Antiqua" w:eastAsia="宋体" w:hAnsi="Book Antiqua" w:cs="Times New Roman"/>
          <w:i/>
          <w:kern w:val="2"/>
          <w:sz w:val="24"/>
          <w:szCs w:val="24"/>
          <w:lang w:val="en-US" w:eastAsia="zh-CN"/>
        </w:rPr>
        <w:t>PLoS</w:t>
      </w:r>
      <w:proofErr w:type="spellEnd"/>
      <w:r w:rsidRPr="005605FF">
        <w:rPr>
          <w:rFonts w:ascii="Book Antiqua" w:eastAsia="宋体" w:hAnsi="Book Antiqua" w:cs="Times New Roman"/>
          <w:i/>
          <w:kern w:val="2"/>
          <w:sz w:val="24"/>
          <w:szCs w:val="24"/>
          <w:lang w:val="en-US" w:eastAsia="zh-CN"/>
        </w:rPr>
        <w:t xml:space="preserve"> One</w:t>
      </w:r>
      <w:r w:rsidRPr="005605FF">
        <w:rPr>
          <w:rFonts w:ascii="Book Antiqua" w:eastAsia="宋体" w:hAnsi="Book Antiqua" w:cs="Times New Roman"/>
          <w:kern w:val="2"/>
          <w:sz w:val="24"/>
          <w:szCs w:val="24"/>
          <w:lang w:val="en-US" w:eastAsia="zh-CN"/>
        </w:rPr>
        <w:t xml:space="preserve"> 2015; </w:t>
      </w:r>
      <w:r w:rsidRPr="005605FF">
        <w:rPr>
          <w:rFonts w:ascii="Book Antiqua" w:eastAsia="宋体" w:hAnsi="Book Antiqua" w:cs="Times New Roman"/>
          <w:b/>
          <w:kern w:val="2"/>
          <w:sz w:val="24"/>
          <w:szCs w:val="24"/>
          <w:lang w:val="en-US" w:eastAsia="zh-CN"/>
        </w:rPr>
        <w:t>10</w:t>
      </w:r>
      <w:r w:rsidRPr="005605FF">
        <w:rPr>
          <w:rFonts w:ascii="Book Antiqua" w:eastAsia="宋体" w:hAnsi="Book Antiqua" w:cs="Times New Roman"/>
          <w:kern w:val="2"/>
          <w:sz w:val="24"/>
          <w:szCs w:val="24"/>
          <w:lang w:val="en-US" w:eastAsia="zh-CN"/>
        </w:rPr>
        <w:t>: e0123454 [PMID: 25897838 DOI: 10.1371/journal.pone.0123454]</w:t>
      </w:r>
    </w:p>
    <w:p w14:paraId="65656947"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44 </w:t>
      </w:r>
      <w:r w:rsidRPr="005605FF">
        <w:rPr>
          <w:rFonts w:ascii="Book Antiqua" w:eastAsia="宋体" w:hAnsi="Book Antiqua" w:cs="Times New Roman"/>
          <w:b/>
          <w:kern w:val="2"/>
          <w:sz w:val="24"/>
          <w:szCs w:val="24"/>
          <w:lang w:val="en-US" w:eastAsia="zh-CN"/>
        </w:rPr>
        <w:t>Berra-Romani R</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Avelino</w:t>
      </w:r>
      <w:proofErr w:type="spellEnd"/>
      <w:r w:rsidRPr="005605FF">
        <w:rPr>
          <w:rFonts w:ascii="Book Antiqua" w:eastAsia="宋体" w:hAnsi="Book Antiqua" w:cs="Times New Roman"/>
          <w:kern w:val="2"/>
          <w:sz w:val="24"/>
          <w:szCs w:val="24"/>
          <w:lang w:val="en-US" w:eastAsia="zh-CN"/>
        </w:rPr>
        <w:t xml:space="preserve">-Cruz JE, </w:t>
      </w:r>
      <w:proofErr w:type="spellStart"/>
      <w:r w:rsidRPr="005605FF">
        <w:rPr>
          <w:rFonts w:ascii="Book Antiqua" w:eastAsia="宋体" w:hAnsi="Book Antiqua" w:cs="Times New Roman"/>
          <w:kern w:val="2"/>
          <w:sz w:val="24"/>
          <w:szCs w:val="24"/>
          <w:lang w:val="en-US" w:eastAsia="zh-CN"/>
        </w:rPr>
        <w:t>Raqeeb</w:t>
      </w:r>
      <w:proofErr w:type="spellEnd"/>
      <w:r w:rsidRPr="005605FF">
        <w:rPr>
          <w:rFonts w:ascii="Book Antiqua" w:eastAsia="宋体" w:hAnsi="Book Antiqua" w:cs="Times New Roman"/>
          <w:kern w:val="2"/>
          <w:sz w:val="24"/>
          <w:szCs w:val="24"/>
          <w:lang w:val="en-US" w:eastAsia="zh-CN"/>
        </w:rPr>
        <w:t xml:space="preserve"> A, Della Corte A, </w:t>
      </w:r>
      <w:proofErr w:type="spellStart"/>
      <w:r w:rsidRPr="005605FF">
        <w:rPr>
          <w:rFonts w:ascii="Book Antiqua" w:eastAsia="宋体" w:hAnsi="Book Antiqua" w:cs="Times New Roman"/>
          <w:kern w:val="2"/>
          <w:sz w:val="24"/>
          <w:szCs w:val="24"/>
          <w:lang w:val="en-US" w:eastAsia="zh-CN"/>
        </w:rPr>
        <w:t>Cinelli</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Montagnani</w:t>
      </w:r>
      <w:proofErr w:type="spellEnd"/>
      <w:r w:rsidRPr="005605FF">
        <w:rPr>
          <w:rFonts w:ascii="Book Antiqua" w:eastAsia="宋体" w:hAnsi="Book Antiqua" w:cs="Times New Roman"/>
          <w:kern w:val="2"/>
          <w:sz w:val="24"/>
          <w:szCs w:val="24"/>
          <w:lang w:val="en-US" w:eastAsia="zh-CN"/>
        </w:rPr>
        <w:t xml:space="preserve"> S, Guerra G, </w:t>
      </w:r>
      <w:proofErr w:type="spellStart"/>
      <w:r w:rsidRPr="005605FF">
        <w:rPr>
          <w:rFonts w:ascii="Book Antiqua" w:eastAsia="宋体" w:hAnsi="Book Antiqua" w:cs="Times New Roman"/>
          <w:kern w:val="2"/>
          <w:sz w:val="24"/>
          <w:szCs w:val="24"/>
          <w:lang w:val="en-US" w:eastAsia="zh-CN"/>
        </w:rPr>
        <w:t>Moccia</w:t>
      </w:r>
      <w:proofErr w:type="spellEnd"/>
      <w:r w:rsidRPr="005605FF">
        <w:rPr>
          <w:rFonts w:ascii="Book Antiqua" w:eastAsia="宋体" w:hAnsi="Book Antiqua" w:cs="Times New Roman"/>
          <w:kern w:val="2"/>
          <w:sz w:val="24"/>
          <w:szCs w:val="24"/>
          <w:lang w:val="en-US" w:eastAsia="zh-CN"/>
        </w:rPr>
        <w:t xml:space="preserve"> F, </w:t>
      </w:r>
      <w:proofErr w:type="spellStart"/>
      <w:r w:rsidRPr="005605FF">
        <w:rPr>
          <w:rFonts w:ascii="Book Antiqua" w:eastAsia="宋体" w:hAnsi="Book Antiqua" w:cs="Times New Roman"/>
          <w:kern w:val="2"/>
          <w:sz w:val="24"/>
          <w:szCs w:val="24"/>
          <w:lang w:val="en-US" w:eastAsia="zh-CN"/>
        </w:rPr>
        <w:t>Tanzi</w:t>
      </w:r>
      <w:proofErr w:type="spellEnd"/>
      <w:r w:rsidRPr="005605FF">
        <w:rPr>
          <w:rFonts w:ascii="Book Antiqua" w:eastAsia="宋体" w:hAnsi="Book Antiqua" w:cs="Times New Roman"/>
          <w:kern w:val="2"/>
          <w:sz w:val="24"/>
          <w:szCs w:val="24"/>
          <w:lang w:val="en-US" w:eastAsia="zh-CN"/>
        </w:rPr>
        <w:t xml:space="preserve"> F. Ca²</w:t>
      </w:r>
      <w:r w:rsidRPr="005605FF">
        <w:rPr>
          <w:rFonts w:ascii="Cambria Math" w:eastAsia="宋体" w:hAnsi="Cambria Math" w:cs="Cambria Math"/>
          <w:kern w:val="2"/>
          <w:sz w:val="24"/>
          <w:szCs w:val="24"/>
          <w:lang w:val="en-US" w:eastAsia="zh-CN"/>
        </w:rPr>
        <w:t>⁺</w:t>
      </w:r>
      <w:r w:rsidRPr="005605FF">
        <w:rPr>
          <w:rFonts w:ascii="Book Antiqua" w:eastAsia="宋体" w:hAnsi="Book Antiqua" w:cs="Times New Roman"/>
          <w:kern w:val="2"/>
          <w:sz w:val="24"/>
          <w:szCs w:val="24"/>
          <w:lang w:val="en-US" w:eastAsia="zh-CN"/>
        </w:rPr>
        <w:t xml:space="preserve">-dependent nitric oxide release in the injured endothelium of excised rat aorta: a promising mechanism applying in vascular prosthetic devices in aging patients. </w:t>
      </w:r>
      <w:r w:rsidRPr="005605FF">
        <w:rPr>
          <w:rFonts w:ascii="Book Antiqua" w:eastAsia="宋体" w:hAnsi="Book Antiqua" w:cs="Times New Roman"/>
          <w:i/>
          <w:kern w:val="2"/>
          <w:sz w:val="24"/>
          <w:szCs w:val="24"/>
          <w:lang w:val="en-US" w:eastAsia="zh-CN"/>
        </w:rPr>
        <w:t>BMC Surg</w:t>
      </w:r>
      <w:r w:rsidRPr="005605FF">
        <w:rPr>
          <w:rFonts w:ascii="Book Antiqua" w:eastAsia="宋体" w:hAnsi="Book Antiqua" w:cs="Times New Roman"/>
          <w:kern w:val="2"/>
          <w:sz w:val="24"/>
          <w:szCs w:val="24"/>
          <w:lang w:val="en-US" w:eastAsia="zh-CN"/>
        </w:rPr>
        <w:t xml:space="preserve"> 2013; </w:t>
      </w:r>
      <w:r w:rsidRPr="005605FF">
        <w:rPr>
          <w:rFonts w:ascii="Book Antiqua" w:eastAsia="宋体" w:hAnsi="Book Antiqua" w:cs="Times New Roman"/>
          <w:b/>
          <w:kern w:val="2"/>
          <w:sz w:val="24"/>
          <w:szCs w:val="24"/>
          <w:lang w:val="en-US" w:eastAsia="zh-CN"/>
        </w:rPr>
        <w:t>13 Suppl 2</w:t>
      </w:r>
      <w:r w:rsidRPr="005605FF">
        <w:rPr>
          <w:rFonts w:ascii="Book Antiqua" w:eastAsia="宋体" w:hAnsi="Book Antiqua" w:cs="Times New Roman"/>
          <w:kern w:val="2"/>
          <w:sz w:val="24"/>
          <w:szCs w:val="24"/>
          <w:lang w:val="en-US" w:eastAsia="zh-CN"/>
        </w:rPr>
        <w:t>: S40 [PMID: 24266895 DOI: 10.1186/1471-2482-13-S2-S40]</w:t>
      </w:r>
    </w:p>
    <w:p w14:paraId="7E84BAD5"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45 </w:t>
      </w:r>
      <w:proofErr w:type="spellStart"/>
      <w:r w:rsidRPr="005605FF">
        <w:rPr>
          <w:rFonts w:ascii="Book Antiqua" w:eastAsia="宋体" w:hAnsi="Book Antiqua" w:cs="Times New Roman"/>
          <w:b/>
          <w:kern w:val="2"/>
          <w:sz w:val="24"/>
          <w:szCs w:val="24"/>
          <w:lang w:val="en-US" w:eastAsia="zh-CN"/>
        </w:rPr>
        <w:t>Belosic</w:t>
      </w:r>
      <w:proofErr w:type="spellEnd"/>
      <w:r w:rsidRPr="005605FF">
        <w:rPr>
          <w:rFonts w:ascii="Book Antiqua" w:eastAsia="宋体" w:hAnsi="Book Antiqua" w:cs="Times New Roman"/>
          <w:b/>
          <w:kern w:val="2"/>
          <w:sz w:val="24"/>
          <w:szCs w:val="24"/>
          <w:lang w:val="en-US" w:eastAsia="zh-CN"/>
        </w:rPr>
        <w:t xml:space="preserve"> Halle Z</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Vlainic</w:t>
      </w:r>
      <w:proofErr w:type="spellEnd"/>
      <w:r w:rsidRPr="005605FF">
        <w:rPr>
          <w:rFonts w:ascii="Book Antiqua" w:eastAsia="宋体" w:hAnsi="Book Antiqua" w:cs="Times New Roman"/>
          <w:kern w:val="2"/>
          <w:sz w:val="24"/>
          <w:szCs w:val="24"/>
          <w:lang w:val="en-US" w:eastAsia="zh-CN"/>
        </w:rPr>
        <w:t xml:space="preserve"> J, </w:t>
      </w:r>
      <w:proofErr w:type="spellStart"/>
      <w:r w:rsidRPr="005605FF">
        <w:rPr>
          <w:rFonts w:ascii="Book Antiqua" w:eastAsia="宋体" w:hAnsi="Book Antiqua" w:cs="Times New Roman"/>
          <w:kern w:val="2"/>
          <w:sz w:val="24"/>
          <w:szCs w:val="24"/>
          <w:lang w:val="en-US" w:eastAsia="zh-CN"/>
        </w:rPr>
        <w:t>Drmic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Strinic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Luetic</w:t>
      </w:r>
      <w:proofErr w:type="spellEnd"/>
      <w:r w:rsidRPr="005605FF">
        <w:rPr>
          <w:rFonts w:ascii="Book Antiqua" w:eastAsia="宋体" w:hAnsi="Book Antiqua" w:cs="Times New Roman"/>
          <w:kern w:val="2"/>
          <w:sz w:val="24"/>
          <w:szCs w:val="24"/>
          <w:lang w:val="en-US" w:eastAsia="zh-CN"/>
        </w:rPr>
        <w:t xml:space="preserve"> K, </w:t>
      </w:r>
      <w:proofErr w:type="spellStart"/>
      <w:r w:rsidRPr="005605FF">
        <w:rPr>
          <w:rFonts w:ascii="Book Antiqua" w:eastAsia="宋体" w:hAnsi="Book Antiqua" w:cs="Times New Roman"/>
          <w:kern w:val="2"/>
          <w:sz w:val="24"/>
          <w:szCs w:val="24"/>
          <w:lang w:val="en-US" w:eastAsia="zh-CN"/>
        </w:rPr>
        <w:t>Sucic</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Medvidovic-Grubisic</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Pavelic</w:t>
      </w:r>
      <w:proofErr w:type="spellEnd"/>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Turudic</w:t>
      </w:r>
      <w:proofErr w:type="spellEnd"/>
      <w:r w:rsidRPr="005605FF">
        <w:rPr>
          <w:rFonts w:ascii="Book Antiqua" w:eastAsia="宋体" w:hAnsi="Book Antiqua" w:cs="Times New Roman"/>
          <w:kern w:val="2"/>
          <w:sz w:val="24"/>
          <w:szCs w:val="24"/>
          <w:lang w:val="en-US" w:eastAsia="zh-CN"/>
        </w:rPr>
        <w:t xml:space="preserve"> T, </w:t>
      </w:r>
      <w:proofErr w:type="spellStart"/>
      <w:r w:rsidRPr="005605FF">
        <w:rPr>
          <w:rFonts w:ascii="Book Antiqua" w:eastAsia="宋体" w:hAnsi="Book Antiqua" w:cs="Times New Roman"/>
          <w:kern w:val="2"/>
          <w:sz w:val="24"/>
          <w:szCs w:val="24"/>
          <w:lang w:val="en-US" w:eastAsia="zh-CN"/>
        </w:rPr>
        <w:t>Petrovic</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Sikiric</w:t>
      </w:r>
      <w:proofErr w:type="spellEnd"/>
      <w:r w:rsidRPr="005605FF">
        <w:rPr>
          <w:rFonts w:ascii="Book Antiqua" w:eastAsia="宋体" w:hAnsi="Book Antiqua" w:cs="Times New Roman"/>
          <w:kern w:val="2"/>
          <w:sz w:val="24"/>
          <w:szCs w:val="24"/>
          <w:lang w:val="en-US" w:eastAsia="zh-CN"/>
        </w:rPr>
        <w:t xml:space="preserve"> P. Class side effects: decreased pressure in the lower </w:t>
      </w:r>
      <w:proofErr w:type="spellStart"/>
      <w:r w:rsidRPr="005605FF">
        <w:rPr>
          <w:rFonts w:ascii="Book Antiqua" w:eastAsia="宋体" w:hAnsi="Book Antiqua" w:cs="Times New Roman"/>
          <w:kern w:val="2"/>
          <w:sz w:val="24"/>
          <w:szCs w:val="24"/>
          <w:lang w:val="en-US" w:eastAsia="zh-CN"/>
        </w:rPr>
        <w:t>oesophageal</w:t>
      </w:r>
      <w:proofErr w:type="spellEnd"/>
      <w:r w:rsidRPr="005605FF">
        <w:rPr>
          <w:rFonts w:ascii="Book Antiqua" w:eastAsia="宋体" w:hAnsi="Book Antiqua" w:cs="Times New Roman"/>
          <w:kern w:val="2"/>
          <w:sz w:val="24"/>
          <w:szCs w:val="24"/>
          <w:lang w:val="en-US" w:eastAsia="zh-CN"/>
        </w:rPr>
        <w:t xml:space="preserve"> and the pyloric sphincters after the administration of dopamine antagonists, neuroleptics, anti-emetics, L-NAME,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and L-arginine. </w:t>
      </w:r>
      <w:proofErr w:type="spellStart"/>
      <w:r w:rsidRPr="005605FF">
        <w:rPr>
          <w:rFonts w:ascii="Book Antiqua" w:eastAsia="宋体" w:hAnsi="Book Antiqua" w:cs="Times New Roman"/>
          <w:i/>
          <w:kern w:val="2"/>
          <w:sz w:val="24"/>
          <w:szCs w:val="24"/>
          <w:lang w:val="en-US" w:eastAsia="zh-CN"/>
        </w:rPr>
        <w:t>Inflammopharmacology</w:t>
      </w:r>
      <w:proofErr w:type="spellEnd"/>
      <w:r w:rsidRPr="005605FF">
        <w:rPr>
          <w:rFonts w:ascii="Book Antiqua" w:eastAsia="宋体" w:hAnsi="Book Antiqua" w:cs="Times New Roman"/>
          <w:kern w:val="2"/>
          <w:sz w:val="24"/>
          <w:szCs w:val="24"/>
          <w:lang w:val="en-US" w:eastAsia="zh-CN"/>
        </w:rPr>
        <w:t xml:space="preserve"> 2017; </w:t>
      </w:r>
      <w:proofErr w:type="spellStart"/>
      <w:r w:rsidRPr="005605FF">
        <w:rPr>
          <w:rFonts w:ascii="Book Antiqua" w:eastAsia="宋体" w:hAnsi="Book Antiqua" w:cs="Times New Roman"/>
          <w:kern w:val="2"/>
          <w:sz w:val="24"/>
          <w:szCs w:val="24"/>
          <w:lang w:val="en-US" w:eastAsia="zh-CN"/>
        </w:rPr>
        <w:t>Epub</w:t>
      </w:r>
      <w:proofErr w:type="spellEnd"/>
      <w:r w:rsidRPr="005605FF">
        <w:rPr>
          <w:rFonts w:ascii="Book Antiqua" w:eastAsia="宋体" w:hAnsi="Book Antiqua" w:cs="Times New Roman"/>
          <w:kern w:val="2"/>
          <w:sz w:val="24"/>
          <w:szCs w:val="24"/>
          <w:lang w:val="en-US" w:eastAsia="zh-CN"/>
        </w:rPr>
        <w:t xml:space="preserve"> ahead of print [PMID: 28516373 DOI: 10.1007/s10787-017-0358-8]</w:t>
      </w:r>
    </w:p>
    <w:p w14:paraId="450068C0"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46 </w:t>
      </w:r>
      <w:proofErr w:type="spellStart"/>
      <w:r w:rsidRPr="005605FF">
        <w:rPr>
          <w:rFonts w:ascii="Book Antiqua" w:eastAsia="宋体" w:hAnsi="Book Antiqua" w:cs="Times New Roman"/>
          <w:b/>
          <w:kern w:val="2"/>
          <w:sz w:val="24"/>
          <w:szCs w:val="24"/>
          <w:lang w:val="en-US" w:eastAsia="zh-CN"/>
        </w:rPr>
        <w:t>Ilic</w:t>
      </w:r>
      <w:proofErr w:type="spellEnd"/>
      <w:r w:rsidRPr="005605FF">
        <w:rPr>
          <w:rFonts w:ascii="Book Antiqua" w:eastAsia="宋体" w:hAnsi="Book Antiqua" w:cs="Times New Roman"/>
          <w:b/>
          <w:kern w:val="2"/>
          <w:sz w:val="24"/>
          <w:szCs w:val="24"/>
          <w:lang w:val="en-US" w:eastAsia="zh-CN"/>
        </w:rPr>
        <w:t xml:space="preserve"> S</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Drmic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Zarkovic</w:t>
      </w:r>
      <w:proofErr w:type="spellEnd"/>
      <w:r w:rsidRPr="005605FF">
        <w:rPr>
          <w:rFonts w:ascii="Book Antiqua" w:eastAsia="宋体" w:hAnsi="Book Antiqua" w:cs="Times New Roman"/>
          <w:kern w:val="2"/>
          <w:sz w:val="24"/>
          <w:szCs w:val="24"/>
          <w:lang w:val="en-US" w:eastAsia="zh-CN"/>
        </w:rPr>
        <w:t xml:space="preserve"> K, </w:t>
      </w:r>
      <w:proofErr w:type="spellStart"/>
      <w:r w:rsidRPr="005605FF">
        <w:rPr>
          <w:rFonts w:ascii="Book Antiqua" w:eastAsia="宋体" w:hAnsi="Book Antiqua" w:cs="Times New Roman"/>
          <w:kern w:val="2"/>
          <w:sz w:val="24"/>
          <w:szCs w:val="24"/>
          <w:lang w:val="en-US" w:eastAsia="zh-CN"/>
        </w:rPr>
        <w:t>Kolenc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Coric</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Brcic</w:t>
      </w:r>
      <w:proofErr w:type="spellEnd"/>
      <w:r w:rsidRPr="005605FF">
        <w:rPr>
          <w:rFonts w:ascii="Book Antiqua" w:eastAsia="宋体" w:hAnsi="Book Antiqua" w:cs="Times New Roman"/>
          <w:kern w:val="2"/>
          <w:sz w:val="24"/>
          <w:szCs w:val="24"/>
          <w:lang w:val="en-US" w:eastAsia="zh-CN"/>
        </w:rPr>
        <w:t xml:space="preserve"> L, </w:t>
      </w:r>
      <w:proofErr w:type="spellStart"/>
      <w:r w:rsidRPr="005605FF">
        <w:rPr>
          <w:rFonts w:ascii="Book Antiqua" w:eastAsia="宋体" w:hAnsi="Book Antiqua" w:cs="Times New Roman"/>
          <w:kern w:val="2"/>
          <w:sz w:val="24"/>
          <w:szCs w:val="24"/>
          <w:lang w:val="en-US" w:eastAsia="zh-CN"/>
        </w:rPr>
        <w:t>Klicek</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Radic</w:t>
      </w:r>
      <w:proofErr w:type="spellEnd"/>
      <w:r w:rsidRPr="005605FF">
        <w:rPr>
          <w:rFonts w:ascii="Book Antiqua" w:eastAsia="宋体" w:hAnsi="Book Antiqua" w:cs="Times New Roman"/>
          <w:kern w:val="2"/>
          <w:sz w:val="24"/>
          <w:szCs w:val="24"/>
          <w:lang w:val="en-US" w:eastAsia="zh-CN"/>
        </w:rPr>
        <w:t xml:space="preserve"> B, Sever M, </w:t>
      </w:r>
      <w:proofErr w:type="spellStart"/>
      <w:r w:rsidRPr="005605FF">
        <w:rPr>
          <w:rFonts w:ascii="Book Antiqua" w:eastAsia="宋体" w:hAnsi="Book Antiqua" w:cs="Times New Roman"/>
          <w:kern w:val="2"/>
          <w:sz w:val="24"/>
          <w:szCs w:val="24"/>
          <w:lang w:val="en-US" w:eastAsia="zh-CN"/>
        </w:rPr>
        <w:t>Djuzel</w:t>
      </w:r>
      <w:proofErr w:type="spellEnd"/>
      <w:r w:rsidRPr="005605FF">
        <w:rPr>
          <w:rFonts w:ascii="Book Antiqua" w:eastAsia="宋体" w:hAnsi="Book Antiqua" w:cs="Times New Roman"/>
          <w:kern w:val="2"/>
          <w:sz w:val="24"/>
          <w:szCs w:val="24"/>
          <w:lang w:val="en-US" w:eastAsia="zh-CN"/>
        </w:rPr>
        <w:t xml:space="preserve"> V, </w:t>
      </w:r>
      <w:proofErr w:type="spellStart"/>
      <w:r w:rsidRPr="005605FF">
        <w:rPr>
          <w:rFonts w:ascii="Book Antiqua" w:eastAsia="宋体" w:hAnsi="Book Antiqua" w:cs="Times New Roman"/>
          <w:kern w:val="2"/>
          <w:sz w:val="24"/>
          <w:szCs w:val="24"/>
          <w:lang w:val="en-US" w:eastAsia="zh-CN"/>
        </w:rPr>
        <w:t>Ivica</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Boban</w:t>
      </w:r>
      <w:proofErr w:type="spellEnd"/>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Blagaic</w:t>
      </w:r>
      <w:proofErr w:type="spellEnd"/>
      <w:r w:rsidRPr="005605FF">
        <w:rPr>
          <w:rFonts w:ascii="Book Antiqua" w:eastAsia="宋体" w:hAnsi="Book Antiqua" w:cs="Times New Roman"/>
          <w:kern w:val="2"/>
          <w:sz w:val="24"/>
          <w:szCs w:val="24"/>
          <w:lang w:val="en-US" w:eastAsia="zh-CN"/>
        </w:rPr>
        <w:t xml:space="preserve"> A, </w:t>
      </w:r>
      <w:proofErr w:type="spellStart"/>
      <w:r w:rsidRPr="005605FF">
        <w:rPr>
          <w:rFonts w:ascii="Book Antiqua" w:eastAsia="宋体" w:hAnsi="Book Antiqua" w:cs="Times New Roman"/>
          <w:kern w:val="2"/>
          <w:sz w:val="24"/>
          <w:szCs w:val="24"/>
          <w:lang w:val="en-US" w:eastAsia="zh-CN"/>
        </w:rPr>
        <w:t>Zoricic</w:t>
      </w:r>
      <w:proofErr w:type="spellEnd"/>
      <w:r w:rsidRPr="005605FF">
        <w:rPr>
          <w:rFonts w:ascii="Book Antiqua" w:eastAsia="宋体" w:hAnsi="Book Antiqua" w:cs="Times New Roman"/>
          <w:kern w:val="2"/>
          <w:sz w:val="24"/>
          <w:szCs w:val="24"/>
          <w:lang w:val="en-US" w:eastAsia="zh-CN"/>
        </w:rPr>
        <w:t xml:space="preserve"> Z, </w:t>
      </w:r>
      <w:proofErr w:type="spellStart"/>
      <w:r w:rsidRPr="005605FF">
        <w:rPr>
          <w:rFonts w:ascii="Book Antiqua" w:eastAsia="宋体" w:hAnsi="Book Antiqua" w:cs="Times New Roman"/>
          <w:kern w:val="2"/>
          <w:sz w:val="24"/>
          <w:szCs w:val="24"/>
          <w:lang w:val="en-US" w:eastAsia="zh-CN"/>
        </w:rPr>
        <w:t>Anic</w:t>
      </w:r>
      <w:proofErr w:type="spellEnd"/>
      <w:r w:rsidRPr="005605FF">
        <w:rPr>
          <w:rFonts w:ascii="Book Antiqua" w:eastAsia="宋体" w:hAnsi="Book Antiqua" w:cs="Times New Roman"/>
          <w:kern w:val="2"/>
          <w:sz w:val="24"/>
          <w:szCs w:val="24"/>
          <w:lang w:val="en-US" w:eastAsia="zh-CN"/>
        </w:rPr>
        <w:t xml:space="preserve"> T, </w:t>
      </w:r>
      <w:proofErr w:type="spellStart"/>
      <w:r w:rsidRPr="005605FF">
        <w:rPr>
          <w:rFonts w:ascii="Book Antiqua" w:eastAsia="宋体" w:hAnsi="Book Antiqua" w:cs="Times New Roman"/>
          <w:kern w:val="2"/>
          <w:sz w:val="24"/>
          <w:szCs w:val="24"/>
          <w:lang w:val="en-US" w:eastAsia="zh-CN"/>
        </w:rPr>
        <w:t>Zoricic</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Djidic</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Romic</w:t>
      </w:r>
      <w:proofErr w:type="spellEnd"/>
      <w:r w:rsidRPr="005605FF">
        <w:rPr>
          <w:rFonts w:ascii="Book Antiqua" w:eastAsia="宋体" w:hAnsi="Book Antiqua" w:cs="Times New Roman"/>
          <w:kern w:val="2"/>
          <w:sz w:val="24"/>
          <w:szCs w:val="24"/>
          <w:lang w:val="en-US" w:eastAsia="zh-CN"/>
        </w:rPr>
        <w:t xml:space="preserve"> Z,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Sikiric</w:t>
      </w:r>
      <w:proofErr w:type="spellEnd"/>
      <w:r w:rsidRPr="005605FF">
        <w:rPr>
          <w:rFonts w:ascii="Book Antiqua" w:eastAsia="宋体" w:hAnsi="Book Antiqua" w:cs="Times New Roman"/>
          <w:kern w:val="2"/>
          <w:sz w:val="24"/>
          <w:szCs w:val="24"/>
          <w:lang w:val="en-US" w:eastAsia="zh-CN"/>
        </w:rPr>
        <w:t xml:space="preserve"> P. High hepatotoxic dose of paracetamol produces generalized convulsions and brain damage in rats. A counteraction with the stable gastric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(PL 14736). </w:t>
      </w:r>
      <w:r w:rsidRPr="005605FF">
        <w:rPr>
          <w:rFonts w:ascii="Book Antiqua" w:eastAsia="宋体" w:hAnsi="Book Antiqua" w:cs="Times New Roman"/>
          <w:i/>
          <w:kern w:val="2"/>
          <w:sz w:val="24"/>
          <w:szCs w:val="24"/>
          <w:lang w:val="en-US" w:eastAsia="zh-CN"/>
        </w:rPr>
        <w:t xml:space="preserve">J </w:t>
      </w:r>
      <w:proofErr w:type="spellStart"/>
      <w:r w:rsidRPr="005605FF">
        <w:rPr>
          <w:rFonts w:ascii="Book Antiqua" w:eastAsia="宋体" w:hAnsi="Book Antiqua" w:cs="Times New Roman"/>
          <w:i/>
          <w:kern w:val="2"/>
          <w:sz w:val="24"/>
          <w:szCs w:val="24"/>
          <w:lang w:val="en-US" w:eastAsia="zh-CN"/>
        </w:rPr>
        <w:t>Physiol</w:t>
      </w:r>
      <w:proofErr w:type="spellEnd"/>
      <w:r w:rsidRPr="005605FF">
        <w:rPr>
          <w:rFonts w:ascii="Book Antiqua" w:eastAsia="宋体" w:hAnsi="Book Antiqua" w:cs="Times New Roman"/>
          <w:i/>
          <w:kern w:val="2"/>
          <w:sz w:val="24"/>
          <w:szCs w:val="24"/>
          <w:lang w:val="en-US" w:eastAsia="zh-CN"/>
        </w:rPr>
        <w:t xml:space="preserve"> </w:t>
      </w:r>
      <w:proofErr w:type="spellStart"/>
      <w:r w:rsidRPr="005605FF">
        <w:rPr>
          <w:rFonts w:ascii="Book Antiqua" w:eastAsia="宋体" w:hAnsi="Book Antiqua" w:cs="Times New Roman"/>
          <w:i/>
          <w:kern w:val="2"/>
          <w:sz w:val="24"/>
          <w:szCs w:val="24"/>
          <w:lang w:val="en-US" w:eastAsia="zh-CN"/>
        </w:rPr>
        <w:t>Pharmacol</w:t>
      </w:r>
      <w:proofErr w:type="spellEnd"/>
      <w:r w:rsidRPr="005605FF">
        <w:rPr>
          <w:rFonts w:ascii="Book Antiqua" w:eastAsia="宋体" w:hAnsi="Book Antiqua" w:cs="Times New Roman"/>
          <w:kern w:val="2"/>
          <w:sz w:val="24"/>
          <w:szCs w:val="24"/>
          <w:lang w:val="en-US" w:eastAsia="zh-CN"/>
        </w:rPr>
        <w:t xml:space="preserve"> 2010; </w:t>
      </w:r>
      <w:r w:rsidRPr="005605FF">
        <w:rPr>
          <w:rFonts w:ascii="Book Antiqua" w:eastAsia="宋体" w:hAnsi="Book Antiqua" w:cs="Times New Roman"/>
          <w:b/>
          <w:kern w:val="2"/>
          <w:sz w:val="24"/>
          <w:szCs w:val="24"/>
          <w:lang w:val="en-US" w:eastAsia="zh-CN"/>
        </w:rPr>
        <w:t>61</w:t>
      </w:r>
      <w:r w:rsidRPr="005605FF">
        <w:rPr>
          <w:rFonts w:ascii="Book Antiqua" w:eastAsia="宋体" w:hAnsi="Book Antiqua" w:cs="Times New Roman"/>
          <w:kern w:val="2"/>
          <w:sz w:val="24"/>
          <w:szCs w:val="24"/>
          <w:lang w:val="en-US" w:eastAsia="zh-CN"/>
        </w:rPr>
        <w:t>: 241-250 [PMID: 20436226]</w:t>
      </w:r>
    </w:p>
    <w:p w14:paraId="3BBF72D4"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47 </w:t>
      </w:r>
      <w:proofErr w:type="spellStart"/>
      <w:r w:rsidRPr="005605FF">
        <w:rPr>
          <w:rFonts w:ascii="Book Antiqua" w:eastAsia="宋体" w:hAnsi="Book Antiqua" w:cs="Times New Roman"/>
          <w:b/>
          <w:kern w:val="2"/>
          <w:sz w:val="24"/>
          <w:szCs w:val="24"/>
          <w:lang w:val="en-US" w:eastAsia="zh-CN"/>
        </w:rPr>
        <w:t>Luetic</w:t>
      </w:r>
      <w:proofErr w:type="spellEnd"/>
      <w:r w:rsidRPr="005605FF">
        <w:rPr>
          <w:rFonts w:ascii="Book Antiqua" w:eastAsia="宋体" w:hAnsi="Book Antiqua" w:cs="Times New Roman"/>
          <w:b/>
          <w:kern w:val="2"/>
          <w:sz w:val="24"/>
          <w:szCs w:val="24"/>
          <w:lang w:val="en-US" w:eastAsia="zh-CN"/>
        </w:rPr>
        <w:t xml:space="preserve"> K</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Sucic</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Vlainic</w:t>
      </w:r>
      <w:proofErr w:type="spellEnd"/>
      <w:r w:rsidRPr="005605FF">
        <w:rPr>
          <w:rFonts w:ascii="Book Antiqua" w:eastAsia="宋体" w:hAnsi="Book Antiqua" w:cs="Times New Roman"/>
          <w:kern w:val="2"/>
          <w:sz w:val="24"/>
          <w:szCs w:val="24"/>
          <w:lang w:val="en-US" w:eastAsia="zh-CN"/>
        </w:rPr>
        <w:t xml:space="preserve"> J, Halle ZB, </w:t>
      </w:r>
      <w:proofErr w:type="spellStart"/>
      <w:r w:rsidRPr="005605FF">
        <w:rPr>
          <w:rFonts w:ascii="Book Antiqua" w:eastAsia="宋体" w:hAnsi="Book Antiqua" w:cs="Times New Roman"/>
          <w:kern w:val="2"/>
          <w:sz w:val="24"/>
          <w:szCs w:val="24"/>
          <w:lang w:val="en-US" w:eastAsia="zh-CN"/>
        </w:rPr>
        <w:t>Strinic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Vidovic</w:t>
      </w:r>
      <w:proofErr w:type="spellEnd"/>
      <w:r w:rsidRPr="005605FF">
        <w:rPr>
          <w:rFonts w:ascii="Book Antiqua" w:eastAsia="宋体" w:hAnsi="Book Antiqua" w:cs="Times New Roman"/>
          <w:kern w:val="2"/>
          <w:sz w:val="24"/>
          <w:szCs w:val="24"/>
          <w:lang w:val="en-US" w:eastAsia="zh-CN"/>
        </w:rPr>
        <w:t xml:space="preserve"> T, </w:t>
      </w:r>
      <w:proofErr w:type="spellStart"/>
      <w:r w:rsidRPr="005605FF">
        <w:rPr>
          <w:rFonts w:ascii="Book Antiqua" w:eastAsia="宋体" w:hAnsi="Book Antiqua" w:cs="Times New Roman"/>
          <w:kern w:val="2"/>
          <w:sz w:val="24"/>
          <w:szCs w:val="24"/>
          <w:lang w:val="en-US" w:eastAsia="zh-CN"/>
        </w:rPr>
        <w:t>Luetic</w:t>
      </w:r>
      <w:proofErr w:type="spellEnd"/>
      <w:r w:rsidRPr="005605FF">
        <w:rPr>
          <w:rFonts w:ascii="Book Antiqua" w:eastAsia="宋体" w:hAnsi="Book Antiqua" w:cs="Times New Roman"/>
          <w:kern w:val="2"/>
          <w:sz w:val="24"/>
          <w:szCs w:val="24"/>
          <w:lang w:val="en-US" w:eastAsia="zh-CN"/>
        </w:rPr>
        <w:t xml:space="preserve"> F, </w:t>
      </w:r>
      <w:proofErr w:type="spellStart"/>
      <w:r w:rsidRPr="005605FF">
        <w:rPr>
          <w:rFonts w:ascii="Book Antiqua" w:eastAsia="宋体" w:hAnsi="Book Antiqua" w:cs="Times New Roman"/>
          <w:kern w:val="2"/>
          <w:sz w:val="24"/>
          <w:szCs w:val="24"/>
          <w:lang w:val="en-US" w:eastAsia="zh-CN"/>
        </w:rPr>
        <w:t>Marusic</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Gulic</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Pavelic</w:t>
      </w:r>
      <w:proofErr w:type="spellEnd"/>
      <w:r w:rsidRPr="005605FF">
        <w:rPr>
          <w:rFonts w:ascii="Book Antiqua" w:eastAsia="宋体" w:hAnsi="Book Antiqua" w:cs="Times New Roman"/>
          <w:kern w:val="2"/>
          <w:sz w:val="24"/>
          <w:szCs w:val="24"/>
          <w:lang w:val="en-US" w:eastAsia="zh-CN"/>
        </w:rPr>
        <w:t xml:space="preserve"> TT, </w:t>
      </w:r>
      <w:proofErr w:type="spellStart"/>
      <w:r w:rsidRPr="005605FF">
        <w:rPr>
          <w:rFonts w:ascii="Book Antiqua" w:eastAsia="宋体" w:hAnsi="Book Antiqua" w:cs="Times New Roman"/>
          <w:kern w:val="2"/>
          <w:sz w:val="24"/>
          <w:szCs w:val="24"/>
          <w:lang w:val="en-US" w:eastAsia="zh-CN"/>
        </w:rPr>
        <w:t>Kokot</w:t>
      </w:r>
      <w:proofErr w:type="spellEnd"/>
      <w:r w:rsidRPr="005605FF">
        <w:rPr>
          <w:rFonts w:ascii="Book Antiqua" w:eastAsia="宋体" w:hAnsi="Book Antiqua" w:cs="Times New Roman"/>
          <w:kern w:val="2"/>
          <w:sz w:val="24"/>
          <w:szCs w:val="24"/>
          <w:lang w:val="en-US" w:eastAsia="zh-CN"/>
        </w:rPr>
        <w:t xml:space="preserve"> A,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RS, </w:t>
      </w:r>
      <w:proofErr w:type="spellStart"/>
      <w:r w:rsidRPr="005605FF">
        <w:rPr>
          <w:rFonts w:ascii="Book Antiqua" w:eastAsia="宋体" w:hAnsi="Book Antiqua" w:cs="Times New Roman"/>
          <w:kern w:val="2"/>
          <w:sz w:val="24"/>
          <w:szCs w:val="24"/>
          <w:lang w:val="en-US" w:eastAsia="zh-CN"/>
        </w:rPr>
        <w:t>Drmic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Batelja</w:t>
      </w:r>
      <w:proofErr w:type="spellEnd"/>
      <w:r w:rsidRPr="005605FF">
        <w:rPr>
          <w:rFonts w:ascii="Book Antiqua" w:eastAsia="宋体" w:hAnsi="Book Antiqua" w:cs="Times New Roman"/>
          <w:kern w:val="2"/>
          <w:sz w:val="24"/>
          <w:szCs w:val="24"/>
          <w:lang w:val="en-US" w:eastAsia="zh-CN"/>
        </w:rPr>
        <w:t xml:space="preserve"> L,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Sikiric</w:t>
      </w:r>
      <w:proofErr w:type="spellEnd"/>
      <w:r w:rsidRPr="005605FF">
        <w:rPr>
          <w:rFonts w:ascii="Book Antiqua" w:eastAsia="宋体" w:hAnsi="Book Antiqua" w:cs="Times New Roman"/>
          <w:kern w:val="2"/>
          <w:sz w:val="24"/>
          <w:szCs w:val="24"/>
          <w:lang w:val="en-US" w:eastAsia="zh-CN"/>
        </w:rPr>
        <w:t xml:space="preserve"> P. Cyclophosphamide induced stomach and duodenal lesions as a NO-system disturbance in rats: L-NAME, L-arginine, stable gastric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w:t>
      </w:r>
      <w:proofErr w:type="spellStart"/>
      <w:r w:rsidRPr="005605FF">
        <w:rPr>
          <w:rFonts w:ascii="Book Antiqua" w:eastAsia="宋体" w:hAnsi="Book Antiqua" w:cs="Times New Roman"/>
          <w:i/>
          <w:kern w:val="2"/>
          <w:sz w:val="24"/>
          <w:szCs w:val="24"/>
          <w:lang w:val="en-US" w:eastAsia="zh-CN"/>
        </w:rPr>
        <w:t>Inflammopharmacology</w:t>
      </w:r>
      <w:proofErr w:type="spellEnd"/>
      <w:r w:rsidRPr="005605FF">
        <w:rPr>
          <w:rFonts w:ascii="Book Antiqua" w:eastAsia="宋体" w:hAnsi="Book Antiqua" w:cs="Times New Roman"/>
          <w:kern w:val="2"/>
          <w:sz w:val="24"/>
          <w:szCs w:val="24"/>
          <w:lang w:val="en-US" w:eastAsia="zh-CN"/>
        </w:rPr>
        <w:t xml:space="preserve"> 2017; </w:t>
      </w:r>
      <w:r w:rsidRPr="005605FF">
        <w:rPr>
          <w:rFonts w:ascii="Book Antiqua" w:eastAsia="宋体" w:hAnsi="Book Antiqua" w:cs="Times New Roman"/>
          <w:b/>
          <w:kern w:val="2"/>
          <w:sz w:val="24"/>
          <w:szCs w:val="24"/>
          <w:lang w:val="en-US" w:eastAsia="zh-CN"/>
        </w:rPr>
        <w:t>25</w:t>
      </w:r>
      <w:r w:rsidRPr="005605FF">
        <w:rPr>
          <w:rFonts w:ascii="Book Antiqua" w:eastAsia="宋体" w:hAnsi="Book Antiqua" w:cs="Times New Roman"/>
          <w:kern w:val="2"/>
          <w:sz w:val="24"/>
          <w:szCs w:val="24"/>
          <w:lang w:val="en-US" w:eastAsia="zh-CN"/>
        </w:rPr>
        <w:t>: 255-264 [PMID: 28255738 DOI: 10.1007/s10787-017-0330-7]</w:t>
      </w:r>
    </w:p>
    <w:p w14:paraId="3AA50A21"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48 </w:t>
      </w:r>
      <w:proofErr w:type="spellStart"/>
      <w:r w:rsidRPr="005605FF">
        <w:rPr>
          <w:rFonts w:ascii="Book Antiqua" w:eastAsia="宋体" w:hAnsi="Book Antiqua" w:cs="Times New Roman"/>
          <w:b/>
          <w:kern w:val="2"/>
          <w:sz w:val="24"/>
          <w:szCs w:val="24"/>
          <w:lang w:val="en-US" w:eastAsia="zh-CN"/>
        </w:rPr>
        <w:t>Sikiric</w:t>
      </w:r>
      <w:proofErr w:type="spellEnd"/>
      <w:r w:rsidRPr="005605FF">
        <w:rPr>
          <w:rFonts w:ascii="Book Antiqua" w:eastAsia="宋体" w:hAnsi="Book Antiqua" w:cs="Times New Roman"/>
          <w:b/>
          <w:kern w:val="2"/>
          <w:sz w:val="24"/>
          <w:szCs w:val="24"/>
          <w:lang w:val="en-US" w:eastAsia="zh-CN"/>
        </w:rPr>
        <w:t xml:space="preserve"> P</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Grabarevic</w:t>
      </w:r>
      <w:proofErr w:type="spellEnd"/>
      <w:r w:rsidRPr="005605FF">
        <w:rPr>
          <w:rFonts w:ascii="Book Antiqua" w:eastAsia="宋体" w:hAnsi="Book Antiqua" w:cs="Times New Roman"/>
          <w:kern w:val="2"/>
          <w:sz w:val="24"/>
          <w:szCs w:val="24"/>
          <w:lang w:val="en-US" w:eastAsia="zh-CN"/>
        </w:rPr>
        <w:t xml:space="preserve"> Z, </w:t>
      </w:r>
      <w:proofErr w:type="spellStart"/>
      <w:r w:rsidRPr="005605FF">
        <w:rPr>
          <w:rFonts w:ascii="Book Antiqua" w:eastAsia="宋体" w:hAnsi="Book Antiqua" w:cs="Times New Roman"/>
          <w:kern w:val="2"/>
          <w:sz w:val="24"/>
          <w:szCs w:val="24"/>
          <w:lang w:val="en-US" w:eastAsia="zh-CN"/>
        </w:rPr>
        <w:t>Rucman</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Petek</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Rotkvic</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Turkovic</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Jagic</w:t>
      </w:r>
      <w:proofErr w:type="spellEnd"/>
      <w:r w:rsidRPr="005605FF">
        <w:rPr>
          <w:rFonts w:ascii="Book Antiqua" w:eastAsia="宋体" w:hAnsi="Book Antiqua" w:cs="Times New Roman"/>
          <w:kern w:val="2"/>
          <w:sz w:val="24"/>
          <w:szCs w:val="24"/>
          <w:lang w:val="en-US" w:eastAsia="zh-CN"/>
        </w:rPr>
        <w:t xml:space="preserve"> V, </w:t>
      </w:r>
      <w:proofErr w:type="spellStart"/>
      <w:r w:rsidRPr="005605FF">
        <w:rPr>
          <w:rFonts w:ascii="Book Antiqua" w:eastAsia="宋体" w:hAnsi="Book Antiqua" w:cs="Times New Roman"/>
          <w:kern w:val="2"/>
          <w:sz w:val="24"/>
          <w:szCs w:val="24"/>
          <w:lang w:val="en-US" w:eastAsia="zh-CN"/>
        </w:rPr>
        <w:t>Mildner</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Duvnjak</w:t>
      </w:r>
      <w:proofErr w:type="spellEnd"/>
      <w:r w:rsidRPr="005605FF">
        <w:rPr>
          <w:rFonts w:ascii="Book Antiqua" w:eastAsia="宋体" w:hAnsi="Book Antiqua" w:cs="Times New Roman"/>
          <w:kern w:val="2"/>
          <w:sz w:val="24"/>
          <w:szCs w:val="24"/>
          <w:lang w:val="en-US" w:eastAsia="zh-CN"/>
        </w:rPr>
        <w:t xml:space="preserve"> M. Hepatoprotective effect of BPC 157, a 15-amino acid peptide, on liver lesions induced by either restraint stress or bile duct and hepatic artery ligation or CCl4 administration. A comparative study with dopamine agonists and somatostatin. </w:t>
      </w:r>
      <w:r w:rsidRPr="005605FF">
        <w:rPr>
          <w:rFonts w:ascii="Book Antiqua" w:eastAsia="宋体" w:hAnsi="Book Antiqua" w:cs="Times New Roman"/>
          <w:i/>
          <w:kern w:val="2"/>
          <w:sz w:val="24"/>
          <w:szCs w:val="24"/>
          <w:lang w:val="en-US" w:eastAsia="zh-CN"/>
        </w:rPr>
        <w:t>Life Sci</w:t>
      </w:r>
      <w:r w:rsidRPr="005605FF">
        <w:rPr>
          <w:rFonts w:ascii="Book Antiqua" w:eastAsia="宋体" w:hAnsi="Book Antiqua" w:cs="Times New Roman"/>
          <w:kern w:val="2"/>
          <w:sz w:val="24"/>
          <w:szCs w:val="24"/>
          <w:lang w:val="en-US" w:eastAsia="zh-CN"/>
        </w:rPr>
        <w:t xml:space="preserve"> 1993; </w:t>
      </w:r>
      <w:r w:rsidRPr="005605FF">
        <w:rPr>
          <w:rFonts w:ascii="Book Antiqua" w:eastAsia="宋体" w:hAnsi="Book Antiqua" w:cs="Times New Roman"/>
          <w:b/>
          <w:kern w:val="2"/>
          <w:sz w:val="24"/>
          <w:szCs w:val="24"/>
          <w:lang w:val="en-US" w:eastAsia="zh-CN"/>
        </w:rPr>
        <w:t>53</w:t>
      </w:r>
      <w:r w:rsidRPr="005605FF">
        <w:rPr>
          <w:rFonts w:ascii="Book Antiqua" w:eastAsia="宋体" w:hAnsi="Book Antiqua" w:cs="Times New Roman"/>
          <w:kern w:val="2"/>
          <w:sz w:val="24"/>
          <w:szCs w:val="24"/>
          <w:lang w:val="en-US" w:eastAsia="zh-CN"/>
        </w:rPr>
        <w:t>: PL291-PL296 [PMID: 7901724]</w:t>
      </w:r>
    </w:p>
    <w:p w14:paraId="68826908"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49 </w:t>
      </w:r>
      <w:proofErr w:type="spellStart"/>
      <w:r w:rsidRPr="005605FF">
        <w:rPr>
          <w:rFonts w:ascii="Book Antiqua" w:eastAsia="宋体" w:hAnsi="Book Antiqua" w:cs="Times New Roman"/>
          <w:b/>
          <w:kern w:val="2"/>
          <w:sz w:val="24"/>
          <w:szCs w:val="24"/>
          <w:lang w:val="en-US" w:eastAsia="zh-CN"/>
        </w:rPr>
        <w:t>Brcic</w:t>
      </w:r>
      <w:proofErr w:type="spellEnd"/>
      <w:r w:rsidRPr="005605FF">
        <w:rPr>
          <w:rFonts w:ascii="Book Antiqua" w:eastAsia="宋体" w:hAnsi="Book Antiqua" w:cs="Times New Roman"/>
          <w:b/>
          <w:kern w:val="2"/>
          <w:sz w:val="24"/>
          <w:szCs w:val="24"/>
          <w:lang w:val="en-US" w:eastAsia="zh-CN"/>
        </w:rPr>
        <w:t xml:space="preserve"> L</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Brcic</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Staresinic</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Novinscak</w:t>
      </w:r>
      <w:proofErr w:type="spellEnd"/>
      <w:r w:rsidRPr="005605FF">
        <w:rPr>
          <w:rFonts w:ascii="Book Antiqua" w:eastAsia="宋体" w:hAnsi="Book Antiqua" w:cs="Times New Roman"/>
          <w:kern w:val="2"/>
          <w:sz w:val="24"/>
          <w:szCs w:val="24"/>
          <w:lang w:val="en-US" w:eastAsia="zh-CN"/>
        </w:rPr>
        <w:t xml:space="preserve"> T, </w:t>
      </w:r>
      <w:proofErr w:type="spellStart"/>
      <w:r w:rsidRPr="005605FF">
        <w:rPr>
          <w:rFonts w:ascii="Book Antiqua" w:eastAsia="宋体" w:hAnsi="Book Antiqua" w:cs="Times New Roman"/>
          <w:kern w:val="2"/>
          <w:sz w:val="24"/>
          <w:szCs w:val="24"/>
          <w:lang w:val="en-US" w:eastAsia="zh-CN"/>
        </w:rPr>
        <w:t>Sikiric</w:t>
      </w:r>
      <w:proofErr w:type="spellEnd"/>
      <w:r w:rsidRPr="005605FF">
        <w:rPr>
          <w:rFonts w:ascii="Book Antiqua" w:eastAsia="宋体" w:hAnsi="Book Antiqua" w:cs="Times New Roman"/>
          <w:kern w:val="2"/>
          <w:sz w:val="24"/>
          <w:szCs w:val="24"/>
          <w:lang w:val="en-US" w:eastAsia="zh-CN"/>
        </w:rPr>
        <w:t xml:space="preserve"> P,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Modulatory effect </w:t>
      </w:r>
      <w:r w:rsidRPr="005605FF">
        <w:rPr>
          <w:rFonts w:ascii="Book Antiqua" w:eastAsia="宋体" w:hAnsi="Book Antiqua" w:cs="Times New Roman"/>
          <w:kern w:val="2"/>
          <w:sz w:val="24"/>
          <w:szCs w:val="24"/>
          <w:lang w:val="en-US" w:eastAsia="zh-CN"/>
        </w:rPr>
        <w:lastRenderedPageBreak/>
        <w:t xml:space="preserve">of gastric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on angiogenesis in muscle and tendon healing. </w:t>
      </w:r>
      <w:r w:rsidRPr="005605FF">
        <w:rPr>
          <w:rFonts w:ascii="Book Antiqua" w:eastAsia="宋体" w:hAnsi="Book Antiqua" w:cs="Times New Roman"/>
          <w:i/>
          <w:kern w:val="2"/>
          <w:sz w:val="24"/>
          <w:szCs w:val="24"/>
          <w:lang w:val="en-US" w:eastAsia="zh-CN"/>
        </w:rPr>
        <w:t xml:space="preserve">J </w:t>
      </w:r>
      <w:proofErr w:type="spellStart"/>
      <w:r w:rsidRPr="005605FF">
        <w:rPr>
          <w:rFonts w:ascii="Book Antiqua" w:eastAsia="宋体" w:hAnsi="Book Antiqua" w:cs="Times New Roman"/>
          <w:i/>
          <w:kern w:val="2"/>
          <w:sz w:val="24"/>
          <w:szCs w:val="24"/>
          <w:lang w:val="en-US" w:eastAsia="zh-CN"/>
        </w:rPr>
        <w:t>Physiol</w:t>
      </w:r>
      <w:proofErr w:type="spellEnd"/>
      <w:r w:rsidRPr="005605FF">
        <w:rPr>
          <w:rFonts w:ascii="Book Antiqua" w:eastAsia="宋体" w:hAnsi="Book Antiqua" w:cs="Times New Roman"/>
          <w:i/>
          <w:kern w:val="2"/>
          <w:sz w:val="24"/>
          <w:szCs w:val="24"/>
          <w:lang w:val="en-US" w:eastAsia="zh-CN"/>
        </w:rPr>
        <w:t xml:space="preserve"> </w:t>
      </w:r>
      <w:proofErr w:type="spellStart"/>
      <w:r w:rsidRPr="005605FF">
        <w:rPr>
          <w:rFonts w:ascii="Book Antiqua" w:eastAsia="宋体" w:hAnsi="Book Antiqua" w:cs="Times New Roman"/>
          <w:i/>
          <w:kern w:val="2"/>
          <w:sz w:val="24"/>
          <w:szCs w:val="24"/>
          <w:lang w:val="en-US" w:eastAsia="zh-CN"/>
        </w:rPr>
        <w:t>Pharmacol</w:t>
      </w:r>
      <w:proofErr w:type="spellEnd"/>
      <w:r w:rsidRPr="005605FF">
        <w:rPr>
          <w:rFonts w:ascii="Book Antiqua" w:eastAsia="宋体" w:hAnsi="Book Antiqua" w:cs="Times New Roman"/>
          <w:kern w:val="2"/>
          <w:sz w:val="24"/>
          <w:szCs w:val="24"/>
          <w:lang w:val="en-US" w:eastAsia="zh-CN"/>
        </w:rPr>
        <w:t xml:space="preserve"> 2009; </w:t>
      </w:r>
      <w:r w:rsidRPr="005605FF">
        <w:rPr>
          <w:rFonts w:ascii="Book Antiqua" w:eastAsia="宋体" w:hAnsi="Book Antiqua" w:cs="Times New Roman"/>
          <w:b/>
          <w:kern w:val="2"/>
          <w:sz w:val="24"/>
          <w:szCs w:val="24"/>
          <w:lang w:val="en-US" w:eastAsia="zh-CN"/>
        </w:rPr>
        <w:t>60 Suppl 7</w:t>
      </w:r>
      <w:r w:rsidRPr="005605FF">
        <w:rPr>
          <w:rFonts w:ascii="Book Antiqua" w:eastAsia="宋体" w:hAnsi="Book Antiqua" w:cs="Times New Roman"/>
          <w:kern w:val="2"/>
          <w:sz w:val="24"/>
          <w:szCs w:val="24"/>
          <w:lang w:val="en-US" w:eastAsia="zh-CN"/>
        </w:rPr>
        <w:t>: 191-196 [PMID: 20388964]</w:t>
      </w:r>
    </w:p>
    <w:p w14:paraId="6E0437F6"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50 </w:t>
      </w:r>
      <w:proofErr w:type="spellStart"/>
      <w:r w:rsidRPr="005605FF">
        <w:rPr>
          <w:rFonts w:ascii="Book Antiqua" w:eastAsia="宋体" w:hAnsi="Book Antiqua" w:cs="Times New Roman"/>
          <w:b/>
          <w:kern w:val="2"/>
          <w:sz w:val="24"/>
          <w:szCs w:val="24"/>
          <w:lang w:val="en-US" w:eastAsia="zh-CN"/>
        </w:rPr>
        <w:t>Sikiric</w:t>
      </w:r>
      <w:proofErr w:type="spellEnd"/>
      <w:r w:rsidRPr="005605FF">
        <w:rPr>
          <w:rFonts w:ascii="Book Antiqua" w:eastAsia="宋体" w:hAnsi="Book Antiqua" w:cs="Times New Roman"/>
          <w:b/>
          <w:kern w:val="2"/>
          <w:sz w:val="24"/>
          <w:szCs w:val="24"/>
          <w:lang w:val="en-US" w:eastAsia="zh-CN"/>
        </w:rPr>
        <w:t xml:space="preserve"> P</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Separovic</w:t>
      </w:r>
      <w:proofErr w:type="spellEnd"/>
      <w:r w:rsidRPr="005605FF">
        <w:rPr>
          <w:rFonts w:ascii="Book Antiqua" w:eastAsia="宋体" w:hAnsi="Book Antiqua" w:cs="Times New Roman"/>
          <w:kern w:val="2"/>
          <w:sz w:val="24"/>
          <w:szCs w:val="24"/>
          <w:lang w:val="en-US" w:eastAsia="zh-CN"/>
        </w:rPr>
        <w:t xml:space="preserve"> J, </w:t>
      </w:r>
      <w:proofErr w:type="spellStart"/>
      <w:r w:rsidRPr="005605FF">
        <w:rPr>
          <w:rFonts w:ascii="Book Antiqua" w:eastAsia="宋体" w:hAnsi="Book Antiqua" w:cs="Times New Roman"/>
          <w:kern w:val="2"/>
          <w:sz w:val="24"/>
          <w:szCs w:val="24"/>
          <w:lang w:val="en-US" w:eastAsia="zh-CN"/>
        </w:rPr>
        <w:t>Anic</w:t>
      </w:r>
      <w:proofErr w:type="spellEnd"/>
      <w:r w:rsidRPr="005605FF">
        <w:rPr>
          <w:rFonts w:ascii="Book Antiqua" w:eastAsia="宋体" w:hAnsi="Book Antiqua" w:cs="Times New Roman"/>
          <w:kern w:val="2"/>
          <w:sz w:val="24"/>
          <w:szCs w:val="24"/>
          <w:lang w:val="en-US" w:eastAsia="zh-CN"/>
        </w:rPr>
        <w:t xml:space="preserve"> T, </w:t>
      </w:r>
      <w:proofErr w:type="spellStart"/>
      <w:r w:rsidRPr="005605FF">
        <w:rPr>
          <w:rFonts w:ascii="Book Antiqua" w:eastAsia="宋体" w:hAnsi="Book Antiqua" w:cs="Times New Roman"/>
          <w:kern w:val="2"/>
          <w:sz w:val="24"/>
          <w:szCs w:val="24"/>
          <w:lang w:val="en-US" w:eastAsia="zh-CN"/>
        </w:rPr>
        <w:t>Buljat</w:t>
      </w:r>
      <w:proofErr w:type="spellEnd"/>
      <w:r w:rsidRPr="005605FF">
        <w:rPr>
          <w:rFonts w:ascii="Book Antiqua" w:eastAsia="宋体" w:hAnsi="Book Antiqua" w:cs="Times New Roman"/>
          <w:kern w:val="2"/>
          <w:sz w:val="24"/>
          <w:szCs w:val="24"/>
          <w:lang w:val="en-US" w:eastAsia="zh-CN"/>
        </w:rPr>
        <w:t xml:space="preserve"> G, </w:t>
      </w:r>
      <w:proofErr w:type="spellStart"/>
      <w:r w:rsidRPr="005605FF">
        <w:rPr>
          <w:rFonts w:ascii="Book Antiqua" w:eastAsia="宋体" w:hAnsi="Book Antiqua" w:cs="Times New Roman"/>
          <w:kern w:val="2"/>
          <w:sz w:val="24"/>
          <w:szCs w:val="24"/>
          <w:lang w:val="en-US" w:eastAsia="zh-CN"/>
        </w:rPr>
        <w:t>Mikus</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Grabarevic</w:t>
      </w:r>
      <w:proofErr w:type="spellEnd"/>
      <w:r w:rsidRPr="005605FF">
        <w:rPr>
          <w:rFonts w:ascii="Book Antiqua" w:eastAsia="宋体" w:hAnsi="Book Antiqua" w:cs="Times New Roman"/>
          <w:kern w:val="2"/>
          <w:sz w:val="24"/>
          <w:szCs w:val="24"/>
          <w:lang w:val="en-US" w:eastAsia="zh-CN"/>
        </w:rPr>
        <w:t xml:space="preserve"> Z, </w:t>
      </w:r>
      <w:proofErr w:type="spellStart"/>
      <w:r w:rsidRPr="005605FF">
        <w:rPr>
          <w:rFonts w:ascii="Book Antiqua" w:eastAsia="宋体" w:hAnsi="Book Antiqua" w:cs="Times New Roman"/>
          <w:kern w:val="2"/>
          <w:sz w:val="24"/>
          <w:szCs w:val="24"/>
          <w:lang w:val="en-US" w:eastAsia="zh-CN"/>
        </w:rPr>
        <w:t>Stancic-Rokotov</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Pigac</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Hanzevacki</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Marovic</w:t>
      </w:r>
      <w:proofErr w:type="spellEnd"/>
      <w:r w:rsidRPr="005605FF">
        <w:rPr>
          <w:rFonts w:ascii="Book Antiqua" w:eastAsia="宋体" w:hAnsi="Book Antiqua" w:cs="Times New Roman"/>
          <w:kern w:val="2"/>
          <w:sz w:val="24"/>
          <w:szCs w:val="24"/>
          <w:lang w:val="en-US" w:eastAsia="zh-CN"/>
        </w:rPr>
        <w:t xml:space="preserve"> A, </w:t>
      </w:r>
      <w:proofErr w:type="spellStart"/>
      <w:r w:rsidRPr="005605FF">
        <w:rPr>
          <w:rFonts w:ascii="Book Antiqua" w:eastAsia="宋体" w:hAnsi="Book Antiqua" w:cs="Times New Roman"/>
          <w:kern w:val="2"/>
          <w:sz w:val="24"/>
          <w:szCs w:val="24"/>
          <w:lang w:val="en-US" w:eastAsia="zh-CN"/>
        </w:rPr>
        <w:t>Rucman</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Petek</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Zoricic</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Ziger</w:t>
      </w:r>
      <w:proofErr w:type="spellEnd"/>
      <w:r w:rsidRPr="005605FF">
        <w:rPr>
          <w:rFonts w:ascii="Book Antiqua" w:eastAsia="宋体" w:hAnsi="Book Antiqua" w:cs="Times New Roman"/>
          <w:kern w:val="2"/>
          <w:sz w:val="24"/>
          <w:szCs w:val="24"/>
          <w:lang w:val="en-US" w:eastAsia="zh-CN"/>
        </w:rPr>
        <w:t xml:space="preserve"> T, </w:t>
      </w:r>
      <w:proofErr w:type="spellStart"/>
      <w:r w:rsidRPr="005605FF">
        <w:rPr>
          <w:rFonts w:ascii="Book Antiqua" w:eastAsia="宋体" w:hAnsi="Book Antiqua" w:cs="Times New Roman"/>
          <w:kern w:val="2"/>
          <w:sz w:val="24"/>
          <w:szCs w:val="24"/>
          <w:lang w:val="en-US" w:eastAsia="zh-CN"/>
        </w:rPr>
        <w:t>Aralica</w:t>
      </w:r>
      <w:proofErr w:type="spellEnd"/>
      <w:r w:rsidRPr="005605FF">
        <w:rPr>
          <w:rFonts w:ascii="Book Antiqua" w:eastAsia="宋体" w:hAnsi="Book Antiqua" w:cs="Times New Roman"/>
          <w:kern w:val="2"/>
          <w:sz w:val="24"/>
          <w:szCs w:val="24"/>
          <w:lang w:val="en-US" w:eastAsia="zh-CN"/>
        </w:rPr>
        <w:t xml:space="preserve"> G, </w:t>
      </w:r>
      <w:proofErr w:type="spellStart"/>
      <w:r w:rsidRPr="005605FF">
        <w:rPr>
          <w:rFonts w:ascii="Book Antiqua" w:eastAsia="宋体" w:hAnsi="Book Antiqua" w:cs="Times New Roman"/>
          <w:kern w:val="2"/>
          <w:sz w:val="24"/>
          <w:szCs w:val="24"/>
          <w:lang w:val="en-US" w:eastAsia="zh-CN"/>
        </w:rPr>
        <w:t>Konjevoda</w:t>
      </w:r>
      <w:proofErr w:type="spellEnd"/>
      <w:r w:rsidRPr="005605FF">
        <w:rPr>
          <w:rFonts w:ascii="Book Antiqua" w:eastAsia="宋体" w:hAnsi="Book Antiqua" w:cs="Times New Roman"/>
          <w:kern w:val="2"/>
          <w:sz w:val="24"/>
          <w:szCs w:val="24"/>
          <w:lang w:val="en-US" w:eastAsia="zh-CN"/>
        </w:rPr>
        <w:t xml:space="preserve"> P, </w:t>
      </w:r>
      <w:proofErr w:type="spellStart"/>
      <w:r w:rsidRPr="005605FF">
        <w:rPr>
          <w:rFonts w:ascii="Book Antiqua" w:eastAsia="宋体" w:hAnsi="Book Antiqua" w:cs="Times New Roman"/>
          <w:kern w:val="2"/>
          <w:sz w:val="24"/>
          <w:szCs w:val="24"/>
          <w:lang w:val="en-US" w:eastAsia="zh-CN"/>
        </w:rPr>
        <w:t>Prkacin</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Gjurasin</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Miklic</w:t>
      </w:r>
      <w:proofErr w:type="spellEnd"/>
      <w:r w:rsidRPr="005605FF">
        <w:rPr>
          <w:rFonts w:ascii="Book Antiqua" w:eastAsia="宋体" w:hAnsi="Book Antiqua" w:cs="Times New Roman"/>
          <w:kern w:val="2"/>
          <w:sz w:val="24"/>
          <w:szCs w:val="24"/>
          <w:lang w:val="en-US" w:eastAsia="zh-CN"/>
        </w:rPr>
        <w:t xml:space="preserve"> P, </w:t>
      </w:r>
      <w:proofErr w:type="spellStart"/>
      <w:r w:rsidRPr="005605FF">
        <w:rPr>
          <w:rFonts w:ascii="Book Antiqua" w:eastAsia="宋体" w:hAnsi="Book Antiqua" w:cs="Times New Roman"/>
          <w:kern w:val="2"/>
          <w:sz w:val="24"/>
          <w:szCs w:val="24"/>
          <w:lang w:val="en-US" w:eastAsia="zh-CN"/>
        </w:rPr>
        <w:t>Artukovic</w:t>
      </w:r>
      <w:proofErr w:type="spellEnd"/>
      <w:r w:rsidRPr="005605FF">
        <w:rPr>
          <w:rFonts w:ascii="Book Antiqua" w:eastAsia="宋体" w:hAnsi="Book Antiqua" w:cs="Times New Roman"/>
          <w:kern w:val="2"/>
          <w:sz w:val="24"/>
          <w:szCs w:val="24"/>
          <w:lang w:val="en-US" w:eastAsia="zh-CN"/>
        </w:rPr>
        <w:t xml:space="preserve"> B, </w:t>
      </w:r>
      <w:proofErr w:type="spellStart"/>
      <w:r w:rsidRPr="005605FF">
        <w:rPr>
          <w:rFonts w:ascii="Book Antiqua" w:eastAsia="宋体" w:hAnsi="Book Antiqua" w:cs="Times New Roman"/>
          <w:kern w:val="2"/>
          <w:sz w:val="24"/>
          <w:szCs w:val="24"/>
          <w:lang w:val="en-US" w:eastAsia="zh-CN"/>
        </w:rPr>
        <w:t>Tisljar</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Bratulic</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Mise</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Rotkvic</w:t>
      </w:r>
      <w:proofErr w:type="spellEnd"/>
      <w:r w:rsidRPr="005605FF">
        <w:rPr>
          <w:rFonts w:ascii="Book Antiqua" w:eastAsia="宋体" w:hAnsi="Book Antiqua" w:cs="Times New Roman"/>
          <w:kern w:val="2"/>
          <w:sz w:val="24"/>
          <w:szCs w:val="24"/>
          <w:lang w:val="en-US" w:eastAsia="zh-CN"/>
        </w:rPr>
        <w:t xml:space="preserve"> I. The effect of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H2-blockers, omeprazole and sucralfate on new vessels and new granulation tissue formation. </w:t>
      </w:r>
      <w:r w:rsidRPr="005605FF">
        <w:rPr>
          <w:rFonts w:ascii="Book Antiqua" w:eastAsia="宋体" w:hAnsi="Book Antiqua" w:cs="Times New Roman"/>
          <w:i/>
          <w:kern w:val="2"/>
          <w:sz w:val="24"/>
          <w:szCs w:val="24"/>
          <w:lang w:val="en-US" w:eastAsia="zh-CN"/>
        </w:rPr>
        <w:t xml:space="preserve">J </w:t>
      </w:r>
      <w:proofErr w:type="spellStart"/>
      <w:r w:rsidRPr="005605FF">
        <w:rPr>
          <w:rFonts w:ascii="Book Antiqua" w:eastAsia="宋体" w:hAnsi="Book Antiqua" w:cs="Times New Roman"/>
          <w:i/>
          <w:kern w:val="2"/>
          <w:sz w:val="24"/>
          <w:szCs w:val="24"/>
          <w:lang w:val="en-US" w:eastAsia="zh-CN"/>
        </w:rPr>
        <w:t>Physiol</w:t>
      </w:r>
      <w:proofErr w:type="spellEnd"/>
      <w:r w:rsidRPr="005605FF">
        <w:rPr>
          <w:rFonts w:ascii="Book Antiqua" w:eastAsia="宋体" w:hAnsi="Book Antiqua" w:cs="Times New Roman"/>
          <w:i/>
          <w:kern w:val="2"/>
          <w:sz w:val="24"/>
          <w:szCs w:val="24"/>
          <w:lang w:val="en-US" w:eastAsia="zh-CN"/>
        </w:rPr>
        <w:t xml:space="preserve"> Paris</w:t>
      </w:r>
      <w:r w:rsidRPr="005605FF">
        <w:rPr>
          <w:rFonts w:ascii="Book Antiqua" w:eastAsia="宋体" w:hAnsi="Book Antiqua" w:cs="Times New Roman"/>
          <w:kern w:val="2"/>
          <w:sz w:val="24"/>
          <w:szCs w:val="24"/>
          <w:lang w:val="en-US" w:eastAsia="zh-CN"/>
        </w:rPr>
        <w:t xml:space="preserve"> 1999; </w:t>
      </w:r>
      <w:r w:rsidRPr="005605FF">
        <w:rPr>
          <w:rFonts w:ascii="Book Antiqua" w:eastAsia="宋体" w:hAnsi="Book Antiqua" w:cs="Times New Roman"/>
          <w:b/>
          <w:kern w:val="2"/>
          <w:sz w:val="24"/>
          <w:szCs w:val="24"/>
          <w:lang w:val="en-US" w:eastAsia="zh-CN"/>
        </w:rPr>
        <w:t>93</w:t>
      </w:r>
      <w:r w:rsidRPr="005605FF">
        <w:rPr>
          <w:rFonts w:ascii="Book Antiqua" w:eastAsia="宋体" w:hAnsi="Book Antiqua" w:cs="Times New Roman"/>
          <w:kern w:val="2"/>
          <w:sz w:val="24"/>
          <w:szCs w:val="24"/>
          <w:lang w:val="en-US" w:eastAsia="zh-CN"/>
        </w:rPr>
        <w:t>: 479-485 [PMID: 10672992]</w:t>
      </w:r>
    </w:p>
    <w:p w14:paraId="32E3D353"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51 </w:t>
      </w:r>
      <w:proofErr w:type="spellStart"/>
      <w:r w:rsidRPr="005605FF">
        <w:rPr>
          <w:rFonts w:ascii="Book Antiqua" w:eastAsia="宋体" w:hAnsi="Book Antiqua" w:cs="Times New Roman"/>
          <w:b/>
          <w:kern w:val="2"/>
          <w:sz w:val="24"/>
          <w:szCs w:val="24"/>
          <w:lang w:val="en-US" w:eastAsia="zh-CN"/>
        </w:rPr>
        <w:t>Medvidovic-Grubisic</w:t>
      </w:r>
      <w:proofErr w:type="spellEnd"/>
      <w:r w:rsidRPr="005605FF">
        <w:rPr>
          <w:rFonts w:ascii="Book Antiqua" w:eastAsia="宋体" w:hAnsi="Book Antiqua" w:cs="Times New Roman"/>
          <w:b/>
          <w:kern w:val="2"/>
          <w:sz w:val="24"/>
          <w:szCs w:val="24"/>
          <w:lang w:val="en-US" w:eastAsia="zh-CN"/>
        </w:rPr>
        <w:t xml:space="preserve"> M</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Stambolija</w:t>
      </w:r>
      <w:proofErr w:type="spellEnd"/>
      <w:r w:rsidRPr="005605FF">
        <w:rPr>
          <w:rFonts w:ascii="Book Antiqua" w:eastAsia="宋体" w:hAnsi="Book Antiqua" w:cs="Times New Roman"/>
          <w:kern w:val="2"/>
          <w:sz w:val="24"/>
          <w:szCs w:val="24"/>
          <w:lang w:val="en-US" w:eastAsia="zh-CN"/>
        </w:rPr>
        <w:t xml:space="preserve"> V, </w:t>
      </w:r>
      <w:proofErr w:type="spellStart"/>
      <w:r w:rsidRPr="005605FF">
        <w:rPr>
          <w:rFonts w:ascii="Book Antiqua" w:eastAsia="宋体" w:hAnsi="Book Antiqua" w:cs="Times New Roman"/>
          <w:kern w:val="2"/>
          <w:sz w:val="24"/>
          <w:szCs w:val="24"/>
          <w:lang w:val="en-US" w:eastAsia="zh-CN"/>
        </w:rPr>
        <w:t>Kolenc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Katancic</w:t>
      </w:r>
      <w:proofErr w:type="spellEnd"/>
      <w:r w:rsidRPr="005605FF">
        <w:rPr>
          <w:rFonts w:ascii="Book Antiqua" w:eastAsia="宋体" w:hAnsi="Book Antiqua" w:cs="Times New Roman"/>
          <w:kern w:val="2"/>
          <w:sz w:val="24"/>
          <w:szCs w:val="24"/>
          <w:lang w:val="en-US" w:eastAsia="zh-CN"/>
        </w:rPr>
        <w:t xml:space="preserve"> J, </w:t>
      </w:r>
      <w:proofErr w:type="spellStart"/>
      <w:r w:rsidRPr="005605FF">
        <w:rPr>
          <w:rFonts w:ascii="Book Antiqua" w:eastAsia="宋体" w:hAnsi="Book Antiqua" w:cs="Times New Roman"/>
          <w:kern w:val="2"/>
          <w:sz w:val="24"/>
          <w:szCs w:val="24"/>
          <w:lang w:val="en-US" w:eastAsia="zh-CN"/>
        </w:rPr>
        <w:t>Murselovic</w:t>
      </w:r>
      <w:proofErr w:type="spellEnd"/>
      <w:r w:rsidRPr="005605FF">
        <w:rPr>
          <w:rFonts w:ascii="Book Antiqua" w:eastAsia="宋体" w:hAnsi="Book Antiqua" w:cs="Times New Roman"/>
          <w:kern w:val="2"/>
          <w:sz w:val="24"/>
          <w:szCs w:val="24"/>
          <w:lang w:val="en-US" w:eastAsia="zh-CN"/>
        </w:rPr>
        <w:t xml:space="preserve"> T, </w:t>
      </w:r>
      <w:proofErr w:type="spellStart"/>
      <w:r w:rsidRPr="005605FF">
        <w:rPr>
          <w:rFonts w:ascii="Book Antiqua" w:eastAsia="宋体" w:hAnsi="Book Antiqua" w:cs="Times New Roman"/>
          <w:kern w:val="2"/>
          <w:sz w:val="24"/>
          <w:szCs w:val="24"/>
          <w:lang w:val="en-US" w:eastAsia="zh-CN"/>
        </w:rPr>
        <w:t>Plestina-Borjan</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Strbe</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Drmic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Barisic</w:t>
      </w:r>
      <w:proofErr w:type="spellEnd"/>
      <w:r w:rsidRPr="005605FF">
        <w:rPr>
          <w:rFonts w:ascii="Book Antiqua" w:eastAsia="宋体" w:hAnsi="Book Antiqua" w:cs="Times New Roman"/>
          <w:kern w:val="2"/>
          <w:sz w:val="24"/>
          <w:szCs w:val="24"/>
          <w:lang w:val="en-US" w:eastAsia="zh-CN"/>
        </w:rPr>
        <w:t xml:space="preserve"> I, </w:t>
      </w:r>
      <w:proofErr w:type="spellStart"/>
      <w:r w:rsidRPr="005605FF">
        <w:rPr>
          <w:rFonts w:ascii="Book Antiqua" w:eastAsia="宋体" w:hAnsi="Book Antiqua" w:cs="Times New Roman"/>
          <w:kern w:val="2"/>
          <w:sz w:val="24"/>
          <w:szCs w:val="24"/>
          <w:lang w:val="en-US" w:eastAsia="zh-CN"/>
        </w:rPr>
        <w:t>Sindic</w:t>
      </w:r>
      <w:proofErr w:type="spellEnd"/>
      <w:r w:rsidRPr="005605FF">
        <w:rPr>
          <w:rFonts w:ascii="Book Antiqua" w:eastAsia="宋体" w:hAnsi="Book Antiqua" w:cs="Times New Roman"/>
          <w:kern w:val="2"/>
          <w:sz w:val="24"/>
          <w:szCs w:val="24"/>
          <w:lang w:val="en-US" w:eastAsia="zh-CN"/>
        </w:rPr>
        <w:t xml:space="preserve"> A,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Sikiric</w:t>
      </w:r>
      <w:proofErr w:type="spellEnd"/>
      <w:r w:rsidRPr="005605FF">
        <w:rPr>
          <w:rFonts w:ascii="Book Antiqua" w:eastAsia="宋体" w:hAnsi="Book Antiqua" w:cs="Times New Roman"/>
          <w:kern w:val="2"/>
          <w:sz w:val="24"/>
          <w:szCs w:val="24"/>
          <w:lang w:val="en-US" w:eastAsia="zh-CN"/>
        </w:rPr>
        <w:t xml:space="preserve"> P. Hypermagnesemia disturbances in rats, NO-related: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abrogates, L-NAME and L-arginine worsen. </w:t>
      </w:r>
      <w:proofErr w:type="spellStart"/>
      <w:r w:rsidRPr="005605FF">
        <w:rPr>
          <w:rFonts w:ascii="Book Antiqua" w:eastAsia="宋体" w:hAnsi="Book Antiqua" w:cs="Times New Roman"/>
          <w:i/>
          <w:kern w:val="2"/>
          <w:sz w:val="24"/>
          <w:szCs w:val="24"/>
          <w:lang w:val="en-US" w:eastAsia="zh-CN"/>
        </w:rPr>
        <w:t>Inflammopharmacology</w:t>
      </w:r>
      <w:proofErr w:type="spellEnd"/>
      <w:r w:rsidRPr="005605FF">
        <w:rPr>
          <w:rFonts w:ascii="Book Antiqua" w:eastAsia="宋体" w:hAnsi="Book Antiqua" w:cs="Times New Roman"/>
          <w:kern w:val="2"/>
          <w:sz w:val="24"/>
          <w:szCs w:val="24"/>
          <w:lang w:val="en-US" w:eastAsia="zh-CN"/>
        </w:rPr>
        <w:t xml:space="preserve"> 2017; </w:t>
      </w:r>
      <w:r w:rsidRPr="005605FF">
        <w:rPr>
          <w:rFonts w:ascii="Book Antiqua" w:eastAsia="宋体" w:hAnsi="Book Antiqua" w:cs="Times New Roman"/>
          <w:b/>
          <w:kern w:val="2"/>
          <w:sz w:val="24"/>
          <w:szCs w:val="24"/>
          <w:lang w:val="en-US" w:eastAsia="zh-CN"/>
        </w:rPr>
        <w:t>25</w:t>
      </w:r>
      <w:r w:rsidRPr="005605FF">
        <w:rPr>
          <w:rFonts w:ascii="Book Antiqua" w:eastAsia="宋体" w:hAnsi="Book Antiqua" w:cs="Times New Roman"/>
          <w:kern w:val="2"/>
          <w:sz w:val="24"/>
          <w:szCs w:val="24"/>
          <w:lang w:val="en-US" w:eastAsia="zh-CN"/>
        </w:rPr>
        <w:t>: 439-449 [PMID: 28210905 DOI: 10.1007/s10787-017-0323-6]</w:t>
      </w:r>
    </w:p>
    <w:p w14:paraId="692EF3D6" w14:textId="77777777" w:rsidR="005605FF" w:rsidRPr="005605FF" w:rsidRDefault="005605FF" w:rsidP="005605FF">
      <w:pPr>
        <w:widowControl w:val="0"/>
        <w:snapToGrid w:val="0"/>
        <w:spacing w:after="0" w:line="360" w:lineRule="auto"/>
        <w:jc w:val="both"/>
        <w:rPr>
          <w:rFonts w:ascii="Book Antiqua" w:eastAsia="宋体" w:hAnsi="Book Antiqua" w:cs="Times New Roman"/>
          <w:kern w:val="2"/>
          <w:sz w:val="24"/>
          <w:szCs w:val="24"/>
          <w:lang w:val="en-US" w:eastAsia="zh-CN"/>
        </w:rPr>
      </w:pPr>
      <w:r w:rsidRPr="005605FF">
        <w:rPr>
          <w:rFonts w:ascii="Book Antiqua" w:eastAsia="宋体" w:hAnsi="Book Antiqua" w:cs="Times New Roman"/>
          <w:kern w:val="2"/>
          <w:sz w:val="24"/>
          <w:szCs w:val="24"/>
          <w:lang w:val="en-US" w:eastAsia="zh-CN"/>
        </w:rPr>
        <w:t xml:space="preserve">52 </w:t>
      </w:r>
      <w:proofErr w:type="spellStart"/>
      <w:r w:rsidRPr="005605FF">
        <w:rPr>
          <w:rFonts w:ascii="Book Antiqua" w:eastAsia="宋体" w:hAnsi="Book Antiqua" w:cs="Times New Roman"/>
          <w:b/>
          <w:kern w:val="2"/>
          <w:sz w:val="24"/>
          <w:szCs w:val="24"/>
          <w:lang w:val="en-US" w:eastAsia="zh-CN"/>
        </w:rPr>
        <w:t>Kokot</w:t>
      </w:r>
      <w:proofErr w:type="spellEnd"/>
      <w:r w:rsidRPr="005605FF">
        <w:rPr>
          <w:rFonts w:ascii="Book Antiqua" w:eastAsia="宋体" w:hAnsi="Book Antiqua" w:cs="Times New Roman"/>
          <w:b/>
          <w:kern w:val="2"/>
          <w:sz w:val="24"/>
          <w:szCs w:val="24"/>
          <w:lang w:val="en-US" w:eastAsia="zh-CN"/>
        </w:rPr>
        <w:t xml:space="preserve"> A</w:t>
      </w:r>
      <w:r w:rsidRPr="005605FF">
        <w:rPr>
          <w:rFonts w:ascii="Book Antiqua" w:eastAsia="宋体" w:hAnsi="Book Antiqua" w:cs="Times New Roman"/>
          <w:kern w:val="2"/>
          <w:sz w:val="24"/>
          <w:szCs w:val="24"/>
          <w:lang w:val="en-US" w:eastAsia="zh-CN"/>
        </w:rPr>
        <w:t xml:space="preserve">, </w:t>
      </w:r>
      <w:proofErr w:type="spellStart"/>
      <w:r w:rsidRPr="005605FF">
        <w:rPr>
          <w:rFonts w:ascii="Book Antiqua" w:eastAsia="宋体" w:hAnsi="Book Antiqua" w:cs="Times New Roman"/>
          <w:kern w:val="2"/>
          <w:sz w:val="24"/>
          <w:szCs w:val="24"/>
          <w:lang w:val="en-US" w:eastAsia="zh-CN"/>
        </w:rPr>
        <w:t>Zlatar</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Stupnisek</w:t>
      </w:r>
      <w:proofErr w:type="spellEnd"/>
      <w:r w:rsidRPr="005605FF">
        <w:rPr>
          <w:rFonts w:ascii="Book Antiqua" w:eastAsia="宋体" w:hAnsi="Book Antiqua" w:cs="Times New Roman"/>
          <w:kern w:val="2"/>
          <w:sz w:val="24"/>
          <w:szCs w:val="24"/>
          <w:lang w:val="en-US" w:eastAsia="zh-CN"/>
        </w:rPr>
        <w:t xml:space="preserve"> M, </w:t>
      </w:r>
      <w:proofErr w:type="spellStart"/>
      <w:r w:rsidRPr="005605FF">
        <w:rPr>
          <w:rFonts w:ascii="Book Antiqua" w:eastAsia="宋体" w:hAnsi="Book Antiqua" w:cs="Times New Roman"/>
          <w:kern w:val="2"/>
          <w:sz w:val="24"/>
          <w:szCs w:val="24"/>
          <w:lang w:val="en-US" w:eastAsia="zh-CN"/>
        </w:rPr>
        <w:t>Drmic</w:t>
      </w:r>
      <w:proofErr w:type="spellEnd"/>
      <w:r w:rsidRPr="005605FF">
        <w:rPr>
          <w:rFonts w:ascii="Book Antiqua" w:eastAsia="宋体" w:hAnsi="Book Antiqua" w:cs="Times New Roman"/>
          <w:kern w:val="2"/>
          <w:sz w:val="24"/>
          <w:szCs w:val="24"/>
          <w:lang w:val="en-US" w:eastAsia="zh-CN"/>
        </w:rPr>
        <w:t xml:space="preserve"> D, </w:t>
      </w:r>
      <w:proofErr w:type="spellStart"/>
      <w:r w:rsidRPr="005605FF">
        <w:rPr>
          <w:rFonts w:ascii="Book Antiqua" w:eastAsia="宋体" w:hAnsi="Book Antiqua" w:cs="Times New Roman"/>
          <w:kern w:val="2"/>
          <w:sz w:val="24"/>
          <w:szCs w:val="24"/>
          <w:lang w:val="en-US" w:eastAsia="zh-CN"/>
        </w:rPr>
        <w:t>Radic</w:t>
      </w:r>
      <w:proofErr w:type="spellEnd"/>
      <w:r w:rsidRPr="005605FF">
        <w:rPr>
          <w:rFonts w:ascii="Book Antiqua" w:eastAsia="宋体" w:hAnsi="Book Antiqua" w:cs="Times New Roman"/>
          <w:kern w:val="2"/>
          <w:sz w:val="24"/>
          <w:szCs w:val="24"/>
          <w:lang w:val="en-US" w:eastAsia="zh-CN"/>
        </w:rPr>
        <w:t xml:space="preserve"> R, </w:t>
      </w:r>
      <w:proofErr w:type="spellStart"/>
      <w:r w:rsidRPr="005605FF">
        <w:rPr>
          <w:rFonts w:ascii="Book Antiqua" w:eastAsia="宋体" w:hAnsi="Book Antiqua" w:cs="Times New Roman"/>
          <w:kern w:val="2"/>
          <w:sz w:val="24"/>
          <w:szCs w:val="24"/>
          <w:lang w:val="en-US" w:eastAsia="zh-CN"/>
        </w:rPr>
        <w:t>Vcev</w:t>
      </w:r>
      <w:proofErr w:type="spellEnd"/>
      <w:r w:rsidRPr="005605FF">
        <w:rPr>
          <w:rFonts w:ascii="Book Antiqua" w:eastAsia="宋体" w:hAnsi="Book Antiqua" w:cs="Times New Roman"/>
          <w:kern w:val="2"/>
          <w:sz w:val="24"/>
          <w:szCs w:val="24"/>
          <w:lang w:val="en-US" w:eastAsia="zh-CN"/>
        </w:rPr>
        <w:t xml:space="preserve"> A, </w:t>
      </w:r>
      <w:proofErr w:type="spellStart"/>
      <w:r w:rsidRPr="005605FF">
        <w:rPr>
          <w:rFonts w:ascii="Book Antiqua" w:eastAsia="宋体" w:hAnsi="Book Antiqua" w:cs="Times New Roman"/>
          <w:kern w:val="2"/>
          <w:sz w:val="24"/>
          <w:szCs w:val="24"/>
          <w:lang w:val="en-US" w:eastAsia="zh-CN"/>
        </w:rPr>
        <w:t>Seiwerth</w:t>
      </w:r>
      <w:proofErr w:type="spellEnd"/>
      <w:r w:rsidRPr="005605FF">
        <w:rPr>
          <w:rFonts w:ascii="Book Antiqua" w:eastAsia="宋体" w:hAnsi="Book Antiqua" w:cs="Times New Roman"/>
          <w:kern w:val="2"/>
          <w:sz w:val="24"/>
          <w:szCs w:val="24"/>
          <w:lang w:val="en-US" w:eastAsia="zh-CN"/>
        </w:rPr>
        <w:t xml:space="preserve"> S, </w:t>
      </w:r>
      <w:proofErr w:type="spellStart"/>
      <w:r w:rsidRPr="005605FF">
        <w:rPr>
          <w:rFonts w:ascii="Book Antiqua" w:eastAsia="宋体" w:hAnsi="Book Antiqua" w:cs="Times New Roman"/>
          <w:kern w:val="2"/>
          <w:sz w:val="24"/>
          <w:szCs w:val="24"/>
          <w:lang w:val="en-US" w:eastAsia="zh-CN"/>
        </w:rPr>
        <w:t>Sikiric</w:t>
      </w:r>
      <w:proofErr w:type="spellEnd"/>
      <w:r w:rsidRPr="005605FF">
        <w:rPr>
          <w:rFonts w:ascii="Book Antiqua" w:eastAsia="宋体" w:hAnsi="Book Antiqua" w:cs="Times New Roman"/>
          <w:kern w:val="2"/>
          <w:sz w:val="24"/>
          <w:szCs w:val="24"/>
          <w:lang w:val="en-US" w:eastAsia="zh-CN"/>
        </w:rPr>
        <w:t xml:space="preserve"> P. NO system dependence of atropine-induced mydriasis and L-NAME- and L-arginine-induced miosis: Reversal by the </w:t>
      </w:r>
      <w:proofErr w:type="spellStart"/>
      <w:r w:rsidRPr="005605FF">
        <w:rPr>
          <w:rFonts w:ascii="Book Antiqua" w:eastAsia="宋体" w:hAnsi="Book Antiqua" w:cs="Times New Roman"/>
          <w:kern w:val="2"/>
          <w:sz w:val="24"/>
          <w:szCs w:val="24"/>
          <w:lang w:val="en-US" w:eastAsia="zh-CN"/>
        </w:rPr>
        <w:t>pentadecapeptide</w:t>
      </w:r>
      <w:proofErr w:type="spellEnd"/>
      <w:r w:rsidRPr="005605FF">
        <w:rPr>
          <w:rFonts w:ascii="Book Antiqua" w:eastAsia="宋体" w:hAnsi="Book Antiqua" w:cs="Times New Roman"/>
          <w:kern w:val="2"/>
          <w:sz w:val="24"/>
          <w:szCs w:val="24"/>
          <w:lang w:val="en-US" w:eastAsia="zh-CN"/>
        </w:rPr>
        <w:t xml:space="preserve"> BPC 157 in rats and guinea pigs. </w:t>
      </w:r>
      <w:proofErr w:type="spellStart"/>
      <w:r w:rsidRPr="005605FF">
        <w:rPr>
          <w:rFonts w:ascii="Book Antiqua" w:eastAsia="宋体" w:hAnsi="Book Antiqua" w:cs="Times New Roman"/>
          <w:i/>
          <w:kern w:val="2"/>
          <w:sz w:val="24"/>
          <w:szCs w:val="24"/>
          <w:lang w:val="en-US" w:eastAsia="zh-CN"/>
        </w:rPr>
        <w:t>Eur</w:t>
      </w:r>
      <w:proofErr w:type="spellEnd"/>
      <w:r w:rsidRPr="005605FF">
        <w:rPr>
          <w:rFonts w:ascii="Book Antiqua" w:eastAsia="宋体" w:hAnsi="Book Antiqua" w:cs="Times New Roman"/>
          <w:i/>
          <w:kern w:val="2"/>
          <w:sz w:val="24"/>
          <w:szCs w:val="24"/>
          <w:lang w:val="en-US" w:eastAsia="zh-CN"/>
        </w:rPr>
        <w:t xml:space="preserve"> J </w:t>
      </w:r>
      <w:proofErr w:type="spellStart"/>
      <w:r w:rsidRPr="005605FF">
        <w:rPr>
          <w:rFonts w:ascii="Book Antiqua" w:eastAsia="宋体" w:hAnsi="Book Antiqua" w:cs="Times New Roman"/>
          <w:i/>
          <w:kern w:val="2"/>
          <w:sz w:val="24"/>
          <w:szCs w:val="24"/>
          <w:lang w:val="en-US" w:eastAsia="zh-CN"/>
        </w:rPr>
        <w:t>Pharmacol</w:t>
      </w:r>
      <w:proofErr w:type="spellEnd"/>
      <w:r w:rsidRPr="005605FF">
        <w:rPr>
          <w:rFonts w:ascii="Book Antiqua" w:eastAsia="宋体" w:hAnsi="Book Antiqua" w:cs="Times New Roman"/>
          <w:kern w:val="2"/>
          <w:sz w:val="24"/>
          <w:szCs w:val="24"/>
          <w:lang w:val="en-US" w:eastAsia="zh-CN"/>
        </w:rPr>
        <w:t xml:space="preserve"> 2016; </w:t>
      </w:r>
      <w:r w:rsidRPr="005605FF">
        <w:rPr>
          <w:rFonts w:ascii="Book Antiqua" w:eastAsia="宋体" w:hAnsi="Book Antiqua" w:cs="Times New Roman"/>
          <w:b/>
          <w:kern w:val="2"/>
          <w:sz w:val="24"/>
          <w:szCs w:val="24"/>
          <w:lang w:val="en-US" w:eastAsia="zh-CN"/>
        </w:rPr>
        <w:t>771</w:t>
      </w:r>
      <w:r w:rsidRPr="005605FF">
        <w:rPr>
          <w:rFonts w:ascii="Book Antiqua" w:eastAsia="宋体" w:hAnsi="Book Antiqua" w:cs="Times New Roman"/>
          <w:kern w:val="2"/>
          <w:sz w:val="24"/>
          <w:szCs w:val="24"/>
          <w:lang w:val="en-US" w:eastAsia="zh-CN"/>
        </w:rPr>
        <w:t>: 211-219 [PMID: 26698393 DOI: 10.1016/j.ejphar.2015.12.016]</w:t>
      </w:r>
    </w:p>
    <w:p w14:paraId="494D4D08" w14:textId="77777777" w:rsidR="005605FF" w:rsidRPr="005605FF" w:rsidRDefault="005605FF" w:rsidP="005605FF">
      <w:pPr>
        <w:wordWrap w:val="0"/>
        <w:snapToGrid w:val="0"/>
        <w:spacing w:after="0" w:line="360" w:lineRule="auto"/>
        <w:jc w:val="right"/>
        <w:rPr>
          <w:rFonts w:ascii="Book Antiqua" w:eastAsia="宋体" w:hAnsi="Book Antiqua" w:cs="Times New Roman"/>
          <w:sz w:val="24"/>
          <w:szCs w:val="24"/>
          <w:lang w:val="en-US" w:eastAsia="zh-CN"/>
        </w:rPr>
      </w:pPr>
      <w:bookmarkStart w:id="17" w:name="OLE_LINK51"/>
      <w:bookmarkStart w:id="18" w:name="OLE_LINK52"/>
      <w:bookmarkStart w:id="19" w:name="OLE_LINK120"/>
      <w:bookmarkStart w:id="20" w:name="OLE_LINK148"/>
      <w:bookmarkStart w:id="21" w:name="OLE_LINK72"/>
      <w:bookmarkStart w:id="22" w:name="OLE_LINK112"/>
      <w:bookmarkStart w:id="23" w:name="OLE_LINK320"/>
      <w:bookmarkStart w:id="24" w:name="OLE_LINK387"/>
      <w:bookmarkStart w:id="25" w:name="OLE_LINK183"/>
      <w:bookmarkStart w:id="26" w:name="OLE_LINK254"/>
      <w:bookmarkStart w:id="27" w:name="OLE_LINK149"/>
      <w:bookmarkStart w:id="28" w:name="OLE_LINK225"/>
      <w:bookmarkStart w:id="29" w:name="OLE_LINK207"/>
      <w:bookmarkStart w:id="30" w:name="OLE_LINK226"/>
      <w:bookmarkStart w:id="31" w:name="OLE_LINK212"/>
      <w:bookmarkStart w:id="32" w:name="OLE_LINK250"/>
      <w:bookmarkStart w:id="33" w:name="OLE_LINK281"/>
      <w:bookmarkStart w:id="34" w:name="OLE_LINK282"/>
      <w:bookmarkStart w:id="35" w:name="OLE_LINK313"/>
      <w:bookmarkStart w:id="36" w:name="OLE_LINK304"/>
      <w:bookmarkStart w:id="37" w:name="OLE_LINK321"/>
      <w:bookmarkStart w:id="38" w:name="OLE_LINK385"/>
      <w:bookmarkStart w:id="39" w:name="OLE_LINK400"/>
      <w:bookmarkStart w:id="40" w:name="OLE_LINK346"/>
      <w:bookmarkStart w:id="41" w:name="OLE_LINK371"/>
      <w:bookmarkStart w:id="42" w:name="OLE_LINK334"/>
      <w:bookmarkStart w:id="43" w:name="OLE_LINK1830"/>
      <w:bookmarkStart w:id="44" w:name="OLE_LINK457"/>
      <w:bookmarkStart w:id="45" w:name="OLE_LINK288"/>
      <w:bookmarkStart w:id="46" w:name="OLE_LINK384"/>
      <w:bookmarkStart w:id="47" w:name="OLE_LINK379"/>
      <w:bookmarkStart w:id="48" w:name="OLE_LINK303"/>
      <w:bookmarkStart w:id="49" w:name="OLE_LINK450"/>
      <w:bookmarkStart w:id="50" w:name="OLE_LINK489"/>
      <w:bookmarkStart w:id="51" w:name="OLE_LINK535"/>
      <w:bookmarkStart w:id="52" w:name="OLE_LINK648"/>
      <w:bookmarkStart w:id="53" w:name="OLE_LINK686"/>
      <w:bookmarkStart w:id="54" w:name="OLE_LINK471"/>
      <w:bookmarkStart w:id="55" w:name="OLE_LINK462"/>
      <w:bookmarkStart w:id="56" w:name="OLE_LINK519"/>
      <w:bookmarkStart w:id="57" w:name="OLE_LINK575"/>
      <w:bookmarkStart w:id="58" w:name="OLE_LINK491"/>
      <w:bookmarkStart w:id="59" w:name="OLE_LINK532"/>
      <w:bookmarkStart w:id="60" w:name="OLE_LINK572"/>
      <w:bookmarkStart w:id="61" w:name="OLE_LINK574"/>
      <w:bookmarkStart w:id="62" w:name="OLE_LINK480"/>
      <w:bookmarkStart w:id="63" w:name="OLE_LINK567"/>
      <w:bookmarkStart w:id="64" w:name="OLE_LINK2700"/>
      <w:bookmarkStart w:id="65" w:name="OLE_LINK581"/>
      <w:bookmarkStart w:id="66" w:name="OLE_LINK639"/>
      <w:bookmarkStart w:id="67" w:name="OLE_LINK688"/>
      <w:bookmarkStart w:id="68" w:name="OLE_LINK722"/>
      <w:bookmarkStart w:id="69" w:name="OLE_LINK542"/>
      <w:bookmarkStart w:id="70" w:name="OLE_LINK589"/>
      <w:bookmarkStart w:id="71" w:name="OLE_LINK582"/>
      <w:bookmarkStart w:id="72" w:name="OLE_LINK640"/>
      <w:bookmarkStart w:id="73" w:name="OLE_LINK714"/>
      <w:bookmarkStart w:id="74" w:name="OLE_LINK593"/>
      <w:bookmarkStart w:id="75" w:name="OLE_LINK716"/>
      <w:bookmarkStart w:id="76" w:name="OLE_LINK770"/>
      <w:bookmarkStart w:id="77" w:name="OLE_LINK801"/>
      <w:bookmarkStart w:id="78" w:name="OLE_LINK660"/>
      <w:bookmarkStart w:id="79" w:name="OLE_LINK781"/>
      <w:bookmarkStart w:id="80" w:name="OLE_LINK833"/>
      <w:bookmarkStart w:id="81" w:name="OLE_LINK642"/>
      <w:bookmarkStart w:id="82" w:name="OLE_LINK700"/>
      <w:bookmarkStart w:id="83" w:name="OLE_LINK792"/>
      <w:bookmarkStart w:id="84" w:name="OLE_LINK2882"/>
      <w:bookmarkStart w:id="85" w:name="OLE_LINK836"/>
      <w:bookmarkStart w:id="86" w:name="OLE_LINK889"/>
      <w:bookmarkStart w:id="87" w:name="OLE_LINK782"/>
      <w:bookmarkStart w:id="88" w:name="OLE_LINK826"/>
      <w:bookmarkStart w:id="89" w:name="OLE_LINK865"/>
      <w:bookmarkStart w:id="90" w:name="OLE_LINK856"/>
      <w:bookmarkStart w:id="91" w:name="OLE_LINK908"/>
      <w:bookmarkStart w:id="92" w:name="OLE_LINK980"/>
      <w:bookmarkStart w:id="93" w:name="OLE_LINK1018"/>
      <w:bookmarkStart w:id="94" w:name="OLE_LINK1049"/>
      <w:bookmarkStart w:id="95" w:name="OLE_LINK1076"/>
      <w:bookmarkStart w:id="96" w:name="OLE_LINK1106"/>
      <w:bookmarkStart w:id="97" w:name="OLE_LINK891"/>
      <w:bookmarkStart w:id="98" w:name="OLE_LINK943"/>
      <w:bookmarkStart w:id="99" w:name="OLE_LINK981"/>
      <w:bookmarkStart w:id="100" w:name="OLE_LINK1030"/>
      <w:bookmarkStart w:id="101" w:name="OLE_LINK847"/>
      <w:bookmarkStart w:id="102" w:name="OLE_LINK909"/>
      <w:bookmarkStart w:id="103" w:name="OLE_LINK906"/>
      <w:bookmarkStart w:id="104" w:name="OLE_LINK992"/>
      <w:bookmarkStart w:id="105" w:name="OLE_LINK993"/>
      <w:bookmarkStart w:id="106" w:name="OLE_LINK1052"/>
      <w:bookmarkStart w:id="107" w:name="OLE_LINK946"/>
      <w:bookmarkStart w:id="108" w:name="OLE_LINK911"/>
      <w:bookmarkStart w:id="109" w:name="OLE_LINK930"/>
      <w:bookmarkStart w:id="110" w:name="OLE_LINK1059"/>
      <w:bookmarkStart w:id="111" w:name="OLE_LINK1174"/>
      <w:bookmarkStart w:id="112" w:name="OLE_LINK1137"/>
      <w:bookmarkStart w:id="113" w:name="OLE_LINK1167"/>
      <w:bookmarkStart w:id="114" w:name="OLE_LINK1200"/>
      <w:bookmarkStart w:id="115" w:name="OLE_LINK1241"/>
      <w:bookmarkStart w:id="116" w:name="OLE_LINK1288"/>
      <w:bookmarkStart w:id="117" w:name="OLE_LINK1056"/>
      <w:bookmarkStart w:id="118" w:name="OLE_LINK1158"/>
      <w:bookmarkStart w:id="119" w:name="OLE_LINK1175"/>
      <w:bookmarkStart w:id="120" w:name="OLE_LINK1074"/>
      <w:bookmarkStart w:id="121" w:name="OLE_LINK1169"/>
      <w:bookmarkStart w:id="122" w:name="OLE_LINK1053"/>
      <w:bookmarkStart w:id="123" w:name="OLE_LINK1054"/>
      <w:r w:rsidRPr="005605FF">
        <w:rPr>
          <w:rFonts w:ascii="Book Antiqua" w:eastAsia="宋体" w:hAnsi="Book Antiqua" w:cs="Times New Roman"/>
          <w:b/>
          <w:bCs/>
          <w:sz w:val="24"/>
          <w:szCs w:val="24"/>
          <w:lang w:val="en-US" w:eastAsia="zh-CN"/>
        </w:rPr>
        <w:t xml:space="preserve">P-Reviewer: </w:t>
      </w:r>
      <w:r w:rsidRPr="005605FF">
        <w:rPr>
          <w:rFonts w:ascii="Book Antiqua" w:eastAsia="宋体" w:hAnsi="Book Antiqua" w:cs="Times New Roman"/>
          <w:bCs/>
          <w:sz w:val="24"/>
          <w:szCs w:val="24"/>
          <w:lang w:val="en-US" w:eastAsia="zh-CN"/>
        </w:rPr>
        <w:t>Николаевич</w:t>
      </w:r>
      <w:r w:rsidRPr="005605FF">
        <w:rPr>
          <w:rFonts w:ascii="Book Antiqua" w:eastAsia="宋体" w:hAnsi="Book Antiqua" w:cs="Times New Roman" w:hint="eastAsia"/>
          <w:b/>
          <w:bCs/>
          <w:sz w:val="24"/>
          <w:szCs w:val="24"/>
          <w:lang w:val="en-US" w:eastAsia="zh-CN"/>
        </w:rPr>
        <w:t xml:space="preserve"> </w:t>
      </w:r>
      <w:r w:rsidRPr="005605FF">
        <w:rPr>
          <w:rFonts w:ascii="Book Antiqua" w:eastAsia="宋体" w:hAnsi="Book Antiqua" w:cs="Times New Roman" w:hint="eastAsia"/>
          <w:bCs/>
          <w:sz w:val="24"/>
          <w:szCs w:val="24"/>
          <w:lang w:val="en-US" w:eastAsia="zh-CN"/>
        </w:rPr>
        <w:t xml:space="preserve">YN, </w:t>
      </w:r>
      <w:r w:rsidRPr="005605FF">
        <w:rPr>
          <w:rFonts w:ascii="Book Antiqua" w:eastAsia="宋体" w:hAnsi="Book Antiqua" w:cs="Times New Roman"/>
          <w:bCs/>
          <w:sz w:val="24"/>
          <w:szCs w:val="24"/>
          <w:lang w:val="en-US" w:eastAsia="zh-CN"/>
        </w:rPr>
        <w:t>Ricci</w:t>
      </w:r>
      <w:r w:rsidRPr="005605FF">
        <w:rPr>
          <w:rFonts w:ascii="Book Antiqua" w:eastAsia="宋体" w:hAnsi="Book Antiqua" w:cs="Times New Roman" w:hint="eastAsia"/>
          <w:bCs/>
          <w:sz w:val="24"/>
          <w:szCs w:val="24"/>
          <w:lang w:val="en-US" w:eastAsia="zh-CN"/>
        </w:rPr>
        <w:t xml:space="preserve"> G</w:t>
      </w:r>
      <w:r w:rsidRPr="005605FF">
        <w:rPr>
          <w:rFonts w:ascii="Book Antiqua" w:eastAsia="宋体" w:hAnsi="Book Antiqua" w:cs="Times New Roman" w:hint="eastAsia"/>
          <w:b/>
          <w:bCs/>
          <w:sz w:val="24"/>
          <w:szCs w:val="24"/>
          <w:lang w:val="en-US" w:eastAsia="zh-CN"/>
        </w:rPr>
        <w:t xml:space="preserve"> </w:t>
      </w:r>
      <w:r w:rsidRPr="005605FF">
        <w:rPr>
          <w:rFonts w:ascii="Book Antiqua" w:eastAsia="宋体" w:hAnsi="Book Antiqua" w:cs="Times New Roman"/>
          <w:b/>
          <w:bCs/>
          <w:sz w:val="24"/>
          <w:szCs w:val="24"/>
          <w:lang w:val="en-US" w:eastAsia="zh-CN"/>
        </w:rPr>
        <w:t>S-Editor:</w:t>
      </w:r>
      <w:r w:rsidRPr="005605FF">
        <w:rPr>
          <w:rFonts w:ascii="Book Antiqua" w:eastAsia="宋体" w:hAnsi="Book Antiqua" w:cs="Times New Roman"/>
          <w:sz w:val="24"/>
          <w:szCs w:val="24"/>
          <w:lang w:val="en-US" w:eastAsia="zh-CN"/>
        </w:rPr>
        <w:t xml:space="preserve"> Gong ZM</w:t>
      </w:r>
    </w:p>
    <w:p w14:paraId="35910226" w14:textId="5C0CDBFD" w:rsidR="005605FF" w:rsidRPr="005605FF" w:rsidRDefault="005605FF" w:rsidP="008369A6">
      <w:pPr>
        <w:wordWrap w:val="0"/>
        <w:snapToGrid w:val="0"/>
        <w:spacing w:after="0" w:line="360" w:lineRule="auto"/>
        <w:jc w:val="right"/>
        <w:rPr>
          <w:rFonts w:ascii="Book Antiqua" w:eastAsia="宋体" w:hAnsi="Book Antiqua" w:cs="Times New Roman"/>
          <w:b/>
          <w:bCs/>
          <w:sz w:val="24"/>
          <w:szCs w:val="24"/>
          <w:lang w:val="en-US" w:eastAsia="zh-CN"/>
        </w:rPr>
      </w:pPr>
      <w:r w:rsidRPr="005605FF">
        <w:rPr>
          <w:rFonts w:ascii="Book Antiqua" w:eastAsia="宋体" w:hAnsi="Book Antiqua" w:cs="Times New Roman"/>
          <w:b/>
          <w:bCs/>
          <w:sz w:val="24"/>
          <w:szCs w:val="24"/>
          <w:lang w:val="en-US" w:eastAsia="zh-CN"/>
        </w:rPr>
        <w:t>L-Editor:</w:t>
      </w:r>
      <w:r w:rsidR="008369A6" w:rsidRPr="008369A6">
        <w:rPr>
          <w:rFonts w:ascii="Book Antiqua" w:eastAsia="宋体" w:hAnsi="Book Antiqua" w:cs="Times New Roman" w:hint="eastAsia"/>
          <w:bCs/>
          <w:sz w:val="24"/>
          <w:szCs w:val="24"/>
          <w:lang w:val="en-US" w:eastAsia="zh-CN"/>
        </w:rPr>
        <w:t xml:space="preserve"> </w:t>
      </w:r>
      <w:proofErr w:type="gramStart"/>
      <w:r w:rsidR="008369A6" w:rsidRPr="008369A6">
        <w:rPr>
          <w:rFonts w:ascii="Book Antiqua" w:eastAsia="宋体" w:hAnsi="Book Antiqua" w:cs="Times New Roman" w:hint="eastAsia"/>
          <w:bCs/>
          <w:sz w:val="24"/>
          <w:szCs w:val="24"/>
          <w:lang w:val="en-US" w:eastAsia="zh-CN"/>
        </w:rPr>
        <w:t>A</w:t>
      </w:r>
      <w:proofErr w:type="gramEnd"/>
      <w:r w:rsidRPr="005605FF">
        <w:rPr>
          <w:rFonts w:ascii="Book Antiqua" w:eastAsia="宋体" w:hAnsi="Book Antiqua" w:cs="Times New Roman"/>
          <w:sz w:val="24"/>
          <w:szCs w:val="24"/>
          <w:lang w:val="en-US" w:eastAsia="zh-CN"/>
        </w:rPr>
        <w:t xml:space="preserve"> </w:t>
      </w:r>
      <w:r w:rsidRPr="005605FF">
        <w:rPr>
          <w:rFonts w:ascii="Book Antiqua" w:eastAsia="宋体" w:hAnsi="Book Antiqua" w:cs="Times New Roman"/>
          <w:b/>
          <w:bCs/>
          <w:sz w:val="24"/>
          <w:szCs w:val="24"/>
          <w:lang w:val="en-US" w:eastAsia="zh-CN"/>
        </w:rPr>
        <w:t>E-Editor:</w:t>
      </w:r>
      <w:r w:rsidR="008369A6">
        <w:rPr>
          <w:rFonts w:ascii="Book Antiqua" w:eastAsia="宋体" w:hAnsi="Book Antiqua" w:cs="Times New Roman" w:hint="eastAsia"/>
          <w:b/>
          <w:bCs/>
          <w:sz w:val="24"/>
          <w:szCs w:val="24"/>
          <w:lang w:val="en-US" w:eastAsia="zh-CN"/>
        </w:rPr>
        <w:t xml:space="preserve"> </w:t>
      </w:r>
      <w:r w:rsidR="008369A6" w:rsidRPr="008369A6">
        <w:rPr>
          <w:rFonts w:ascii="Book Antiqua" w:eastAsia="宋体" w:hAnsi="Book Antiqua" w:cs="Times New Roman" w:hint="eastAsia"/>
          <w:bCs/>
          <w:sz w:val="24"/>
          <w:szCs w:val="24"/>
          <w:lang w:val="en-US" w:eastAsia="zh-CN"/>
        </w:rPr>
        <w:t>Yin SY</w:t>
      </w:r>
    </w:p>
    <w:p w14:paraId="170C4845" w14:textId="77777777" w:rsidR="005605FF" w:rsidRPr="005605FF" w:rsidRDefault="005605FF" w:rsidP="005605FF">
      <w:pPr>
        <w:shd w:val="clear" w:color="auto" w:fill="FFFFFF"/>
        <w:snapToGrid w:val="0"/>
        <w:spacing w:after="0" w:line="360" w:lineRule="auto"/>
        <w:jc w:val="both"/>
        <w:rPr>
          <w:rFonts w:ascii="Book Antiqua" w:eastAsia="宋体" w:hAnsi="Book Antiqua" w:cs="Helvetica"/>
          <w:b/>
          <w:sz w:val="24"/>
          <w:szCs w:val="24"/>
          <w:lang w:val="en-US" w:eastAsia="zh-CN"/>
        </w:rPr>
      </w:pPr>
      <w:bookmarkStart w:id="124" w:name="OLE_LINK880"/>
      <w:bookmarkStart w:id="125" w:name="OLE_LINK881"/>
      <w:bookmarkStart w:id="126" w:name="OLE_LINK497"/>
      <w:bookmarkStart w:id="127" w:name="OLE_LINK813"/>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5605FF">
        <w:rPr>
          <w:rFonts w:ascii="Book Antiqua" w:eastAsia="宋体" w:hAnsi="Book Antiqua" w:cs="Helvetica"/>
          <w:b/>
          <w:sz w:val="24"/>
          <w:szCs w:val="24"/>
          <w:lang w:val="en-US" w:eastAsia="zh-CN"/>
        </w:rPr>
        <w:t xml:space="preserve">Specialty type: </w:t>
      </w:r>
      <w:r w:rsidRPr="005605FF">
        <w:rPr>
          <w:rFonts w:ascii="Book Antiqua" w:eastAsia="宋体" w:hAnsi="Book Antiqua" w:cs="Helvetica"/>
          <w:sz w:val="24"/>
          <w:szCs w:val="24"/>
          <w:lang w:val="en-US" w:eastAsia="zh-CN"/>
        </w:rPr>
        <w:t>Gastroenterology and hepatology</w:t>
      </w:r>
    </w:p>
    <w:p w14:paraId="4D3D3816" w14:textId="77777777" w:rsidR="005605FF" w:rsidRPr="005605FF" w:rsidRDefault="005605FF" w:rsidP="005605FF">
      <w:pPr>
        <w:shd w:val="clear" w:color="auto" w:fill="FFFFFF"/>
        <w:snapToGrid w:val="0"/>
        <w:spacing w:after="0" w:line="360" w:lineRule="auto"/>
        <w:jc w:val="both"/>
        <w:rPr>
          <w:rFonts w:ascii="Book Antiqua" w:eastAsia="宋体" w:hAnsi="Book Antiqua" w:cs="Helvetica"/>
          <w:b/>
          <w:sz w:val="24"/>
          <w:szCs w:val="24"/>
          <w:lang w:val="en-US" w:eastAsia="zh-CN"/>
        </w:rPr>
      </w:pPr>
      <w:r w:rsidRPr="005605FF">
        <w:rPr>
          <w:rFonts w:ascii="Book Antiqua" w:eastAsia="宋体" w:hAnsi="Book Antiqua" w:cs="Helvetica"/>
          <w:b/>
          <w:sz w:val="24"/>
          <w:szCs w:val="24"/>
          <w:lang w:val="en-US" w:eastAsia="zh-CN"/>
        </w:rPr>
        <w:t xml:space="preserve">Country of origin: </w:t>
      </w:r>
      <w:r w:rsidRPr="005605FF">
        <w:rPr>
          <w:rFonts w:ascii="Book Antiqua" w:eastAsia="宋体" w:hAnsi="Book Antiqua" w:cs="Helvetica"/>
          <w:sz w:val="24"/>
          <w:szCs w:val="24"/>
          <w:lang w:val="en-US" w:eastAsia="zh-CN"/>
        </w:rPr>
        <w:t>Croatia</w:t>
      </w:r>
    </w:p>
    <w:p w14:paraId="409D8699" w14:textId="77777777" w:rsidR="005605FF" w:rsidRPr="005605FF" w:rsidRDefault="005605FF" w:rsidP="005605FF">
      <w:pPr>
        <w:shd w:val="clear" w:color="auto" w:fill="FFFFFF"/>
        <w:snapToGrid w:val="0"/>
        <w:spacing w:after="0" w:line="360" w:lineRule="auto"/>
        <w:jc w:val="both"/>
        <w:rPr>
          <w:rFonts w:ascii="Book Antiqua" w:eastAsia="宋体" w:hAnsi="Book Antiqua" w:cs="Helvetica"/>
          <w:b/>
          <w:sz w:val="24"/>
          <w:szCs w:val="24"/>
          <w:lang w:val="en-US" w:eastAsia="zh-CN"/>
        </w:rPr>
      </w:pPr>
      <w:r w:rsidRPr="005605FF">
        <w:rPr>
          <w:rFonts w:ascii="Book Antiqua" w:eastAsia="宋体" w:hAnsi="Book Antiqua" w:cs="Helvetica"/>
          <w:b/>
          <w:sz w:val="24"/>
          <w:szCs w:val="24"/>
          <w:lang w:val="en-US" w:eastAsia="zh-CN"/>
        </w:rPr>
        <w:t>Peer-review report classification</w:t>
      </w:r>
    </w:p>
    <w:p w14:paraId="764176EB" w14:textId="77777777" w:rsidR="005605FF" w:rsidRPr="005605FF" w:rsidRDefault="005605FF" w:rsidP="005605FF">
      <w:pPr>
        <w:shd w:val="clear" w:color="auto" w:fill="FFFFFF"/>
        <w:snapToGrid w:val="0"/>
        <w:spacing w:after="0" w:line="360" w:lineRule="auto"/>
        <w:jc w:val="both"/>
        <w:rPr>
          <w:rFonts w:ascii="Book Antiqua" w:eastAsia="宋体" w:hAnsi="Book Antiqua" w:cs="Helvetica"/>
          <w:sz w:val="24"/>
          <w:szCs w:val="24"/>
          <w:lang w:val="en-US" w:eastAsia="zh-CN"/>
        </w:rPr>
      </w:pPr>
      <w:r w:rsidRPr="005605FF">
        <w:rPr>
          <w:rFonts w:ascii="Book Antiqua" w:eastAsia="宋体" w:hAnsi="Book Antiqua" w:cs="Helvetica"/>
          <w:sz w:val="24"/>
          <w:szCs w:val="24"/>
          <w:lang w:val="en-US" w:eastAsia="zh-CN"/>
        </w:rPr>
        <w:t>Grade A (Excellent): 0</w:t>
      </w:r>
    </w:p>
    <w:p w14:paraId="487BFF52" w14:textId="77777777" w:rsidR="005605FF" w:rsidRPr="005605FF" w:rsidRDefault="005605FF" w:rsidP="005605FF">
      <w:pPr>
        <w:shd w:val="clear" w:color="auto" w:fill="FFFFFF"/>
        <w:snapToGrid w:val="0"/>
        <w:spacing w:after="0" w:line="360" w:lineRule="auto"/>
        <w:jc w:val="both"/>
        <w:rPr>
          <w:rFonts w:ascii="Book Antiqua" w:eastAsia="宋体" w:hAnsi="Book Antiqua" w:cs="Helvetica"/>
          <w:sz w:val="24"/>
          <w:szCs w:val="24"/>
          <w:lang w:val="en-US" w:eastAsia="zh-CN"/>
        </w:rPr>
      </w:pPr>
      <w:r w:rsidRPr="005605FF">
        <w:rPr>
          <w:rFonts w:ascii="Book Antiqua" w:eastAsia="宋体" w:hAnsi="Book Antiqua" w:cs="Helvetica"/>
          <w:sz w:val="24"/>
          <w:szCs w:val="24"/>
          <w:lang w:val="en-US" w:eastAsia="zh-CN"/>
        </w:rPr>
        <w:t xml:space="preserve">Grade B (Very good): </w:t>
      </w:r>
      <w:r w:rsidRPr="005605FF">
        <w:rPr>
          <w:rFonts w:ascii="Book Antiqua" w:eastAsia="宋体" w:hAnsi="Book Antiqua" w:cs="Helvetica" w:hint="eastAsia"/>
          <w:sz w:val="24"/>
          <w:szCs w:val="24"/>
          <w:lang w:val="en-US" w:eastAsia="zh-CN"/>
        </w:rPr>
        <w:t>B</w:t>
      </w:r>
    </w:p>
    <w:p w14:paraId="57FEC07C" w14:textId="77777777" w:rsidR="005605FF" w:rsidRPr="005605FF" w:rsidRDefault="005605FF" w:rsidP="005605FF">
      <w:pPr>
        <w:shd w:val="clear" w:color="auto" w:fill="FFFFFF"/>
        <w:snapToGrid w:val="0"/>
        <w:spacing w:after="0" w:line="360" w:lineRule="auto"/>
        <w:jc w:val="both"/>
        <w:rPr>
          <w:rFonts w:ascii="Book Antiqua" w:eastAsia="宋体" w:hAnsi="Book Antiqua" w:cs="Helvetica"/>
          <w:sz w:val="24"/>
          <w:szCs w:val="24"/>
          <w:lang w:val="en-US" w:eastAsia="zh-CN"/>
        </w:rPr>
      </w:pPr>
      <w:r w:rsidRPr="005605FF">
        <w:rPr>
          <w:rFonts w:ascii="Book Antiqua" w:eastAsia="宋体" w:hAnsi="Book Antiqua" w:cs="Helvetica"/>
          <w:sz w:val="24"/>
          <w:szCs w:val="24"/>
          <w:lang w:val="en-US" w:eastAsia="zh-CN"/>
        </w:rPr>
        <w:t>Grade C (Good): C</w:t>
      </w:r>
    </w:p>
    <w:p w14:paraId="632B2AC3" w14:textId="77777777" w:rsidR="005605FF" w:rsidRPr="005605FF" w:rsidRDefault="005605FF" w:rsidP="005605FF">
      <w:pPr>
        <w:shd w:val="clear" w:color="auto" w:fill="FFFFFF"/>
        <w:snapToGrid w:val="0"/>
        <w:spacing w:after="0" w:line="360" w:lineRule="auto"/>
        <w:jc w:val="both"/>
        <w:rPr>
          <w:rFonts w:ascii="Book Antiqua" w:eastAsia="宋体" w:hAnsi="Book Antiqua" w:cs="Helvetica"/>
          <w:sz w:val="24"/>
          <w:szCs w:val="24"/>
          <w:lang w:val="en-US" w:eastAsia="zh-CN"/>
        </w:rPr>
      </w:pPr>
      <w:r w:rsidRPr="005605FF">
        <w:rPr>
          <w:rFonts w:ascii="Book Antiqua" w:eastAsia="宋体" w:hAnsi="Book Antiqua" w:cs="Helvetica"/>
          <w:sz w:val="24"/>
          <w:szCs w:val="24"/>
          <w:lang w:val="en-US" w:eastAsia="zh-CN"/>
        </w:rPr>
        <w:t>Grade D (Fair): 0</w:t>
      </w:r>
    </w:p>
    <w:p w14:paraId="0A147341" w14:textId="77777777" w:rsidR="005605FF" w:rsidRPr="005605FF" w:rsidRDefault="005605FF" w:rsidP="005605FF">
      <w:pPr>
        <w:shd w:val="clear" w:color="auto" w:fill="FFFFFF"/>
        <w:snapToGrid w:val="0"/>
        <w:spacing w:after="0" w:line="360" w:lineRule="auto"/>
        <w:jc w:val="both"/>
        <w:rPr>
          <w:rFonts w:ascii="Book Antiqua" w:eastAsia="宋体" w:hAnsi="Book Antiqua" w:cs="Helvetica"/>
          <w:sz w:val="24"/>
          <w:szCs w:val="24"/>
          <w:lang w:val="en-US" w:eastAsia="zh-CN"/>
        </w:rPr>
      </w:pPr>
      <w:r w:rsidRPr="005605FF">
        <w:rPr>
          <w:rFonts w:ascii="Book Antiqua" w:eastAsia="宋体" w:hAnsi="Book Antiqua" w:cs="Helvetica"/>
          <w:sz w:val="24"/>
          <w:szCs w:val="24"/>
          <w:lang w:val="en-US" w:eastAsia="zh-CN"/>
        </w:rPr>
        <w:t>Grade E (Poor): 0</w:t>
      </w:r>
      <w:bookmarkEnd w:id="124"/>
      <w:bookmarkEnd w:id="125"/>
      <w:r w:rsidRPr="005605FF">
        <w:rPr>
          <w:rFonts w:ascii="Book Antiqua" w:eastAsia="宋体" w:hAnsi="Book Antiqua" w:cs="Helvetica"/>
          <w:sz w:val="24"/>
          <w:szCs w:val="24"/>
          <w:lang w:val="en-US" w:eastAsia="zh-CN"/>
        </w:rPr>
        <w:t xml:space="preserve"> </w:t>
      </w:r>
    </w:p>
    <w:bookmarkEnd w:id="122"/>
    <w:bookmarkEnd w:id="123"/>
    <w:bookmarkEnd w:id="126"/>
    <w:bookmarkEnd w:id="127"/>
    <w:p w14:paraId="752A063B" w14:textId="756BD68B" w:rsidR="002E7EFE" w:rsidRPr="00E47A42" w:rsidRDefault="002E7EFE" w:rsidP="005605FF">
      <w:pPr>
        <w:widowControl w:val="0"/>
        <w:autoSpaceDE w:val="0"/>
        <w:autoSpaceDN w:val="0"/>
        <w:adjustRightInd w:val="0"/>
        <w:snapToGrid w:val="0"/>
        <w:spacing w:after="0" w:line="360" w:lineRule="auto"/>
        <w:rPr>
          <w:rFonts w:ascii="Book Antiqua" w:hAnsi="Book Antiqua" w:cs="Times New Roman"/>
          <w:b/>
          <w:sz w:val="24"/>
          <w:szCs w:val="24"/>
          <w:lang w:val="en-US" w:eastAsia="zh-CN"/>
        </w:rPr>
      </w:pPr>
    </w:p>
    <w:p w14:paraId="44768E56" w14:textId="37E90008" w:rsidR="00DB7042" w:rsidRDefault="00DB7042">
      <w:pPr>
        <w:rPr>
          <w:rFonts w:ascii="Book Antiqua" w:hAnsi="Book Antiqua" w:cs="Times New Roman"/>
          <w:b/>
          <w:sz w:val="24"/>
          <w:szCs w:val="24"/>
          <w:lang w:val="en-US"/>
        </w:rPr>
      </w:pPr>
      <w:r>
        <w:rPr>
          <w:rFonts w:ascii="Book Antiqua" w:hAnsi="Book Antiqua" w:cs="Times New Roman"/>
          <w:b/>
          <w:sz w:val="24"/>
          <w:szCs w:val="24"/>
          <w:lang w:val="en-US"/>
        </w:rPr>
        <w:br w:type="page"/>
      </w:r>
    </w:p>
    <w:p w14:paraId="710DE0C5" w14:textId="5C5EF939" w:rsidR="00DB7042" w:rsidRPr="00E47A42" w:rsidRDefault="00E933B0" w:rsidP="00DB7042">
      <w:pPr>
        <w:snapToGrid w:val="0"/>
        <w:spacing w:after="0" w:line="360" w:lineRule="auto"/>
        <w:ind w:firstLine="720"/>
        <w:jc w:val="both"/>
        <w:rPr>
          <w:rFonts w:ascii="Book Antiqua" w:hAnsi="Book Antiqua" w:cs="Times New Roman"/>
          <w:sz w:val="24"/>
          <w:szCs w:val="24"/>
          <w:lang w:val="en-US"/>
        </w:rPr>
      </w:pPr>
      <w:r>
        <w:rPr>
          <w:rFonts w:ascii="Book Antiqua" w:hAnsi="Book Antiqua" w:cs="Times New Roman"/>
          <w:noProof/>
          <w:sz w:val="24"/>
          <w:szCs w:val="24"/>
          <w:lang w:val="en-US" w:eastAsia="zh-CN"/>
        </w:rPr>
        <w:lastRenderedPageBreak/>
        <mc:AlternateContent>
          <mc:Choice Requires="wps">
            <w:drawing>
              <wp:anchor distT="0" distB="0" distL="114300" distR="114300" simplePos="0" relativeHeight="251763712" behindDoc="0" locked="0" layoutInCell="1" allowOverlap="1" wp14:anchorId="34F0FA32" wp14:editId="0AF77818">
                <wp:simplePos x="0" y="0"/>
                <wp:positionH relativeFrom="column">
                  <wp:posOffset>3510280</wp:posOffset>
                </wp:positionH>
                <wp:positionV relativeFrom="paragraph">
                  <wp:posOffset>5167630</wp:posOffset>
                </wp:positionV>
                <wp:extent cx="304800" cy="285750"/>
                <wp:effectExtent l="0" t="0" r="19050" b="19050"/>
                <wp:wrapNone/>
                <wp:docPr id="66" name="文本框 66"/>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76EF83F"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66" o:spid="_x0000_s1026" type="#_x0000_t202" style="position:absolute;left:0;text-align:left;margin-left:276.4pt;margin-top:406.9pt;width:24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" fillcolor="white [3212]" strokecolor="white [3212]" strokeweight=".5pt">
                <v:textbox>
                  <w:txbxContent>
                    <w:p w14:paraId="376EF83F"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65760" behindDoc="0" locked="0" layoutInCell="1" allowOverlap="1" wp14:anchorId="050768F9" wp14:editId="4052DDC4">
                <wp:simplePos x="0" y="0"/>
                <wp:positionH relativeFrom="column">
                  <wp:posOffset>3900805</wp:posOffset>
                </wp:positionH>
                <wp:positionV relativeFrom="paragraph">
                  <wp:posOffset>5015230</wp:posOffset>
                </wp:positionV>
                <wp:extent cx="304800" cy="285750"/>
                <wp:effectExtent l="0" t="0" r="19050" b="19050"/>
                <wp:wrapNone/>
                <wp:docPr id="67" name="文本框 67"/>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2DA817A"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7" o:spid="_x0000_s1027" type="#_x0000_t202" style="position:absolute;left:0;text-align:left;margin-left:307.15pt;margin-top:394.9pt;width:24pt;height: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" fillcolor="white [3212]" strokecolor="white [3212]" strokeweight=".5pt">
                <v:textbox>
                  <w:txbxContent>
                    <w:p w14:paraId="72DA817A"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67808" behindDoc="0" locked="0" layoutInCell="1" allowOverlap="1" wp14:anchorId="2861B209" wp14:editId="7E5F8990">
                <wp:simplePos x="0" y="0"/>
                <wp:positionH relativeFrom="column">
                  <wp:posOffset>4272280</wp:posOffset>
                </wp:positionH>
                <wp:positionV relativeFrom="paragraph">
                  <wp:posOffset>4729480</wp:posOffset>
                </wp:positionV>
                <wp:extent cx="304800" cy="285750"/>
                <wp:effectExtent l="0" t="0" r="19050" b="19050"/>
                <wp:wrapNone/>
                <wp:docPr id="68" name="文本框 68"/>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07033B"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8" o:spid="_x0000_s1028" type="#_x0000_t202" style="position:absolute;left:0;text-align:left;margin-left:336.4pt;margin-top:372.4pt;width:24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" fillcolor="white [3212]" strokecolor="white [3212]" strokeweight=".5pt">
                <v:textbox>
                  <w:txbxContent>
                    <w:p w14:paraId="6E07033B"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69856" behindDoc="0" locked="0" layoutInCell="1" allowOverlap="1" wp14:anchorId="172477C7" wp14:editId="14213797">
                <wp:simplePos x="0" y="0"/>
                <wp:positionH relativeFrom="column">
                  <wp:posOffset>4710430</wp:posOffset>
                </wp:positionH>
                <wp:positionV relativeFrom="paragraph">
                  <wp:posOffset>4558030</wp:posOffset>
                </wp:positionV>
                <wp:extent cx="304800" cy="285750"/>
                <wp:effectExtent l="0" t="0" r="19050" b="19050"/>
                <wp:wrapNone/>
                <wp:docPr id="69" name="文本框 69"/>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D0A16EF"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9" o:spid="_x0000_s1029" type="#_x0000_t202" style="position:absolute;left:0;text-align:left;margin-left:370.9pt;margin-top:358.9pt;width:24pt;height: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" fillcolor="white [3212]" strokecolor="white [3212]" strokeweight=".5pt">
                <v:textbox>
                  <w:txbxContent>
                    <w:p w14:paraId="2D0A16EF"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49376" behindDoc="0" locked="0" layoutInCell="1" allowOverlap="1" wp14:anchorId="1232B3B9" wp14:editId="057101CE">
                <wp:simplePos x="0" y="0"/>
                <wp:positionH relativeFrom="column">
                  <wp:posOffset>1995805</wp:posOffset>
                </wp:positionH>
                <wp:positionV relativeFrom="paragraph">
                  <wp:posOffset>4739005</wp:posOffset>
                </wp:positionV>
                <wp:extent cx="304800" cy="285750"/>
                <wp:effectExtent l="0" t="0" r="19050" b="19050"/>
                <wp:wrapNone/>
                <wp:docPr id="59" name="文本框 59"/>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8F77F57"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9" o:spid="_x0000_s1030" type="#_x0000_t202" style="position:absolute;left:0;text-align:left;margin-left:157.15pt;margin-top:373.15pt;width:24pt;height: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" fillcolor="white [3212]" strokecolor="white [3212]" strokeweight=".5pt">
                <v:textbox>
                  <w:txbxContent>
                    <w:p w14:paraId="48F77F57"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71904" behindDoc="0" locked="0" layoutInCell="1" allowOverlap="1" wp14:anchorId="12F00829" wp14:editId="5BAFCAC0">
                <wp:simplePos x="0" y="0"/>
                <wp:positionH relativeFrom="column">
                  <wp:posOffset>1148080</wp:posOffset>
                </wp:positionH>
                <wp:positionV relativeFrom="paragraph">
                  <wp:posOffset>5329555</wp:posOffset>
                </wp:positionV>
                <wp:extent cx="304800" cy="285750"/>
                <wp:effectExtent l="0" t="0" r="19050" b="19050"/>
                <wp:wrapNone/>
                <wp:docPr id="70" name="文本框 70"/>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E7D3EF"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0" o:spid="_x0000_s1031" type="#_x0000_t202" style="position:absolute;left:0;text-align:left;margin-left:90.4pt;margin-top:419.65pt;width:24pt;height: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" fillcolor="white [3212]" strokecolor="white [3212]" strokeweight=".5pt">
                <v:textbox>
                  <w:txbxContent>
                    <w:p w14:paraId="2CE7D3EF"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73952" behindDoc="0" locked="0" layoutInCell="1" allowOverlap="1" wp14:anchorId="6CE42793" wp14:editId="3CB72777">
                <wp:simplePos x="0" y="0"/>
                <wp:positionH relativeFrom="column">
                  <wp:posOffset>1557655</wp:posOffset>
                </wp:positionH>
                <wp:positionV relativeFrom="paragraph">
                  <wp:posOffset>5224780</wp:posOffset>
                </wp:positionV>
                <wp:extent cx="304800" cy="285750"/>
                <wp:effectExtent l="0" t="0" r="19050" b="19050"/>
                <wp:wrapNone/>
                <wp:docPr id="71" name="文本框 71"/>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7BAD05"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1" o:spid="_x0000_s1032" type="#_x0000_t202" style="position:absolute;left:0;text-align:left;margin-left:122.65pt;margin-top:411.4pt;width:24pt;height: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" fillcolor="white [3212]" strokecolor="white [3212]" strokeweight=".5pt">
                <v:textbox>
                  <w:txbxContent>
                    <w:p w14:paraId="497BAD05"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51424" behindDoc="0" locked="0" layoutInCell="1" allowOverlap="1" wp14:anchorId="43C8F13A" wp14:editId="7D38C50D">
                <wp:simplePos x="0" y="0"/>
                <wp:positionH relativeFrom="column">
                  <wp:posOffset>2386330</wp:posOffset>
                </wp:positionH>
                <wp:positionV relativeFrom="paragraph">
                  <wp:posOffset>4558030</wp:posOffset>
                </wp:positionV>
                <wp:extent cx="304800" cy="285750"/>
                <wp:effectExtent l="0" t="0" r="19050" b="19050"/>
                <wp:wrapNone/>
                <wp:docPr id="60" name="文本框 60"/>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F664024"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0" o:spid="_x0000_s1033" type="#_x0000_t202" style="position:absolute;left:0;text-align:left;margin-left:187.9pt;margin-top:358.9pt;width:24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" fillcolor="white [3212]" strokecolor="white [3212]" strokeweight=".5pt">
                <v:textbox>
                  <w:txbxContent>
                    <w:p w14:paraId="3F664024"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53472" behindDoc="0" locked="0" layoutInCell="1" allowOverlap="1" wp14:anchorId="12108BC3" wp14:editId="47F89BE5">
                <wp:simplePos x="0" y="0"/>
                <wp:positionH relativeFrom="column">
                  <wp:posOffset>3405505</wp:posOffset>
                </wp:positionH>
                <wp:positionV relativeFrom="paragraph">
                  <wp:posOffset>986155</wp:posOffset>
                </wp:positionV>
                <wp:extent cx="304800" cy="285750"/>
                <wp:effectExtent l="0" t="0" r="19050" b="19050"/>
                <wp:wrapNone/>
                <wp:docPr id="61" name="文本框 61"/>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8BD99F7"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1" o:spid="_x0000_s1034" type="#_x0000_t202" style="position:absolute;left:0;text-align:left;margin-left:268.15pt;margin-top:77.65pt;width:24pt;height: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" fillcolor="white [3212]" strokecolor="white [3212]" strokeweight=".5pt">
                <v:textbox>
                  <w:txbxContent>
                    <w:p w14:paraId="08BD99F7"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55520" behindDoc="0" locked="0" layoutInCell="1" allowOverlap="1" wp14:anchorId="705AEC44" wp14:editId="45511CD7">
                <wp:simplePos x="0" y="0"/>
                <wp:positionH relativeFrom="column">
                  <wp:posOffset>3815080</wp:posOffset>
                </wp:positionH>
                <wp:positionV relativeFrom="paragraph">
                  <wp:posOffset>700405</wp:posOffset>
                </wp:positionV>
                <wp:extent cx="304800" cy="285750"/>
                <wp:effectExtent l="0" t="0" r="19050" b="19050"/>
                <wp:wrapNone/>
                <wp:docPr id="62" name="文本框 62"/>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5F7AF4"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2" o:spid="_x0000_s1035" type="#_x0000_t202" style="position:absolute;left:0;text-align:left;margin-left:300.4pt;margin-top:55.15pt;width:24pt;height: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" fillcolor="white [3212]" strokecolor="white [3212]" strokeweight=".5pt">
                <v:textbox>
                  <w:txbxContent>
                    <w:p w14:paraId="4C5F7AF4"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57568" behindDoc="0" locked="0" layoutInCell="1" allowOverlap="1" wp14:anchorId="6CED381F" wp14:editId="4CF21D45">
                <wp:simplePos x="0" y="0"/>
                <wp:positionH relativeFrom="column">
                  <wp:posOffset>4272280</wp:posOffset>
                </wp:positionH>
                <wp:positionV relativeFrom="paragraph">
                  <wp:posOffset>643255</wp:posOffset>
                </wp:positionV>
                <wp:extent cx="304800" cy="285750"/>
                <wp:effectExtent l="0" t="0" r="19050" b="19050"/>
                <wp:wrapNone/>
                <wp:docPr id="63" name="文本框 63"/>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FF68B0B"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3" o:spid="_x0000_s1036" type="#_x0000_t202" style="position:absolute;left:0;text-align:left;margin-left:336.4pt;margin-top:50.65pt;width:24pt;height: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" fillcolor="white [3212]" strokecolor="white [3212]" strokeweight=".5pt">
                <v:textbox>
                  <w:txbxContent>
                    <w:p w14:paraId="4FF68B0B"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59616" behindDoc="0" locked="0" layoutInCell="1" allowOverlap="1" wp14:anchorId="148B765A" wp14:editId="1B55E300">
                <wp:simplePos x="0" y="0"/>
                <wp:positionH relativeFrom="column">
                  <wp:posOffset>4653280</wp:posOffset>
                </wp:positionH>
                <wp:positionV relativeFrom="paragraph">
                  <wp:posOffset>414655</wp:posOffset>
                </wp:positionV>
                <wp:extent cx="304800" cy="285750"/>
                <wp:effectExtent l="0" t="0" r="19050" b="19050"/>
                <wp:wrapNone/>
                <wp:docPr id="64" name="文本框 64"/>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D0C4D84"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4" o:spid="_x0000_s1037" type="#_x0000_t202" style="position:absolute;left:0;text-align:left;margin-left:366.4pt;margin-top:32.65pt;width:24pt;height: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" fillcolor="white [3212]" strokecolor="white [3212]" strokeweight=".5pt">
                <v:textbox>
                  <w:txbxContent>
                    <w:p w14:paraId="7D0C4D84"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61664" behindDoc="0" locked="0" layoutInCell="1" allowOverlap="1" wp14:anchorId="1A30B6C9" wp14:editId="7A411723">
                <wp:simplePos x="0" y="0"/>
                <wp:positionH relativeFrom="column">
                  <wp:posOffset>3453130</wp:posOffset>
                </wp:positionH>
                <wp:positionV relativeFrom="paragraph">
                  <wp:posOffset>1891030</wp:posOffset>
                </wp:positionV>
                <wp:extent cx="304800" cy="285750"/>
                <wp:effectExtent l="0" t="0" r="19050" b="19050"/>
                <wp:wrapNone/>
                <wp:docPr id="65" name="文本框 65"/>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BFD957E"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5" o:spid="_x0000_s1038" type="#_x0000_t202" style="position:absolute;left:0;text-align:left;margin-left:271.9pt;margin-top:148.9pt;width:24pt;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" fillcolor="white [3212]" strokecolor="white [3212]" strokeweight=".5pt">
                <v:textbox>
                  <w:txbxContent>
                    <w:p w14:paraId="7BFD957E"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35040" behindDoc="0" locked="0" layoutInCell="1" allowOverlap="1" wp14:anchorId="7048B947" wp14:editId="61104A19">
                <wp:simplePos x="0" y="0"/>
                <wp:positionH relativeFrom="column">
                  <wp:posOffset>3900805</wp:posOffset>
                </wp:positionH>
                <wp:positionV relativeFrom="paragraph">
                  <wp:posOffset>2091055</wp:posOffset>
                </wp:positionV>
                <wp:extent cx="304800" cy="285750"/>
                <wp:effectExtent l="0" t="0" r="19050" b="19050"/>
                <wp:wrapNone/>
                <wp:docPr id="50" name="文本框 50"/>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5F4393"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0" o:spid="_x0000_s1039" type="#_x0000_t202" style="position:absolute;left:0;text-align:left;margin-left:307.15pt;margin-top:164.65pt;width:24pt;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" fillcolor="white [3212]" strokecolor="white [3212]" strokeweight=".5pt">
                <v:textbox>
                  <w:txbxContent>
                    <w:p w14:paraId="1F5F4393"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37088" behindDoc="0" locked="0" layoutInCell="1" allowOverlap="1" wp14:anchorId="2DC2A862" wp14:editId="32611619">
                <wp:simplePos x="0" y="0"/>
                <wp:positionH relativeFrom="column">
                  <wp:posOffset>4348480</wp:posOffset>
                </wp:positionH>
                <wp:positionV relativeFrom="paragraph">
                  <wp:posOffset>2576830</wp:posOffset>
                </wp:positionV>
                <wp:extent cx="304800" cy="285750"/>
                <wp:effectExtent l="0" t="0" r="19050" b="19050"/>
                <wp:wrapNone/>
                <wp:docPr id="51" name="文本框 51"/>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33C9C51"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1" o:spid="_x0000_s1040" type="#_x0000_t202" style="position:absolute;left:0;text-align:left;margin-left:342.4pt;margin-top:202.9pt;width:24pt;height: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" fillcolor="white [3212]" strokecolor="white [3212]" strokeweight=".5pt">
                <v:textbox>
                  <w:txbxContent>
                    <w:p w14:paraId="533C9C51"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39136" behindDoc="0" locked="0" layoutInCell="1" allowOverlap="1" wp14:anchorId="0895104D" wp14:editId="49382564">
                <wp:simplePos x="0" y="0"/>
                <wp:positionH relativeFrom="column">
                  <wp:posOffset>4710430</wp:posOffset>
                </wp:positionH>
                <wp:positionV relativeFrom="paragraph">
                  <wp:posOffset>2595880</wp:posOffset>
                </wp:positionV>
                <wp:extent cx="304800" cy="285750"/>
                <wp:effectExtent l="0" t="0" r="19050" b="19050"/>
                <wp:wrapNone/>
                <wp:docPr id="52" name="文本框 52"/>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3CE8AB2"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2" o:spid="_x0000_s1041" type="#_x0000_t202" style="position:absolute;left:0;text-align:left;margin-left:370.9pt;margin-top:204.4pt;width:24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" fillcolor="white [3212]" strokecolor="white [3212]" strokeweight=".5pt">
                <v:textbox>
                  <w:txbxContent>
                    <w:p w14:paraId="03CE8AB2"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41184" behindDoc="0" locked="0" layoutInCell="1" allowOverlap="1" wp14:anchorId="53C2865C" wp14:editId="629490A5">
                <wp:simplePos x="0" y="0"/>
                <wp:positionH relativeFrom="column">
                  <wp:posOffset>3510280</wp:posOffset>
                </wp:positionH>
                <wp:positionV relativeFrom="paragraph">
                  <wp:posOffset>3662680</wp:posOffset>
                </wp:positionV>
                <wp:extent cx="304800" cy="285750"/>
                <wp:effectExtent l="0" t="0" r="19050" b="19050"/>
                <wp:wrapNone/>
                <wp:docPr id="53" name="文本框 53"/>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58BE9AF"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3" o:spid="_x0000_s1042" type="#_x0000_t202" style="position:absolute;left:0;text-align:left;margin-left:276.4pt;margin-top:288.4pt;width:24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" fillcolor="white [3212]" strokecolor="white [3212]" strokeweight=".5pt">
                <v:textbox>
                  <w:txbxContent>
                    <w:p w14:paraId="458BE9AF"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43232" behindDoc="0" locked="0" layoutInCell="1" allowOverlap="1" wp14:anchorId="1EBA5CE0" wp14:editId="7CD4C250">
                <wp:simplePos x="0" y="0"/>
                <wp:positionH relativeFrom="column">
                  <wp:posOffset>3900805</wp:posOffset>
                </wp:positionH>
                <wp:positionV relativeFrom="paragraph">
                  <wp:posOffset>3472180</wp:posOffset>
                </wp:positionV>
                <wp:extent cx="304800" cy="285750"/>
                <wp:effectExtent l="0" t="0" r="19050" b="19050"/>
                <wp:wrapNone/>
                <wp:docPr id="54" name="文本框 54"/>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011300"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4" o:spid="_x0000_s1043" type="#_x0000_t202" style="position:absolute;left:0;text-align:left;margin-left:307.15pt;margin-top:273.4pt;width:24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" fillcolor="white [3212]" strokecolor="white [3212]" strokeweight=".5pt">
                <v:textbox>
                  <w:txbxContent>
                    <w:p w14:paraId="43011300"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45280" behindDoc="0" locked="0" layoutInCell="1" allowOverlap="1" wp14:anchorId="3BAA231B" wp14:editId="7B8711CE">
                <wp:simplePos x="0" y="0"/>
                <wp:positionH relativeFrom="column">
                  <wp:posOffset>4348480</wp:posOffset>
                </wp:positionH>
                <wp:positionV relativeFrom="paragraph">
                  <wp:posOffset>3395980</wp:posOffset>
                </wp:positionV>
                <wp:extent cx="304800" cy="285750"/>
                <wp:effectExtent l="0" t="0" r="19050" b="19050"/>
                <wp:wrapNone/>
                <wp:docPr id="55" name="文本框 55"/>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7A7FAF3"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5" o:spid="_x0000_s1044" type="#_x0000_t202" style="position:absolute;left:0;text-align:left;margin-left:342.4pt;margin-top:267.4pt;width:24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" fillcolor="white [3212]" strokecolor="white [3212]" strokeweight=".5pt">
                <v:textbox>
                  <w:txbxContent>
                    <w:p w14:paraId="37A7FAF3"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47328" behindDoc="0" locked="0" layoutInCell="1" allowOverlap="1" wp14:anchorId="36632B80" wp14:editId="3652F739">
                <wp:simplePos x="0" y="0"/>
                <wp:positionH relativeFrom="column">
                  <wp:posOffset>4653280</wp:posOffset>
                </wp:positionH>
                <wp:positionV relativeFrom="paragraph">
                  <wp:posOffset>3262630</wp:posOffset>
                </wp:positionV>
                <wp:extent cx="304800" cy="285750"/>
                <wp:effectExtent l="0" t="0" r="19050" b="19050"/>
                <wp:wrapNone/>
                <wp:docPr id="58" name="文本框 58"/>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E55BAE9"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8" o:spid="_x0000_s1045" type="#_x0000_t202" style="position:absolute;left:0;text-align:left;margin-left:366.4pt;margin-top:256.9pt;width:24pt;height: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" fillcolor="white [3212]" strokecolor="white [3212]" strokeweight=".5pt">
                <v:textbox>
                  <w:txbxContent>
                    <w:p w14:paraId="5E55BAE9" w14:textId="77777777" w:rsidR="00E933B0" w:rsidRDefault="00E933B0" w:rsidP="00E933B0">
                      <w:pPr>
                        <w:rPr>
                          <w:lang w:eastAsia="zh-CN"/>
                        </w:rPr>
                      </w:pPr>
                      <w:r>
                        <w:rPr>
                          <w:rFonts w:hint="eastAsia"/>
                          <w:lang w:eastAsia="zh-CN"/>
                        </w:rPr>
                        <w:t>a</w:t>
                      </w:r>
                    </w:p>
                  </w:txbxContent>
                </v:textbox>
              </v:shape>
            </w:pict>
          </mc:Fallback>
        </mc:AlternateContent>
      </w:r>
      <w:r w:rsidR="00DB7042" w:rsidRPr="00E47A42">
        <w:rPr>
          <w:rFonts w:ascii="Book Antiqua" w:hAnsi="Book Antiqua" w:cs="Times New Roman"/>
          <w:noProof/>
          <w:sz w:val="24"/>
          <w:szCs w:val="24"/>
          <w:lang w:val="en-US" w:eastAsia="zh-CN"/>
        </w:rPr>
        <w:drawing>
          <wp:inline distT="0" distB="0" distL="0" distR="0" wp14:anchorId="5D9B8D1A" wp14:editId="428BDF04">
            <wp:extent cx="4823856" cy="6515100"/>
            <wp:effectExtent l="0" t="0" r="0" b="0"/>
            <wp:docPr id="1" name="Picture 1" descr="D:\Users\predrag.sikiric\Documents\drmic radovi\drmic caecum\Figures TIFF revised  9.4.2018\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predrag.sikiric\Documents\drmic radovi\drmic caecum\Figures TIFF revised  9.4.2018\Fig. 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2929" cy="6513848"/>
                    </a:xfrm>
                    <a:prstGeom prst="rect">
                      <a:avLst/>
                    </a:prstGeom>
                    <a:noFill/>
                    <a:ln>
                      <a:noFill/>
                    </a:ln>
                  </pic:spPr>
                </pic:pic>
              </a:graphicData>
            </a:graphic>
          </wp:inline>
        </w:drawing>
      </w:r>
    </w:p>
    <w:p w14:paraId="136D27C6" w14:textId="0DD4E7D9" w:rsidR="00EE3106" w:rsidRDefault="00DB7042" w:rsidP="00DB7042">
      <w:pPr>
        <w:autoSpaceDE w:val="0"/>
        <w:adjustRightInd w:val="0"/>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b/>
          <w:sz w:val="24"/>
          <w:szCs w:val="24"/>
          <w:lang w:val="en-US"/>
        </w:rPr>
        <w:t>Fig</w:t>
      </w:r>
      <w:r>
        <w:rPr>
          <w:rFonts w:ascii="Book Antiqua" w:hAnsi="Book Antiqua" w:cs="Times New Roman" w:hint="eastAsia"/>
          <w:b/>
          <w:sz w:val="24"/>
          <w:szCs w:val="24"/>
          <w:lang w:val="en-US" w:eastAsia="zh-CN"/>
        </w:rPr>
        <w:t xml:space="preserve">ure </w:t>
      </w:r>
      <w:r w:rsidRPr="00E47A42">
        <w:rPr>
          <w:rFonts w:ascii="Book Antiqua" w:hAnsi="Book Antiqua" w:cs="Times New Roman"/>
          <w:b/>
          <w:sz w:val="24"/>
          <w:szCs w:val="24"/>
          <w:lang w:val="en-US"/>
        </w:rPr>
        <w:t>1</w:t>
      </w:r>
      <w:r>
        <w:rPr>
          <w:rFonts w:ascii="Book Antiqua" w:hAnsi="Book Antiqua" w:cs="Times New Roman" w:hint="eastAsia"/>
          <w:b/>
          <w:sz w:val="24"/>
          <w:szCs w:val="24"/>
          <w:lang w:val="en-US" w:eastAsia="zh-CN"/>
        </w:rPr>
        <w:t xml:space="preserve"> </w:t>
      </w:r>
      <w:r w:rsidRPr="00986BA6">
        <w:rPr>
          <w:rFonts w:ascii="Book Antiqua" w:hAnsi="Book Antiqua" w:cs="Times New Roman"/>
          <w:b/>
          <w:sz w:val="24"/>
          <w:szCs w:val="24"/>
          <w:lang w:val="en-US"/>
        </w:rPr>
        <w:t xml:space="preserve">Blood vessels, filled/appearance or cleared out/disappearance (assessed with a USB microscope camera, </w:t>
      </w:r>
      <w:proofErr w:type="spellStart"/>
      <w:r w:rsidRPr="00986BA6">
        <w:rPr>
          <w:rFonts w:ascii="Book Antiqua" w:hAnsi="Book Antiqua" w:cs="Times New Roman"/>
          <w:b/>
          <w:sz w:val="24"/>
          <w:szCs w:val="24"/>
          <w:lang w:val="en-US"/>
        </w:rPr>
        <w:t>Veho</w:t>
      </w:r>
      <w:proofErr w:type="spellEnd"/>
      <w:r w:rsidRPr="00986BA6">
        <w:rPr>
          <w:rFonts w:ascii="Book Antiqua" w:hAnsi="Book Antiqua" w:cs="Times New Roman"/>
          <w:b/>
          <w:sz w:val="24"/>
          <w:szCs w:val="24"/>
          <w:lang w:val="en-US"/>
        </w:rPr>
        <w:t xml:space="preserve"> discovery VMS-004D-400x USB microscope, as </w:t>
      </w:r>
      <w:r w:rsidR="00986BA6" w:rsidRPr="00986BA6">
        <w:rPr>
          <w:rFonts w:ascii="Book Antiqua" w:hAnsi="Book Antiqua" w:cs="Times New Roman" w:hint="eastAsia"/>
          <w:b/>
          <w:sz w:val="24"/>
          <w:szCs w:val="24"/>
          <w:lang w:val="en-US" w:eastAsia="zh-CN"/>
        </w:rPr>
        <w:t>[</w:t>
      </w:r>
      <w:r w:rsidRPr="00986BA6">
        <w:rPr>
          <w:rFonts w:ascii="Book Antiqua" w:hAnsi="Book Antiqua" w:cs="Times New Roman"/>
          <w:b/>
          <w:sz w:val="24"/>
          <w:szCs w:val="24"/>
          <w:lang w:val="en-US"/>
        </w:rPr>
        <w:t>total % of cecum vessels augmentation/reduction from proximal to distal end = [number of blood vessels (10 vessels assessed) /100] x % of augmentation/reducing of each vasa recta (0 as point immediately before therapy) (A</w:t>
      </w:r>
      <w:r w:rsidR="00986BA6" w:rsidRPr="00986BA6">
        <w:rPr>
          <w:rFonts w:ascii="Book Antiqua" w:hAnsi="Book Antiqua" w:cs="Times New Roman"/>
          <w:b/>
          <w:sz w:val="24"/>
          <w:szCs w:val="24"/>
          <w:lang w:val="en-US" w:eastAsia="zh-CN"/>
        </w:rPr>
        <w:t>)</w:t>
      </w:r>
      <w:r w:rsidR="00986BA6" w:rsidRPr="00986BA6">
        <w:rPr>
          <w:rFonts w:ascii="Book Antiqua" w:hAnsi="Book Antiqua" w:cs="Times New Roman" w:hint="eastAsia"/>
          <w:b/>
          <w:sz w:val="24"/>
          <w:szCs w:val="24"/>
          <w:lang w:val="en-US" w:eastAsia="zh-CN"/>
        </w:rPr>
        <w:t>]</w:t>
      </w:r>
      <w:r w:rsidRPr="00986BA6">
        <w:rPr>
          <w:rFonts w:ascii="Book Antiqua" w:hAnsi="Book Antiqua" w:cs="Times New Roman"/>
          <w:b/>
          <w:sz w:val="24"/>
          <w:szCs w:val="24"/>
          <w:lang w:val="en-US"/>
        </w:rPr>
        <w:t>.</w:t>
      </w:r>
      <w:r w:rsidRPr="00E47A42">
        <w:rPr>
          <w:rFonts w:ascii="Book Antiqua" w:hAnsi="Book Antiqua" w:cs="Times New Roman"/>
          <w:sz w:val="24"/>
          <w:szCs w:val="24"/>
          <w:lang w:val="en-US"/>
        </w:rPr>
        <w:t xml:space="preserve"> A–after perforation (1 min);</w:t>
      </w:r>
      <w:r w:rsidR="00986BA6">
        <w:rPr>
          <w:rFonts w:ascii="Book Antiqua" w:hAnsi="Book Antiqua" w:cs="Times New Roman"/>
          <w:sz w:val="24"/>
          <w:szCs w:val="24"/>
          <w:lang w:val="en-US"/>
        </w:rPr>
        <w:t xml:space="preserve"> B–during application (2 min</w:t>
      </w:r>
      <w:r w:rsidRPr="00E47A42">
        <w:rPr>
          <w:rFonts w:ascii="Book Antiqua" w:hAnsi="Book Antiqua" w:cs="Times New Roman"/>
          <w:sz w:val="24"/>
          <w:szCs w:val="24"/>
          <w:lang w:val="en-US"/>
        </w:rPr>
        <w:t>); C– the per</w:t>
      </w:r>
      <w:r w:rsidR="00986BA6">
        <w:rPr>
          <w:rFonts w:ascii="Book Antiqua" w:hAnsi="Book Antiqua" w:cs="Times New Roman"/>
          <w:sz w:val="24"/>
          <w:szCs w:val="24"/>
          <w:lang w:val="en-US"/>
        </w:rPr>
        <w:t>iod after application (2 min</w:t>
      </w:r>
      <w:r w:rsidRPr="00E47A42">
        <w:rPr>
          <w:rFonts w:ascii="Book Antiqua" w:hAnsi="Book Antiqua" w:cs="Times New Roman"/>
          <w:sz w:val="24"/>
          <w:szCs w:val="24"/>
          <w:lang w:val="en-US"/>
        </w:rPr>
        <w:t xml:space="preserve">); </w:t>
      </w:r>
      <w:r w:rsidR="00986BA6">
        <w:rPr>
          <w:rFonts w:ascii="Book Antiqua" w:hAnsi="Book Antiqua" w:cs="Times New Roman"/>
          <w:sz w:val="24"/>
          <w:szCs w:val="24"/>
          <w:lang w:val="en-US"/>
        </w:rPr>
        <w:t>D- the subsequent 5</w:t>
      </w:r>
      <w:r w:rsidR="00986BA6">
        <w:rPr>
          <w:rFonts w:ascii="Book Antiqua" w:hAnsi="Book Antiqua" w:cs="Times New Roman" w:hint="eastAsia"/>
          <w:sz w:val="24"/>
          <w:szCs w:val="24"/>
          <w:lang w:val="en-US" w:eastAsia="zh-CN"/>
        </w:rPr>
        <w:t>-</w:t>
      </w:r>
      <w:r w:rsidR="00986BA6">
        <w:rPr>
          <w:rFonts w:ascii="Book Antiqua" w:hAnsi="Book Antiqua" w:cs="Times New Roman"/>
          <w:sz w:val="24"/>
          <w:szCs w:val="24"/>
          <w:lang w:val="en-US"/>
        </w:rPr>
        <w:t>min</w:t>
      </w:r>
      <w:r w:rsidRPr="00E47A42">
        <w:rPr>
          <w:rFonts w:ascii="Book Antiqua" w:hAnsi="Book Antiqua" w:cs="Times New Roman"/>
          <w:sz w:val="24"/>
          <w:szCs w:val="24"/>
          <w:lang w:val="en-US"/>
        </w:rPr>
        <w:t xml:space="preserve"> period; E– the period until the en</w:t>
      </w:r>
      <w:r w:rsidR="00986BA6">
        <w:rPr>
          <w:rFonts w:ascii="Book Antiqua" w:hAnsi="Book Antiqua" w:cs="Times New Roman"/>
          <w:sz w:val="24"/>
          <w:szCs w:val="24"/>
          <w:lang w:val="en-US"/>
        </w:rPr>
        <w:t>d of the observation (15 min</w:t>
      </w:r>
      <w:r w:rsidRPr="00E47A42">
        <w:rPr>
          <w:rFonts w:ascii="Book Antiqua" w:hAnsi="Book Antiqua" w:cs="Times New Roman"/>
          <w:sz w:val="24"/>
          <w:szCs w:val="24"/>
          <w:lang w:val="en-US"/>
        </w:rPr>
        <w:t>). At 1 min post-injury, medication (/kg, 10 m</w:t>
      </w:r>
      <w:r w:rsidRPr="00986BA6">
        <w:rPr>
          <w:rFonts w:ascii="Book Antiqua" w:hAnsi="Book Antiqua" w:cs="Times New Roman"/>
          <w:caps/>
          <w:sz w:val="24"/>
          <w:szCs w:val="24"/>
          <w:lang w:val="en-US"/>
        </w:rPr>
        <w:t>l</w:t>
      </w:r>
      <w:r w:rsidRPr="00E47A42">
        <w:rPr>
          <w:rFonts w:ascii="Book Antiqua" w:hAnsi="Book Antiqua" w:cs="Times New Roman"/>
          <w:sz w:val="24"/>
          <w:szCs w:val="24"/>
          <w:lang w:val="en-US"/>
        </w:rPr>
        <w:t xml:space="preserve">/2 min bath/rat) administered at the </w:t>
      </w:r>
      <w:r w:rsidRPr="00E47A42">
        <w:rPr>
          <w:rFonts w:ascii="Book Antiqua" w:hAnsi="Book Antiqua" w:cs="Times New Roman"/>
          <w:sz w:val="24"/>
          <w:szCs w:val="24"/>
          <w:lang w:val="en-US"/>
        </w:rPr>
        <w:lastRenderedPageBreak/>
        <w:t>perforated (5 mm diameter) cecum lesion and cecum (M-mucosa; S-serosa), including BPC 157 (10 µg), NOS blocker L-NAME (5 mg), NOS substrate L-arginine (100 mg) alone or combined, and saline bath of equal volume (controls).</w:t>
      </w:r>
      <w:r>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Rats were then left after abdominal closure undisturbed until sacrifice, at day 1 or day 7. </w:t>
      </w:r>
      <w:proofErr w:type="spellStart"/>
      <w:r w:rsidR="008C4C80" w:rsidRPr="008C4C80">
        <w:rPr>
          <w:rFonts w:ascii="Book Antiqua" w:hAnsi="Book Antiqua" w:cs="Times New Roman" w:hint="eastAsia"/>
          <w:sz w:val="24"/>
          <w:szCs w:val="24"/>
          <w:vertAlign w:val="superscript"/>
          <w:lang w:val="en-US" w:eastAsia="zh-CN"/>
        </w:rPr>
        <w:t>a</w:t>
      </w:r>
      <w:r w:rsidRPr="00E104E4">
        <w:rPr>
          <w:rFonts w:ascii="Book Antiqua" w:hAnsi="Book Antiqua" w:cs="Times New Roman"/>
          <w:i/>
          <w:sz w:val="24"/>
          <w:szCs w:val="24"/>
          <w:lang w:val="en-US"/>
        </w:rPr>
        <w:t>P</w:t>
      </w:r>
      <w:proofErr w:type="spellEnd"/>
      <w:r w:rsidR="00E104E4">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&lt;</w:t>
      </w:r>
      <w:r w:rsidR="00E104E4">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 xml:space="preserve">0.05 </w:t>
      </w:r>
      <w:proofErr w:type="spellStart"/>
      <w:r w:rsidR="00C8364B" w:rsidRPr="00C8364B">
        <w:rPr>
          <w:rFonts w:ascii="Book Antiqua" w:hAnsi="Book Antiqua" w:cs="Times New Roman" w:hint="eastAsia"/>
          <w:i/>
          <w:sz w:val="24"/>
          <w:szCs w:val="24"/>
          <w:lang w:val="en-US" w:eastAsia="zh-CN"/>
        </w:rPr>
        <w:t>vs</w:t>
      </w:r>
      <w:proofErr w:type="spellEnd"/>
      <w:r w:rsidR="00C8364B" w:rsidRPr="00C8364B">
        <w:rPr>
          <w:rFonts w:ascii="Book Antiqua" w:hAnsi="Book Antiqua" w:cs="Times New Roman" w:hint="eastAsia"/>
          <w:i/>
          <w:sz w:val="24"/>
          <w:szCs w:val="24"/>
          <w:lang w:val="en-US" w:eastAsia="zh-CN"/>
        </w:rPr>
        <w:t xml:space="preserve"> </w:t>
      </w:r>
      <w:r w:rsidRPr="00E47A42">
        <w:rPr>
          <w:rFonts w:ascii="Book Antiqua" w:hAnsi="Book Antiqua" w:cs="Times New Roman"/>
          <w:sz w:val="24"/>
          <w:szCs w:val="24"/>
          <w:lang w:val="en-US"/>
        </w:rPr>
        <w:t>control.</w:t>
      </w:r>
    </w:p>
    <w:p w14:paraId="75D00C17" w14:textId="77777777" w:rsidR="00EE3106" w:rsidRDefault="00EE3106">
      <w:pPr>
        <w:rPr>
          <w:rFonts w:ascii="Book Antiqua" w:hAnsi="Book Antiqua" w:cs="Times New Roman"/>
          <w:sz w:val="24"/>
          <w:szCs w:val="24"/>
          <w:lang w:val="en-US"/>
        </w:rPr>
      </w:pPr>
      <w:r>
        <w:rPr>
          <w:rFonts w:ascii="Book Antiqua" w:hAnsi="Book Antiqua" w:cs="Times New Roman"/>
          <w:sz w:val="24"/>
          <w:szCs w:val="24"/>
          <w:lang w:val="en-US"/>
        </w:rPr>
        <w:br w:type="page"/>
      </w:r>
    </w:p>
    <w:p w14:paraId="6977D0E6" w14:textId="6CF822CD" w:rsidR="00EA6E12" w:rsidRDefault="008B5977" w:rsidP="00EE3106">
      <w:pPr>
        <w:snapToGrid w:val="0"/>
        <w:spacing w:after="0" w:line="360" w:lineRule="auto"/>
        <w:ind w:firstLine="720"/>
        <w:jc w:val="both"/>
        <w:rPr>
          <w:rFonts w:ascii="Book Antiqua" w:hAnsi="Book Antiqua" w:cs="Times New Roman"/>
          <w:sz w:val="24"/>
          <w:szCs w:val="24"/>
          <w:lang w:val="en-US"/>
        </w:rPr>
      </w:pPr>
      <w:r>
        <w:rPr>
          <w:rFonts w:ascii="Book Antiqua" w:hAnsi="Book Antiqua" w:cs="Times New Roman"/>
          <w:noProof/>
          <w:sz w:val="24"/>
          <w:szCs w:val="24"/>
          <w:lang w:val="en-US" w:eastAsia="zh-CN"/>
        </w:rPr>
        <w:lastRenderedPageBreak/>
        <mc:AlternateContent>
          <mc:Choice Requires="wps">
            <w:drawing>
              <wp:anchor distT="0" distB="0" distL="114300" distR="114300" simplePos="0" relativeHeight="251732992" behindDoc="0" locked="0" layoutInCell="1" allowOverlap="1" wp14:anchorId="5A9C968D" wp14:editId="254D7784">
                <wp:simplePos x="0" y="0"/>
                <wp:positionH relativeFrom="column">
                  <wp:posOffset>5501005</wp:posOffset>
                </wp:positionH>
                <wp:positionV relativeFrom="paragraph">
                  <wp:posOffset>6634480</wp:posOffset>
                </wp:positionV>
                <wp:extent cx="304800" cy="285750"/>
                <wp:effectExtent l="0" t="0" r="19050" b="19050"/>
                <wp:wrapNone/>
                <wp:docPr id="49" name="文本框 49"/>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6106DA"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9" o:spid="_x0000_s1046" type="#_x0000_t202" style="position:absolute;left:0;text-align:left;margin-left:433.15pt;margin-top:522.4pt;width:24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" fillcolor="white [3212]" strokecolor="white [3212]" strokeweight=".5pt">
                <v:textbox>
                  <w:txbxContent>
                    <w:p w14:paraId="356106DA"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30944" behindDoc="0" locked="0" layoutInCell="1" allowOverlap="1" wp14:anchorId="1B90E712" wp14:editId="065BFE73">
                <wp:simplePos x="0" y="0"/>
                <wp:positionH relativeFrom="column">
                  <wp:posOffset>5034280</wp:posOffset>
                </wp:positionH>
                <wp:positionV relativeFrom="paragraph">
                  <wp:posOffset>6634480</wp:posOffset>
                </wp:positionV>
                <wp:extent cx="304800" cy="285750"/>
                <wp:effectExtent l="0" t="0" r="19050" b="19050"/>
                <wp:wrapNone/>
                <wp:docPr id="48" name="文本框 48"/>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3958181"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8" o:spid="_x0000_s1047" type="#_x0000_t202" style="position:absolute;left:0;text-align:left;margin-left:396.4pt;margin-top:522.4pt;width:24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" fillcolor="white [3212]" strokecolor="white [3212]" strokeweight=".5pt">
                <v:textbox>
                  <w:txbxContent>
                    <w:p w14:paraId="13958181"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26848" behindDoc="0" locked="0" layoutInCell="1" allowOverlap="1" wp14:anchorId="25E29A19" wp14:editId="18952783">
                <wp:simplePos x="0" y="0"/>
                <wp:positionH relativeFrom="column">
                  <wp:posOffset>4577080</wp:posOffset>
                </wp:positionH>
                <wp:positionV relativeFrom="paragraph">
                  <wp:posOffset>6644005</wp:posOffset>
                </wp:positionV>
                <wp:extent cx="304800" cy="285750"/>
                <wp:effectExtent l="0" t="0" r="19050" b="19050"/>
                <wp:wrapNone/>
                <wp:docPr id="46" name="文本框 46"/>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420A48"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6" o:spid="_x0000_s1048" type="#_x0000_t202" style="position:absolute;left:0;text-align:left;margin-left:360.4pt;margin-top:523.15pt;width:24pt;height: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" fillcolor="white [3212]" strokecolor="white [3212]" strokeweight=".5pt">
                <v:textbox>
                  <w:txbxContent>
                    <w:p w14:paraId="43420A48"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28896" behindDoc="0" locked="0" layoutInCell="1" allowOverlap="1" wp14:anchorId="37EEBA6C" wp14:editId="7D98FEFB">
                <wp:simplePos x="0" y="0"/>
                <wp:positionH relativeFrom="column">
                  <wp:posOffset>4034155</wp:posOffset>
                </wp:positionH>
                <wp:positionV relativeFrom="paragraph">
                  <wp:posOffset>6634480</wp:posOffset>
                </wp:positionV>
                <wp:extent cx="304800" cy="285750"/>
                <wp:effectExtent l="0" t="0" r="19050" b="19050"/>
                <wp:wrapNone/>
                <wp:docPr id="47" name="文本框 47"/>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D9F600"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7" o:spid="_x0000_s1049" type="#_x0000_t202" style="position:absolute;left:0;text-align:left;margin-left:317.65pt;margin-top:522.4pt;width:24pt;height: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" fillcolor="white [3212]" strokecolor="white [3212]" strokeweight=".5pt">
                <v:textbox>
                  <w:txbxContent>
                    <w:p w14:paraId="4DD9F600"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24800" behindDoc="0" locked="0" layoutInCell="1" allowOverlap="1" wp14:anchorId="79254FA9" wp14:editId="667BA91F">
                <wp:simplePos x="0" y="0"/>
                <wp:positionH relativeFrom="column">
                  <wp:posOffset>2872105</wp:posOffset>
                </wp:positionH>
                <wp:positionV relativeFrom="paragraph">
                  <wp:posOffset>6634480</wp:posOffset>
                </wp:positionV>
                <wp:extent cx="304800" cy="285750"/>
                <wp:effectExtent l="0" t="0" r="19050" b="19050"/>
                <wp:wrapNone/>
                <wp:docPr id="45" name="文本框 45"/>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3596B6B"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5" o:spid="_x0000_s1050" type="#_x0000_t202" style="position:absolute;left:0;text-align:left;margin-left:226.15pt;margin-top:522.4pt;width:24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" fillcolor="white [3212]" strokecolor="white [3212]" strokeweight=".5pt">
                <v:textbox>
                  <w:txbxContent>
                    <w:p w14:paraId="13596B6B"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20704" behindDoc="0" locked="0" layoutInCell="1" allowOverlap="1" wp14:anchorId="55D50C19" wp14:editId="4267C7A8">
                <wp:simplePos x="0" y="0"/>
                <wp:positionH relativeFrom="column">
                  <wp:posOffset>1452880</wp:posOffset>
                </wp:positionH>
                <wp:positionV relativeFrom="paragraph">
                  <wp:posOffset>6644005</wp:posOffset>
                </wp:positionV>
                <wp:extent cx="304800" cy="285750"/>
                <wp:effectExtent l="0" t="0" r="19050" b="19050"/>
                <wp:wrapNone/>
                <wp:docPr id="43" name="文本框 43"/>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DB1CADC"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3" o:spid="_x0000_s1051" type="#_x0000_t202" style="position:absolute;left:0;text-align:left;margin-left:114.4pt;margin-top:523.15pt;width:24pt;height: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" fillcolor="white [3212]" strokecolor="white [3212]" strokeweight=".5pt">
                <v:textbox>
                  <w:txbxContent>
                    <w:p w14:paraId="2DB1CADC"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22752" behindDoc="0" locked="0" layoutInCell="1" allowOverlap="1" wp14:anchorId="5AE94F8D" wp14:editId="74686415">
                <wp:simplePos x="0" y="0"/>
                <wp:positionH relativeFrom="column">
                  <wp:posOffset>1929130</wp:posOffset>
                </wp:positionH>
                <wp:positionV relativeFrom="paragraph">
                  <wp:posOffset>6634480</wp:posOffset>
                </wp:positionV>
                <wp:extent cx="304800" cy="285750"/>
                <wp:effectExtent l="0" t="0" r="19050" b="19050"/>
                <wp:wrapNone/>
                <wp:docPr id="44" name="文本框 44"/>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8573A01"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4" o:spid="_x0000_s1052" type="#_x0000_t202" style="position:absolute;left:0;text-align:left;margin-left:151.9pt;margin-top:522.4pt;width:24pt;height: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" fillcolor="white [3212]" strokecolor="white [3212]" strokeweight=".5pt">
                <v:textbox>
                  <w:txbxContent>
                    <w:p w14:paraId="08573A01"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18656" behindDoc="0" locked="0" layoutInCell="1" allowOverlap="1" wp14:anchorId="690795B6" wp14:editId="25B7D12C">
                <wp:simplePos x="0" y="0"/>
                <wp:positionH relativeFrom="column">
                  <wp:posOffset>2433955</wp:posOffset>
                </wp:positionH>
                <wp:positionV relativeFrom="paragraph">
                  <wp:posOffset>6634480</wp:posOffset>
                </wp:positionV>
                <wp:extent cx="304800" cy="285750"/>
                <wp:effectExtent l="0" t="0" r="19050" b="19050"/>
                <wp:wrapNone/>
                <wp:docPr id="42" name="文本框 42"/>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3355D3A"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2" o:spid="_x0000_s1053" type="#_x0000_t202" style="position:absolute;left:0;text-align:left;margin-left:191.65pt;margin-top:522.4pt;width:24pt;height: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" fillcolor="white [3212]" strokecolor="white [3212]" strokeweight=".5pt">
                <v:textbox>
                  <w:txbxContent>
                    <w:p w14:paraId="13355D3A"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85888" behindDoc="0" locked="0" layoutInCell="1" allowOverlap="1" wp14:anchorId="4ADC86D3" wp14:editId="12A8F3D3">
                <wp:simplePos x="0" y="0"/>
                <wp:positionH relativeFrom="column">
                  <wp:posOffset>2357755</wp:posOffset>
                </wp:positionH>
                <wp:positionV relativeFrom="paragraph">
                  <wp:posOffset>5024755</wp:posOffset>
                </wp:positionV>
                <wp:extent cx="304800" cy="285750"/>
                <wp:effectExtent l="0" t="0" r="19050" b="19050"/>
                <wp:wrapNone/>
                <wp:docPr id="26" name="文本框 26"/>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A0BA46"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6" o:spid="_x0000_s1054" type="#_x0000_t202" style="position:absolute;left:0;text-align:left;margin-left:185.65pt;margin-top:395.65pt;width:24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" fillcolor="white [3212]" strokecolor="white [3212]" strokeweight=".5pt">
                <v:textbox>
                  <w:txbxContent>
                    <w:p w14:paraId="47A0BA46"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14560" behindDoc="0" locked="0" layoutInCell="1" allowOverlap="1" wp14:anchorId="52C6880A" wp14:editId="0D11399D">
                <wp:simplePos x="0" y="0"/>
                <wp:positionH relativeFrom="column">
                  <wp:posOffset>5043805</wp:posOffset>
                </wp:positionH>
                <wp:positionV relativeFrom="paragraph">
                  <wp:posOffset>5053330</wp:posOffset>
                </wp:positionV>
                <wp:extent cx="304800" cy="285750"/>
                <wp:effectExtent l="0" t="0" r="19050" b="19050"/>
                <wp:wrapNone/>
                <wp:docPr id="40" name="文本框 40"/>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53EB90"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0" o:spid="_x0000_s1055" type="#_x0000_t202" style="position:absolute;left:0;text-align:left;margin-left:397.15pt;margin-top:397.9pt;width:24pt;height: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" fillcolor="white [3212]" strokecolor="white [3212]" strokeweight=".5pt">
                <v:textbox>
                  <w:txbxContent>
                    <w:p w14:paraId="0053EB90"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16608" behindDoc="0" locked="0" layoutInCell="1" allowOverlap="1" wp14:anchorId="7CC1F14F" wp14:editId="3F570A14">
                <wp:simplePos x="0" y="0"/>
                <wp:positionH relativeFrom="column">
                  <wp:posOffset>5491480</wp:posOffset>
                </wp:positionH>
                <wp:positionV relativeFrom="paragraph">
                  <wp:posOffset>5034280</wp:posOffset>
                </wp:positionV>
                <wp:extent cx="304800" cy="285750"/>
                <wp:effectExtent l="0" t="0" r="19050" b="19050"/>
                <wp:wrapNone/>
                <wp:docPr id="41" name="文本框 41"/>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1EF8C7"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1" o:spid="_x0000_s1056" type="#_x0000_t202" style="position:absolute;left:0;text-align:left;margin-left:432.4pt;margin-top:396.4pt;width:24pt;height: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" fillcolor="white [3212]" strokecolor="white [3212]" strokeweight=".5pt">
                <v:textbox>
                  <w:txbxContent>
                    <w:p w14:paraId="181EF8C7"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12512" behindDoc="0" locked="0" layoutInCell="1" allowOverlap="1" wp14:anchorId="08D1AA5F" wp14:editId="04ECF47F">
                <wp:simplePos x="0" y="0"/>
                <wp:positionH relativeFrom="column">
                  <wp:posOffset>4577080</wp:posOffset>
                </wp:positionH>
                <wp:positionV relativeFrom="paragraph">
                  <wp:posOffset>5053330</wp:posOffset>
                </wp:positionV>
                <wp:extent cx="304800" cy="285750"/>
                <wp:effectExtent l="0" t="0" r="19050" b="19050"/>
                <wp:wrapNone/>
                <wp:docPr id="39" name="文本框 39"/>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B9F4E0"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9" o:spid="_x0000_s1057" type="#_x0000_t202" style="position:absolute;left:0;text-align:left;margin-left:360.4pt;margin-top:397.9pt;width:24pt;height: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" fillcolor="white [3212]" strokecolor="white [3212]" strokeweight=".5pt">
                <v:textbox>
                  <w:txbxContent>
                    <w:p w14:paraId="2CB9F4E0"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79744" behindDoc="0" locked="0" layoutInCell="1" allowOverlap="1" wp14:anchorId="2EC0E2E0" wp14:editId="1152B36C">
                <wp:simplePos x="0" y="0"/>
                <wp:positionH relativeFrom="column">
                  <wp:posOffset>4167505</wp:posOffset>
                </wp:positionH>
                <wp:positionV relativeFrom="paragraph">
                  <wp:posOffset>5053330</wp:posOffset>
                </wp:positionV>
                <wp:extent cx="304800" cy="285750"/>
                <wp:effectExtent l="0" t="0" r="19050" b="19050"/>
                <wp:wrapNone/>
                <wp:docPr id="23" name="文本框 23"/>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902ABF1"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 o:spid="_x0000_s1058" type="#_x0000_t202" style="position:absolute;left:0;text-align:left;margin-left:328.15pt;margin-top:397.9pt;width:24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" fillcolor="white [3212]" strokecolor="white [3212]" strokeweight=".5pt">
                <v:textbox>
                  <w:txbxContent>
                    <w:p w14:paraId="1902ABF1"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81792" behindDoc="0" locked="0" layoutInCell="1" allowOverlap="1" wp14:anchorId="6269B6F7" wp14:editId="21000981">
                <wp:simplePos x="0" y="0"/>
                <wp:positionH relativeFrom="column">
                  <wp:posOffset>1471930</wp:posOffset>
                </wp:positionH>
                <wp:positionV relativeFrom="paragraph">
                  <wp:posOffset>5005705</wp:posOffset>
                </wp:positionV>
                <wp:extent cx="304800" cy="285750"/>
                <wp:effectExtent l="0" t="0" r="19050" b="19050"/>
                <wp:wrapNone/>
                <wp:docPr id="24" name="文本框 24"/>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708B8B6"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 o:spid="_x0000_s1059" type="#_x0000_t202" style="position:absolute;left:0;text-align:left;margin-left:115.9pt;margin-top:394.15pt;width:24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" fillcolor="white [3212]" strokecolor="white [3212]" strokeweight=".5pt">
                <v:textbox>
                  <w:txbxContent>
                    <w:p w14:paraId="1708B8B6"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83840" behindDoc="0" locked="0" layoutInCell="1" allowOverlap="1" wp14:anchorId="2CFE839B" wp14:editId="4448F5AC">
                <wp:simplePos x="0" y="0"/>
                <wp:positionH relativeFrom="column">
                  <wp:posOffset>1929130</wp:posOffset>
                </wp:positionH>
                <wp:positionV relativeFrom="paragraph">
                  <wp:posOffset>5005705</wp:posOffset>
                </wp:positionV>
                <wp:extent cx="304800" cy="285750"/>
                <wp:effectExtent l="0" t="0" r="19050" b="19050"/>
                <wp:wrapNone/>
                <wp:docPr id="25" name="文本框 25"/>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881DE4"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5" o:spid="_x0000_s1060" type="#_x0000_t202" style="position:absolute;left:0;text-align:left;margin-left:151.9pt;margin-top:394.15pt;width:24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" fillcolor="white [3212]" strokecolor="white [3212]" strokeweight=".5pt">
                <v:textbox>
                  <w:txbxContent>
                    <w:p w14:paraId="00881DE4"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77696" behindDoc="0" locked="0" layoutInCell="1" allowOverlap="1" wp14:anchorId="46AB217D" wp14:editId="75FFC6B6">
                <wp:simplePos x="0" y="0"/>
                <wp:positionH relativeFrom="column">
                  <wp:posOffset>2881630</wp:posOffset>
                </wp:positionH>
                <wp:positionV relativeFrom="paragraph">
                  <wp:posOffset>5005705</wp:posOffset>
                </wp:positionV>
                <wp:extent cx="304800" cy="285750"/>
                <wp:effectExtent l="0" t="0" r="19050" b="19050"/>
                <wp:wrapNone/>
                <wp:docPr id="22" name="文本框 22"/>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90F8CB"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2" o:spid="_x0000_s1061" type="#_x0000_t202" style="position:absolute;left:0;text-align:left;margin-left:226.9pt;margin-top:394.15pt;width:24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" fillcolor="white [3212]" strokecolor="white [3212]" strokeweight=".5pt">
                <v:textbox>
                  <w:txbxContent>
                    <w:p w14:paraId="7690F8CB"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87936" behindDoc="0" locked="0" layoutInCell="1" allowOverlap="1" wp14:anchorId="57967EC1" wp14:editId="6616A2A1">
                <wp:simplePos x="0" y="0"/>
                <wp:positionH relativeFrom="column">
                  <wp:posOffset>1471930</wp:posOffset>
                </wp:positionH>
                <wp:positionV relativeFrom="paragraph">
                  <wp:posOffset>3376930</wp:posOffset>
                </wp:positionV>
                <wp:extent cx="304800" cy="285750"/>
                <wp:effectExtent l="0" t="0" r="19050" b="19050"/>
                <wp:wrapNone/>
                <wp:docPr id="27" name="文本框 27"/>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6D9828A"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7" o:spid="_x0000_s1062" type="#_x0000_t202" style="position:absolute;left:0;text-align:left;margin-left:115.9pt;margin-top:265.9pt;width:24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" fillcolor="white [3212]" strokecolor="white [3212]" strokeweight=".5pt">
                <v:textbox>
                  <w:txbxContent>
                    <w:p w14:paraId="26D9828A"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89984" behindDoc="0" locked="0" layoutInCell="1" allowOverlap="1" wp14:anchorId="4A09DA85" wp14:editId="4EF721C6">
                <wp:simplePos x="0" y="0"/>
                <wp:positionH relativeFrom="column">
                  <wp:posOffset>1929130</wp:posOffset>
                </wp:positionH>
                <wp:positionV relativeFrom="paragraph">
                  <wp:posOffset>3367405</wp:posOffset>
                </wp:positionV>
                <wp:extent cx="304800" cy="285750"/>
                <wp:effectExtent l="0" t="0" r="19050" b="19050"/>
                <wp:wrapNone/>
                <wp:docPr id="28" name="文本框 28"/>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10B780"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8" o:spid="_x0000_s1063" type="#_x0000_t202" style="position:absolute;left:0;text-align:left;margin-left:151.9pt;margin-top:265.15pt;width:24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" fillcolor="white [3212]" strokecolor="white [3212]" strokeweight=".5pt">
                <v:textbox>
                  <w:txbxContent>
                    <w:p w14:paraId="1210B780"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92032" behindDoc="0" locked="0" layoutInCell="1" allowOverlap="1" wp14:anchorId="2934DAAF" wp14:editId="12243D65">
                <wp:simplePos x="0" y="0"/>
                <wp:positionH relativeFrom="column">
                  <wp:posOffset>2433955</wp:posOffset>
                </wp:positionH>
                <wp:positionV relativeFrom="paragraph">
                  <wp:posOffset>3367405</wp:posOffset>
                </wp:positionV>
                <wp:extent cx="304800" cy="285750"/>
                <wp:effectExtent l="0" t="0" r="19050" b="19050"/>
                <wp:wrapNone/>
                <wp:docPr id="29" name="文本框 29"/>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9B93B8"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 o:spid="_x0000_s1064" type="#_x0000_t202" style="position:absolute;left:0;text-align:left;margin-left:191.65pt;margin-top:265.15pt;width:24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" fillcolor="white [3212]" strokecolor="white [3212]" strokeweight=".5pt">
                <v:textbox>
                  <w:txbxContent>
                    <w:p w14:paraId="629B93B8"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94080" behindDoc="0" locked="0" layoutInCell="1" allowOverlap="1" wp14:anchorId="627286D2" wp14:editId="6F5EF722">
                <wp:simplePos x="0" y="0"/>
                <wp:positionH relativeFrom="column">
                  <wp:posOffset>2814955</wp:posOffset>
                </wp:positionH>
                <wp:positionV relativeFrom="paragraph">
                  <wp:posOffset>3386455</wp:posOffset>
                </wp:positionV>
                <wp:extent cx="304800" cy="285750"/>
                <wp:effectExtent l="0" t="0" r="19050" b="19050"/>
                <wp:wrapNone/>
                <wp:docPr id="30" name="文本框 30"/>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9AE752"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 o:spid="_x0000_s1065" type="#_x0000_t202" style="position:absolute;left:0;text-align:left;margin-left:221.65pt;margin-top:266.65pt;width:24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" fillcolor="white [3212]" strokecolor="white [3212]" strokeweight=".5pt">
                <v:textbox>
                  <w:txbxContent>
                    <w:p w14:paraId="479AE752"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96128" behindDoc="0" locked="0" layoutInCell="1" allowOverlap="1" wp14:anchorId="29B84BED" wp14:editId="0B1257D0">
                <wp:simplePos x="0" y="0"/>
                <wp:positionH relativeFrom="column">
                  <wp:posOffset>4091305</wp:posOffset>
                </wp:positionH>
                <wp:positionV relativeFrom="paragraph">
                  <wp:posOffset>3405505</wp:posOffset>
                </wp:positionV>
                <wp:extent cx="304800" cy="285750"/>
                <wp:effectExtent l="0" t="0" r="19050" b="19050"/>
                <wp:wrapNone/>
                <wp:docPr id="31" name="文本框 31"/>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3B1C6D2"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 o:spid="_x0000_s1066" type="#_x0000_t202" style="position:absolute;left:0;text-align:left;margin-left:322.15pt;margin-top:268.15pt;width:24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" fillcolor="white [3212]" strokecolor="white [3212]" strokeweight=".5pt">
                <v:textbox>
                  <w:txbxContent>
                    <w:p w14:paraId="63B1C6D2"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98176" behindDoc="0" locked="0" layoutInCell="1" allowOverlap="1" wp14:anchorId="1F55FAAE" wp14:editId="1AC00F6A">
                <wp:simplePos x="0" y="0"/>
                <wp:positionH relativeFrom="column">
                  <wp:posOffset>4577080</wp:posOffset>
                </wp:positionH>
                <wp:positionV relativeFrom="paragraph">
                  <wp:posOffset>3386455</wp:posOffset>
                </wp:positionV>
                <wp:extent cx="304800" cy="285750"/>
                <wp:effectExtent l="0" t="0" r="19050" b="19050"/>
                <wp:wrapNone/>
                <wp:docPr id="32" name="文本框 32"/>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D93DE9"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2" o:spid="_x0000_s1067" type="#_x0000_t202" style="position:absolute;left:0;text-align:left;margin-left:360.4pt;margin-top:266.65pt;width:24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" fillcolor="white [3212]" strokecolor="white [3212]" strokeweight=".5pt">
                <v:textbox>
                  <w:txbxContent>
                    <w:p w14:paraId="6ED93DE9"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00224" behindDoc="0" locked="0" layoutInCell="1" allowOverlap="1" wp14:anchorId="4F197AFD" wp14:editId="7AC608F8">
                <wp:simplePos x="0" y="0"/>
                <wp:positionH relativeFrom="column">
                  <wp:posOffset>5024755</wp:posOffset>
                </wp:positionH>
                <wp:positionV relativeFrom="paragraph">
                  <wp:posOffset>3395980</wp:posOffset>
                </wp:positionV>
                <wp:extent cx="304800" cy="285750"/>
                <wp:effectExtent l="0" t="0" r="19050" b="19050"/>
                <wp:wrapNone/>
                <wp:docPr id="33" name="文本框 33"/>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4723813"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3" o:spid="_x0000_s1068" type="#_x0000_t202" style="position:absolute;left:0;text-align:left;margin-left:395.65pt;margin-top:267.4pt;width:24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" fillcolor="white [3212]" strokecolor="white [3212]" strokeweight=".5pt">
                <v:textbox>
                  <w:txbxContent>
                    <w:p w14:paraId="54723813"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02272" behindDoc="0" locked="0" layoutInCell="1" allowOverlap="1" wp14:anchorId="103C8DCC" wp14:editId="3C330DA3">
                <wp:simplePos x="0" y="0"/>
                <wp:positionH relativeFrom="column">
                  <wp:posOffset>5481955</wp:posOffset>
                </wp:positionH>
                <wp:positionV relativeFrom="paragraph">
                  <wp:posOffset>3386455</wp:posOffset>
                </wp:positionV>
                <wp:extent cx="304800" cy="285750"/>
                <wp:effectExtent l="0" t="0" r="19050" b="19050"/>
                <wp:wrapNone/>
                <wp:docPr id="34" name="文本框 34"/>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AAB7E7"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4" o:spid="_x0000_s1069" type="#_x0000_t202" style="position:absolute;left:0;text-align:left;margin-left:431.65pt;margin-top:266.65pt;width:24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" fillcolor="white [3212]" strokecolor="white [3212]" strokeweight=".5pt">
                <v:textbox>
                  <w:txbxContent>
                    <w:p w14:paraId="75AAB7E7"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04320" behindDoc="0" locked="0" layoutInCell="1" allowOverlap="1" wp14:anchorId="2E26E57C" wp14:editId="172D8BDA">
                <wp:simplePos x="0" y="0"/>
                <wp:positionH relativeFrom="column">
                  <wp:posOffset>4053205</wp:posOffset>
                </wp:positionH>
                <wp:positionV relativeFrom="paragraph">
                  <wp:posOffset>1214755</wp:posOffset>
                </wp:positionV>
                <wp:extent cx="304800" cy="285750"/>
                <wp:effectExtent l="0" t="0" r="19050" b="19050"/>
                <wp:wrapNone/>
                <wp:docPr id="35" name="文本框 35"/>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EF078D2"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5" o:spid="_x0000_s1070" type="#_x0000_t202" style="position:absolute;left:0;text-align:left;margin-left:319.15pt;margin-top:95.65pt;width:24pt;height: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" fillcolor="white [3212]" strokecolor="white [3212]" strokeweight=".5pt">
                <v:textbox>
                  <w:txbxContent>
                    <w:p w14:paraId="0EF078D2"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06368" behindDoc="0" locked="0" layoutInCell="1" allowOverlap="1" wp14:anchorId="0677C11A" wp14:editId="53CF9E4C">
                <wp:simplePos x="0" y="0"/>
                <wp:positionH relativeFrom="column">
                  <wp:posOffset>4491355</wp:posOffset>
                </wp:positionH>
                <wp:positionV relativeFrom="paragraph">
                  <wp:posOffset>1348105</wp:posOffset>
                </wp:positionV>
                <wp:extent cx="304800" cy="285750"/>
                <wp:effectExtent l="0" t="0" r="19050" b="19050"/>
                <wp:wrapNone/>
                <wp:docPr id="36" name="文本框 36"/>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E2632A"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6" o:spid="_x0000_s1071" type="#_x0000_t202" style="position:absolute;left:0;text-align:left;margin-left:353.65pt;margin-top:106.15pt;width:24pt;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" fillcolor="white [3212]" strokecolor="white [3212]" strokeweight=".5pt">
                <v:textbox>
                  <w:txbxContent>
                    <w:p w14:paraId="6AE2632A"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10464" behindDoc="0" locked="0" layoutInCell="1" allowOverlap="1" wp14:anchorId="440DC167" wp14:editId="4DCAB1E3">
                <wp:simplePos x="0" y="0"/>
                <wp:positionH relativeFrom="column">
                  <wp:posOffset>4948555</wp:posOffset>
                </wp:positionH>
                <wp:positionV relativeFrom="paragraph">
                  <wp:posOffset>1576705</wp:posOffset>
                </wp:positionV>
                <wp:extent cx="304800" cy="285750"/>
                <wp:effectExtent l="0" t="0" r="19050" b="19050"/>
                <wp:wrapNone/>
                <wp:docPr id="38" name="文本框 38"/>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F41C0C"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8" o:spid="_x0000_s1072" type="#_x0000_t202" style="position:absolute;left:0;text-align:left;margin-left:389.65pt;margin-top:124.15pt;width:24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" fillcolor="white [3212]" strokecolor="white [3212]" strokeweight=".5pt">
                <v:textbox>
                  <w:txbxContent>
                    <w:p w14:paraId="55F41C0C"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08416" behindDoc="0" locked="0" layoutInCell="1" allowOverlap="1" wp14:anchorId="5A979802" wp14:editId="2506CF7D">
                <wp:simplePos x="0" y="0"/>
                <wp:positionH relativeFrom="column">
                  <wp:posOffset>5377180</wp:posOffset>
                </wp:positionH>
                <wp:positionV relativeFrom="paragraph">
                  <wp:posOffset>1586230</wp:posOffset>
                </wp:positionV>
                <wp:extent cx="304800" cy="285750"/>
                <wp:effectExtent l="0" t="0" r="19050" b="19050"/>
                <wp:wrapNone/>
                <wp:docPr id="37" name="文本框 37"/>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4702337"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7" o:spid="_x0000_s1073" type="#_x0000_t202" style="position:absolute;left:0;text-align:left;margin-left:423.4pt;margin-top:124.9pt;width:24pt;height: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" fillcolor="white [3212]" strokecolor="white [3212]" strokeweight=".5pt">
                <v:textbox>
                  <w:txbxContent>
                    <w:p w14:paraId="64702337" w14:textId="77777777" w:rsidR="008B5977" w:rsidRDefault="008B5977" w:rsidP="008B5977">
                      <w:pPr>
                        <w:rPr>
                          <w:lang w:eastAsia="zh-CN"/>
                        </w:rPr>
                      </w:pPr>
                      <w:r>
                        <w:rPr>
                          <w:rFonts w:hint="eastAsia"/>
                          <w:lang w:eastAsia="zh-CN"/>
                        </w:rPr>
                        <w:t>a</w:t>
                      </w:r>
                    </w:p>
                  </w:txbxContent>
                </v:textbox>
              </v:shape>
            </w:pict>
          </mc:Fallback>
        </mc:AlternateContent>
      </w:r>
      <w:r w:rsidR="00EE3106" w:rsidRPr="00E47A42">
        <w:rPr>
          <w:rFonts w:ascii="Book Antiqua" w:hAnsi="Book Antiqua" w:cs="Times New Roman"/>
          <w:noProof/>
          <w:sz w:val="24"/>
          <w:szCs w:val="24"/>
          <w:lang w:val="en-US" w:eastAsia="zh-CN"/>
        </w:rPr>
        <w:drawing>
          <wp:inline distT="0" distB="0" distL="0" distR="0" wp14:anchorId="3495FE9E" wp14:editId="7955BEEC">
            <wp:extent cx="5760720" cy="7683316"/>
            <wp:effectExtent l="0" t="0" r="0" b="0"/>
            <wp:docPr id="2" name="Picture 2" descr="D:\Users\predrag.sikiric\Documents\drmic radovi\drmic caecum\Figures TIFF revised  9.4.2018\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predrag.sikiric\Documents\drmic radovi\drmic caecum\Figures TIFF revised  9.4.2018\Fig.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683316"/>
                    </a:xfrm>
                    <a:prstGeom prst="rect">
                      <a:avLst/>
                    </a:prstGeom>
                    <a:noFill/>
                    <a:ln>
                      <a:noFill/>
                    </a:ln>
                  </pic:spPr>
                </pic:pic>
              </a:graphicData>
            </a:graphic>
          </wp:inline>
        </w:drawing>
      </w:r>
      <w:r w:rsidR="00EE3106" w:rsidRPr="00E47A42">
        <w:rPr>
          <w:rFonts w:ascii="Book Antiqua" w:hAnsi="Book Antiqua" w:cs="Times New Roman"/>
          <w:b/>
          <w:sz w:val="24"/>
          <w:szCs w:val="24"/>
          <w:lang w:val="en-US"/>
        </w:rPr>
        <w:t>Fig</w:t>
      </w:r>
      <w:r w:rsidR="00EE3106">
        <w:rPr>
          <w:rFonts w:ascii="Book Antiqua" w:hAnsi="Book Antiqua" w:cs="Times New Roman" w:hint="eastAsia"/>
          <w:b/>
          <w:sz w:val="24"/>
          <w:szCs w:val="24"/>
          <w:lang w:val="en-US" w:eastAsia="zh-CN"/>
        </w:rPr>
        <w:t>ure</w:t>
      </w:r>
      <w:r w:rsidR="00EE3106" w:rsidRPr="00E47A42">
        <w:rPr>
          <w:rFonts w:ascii="Book Antiqua" w:hAnsi="Book Antiqua" w:cs="Times New Roman"/>
          <w:b/>
          <w:sz w:val="24"/>
          <w:szCs w:val="24"/>
          <w:lang w:val="en-US"/>
        </w:rPr>
        <w:t xml:space="preserve"> 2</w:t>
      </w:r>
      <w:r w:rsidR="00EE3106">
        <w:rPr>
          <w:rFonts w:ascii="Book Antiqua" w:hAnsi="Book Antiqua" w:cs="Times New Roman" w:hint="eastAsia"/>
          <w:b/>
          <w:sz w:val="24"/>
          <w:szCs w:val="24"/>
          <w:lang w:val="en-US" w:eastAsia="zh-CN"/>
        </w:rPr>
        <w:t xml:space="preserve"> </w:t>
      </w:r>
      <w:r w:rsidR="00EE3106" w:rsidRPr="008C4C80">
        <w:rPr>
          <w:rFonts w:ascii="Book Antiqua" w:hAnsi="Book Antiqua" w:cs="Times New Roman"/>
          <w:b/>
          <w:sz w:val="24"/>
          <w:szCs w:val="24"/>
          <w:lang w:val="en-US"/>
        </w:rPr>
        <w:t xml:space="preserve">Defect closing or widening </w:t>
      </w:r>
      <w:r w:rsidR="008C4C80" w:rsidRPr="008C4C80">
        <w:rPr>
          <w:rFonts w:ascii="Book Antiqua" w:hAnsi="Book Antiqua" w:cs="Times New Roman" w:hint="eastAsia"/>
          <w:b/>
          <w:sz w:val="24"/>
          <w:szCs w:val="24"/>
          <w:lang w:val="en-US" w:eastAsia="zh-CN"/>
        </w:rPr>
        <w:t>[</w:t>
      </w:r>
      <w:r w:rsidR="00EE3106" w:rsidRPr="008C4C80">
        <w:rPr>
          <w:rFonts w:ascii="Book Antiqua" w:hAnsi="Book Antiqua" w:cs="Times New Roman"/>
          <w:b/>
          <w:sz w:val="24"/>
          <w:szCs w:val="24"/>
          <w:lang w:val="en-US"/>
        </w:rPr>
        <w:t>both as % of presentation immediately before therapy (A)</w:t>
      </w:r>
      <w:r w:rsidR="008C4C80" w:rsidRPr="008C4C80">
        <w:rPr>
          <w:rFonts w:ascii="Book Antiqua" w:hAnsi="Book Antiqua" w:cs="Times New Roman" w:hint="eastAsia"/>
          <w:b/>
          <w:sz w:val="24"/>
          <w:szCs w:val="24"/>
          <w:lang w:val="en-US" w:eastAsia="zh-CN"/>
        </w:rPr>
        <w:t>]</w:t>
      </w:r>
      <w:r w:rsidR="008C4C80" w:rsidRPr="008C4C80">
        <w:rPr>
          <w:rFonts w:ascii="Book Antiqua" w:hAnsi="Book Antiqua" w:cs="Times New Roman"/>
          <w:b/>
          <w:sz w:val="24"/>
          <w:szCs w:val="24"/>
          <w:lang w:val="en-US"/>
        </w:rPr>
        <w:t>; bleeding time (s</w:t>
      </w:r>
      <w:r w:rsidR="00EE3106" w:rsidRPr="008C4C80">
        <w:rPr>
          <w:rFonts w:ascii="Book Antiqua" w:hAnsi="Book Antiqua" w:cs="Times New Roman"/>
          <w:b/>
          <w:sz w:val="24"/>
          <w:szCs w:val="24"/>
          <w:lang w:val="en-US"/>
        </w:rPr>
        <w:t>); A–after perforation (1 min); B–during application (2 min</w:t>
      </w:r>
      <w:r w:rsidR="008C4C80" w:rsidRPr="008C4C80">
        <w:rPr>
          <w:rFonts w:ascii="Book Antiqua" w:hAnsi="Book Antiqua" w:cs="Times New Roman"/>
          <w:b/>
          <w:sz w:val="24"/>
          <w:szCs w:val="24"/>
          <w:lang w:val="en-US"/>
        </w:rPr>
        <w:t>); C–</w:t>
      </w:r>
      <w:r w:rsidR="00EE3106" w:rsidRPr="008C4C80">
        <w:rPr>
          <w:rFonts w:ascii="Book Antiqua" w:hAnsi="Book Antiqua" w:cs="Times New Roman"/>
          <w:b/>
          <w:sz w:val="24"/>
          <w:szCs w:val="24"/>
          <w:lang w:val="en-US"/>
        </w:rPr>
        <w:t>the period after application (2 min); D–the subsequent 5</w:t>
      </w:r>
      <w:r w:rsidR="008C4C80" w:rsidRPr="008C4C80">
        <w:rPr>
          <w:rFonts w:ascii="Book Antiqua" w:hAnsi="Book Antiqua" w:cs="Times New Roman" w:hint="eastAsia"/>
          <w:b/>
          <w:sz w:val="24"/>
          <w:szCs w:val="24"/>
          <w:lang w:val="en-US" w:eastAsia="zh-CN"/>
        </w:rPr>
        <w:t>-</w:t>
      </w:r>
      <w:r w:rsidR="00EE3106" w:rsidRPr="008C4C80">
        <w:rPr>
          <w:rFonts w:ascii="Book Antiqua" w:hAnsi="Book Antiqua" w:cs="Times New Roman"/>
          <w:b/>
          <w:sz w:val="24"/>
          <w:szCs w:val="24"/>
          <w:lang w:val="en-US"/>
        </w:rPr>
        <w:t>min</w:t>
      </w:r>
      <w:r w:rsidR="008C4C80" w:rsidRPr="008C4C80">
        <w:rPr>
          <w:rFonts w:ascii="Book Antiqua" w:hAnsi="Book Antiqua" w:cs="Times New Roman" w:hint="eastAsia"/>
          <w:b/>
          <w:sz w:val="24"/>
          <w:szCs w:val="24"/>
          <w:lang w:val="en-US" w:eastAsia="zh-CN"/>
        </w:rPr>
        <w:t xml:space="preserve"> </w:t>
      </w:r>
      <w:r w:rsidR="008C4C80" w:rsidRPr="008C4C80">
        <w:rPr>
          <w:rFonts w:ascii="Book Antiqua" w:hAnsi="Book Antiqua" w:cs="Times New Roman"/>
          <w:b/>
          <w:sz w:val="24"/>
          <w:szCs w:val="24"/>
          <w:lang w:val="en-US"/>
        </w:rPr>
        <w:t>period; E–</w:t>
      </w:r>
      <w:r w:rsidR="00EE3106" w:rsidRPr="008C4C80">
        <w:rPr>
          <w:rFonts w:ascii="Book Antiqua" w:hAnsi="Book Antiqua" w:cs="Times New Roman"/>
          <w:b/>
          <w:sz w:val="24"/>
          <w:szCs w:val="24"/>
          <w:lang w:val="en-US"/>
        </w:rPr>
        <w:t xml:space="preserve">the period until the end of the observation (15 min). </w:t>
      </w:r>
      <w:r w:rsidR="00EE3106" w:rsidRPr="00E47A42">
        <w:rPr>
          <w:rFonts w:ascii="Book Antiqua" w:hAnsi="Book Antiqua" w:cs="Times New Roman"/>
          <w:sz w:val="24"/>
          <w:szCs w:val="24"/>
          <w:lang w:val="en-US"/>
        </w:rPr>
        <w:t xml:space="preserve">At 1 min post-injury, </w:t>
      </w:r>
      <w:r w:rsidR="00EE3106" w:rsidRPr="00E47A42">
        <w:rPr>
          <w:rFonts w:ascii="Book Antiqua" w:hAnsi="Book Antiqua" w:cs="Times New Roman"/>
          <w:sz w:val="24"/>
          <w:szCs w:val="24"/>
          <w:lang w:val="en-US"/>
        </w:rPr>
        <w:lastRenderedPageBreak/>
        <w:t>administration of medication (/kg, 10 m</w:t>
      </w:r>
      <w:r w:rsidR="00EE3106" w:rsidRPr="008C4C80">
        <w:rPr>
          <w:rFonts w:ascii="Book Antiqua" w:hAnsi="Book Antiqua" w:cs="Times New Roman"/>
          <w:caps/>
          <w:sz w:val="24"/>
          <w:szCs w:val="24"/>
          <w:lang w:val="en-US"/>
        </w:rPr>
        <w:t>l</w:t>
      </w:r>
      <w:r w:rsidR="00EE3106" w:rsidRPr="00E47A42">
        <w:rPr>
          <w:rFonts w:ascii="Book Antiqua" w:hAnsi="Book Antiqua" w:cs="Times New Roman"/>
          <w:sz w:val="24"/>
          <w:szCs w:val="24"/>
          <w:lang w:val="en-US"/>
        </w:rPr>
        <w:t>/2 min bath/rat) at the perforated (5 mm diameter) cecum lesion and cecum (M-mucosa; S-serosa), including BPC 157 (10 µg), NOS blocker L-NAME (5 mg), NOS substrate L-arginine (100 mg) alone or combined, and a saline bath equal volume (controls). Rats were then left after abdominal closure undisturbed until s</w:t>
      </w:r>
      <w:r w:rsidR="008C4C80">
        <w:rPr>
          <w:rFonts w:ascii="Book Antiqua" w:hAnsi="Book Antiqua" w:cs="Times New Roman"/>
          <w:sz w:val="24"/>
          <w:szCs w:val="24"/>
          <w:lang w:val="en-US"/>
        </w:rPr>
        <w:t xml:space="preserve">acrifice, at day 1 or day 7. </w:t>
      </w:r>
      <w:proofErr w:type="spellStart"/>
      <w:r w:rsidR="008C4C80" w:rsidRPr="008C4C80">
        <w:rPr>
          <w:rFonts w:ascii="Book Antiqua" w:hAnsi="Book Antiqua" w:cs="Times New Roman" w:hint="eastAsia"/>
          <w:sz w:val="24"/>
          <w:szCs w:val="24"/>
          <w:vertAlign w:val="superscript"/>
          <w:lang w:val="en-US" w:eastAsia="zh-CN"/>
        </w:rPr>
        <w:t>a</w:t>
      </w:r>
      <w:r w:rsidR="00EE3106" w:rsidRPr="008C4C80">
        <w:rPr>
          <w:rFonts w:ascii="Book Antiqua" w:hAnsi="Book Antiqua" w:cs="Times New Roman"/>
          <w:i/>
          <w:sz w:val="24"/>
          <w:szCs w:val="24"/>
          <w:lang w:val="en-US"/>
        </w:rPr>
        <w:t>P</w:t>
      </w:r>
      <w:proofErr w:type="spellEnd"/>
      <w:r w:rsidR="008C4C80">
        <w:rPr>
          <w:rFonts w:ascii="Book Antiqua" w:hAnsi="Book Antiqua" w:cs="Times New Roman" w:hint="eastAsia"/>
          <w:sz w:val="24"/>
          <w:szCs w:val="24"/>
          <w:lang w:val="en-US" w:eastAsia="zh-CN"/>
        </w:rPr>
        <w:t xml:space="preserve"> </w:t>
      </w:r>
      <w:r w:rsidR="00EE3106" w:rsidRPr="00E47A42">
        <w:rPr>
          <w:rFonts w:ascii="Book Antiqua" w:hAnsi="Book Antiqua" w:cs="Times New Roman"/>
          <w:sz w:val="24"/>
          <w:szCs w:val="24"/>
          <w:lang w:val="en-US"/>
        </w:rPr>
        <w:t>&lt;</w:t>
      </w:r>
      <w:r w:rsidR="008C4C80">
        <w:rPr>
          <w:rFonts w:ascii="Book Antiqua" w:hAnsi="Book Antiqua" w:cs="Times New Roman" w:hint="eastAsia"/>
          <w:sz w:val="24"/>
          <w:szCs w:val="24"/>
          <w:lang w:val="en-US" w:eastAsia="zh-CN"/>
        </w:rPr>
        <w:t xml:space="preserve"> </w:t>
      </w:r>
      <w:r w:rsidR="00EE3106" w:rsidRPr="00E47A42">
        <w:rPr>
          <w:rFonts w:ascii="Book Antiqua" w:hAnsi="Book Antiqua" w:cs="Times New Roman"/>
          <w:sz w:val="24"/>
          <w:szCs w:val="24"/>
          <w:lang w:val="en-US"/>
        </w:rPr>
        <w:t>0.05 at least</w:t>
      </w:r>
      <w:r w:rsidR="00EE3106" w:rsidRPr="00ED410F">
        <w:rPr>
          <w:rFonts w:ascii="Book Antiqua" w:hAnsi="Book Antiqua" w:cs="Times New Roman"/>
          <w:i/>
          <w:sz w:val="24"/>
          <w:szCs w:val="24"/>
          <w:lang w:val="en-US"/>
        </w:rPr>
        <w:t xml:space="preserve"> vs</w:t>
      </w:r>
      <w:r w:rsidR="00ED410F">
        <w:rPr>
          <w:rFonts w:ascii="Book Antiqua" w:hAnsi="Book Antiqua" w:cs="Times New Roman" w:hint="eastAsia"/>
          <w:sz w:val="24"/>
          <w:szCs w:val="24"/>
          <w:lang w:val="en-US" w:eastAsia="zh-CN"/>
        </w:rPr>
        <w:t xml:space="preserve"> </w:t>
      </w:r>
      <w:r w:rsidR="00EE3106" w:rsidRPr="00E47A42">
        <w:rPr>
          <w:rFonts w:ascii="Book Antiqua" w:hAnsi="Book Antiqua" w:cs="Times New Roman"/>
          <w:sz w:val="24"/>
          <w:szCs w:val="24"/>
          <w:lang w:val="en-US"/>
        </w:rPr>
        <w:t>control.</w:t>
      </w:r>
    </w:p>
    <w:p w14:paraId="10DF5FF9" w14:textId="77777777" w:rsidR="00EA6E12" w:rsidRDefault="00EA6E12">
      <w:pPr>
        <w:rPr>
          <w:rFonts w:ascii="Book Antiqua" w:hAnsi="Book Antiqua" w:cs="Times New Roman"/>
          <w:sz w:val="24"/>
          <w:szCs w:val="24"/>
          <w:lang w:val="en-US"/>
        </w:rPr>
      </w:pPr>
      <w:r>
        <w:rPr>
          <w:rFonts w:ascii="Book Antiqua" w:hAnsi="Book Antiqua" w:cs="Times New Roman"/>
          <w:sz w:val="24"/>
          <w:szCs w:val="24"/>
          <w:lang w:val="en-US"/>
        </w:rPr>
        <w:br w:type="page"/>
      </w:r>
    </w:p>
    <w:p w14:paraId="647183C9" w14:textId="4CD20C3C" w:rsidR="00EA6E12" w:rsidRPr="00E47A42" w:rsidRDefault="00FC5E5B" w:rsidP="00EA6E12">
      <w:pPr>
        <w:snapToGrid w:val="0"/>
        <w:spacing w:after="0" w:line="360" w:lineRule="auto"/>
        <w:ind w:firstLine="720"/>
        <w:jc w:val="both"/>
        <w:rPr>
          <w:rFonts w:ascii="Book Antiqua" w:hAnsi="Book Antiqua" w:cs="Times New Roman"/>
          <w:sz w:val="24"/>
          <w:szCs w:val="24"/>
          <w:lang w:val="en-US"/>
        </w:rPr>
      </w:pPr>
      <w:r>
        <w:rPr>
          <w:rFonts w:ascii="Book Antiqua" w:hAnsi="Book Antiqua" w:cs="Times New Roman"/>
          <w:noProof/>
          <w:sz w:val="24"/>
          <w:szCs w:val="24"/>
          <w:lang w:val="en-US" w:eastAsia="zh-CN"/>
        </w:rPr>
        <w:lastRenderedPageBreak/>
        <mc:AlternateContent>
          <mc:Choice Requires="wps">
            <w:drawing>
              <wp:anchor distT="0" distB="0" distL="114300" distR="114300" simplePos="0" relativeHeight="251671552" behindDoc="0" locked="0" layoutInCell="1" allowOverlap="1" wp14:anchorId="372706A4" wp14:editId="1753F0AB">
                <wp:simplePos x="0" y="0"/>
                <wp:positionH relativeFrom="column">
                  <wp:posOffset>2910205</wp:posOffset>
                </wp:positionH>
                <wp:positionV relativeFrom="paragraph">
                  <wp:posOffset>2110105</wp:posOffset>
                </wp:positionV>
                <wp:extent cx="304800" cy="285750"/>
                <wp:effectExtent l="0" t="0" r="19050" b="19050"/>
                <wp:wrapNone/>
                <wp:docPr id="17" name="文本框 17"/>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38F478" w14:textId="31702157" w:rsidR="00FC5E5B" w:rsidRDefault="00FC5E5B" w:rsidP="00FC5E5B">
                            <w:pPr>
                              <w:rPr>
                                <w:lang w:eastAsia="zh-CN"/>
                              </w:rPr>
                            </w:pPr>
                            <w:r>
                              <w:rPr>
                                <w:rFonts w:hint="eastAsia"/>
                                <w:lang w:eastAsia="zh-CN"/>
                              </w:rPr>
                              <w:t>a</w:t>
                            </w:r>
                            <w:r>
                              <w:rPr>
                                <w:rFonts w:hint="eastAsia"/>
                                <w:noProof/>
                                <w:lang w:val="en-US" w:eastAsia="zh-CN"/>
                              </w:rPr>
                              <w:drawing>
                                <wp:inline distT="0" distB="0" distL="0" distR="0" wp14:anchorId="32EA09BA" wp14:editId="403D4A29">
                                  <wp:extent cx="115570" cy="108566"/>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570" cy="1085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7" o:spid="_x0000_s1074" type="#_x0000_t202" style="position:absolute;left:0;text-align:left;margin-left:229.15pt;margin-top:166.15pt;width:24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" fillcolor="white [3212]" strokecolor="white [3212]" strokeweight=".5pt">
                <v:textbox>
                  <w:txbxContent>
                    <w:p w14:paraId="2F38F478" w14:textId="31702157" w:rsidR="00FC5E5B" w:rsidRDefault="00FC5E5B" w:rsidP="00FC5E5B">
                      <w:pPr>
                        <w:rPr>
                          <w:lang w:eastAsia="zh-CN"/>
                        </w:rPr>
                      </w:pPr>
                      <w:r>
                        <w:rPr>
                          <w:rFonts w:hint="eastAsia"/>
                          <w:lang w:eastAsia="zh-CN"/>
                        </w:rPr>
                        <w:t>a</w:t>
                      </w:r>
                      <w:r>
                        <w:rPr>
                          <w:rFonts w:hint="eastAsia"/>
                          <w:noProof/>
                          <w:lang w:val="en-US" w:eastAsia="zh-CN"/>
                        </w:rPr>
                        <w:drawing>
                          <wp:inline distT="0" distB="0" distL="0" distR="0" wp14:anchorId="32EA09BA" wp14:editId="403D4A29">
                            <wp:extent cx="115570" cy="108566"/>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570" cy="108566"/>
                                    </a:xfrm>
                                    <a:prstGeom prst="rect">
                                      <a:avLst/>
                                    </a:prstGeom>
                                    <a:noFill/>
                                    <a:ln>
                                      <a:noFill/>
                                    </a:ln>
                                  </pic:spPr>
                                </pic:pic>
                              </a:graphicData>
                            </a:graphic>
                          </wp:inline>
                        </w:drawing>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73600" behindDoc="0" locked="0" layoutInCell="1" allowOverlap="1" wp14:anchorId="11A0CAE0" wp14:editId="5BA65C3C">
                <wp:simplePos x="0" y="0"/>
                <wp:positionH relativeFrom="column">
                  <wp:posOffset>3253105</wp:posOffset>
                </wp:positionH>
                <wp:positionV relativeFrom="paragraph">
                  <wp:posOffset>1948180</wp:posOffset>
                </wp:positionV>
                <wp:extent cx="304800" cy="285750"/>
                <wp:effectExtent l="0" t="0" r="19050" b="19050"/>
                <wp:wrapNone/>
                <wp:docPr id="19" name="文本框 19"/>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3399C0" w14:textId="77777777" w:rsidR="00FC5E5B" w:rsidRDefault="00FC5E5B" w:rsidP="00FC5E5B">
                            <w:pPr>
                              <w:rPr>
                                <w:lang w:eastAsia="zh-CN"/>
                              </w:rPr>
                            </w:pPr>
                            <w:r>
                              <w:rPr>
                                <w:rFonts w:hint="eastAsia"/>
                                <w:lang w:eastAsia="zh-CN"/>
                              </w:rPr>
                              <w:t>a</w:t>
                            </w:r>
                            <w:r>
                              <w:rPr>
                                <w:rFonts w:hint="eastAsia"/>
                                <w:noProof/>
                                <w:lang w:val="en-US" w:eastAsia="zh-CN"/>
                              </w:rPr>
                              <w:drawing>
                                <wp:inline distT="0" distB="0" distL="0" distR="0" wp14:anchorId="05653EBC" wp14:editId="18246E51">
                                  <wp:extent cx="115570" cy="108566"/>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570" cy="1085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9" o:spid="_x0000_s1075" type="#_x0000_t202" style="position:absolute;left:0;text-align:left;margin-left:256.15pt;margin-top:153.4pt;width:24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" fillcolor="white [3212]" strokecolor="white [3212]" strokeweight=".5pt">
                <v:textbox>
                  <w:txbxContent>
                    <w:p w14:paraId="4D3399C0" w14:textId="77777777" w:rsidR="00FC5E5B" w:rsidRDefault="00FC5E5B" w:rsidP="00FC5E5B">
                      <w:pPr>
                        <w:rPr>
                          <w:lang w:eastAsia="zh-CN"/>
                        </w:rPr>
                      </w:pPr>
                      <w:r>
                        <w:rPr>
                          <w:rFonts w:hint="eastAsia"/>
                          <w:lang w:eastAsia="zh-CN"/>
                        </w:rPr>
                        <w:t>a</w:t>
                      </w:r>
                      <w:r>
                        <w:rPr>
                          <w:rFonts w:hint="eastAsia"/>
                          <w:noProof/>
                          <w:lang w:val="en-US" w:eastAsia="zh-CN"/>
                        </w:rPr>
                        <w:drawing>
                          <wp:inline distT="0" distB="0" distL="0" distR="0" wp14:anchorId="05653EBC" wp14:editId="18246E51">
                            <wp:extent cx="115570" cy="108566"/>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570" cy="108566"/>
                                    </a:xfrm>
                                    <a:prstGeom prst="rect">
                                      <a:avLst/>
                                    </a:prstGeom>
                                    <a:noFill/>
                                    <a:ln>
                                      <a:noFill/>
                                    </a:ln>
                                  </pic:spPr>
                                </pic:pic>
                              </a:graphicData>
                            </a:graphic>
                          </wp:inline>
                        </w:drawing>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69504" behindDoc="0" locked="0" layoutInCell="1" allowOverlap="1" wp14:anchorId="14C9041D" wp14:editId="3C9A2CB3">
                <wp:simplePos x="0" y="0"/>
                <wp:positionH relativeFrom="column">
                  <wp:posOffset>3662680</wp:posOffset>
                </wp:positionH>
                <wp:positionV relativeFrom="paragraph">
                  <wp:posOffset>1976755</wp:posOffset>
                </wp:positionV>
                <wp:extent cx="304800" cy="285750"/>
                <wp:effectExtent l="0" t="0" r="19050" b="19050"/>
                <wp:wrapNone/>
                <wp:docPr id="16" name="文本框 16"/>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596DCB" w14:textId="77777777" w:rsidR="00FC5E5B" w:rsidRDefault="00FC5E5B" w:rsidP="00FC5E5B">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6" o:spid="_x0000_s1076" type="#_x0000_t202" style="position:absolute;left:0;text-align:left;margin-left:288.4pt;margin-top:155.65pt;width:24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" fillcolor="white [3212]" strokecolor="white [3212]" strokeweight=".5pt">
                <v:textbox>
                  <w:txbxContent>
                    <w:p w14:paraId="7F596DCB" w14:textId="77777777" w:rsidR="00FC5E5B" w:rsidRDefault="00FC5E5B" w:rsidP="00FC5E5B">
                      <w:pPr>
                        <w:rPr>
                          <w:lang w:eastAsia="zh-CN"/>
                        </w:rPr>
                      </w:pPr>
                      <w:r>
                        <w:rPr>
                          <w:rFonts w:hint="eastAsia"/>
                          <w:lang w:eastAsia="zh-CN"/>
                        </w:rPr>
                        <w:t>a</w:t>
                      </w:r>
                    </w:p>
                  </w:txbxContent>
                </v:textbox>
              </v:shape>
            </w:pict>
          </mc:Fallback>
        </mc:AlternateContent>
      </w:r>
      <w:r w:rsidR="008B5977">
        <w:rPr>
          <w:rFonts w:ascii="Book Antiqua" w:hAnsi="Book Antiqua" w:cs="Times New Roman"/>
          <w:noProof/>
          <w:sz w:val="24"/>
          <w:szCs w:val="24"/>
          <w:lang w:val="en-US" w:eastAsia="zh-CN"/>
        </w:rPr>
        <mc:AlternateContent>
          <mc:Choice Requires="wps">
            <w:drawing>
              <wp:anchor distT="0" distB="0" distL="114300" distR="114300" simplePos="0" relativeHeight="251675648" behindDoc="0" locked="0" layoutInCell="1" allowOverlap="1" wp14:anchorId="312C31B0" wp14:editId="077B0941">
                <wp:simplePos x="0" y="0"/>
                <wp:positionH relativeFrom="column">
                  <wp:posOffset>2357755</wp:posOffset>
                </wp:positionH>
                <wp:positionV relativeFrom="paragraph">
                  <wp:posOffset>281305</wp:posOffset>
                </wp:positionV>
                <wp:extent cx="304800" cy="285750"/>
                <wp:effectExtent l="0" t="0" r="19050" b="19050"/>
                <wp:wrapNone/>
                <wp:docPr id="21" name="文本框 21"/>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BC4B11"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1" o:spid="_x0000_s1077" type="#_x0000_t202" style="position:absolute;left:0;text-align:left;margin-left:185.65pt;margin-top:22.15pt;width:24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" fillcolor="white [3212]" strokecolor="white [3212]" strokeweight=".5pt">
                <v:textbox>
                  <w:txbxContent>
                    <w:p w14:paraId="2CBC4B11"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67456" behindDoc="0" locked="0" layoutInCell="1" allowOverlap="1" wp14:anchorId="45CAD335" wp14:editId="0E6CF476">
                <wp:simplePos x="0" y="0"/>
                <wp:positionH relativeFrom="column">
                  <wp:posOffset>2205355</wp:posOffset>
                </wp:positionH>
                <wp:positionV relativeFrom="paragraph">
                  <wp:posOffset>128905</wp:posOffset>
                </wp:positionV>
                <wp:extent cx="304800" cy="285750"/>
                <wp:effectExtent l="0" t="0" r="19050" b="19050"/>
                <wp:wrapNone/>
                <wp:docPr id="15" name="文本框 15"/>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F0C67C" w14:textId="77777777" w:rsidR="00FC5E5B" w:rsidRDefault="00FC5E5B" w:rsidP="00FC5E5B">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5" o:spid="_x0000_s1078" type="#_x0000_t202" style="position:absolute;left:0;text-align:left;margin-left:173.65pt;margin-top:10.15pt;width:24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" fillcolor="white [3212]" strokecolor="white [3212]" strokeweight=".5pt">
                <v:textbox>
                  <w:txbxContent>
                    <w:p w14:paraId="4CF0C67C" w14:textId="77777777" w:rsidR="00FC5E5B" w:rsidRDefault="00FC5E5B" w:rsidP="00FC5E5B">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65408" behindDoc="0" locked="0" layoutInCell="1" allowOverlap="1" wp14:anchorId="233BA0F1" wp14:editId="5408EA8C">
                <wp:simplePos x="0" y="0"/>
                <wp:positionH relativeFrom="column">
                  <wp:posOffset>1833880</wp:posOffset>
                </wp:positionH>
                <wp:positionV relativeFrom="paragraph">
                  <wp:posOffset>2214880</wp:posOffset>
                </wp:positionV>
                <wp:extent cx="304800" cy="285750"/>
                <wp:effectExtent l="0" t="0" r="19050" b="19050"/>
                <wp:wrapNone/>
                <wp:docPr id="14" name="文本框 14"/>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FF9F4C" w14:textId="77777777" w:rsidR="00FC5E5B" w:rsidRDefault="00FC5E5B" w:rsidP="00FC5E5B">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 o:spid="_x0000_s1079" type="#_x0000_t202" style="position:absolute;left:0;text-align:left;margin-left:144.4pt;margin-top:174.4pt;width:24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" fillcolor="white [3212]" strokecolor="white [3212]" strokeweight=".5pt">
                <v:textbox>
                  <w:txbxContent>
                    <w:p w14:paraId="0BFF9F4C" w14:textId="77777777" w:rsidR="00FC5E5B" w:rsidRDefault="00FC5E5B" w:rsidP="00FC5E5B">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63360" behindDoc="0" locked="0" layoutInCell="1" allowOverlap="1" wp14:anchorId="06C97788" wp14:editId="13CEB195">
                <wp:simplePos x="0" y="0"/>
                <wp:positionH relativeFrom="column">
                  <wp:posOffset>1529080</wp:posOffset>
                </wp:positionH>
                <wp:positionV relativeFrom="paragraph">
                  <wp:posOffset>2214880</wp:posOffset>
                </wp:positionV>
                <wp:extent cx="304800" cy="285750"/>
                <wp:effectExtent l="0" t="0" r="19050" b="19050"/>
                <wp:wrapNone/>
                <wp:docPr id="13" name="文本框 13"/>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5CB855" w14:textId="77777777" w:rsidR="00FC5E5B" w:rsidRDefault="00FC5E5B" w:rsidP="00FC5E5B">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3" o:spid="_x0000_s1080" type="#_x0000_t202" style="position:absolute;left:0;text-align:left;margin-left:120.4pt;margin-top:174.4pt;width:24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" fillcolor="white [3212]" strokecolor="white [3212]" strokeweight=".5pt">
                <v:textbox>
                  <w:txbxContent>
                    <w:p w14:paraId="055CB855" w14:textId="77777777" w:rsidR="00FC5E5B" w:rsidRDefault="00FC5E5B" w:rsidP="00FC5E5B">
                      <w:pPr>
                        <w:rPr>
                          <w:lang w:eastAsia="zh-CN"/>
                        </w:rPr>
                      </w:pPr>
                      <w:r>
                        <w:rPr>
                          <w:rFonts w:hint="eastAsia"/>
                          <w:lang w:eastAsia="zh-CN"/>
                        </w:rPr>
                        <w:t>a</w:t>
                      </w:r>
                    </w:p>
                  </w:txbxContent>
                </v:textbox>
              </v:shape>
            </w:pict>
          </mc:Fallback>
        </mc:AlternateContent>
      </w:r>
      <w:r w:rsidR="00EA6E12" w:rsidRPr="00E47A42">
        <w:rPr>
          <w:rFonts w:ascii="Book Antiqua" w:hAnsi="Book Antiqua" w:cs="Times New Roman"/>
          <w:noProof/>
          <w:sz w:val="24"/>
          <w:szCs w:val="24"/>
          <w:lang w:val="en-US" w:eastAsia="zh-CN"/>
        </w:rPr>
        <w:drawing>
          <wp:inline distT="0" distB="0" distL="0" distR="0" wp14:anchorId="73B29F8F" wp14:editId="62890E04">
            <wp:extent cx="3829741" cy="3171825"/>
            <wp:effectExtent l="0" t="0" r="0" b="0"/>
            <wp:docPr id="3" name="Picture 3" descr="D:\Users\predrag.sikiric\Documents\drmic radovi\drmic caecum\Figures TIFF revised  9.4.2018\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predrag.sikiric\Documents\drmic radovi\drmic caecum\Figures TIFF revised  9.4.2018\Fig. 3.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8981" cy="3171196"/>
                    </a:xfrm>
                    <a:prstGeom prst="rect">
                      <a:avLst/>
                    </a:prstGeom>
                    <a:noFill/>
                    <a:ln>
                      <a:noFill/>
                    </a:ln>
                  </pic:spPr>
                </pic:pic>
              </a:graphicData>
            </a:graphic>
          </wp:inline>
        </w:drawing>
      </w:r>
    </w:p>
    <w:p w14:paraId="4359921E" w14:textId="034DE12E" w:rsidR="00EA6E12" w:rsidRPr="00E47A42" w:rsidRDefault="00EA6E12" w:rsidP="00EA6E12">
      <w:pPr>
        <w:autoSpaceDE w:val="0"/>
        <w:adjustRightInd w:val="0"/>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b/>
          <w:sz w:val="24"/>
          <w:szCs w:val="24"/>
          <w:lang w:val="en-US"/>
        </w:rPr>
        <w:t>Fig</w:t>
      </w:r>
      <w:r w:rsidR="00637649">
        <w:rPr>
          <w:rFonts w:ascii="Book Antiqua" w:hAnsi="Book Antiqua" w:cs="Times New Roman" w:hint="eastAsia"/>
          <w:b/>
          <w:sz w:val="24"/>
          <w:szCs w:val="24"/>
          <w:lang w:val="en-US" w:eastAsia="zh-CN"/>
        </w:rPr>
        <w:t xml:space="preserve">ure </w:t>
      </w:r>
      <w:r w:rsidRPr="00E47A42">
        <w:rPr>
          <w:rFonts w:ascii="Book Antiqua" w:hAnsi="Book Antiqua" w:cs="Times New Roman"/>
          <w:b/>
          <w:sz w:val="24"/>
          <w:szCs w:val="24"/>
          <w:lang w:val="en-US"/>
        </w:rPr>
        <w:t>3</w:t>
      </w:r>
      <w:r w:rsidR="00637649" w:rsidRPr="00637649">
        <w:rPr>
          <w:rFonts w:ascii="Book Antiqua" w:hAnsi="Book Antiqua" w:cs="Times New Roman" w:hint="eastAsia"/>
          <w:b/>
          <w:sz w:val="24"/>
          <w:szCs w:val="24"/>
          <w:lang w:val="en-US" w:eastAsia="zh-CN"/>
        </w:rPr>
        <w:t xml:space="preserve"> </w:t>
      </w:r>
      <w:r w:rsidRPr="00637649">
        <w:rPr>
          <w:rFonts w:ascii="Book Antiqua" w:hAnsi="Book Antiqua" w:cs="Times New Roman"/>
          <w:b/>
          <w:sz w:val="24"/>
          <w:szCs w:val="24"/>
          <w:lang w:val="en-US"/>
        </w:rPr>
        <w:t>Bleeding time after perforation.</w:t>
      </w:r>
      <w:r w:rsidRPr="00E47A42">
        <w:rPr>
          <w:rFonts w:ascii="Book Antiqua" w:hAnsi="Book Antiqua" w:cs="Times New Roman"/>
          <w:sz w:val="24"/>
          <w:szCs w:val="24"/>
          <w:lang w:val="en-US"/>
        </w:rPr>
        <w:t xml:space="preserve"> At 1 min post-injury, </w:t>
      </w:r>
      <w:r w:rsidRPr="00E47A42">
        <w:rPr>
          <w:rFonts w:ascii="Book Antiqua" w:hAnsi="Book Antiqua" w:cs="Times New Roman"/>
          <w:noProof/>
          <w:sz w:val="24"/>
          <w:szCs w:val="24"/>
          <w:lang w:val="en-US"/>
        </w:rPr>
        <w:t>administration</w:t>
      </w:r>
      <w:r w:rsidRPr="00E47A42">
        <w:rPr>
          <w:rFonts w:ascii="Book Antiqua" w:hAnsi="Book Antiqua" w:cs="Times New Roman"/>
          <w:sz w:val="24"/>
          <w:szCs w:val="24"/>
          <w:lang w:val="en-US"/>
        </w:rPr>
        <w:t xml:space="preserve"> of medication (/kg, 10 m</w:t>
      </w:r>
      <w:r w:rsidRPr="00637649">
        <w:rPr>
          <w:rFonts w:ascii="Book Antiqua" w:hAnsi="Book Antiqua" w:cs="Times New Roman"/>
          <w:caps/>
          <w:sz w:val="24"/>
          <w:szCs w:val="24"/>
          <w:lang w:val="en-US"/>
        </w:rPr>
        <w:t>l</w:t>
      </w:r>
      <w:r w:rsidRPr="00E47A42">
        <w:rPr>
          <w:rFonts w:ascii="Book Antiqua" w:hAnsi="Book Antiqua" w:cs="Times New Roman"/>
          <w:sz w:val="24"/>
          <w:szCs w:val="24"/>
          <w:lang w:val="en-US"/>
        </w:rPr>
        <w:t>/2 min bath/rat) at the perforated (5 mm diameter) cecum lesion and cecum includes BPC 157 (10 µg) (B), NOS blocker L-NAME (5 mg) (N), NOS substrate L-arginine (100 mg) (A) alone or combined, and a saline bath of equal volume (controls) (S). Rats were then left after abdominal closure undisturbed until s</w:t>
      </w:r>
      <w:r w:rsidR="00637649">
        <w:rPr>
          <w:rFonts w:ascii="Book Antiqua" w:hAnsi="Book Antiqua" w:cs="Times New Roman"/>
          <w:sz w:val="24"/>
          <w:szCs w:val="24"/>
          <w:lang w:val="en-US"/>
        </w:rPr>
        <w:t xml:space="preserve">acrifice, at day 1 or day 7. </w:t>
      </w:r>
      <w:proofErr w:type="spellStart"/>
      <w:r w:rsidR="00FC5E5B" w:rsidRPr="00FC5E5B">
        <w:rPr>
          <w:rFonts w:ascii="Book Antiqua" w:hAnsi="Book Antiqua" w:cs="Times New Roman" w:hint="eastAsia"/>
          <w:sz w:val="24"/>
          <w:szCs w:val="24"/>
          <w:vertAlign w:val="superscript"/>
          <w:lang w:val="en-US" w:eastAsia="zh-CN"/>
        </w:rPr>
        <w:t>a</w:t>
      </w:r>
      <w:r w:rsidRPr="00637649">
        <w:rPr>
          <w:rFonts w:ascii="Book Antiqua" w:hAnsi="Book Antiqua" w:cs="Times New Roman"/>
          <w:i/>
          <w:sz w:val="24"/>
          <w:szCs w:val="24"/>
          <w:lang w:val="en-US"/>
        </w:rPr>
        <w:t>P</w:t>
      </w:r>
      <w:proofErr w:type="spellEnd"/>
      <w:r w:rsidR="00637649">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&lt;</w:t>
      </w:r>
      <w:r w:rsidR="00637649">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 xml:space="preserve">0.05 at least </w:t>
      </w:r>
      <w:r w:rsidRPr="00637649">
        <w:rPr>
          <w:rFonts w:ascii="Book Antiqua" w:hAnsi="Book Antiqua" w:cs="Times New Roman"/>
          <w:i/>
          <w:sz w:val="24"/>
          <w:szCs w:val="24"/>
          <w:lang w:val="en-US"/>
        </w:rPr>
        <w:t>vs</w:t>
      </w:r>
      <w:r w:rsidR="00637649">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control (S).</w:t>
      </w:r>
    </w:p>
    <w:p w14:paraId="5E476DD3" w14:textId="6EDBAC50" w:rsidR="00EA6E12" w:rsidRDefault="00EA6E12">
      <w:pPr>
        <w:rPr>
          <w:rFonts w:ascii="Book Antiqua" w:hAnsi="Book Antiqua" w:cs="Times New Roman"/>
          <w:sz w:val="24"/>
          <w:szCs w:val="24"/>
          <w:lang w:val="en-US"/>
        </w:rPr>
      </w:pPr>
      <w:r>
        <w:rPr>
          <w:rFonts w:ascii="Book Antiqua" w:hAnsi="Book Antiqua" w:cs="Times New Roman"/>
          <w:sz w:val="24"/>
          <w:szCs w:val="24"/>
          <w:lang w:val="en-US"/>
        </w:rPr>
        <w:br w:type="page"/>
      </w:r>
    </w:p>
    <w:p w14:paraId="754D2B30" w14:textId="348E26ED" w:rsidR="00EA6E12" w:rsidRPr="00E47A42" w:rsidRDefault="007C34A5" w:rsidP="00EA6E12">
      <w:pPr>
        <w:snapToGrid w:val="0"/>
        <w:spacing w:after="0" w:line="360" w:lineRule="auto"/>
        <w:ind w:firstLine="720"/>
        <w:jc w:val="both"/>
        <w:rPr>
          <w:rFonts w:ascii="Book Antiqua" w:hAnsi="Book Antiqua" w:cs="Times New Roman"/>
          <w:sz w:val="24"/>
          <w:szCs w:val="24"/>
          <w:lang w:val="en-US"/>
        </w:rPr>
      </w:pPr>
      <w:r>
        <w:rPr>
          <w:rFonts w:ascii="Book Antiqua" w:hAnsi="Book Antiqua" w:cs="Times New Roman"/>
          <w:noProof/>
          <w:sz w:val="24"/>
          <w:szCs w:val="24"/>
          <w:lang w:val="en-US" w:eastAsia="zh-CN"/>
        </w:rPr>
        <w:lastRenderedPageBreak/>
        <mc:AlternateContent>
          <mc:Choice Requires="wps">
            <w:drawing>
              <wp:anchor distT="0" distB="0" distL="114300" distR="114300" simplePos="0" relativeHeight="251659264" behindDoc="0" locked="0" layoutInCell="1" allowOverlap="1" wp14:anchorId="0A607E1C" wp14:editId="604AACEB">
                <wp:simplePos x="0" y="0"/>
                <wp:positionH relativeFrom="column">
                  <wp:posOffset>1948180</wp:posOffset>
                </wp:positionH>
                <wp:positionV relativeFrom="paragraph">
                  <wp:posOffset>776605</wp:posOffset>
                </wp:positionV>
                <wp:extent cx="304800" cy="285750"/>
                <wp:effectExtent l="0" t="0" r="19050" b="19050"/>
                <wp:wrapNone/>
                <wp:docPr id="11" name="文本框 11"/>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52E498" w14:textId="5B25B4A2" w:rsidR="007C34A5" w:rsidRDefault="007C34A5">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1" o:spid="_x0000_s1081" type="#_x0000_t202" style="position:absolute;left:0;text-align:left;margin-left:153.4pt;margin-top:61.15pt;width:24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" fillcolor="white [3212]" strokecolor="white [3212]" strokeweight=".5pt">
                <v:textbox>
                  <w:txbxContent>
                    <w:p w14:paraId="0F52E498" w14:textId="5B25B4A2" w:rsidR="007C34A5" w:rsidRDefault="007C34A5">
                      <w:pPr>
                        <w:rPr>
                          <w:lang w:eastAsia="zh-CN"/>
                        </w:rPr>
                      </w:pPr>
                      <w:r>
                        <w:rPr>
                          <w:rFonts w:hint="eastAsia"/>
                          <w:lang w:eastAsia="zh-CN"/>
                        </w:rPr>
                        <w:t>a</w:t>
                      </w:r>
                    </w:p>
                  </w:txbxContent>
                </v:textbox>
              </v:shape>
            </w:pict>
          </mc:Fallback>
        </mc:AlternateContent>
      </w:r>
      <w:r w:rsidR="00EA6E12" w:rsidRPr="00E47A42">
        <w:rPr>
          <w:rFonts w:ascii="Book Antiqua" w:hAnsi="Book Antiqua" w:cs="Times New Roman"/>
          <w:noProof/>
          <w:sz w:val="24"/>
          <w:szCs w:val="24"/>
          <w:lang w:val="en-US" w:eastAsia="zh-CN"/>
        </w:rPr>
        <w:drawing>
          <wp:inline distT="0" distB="0" distL="0" distR="0" wp14:anchorId="67EF94EB" wp14:editId="204AC105">
            <wp:extent cx="3426619" cy="2686050"/>
            <wp:effectExtent l="0" t="0" r="2540" b="0"/>
            <wp:docPr id="4" name="Picture 4" descr="D:\Users\predrag.sikiric\Documents\drmic radovi\drmic caecum\Figures TIFF revised  9.4.2018\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predrag.sikiric\Documents\drmic radovi\drmic caecum\Figures TIFF revised  9.4.2018\FIG. 4.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7264" cy="2686556"/>
                    </a:xfrm>
                    <a:prstGeom prst="rect">
                      <a:avLst/>
                    </a:prstGeom>
                    <a:noFill/>
                    <a:ln>
                      <a:noFill/>
                    </a:ln>
                  </pic:spPr>
                </pic:pic>
              </a:graphicData>
            </a:graphic>
          </wp:inline>
        </w:drawing>
      </w:r>
    </w:p>
    <w:p w14:paraId="74D04205" w14:textId="1CAC158C" w:rsidR="00EA6E12" w:rsidRDefault="00EA6E12" w:rsidP="00EA6E12">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b/>
          <w:sz w:val="24"/>
          <w:szCs w:val="24"/>
          <w:lang w:val="en-US"/>
        </w:rPr>
        <w:t>Fig</w:t>
      </w:r>
      <w:r w:rsidR="008F3448">
        <w:rPr>
          <w:rFonts w:ascii="Book Antiqua" w:hAnsi="Book Antiqua" w:cs="Times New Roman" w:hint="eastAsia"/>
          <w:b/>
          <w:sz w:val="24"/>
          <w:szCs w:val="24"/>
          <w:lang w:val="en-US" w:eastAsia="zh-CN"/>
        </w:rPr>
        <w:t xml:space="preserve">ure </w:t>
      </w:r>
      <w:r w:rsidRPr="00E47A42">
        <w:rPr>
          <w:rFonts w:ascii="Book Antiqua" w:hAnsi="Book Antiqua" w:cs="Times New Roman"/>
          <w:b/>
          <w:sz w:val="24"/>
          <w:szCs w:val="24"/>
          <w:lang w:val="en-US"/>
        </w:rPr>
        <w:t>4</w:t>
      </w:r>
      <w:r w:rsidR="008F3448">
        <w:rPr>
          <w:rFonts w:ascii="Book Antiqua" w:hAnsi="Book Antiqua" w:cs="Times New Roman" w:hint="eastAsia"/>
          <w:b/>
          <w:sz w:val="24"/>
          <w:szCs w:val="24"/>
          <w:lang w:val="en-US" w:eastAsia="zh-CN"/>
        </w:rPr>
        <w:t xml:space="preserve"> </w:t>
      </w:r>
      <w:r w:rsidRPr="008F3448">
        <w:rPr>
          <w:rFonts w:ascii="Book Antiqua" w:hAnsi="Book Antiqua" w:cs="Times New Roman"/>
          <w:b/>
          <w:sz w:val="24"/>
          <w:szCs w:val="24"/>
          <w:lang w:val="en-US"/>
        </w:rPr>
        <w:t>15 min</w:t>
      </w:r>
      <w:r w:rsidR="008F3448" w:rsidRPr="008F3448">
        <w:rPr>
          <w:rFonts w:ascii="Book Antiqua" w:hAnsi="Book Antiqua" w:cs="Times New Roman" w:hint="eastAsia"/>
          <w:b/>
          <w:sz w:val="24"/>
          <w:szCs w:val="24"/>
          <w:lang w:val="en-US" w:eastAsia="zh-CN"/>
        </w:rPr>
        <w:t xml:space="preserve"> </w:t>
      </w:r>
      <w:r w:rsidRPr="008F3448">
        <w:rPr>
          <w:rFonts w:ascii="Book Antiqua" w:hAnsi="Book Antiqua" w:cs="Times New Roman"/>
          <w:b/>
          <w:sz w:val="24"/>
          <w:szCs w:val="24"/>
          <w:lang w:val="en-US"/>
        </w:rPr>
        <w:t>post-injury, we determined nitric oxide</w:t>
      </w:r>
      <w:r w:rsidR="008F3448">
        <w:rPr>
          <w:rFonts w:ascii="Book Antiqua" w:hAnsi="Book Antiqua" w:cs="Times New Roman" w:hint="eastAsia"/>
          <w:b/>
          <w:sz w:val="24"/>
          <w:szCs w:val="24"/>
          <w:lang w:val="en-US" w:eastAsia="zh-CN"/>
        </w:rPr>
        <w:t xml:space="preserve"> </w:t>
      </w:r>
      <w:r w:rsidRPr="008F3448">
        <w:rPr>
          <w:rFonts w:ascii="Book Antiqua" w:hAnsi="Book Antiqua" w:cs="Times New Roman"/>
          <w:b/>
          <w:sz w:val="24"/>
          <w:szCs w:val="24"/>
          <w:lang w:val="en-US"/>
        </w:rPr>
        <w:t>in stomach tissue samples using the Griess reaction. Administration of medication (/kg, 10 m</w:t>
      </w:r>
      <w:r w:rsidRPr="00B473E4">
        <w:rPr>
          <w:rFonts w:ascii="Book Antiqua" w:hAnsi="Book Antiqua" w:cs="Times New Roman"/>
          <w:b/>
          <w:caps/>
          <w:sz w:val="24"/>
          <w:szCs w:val="24"/>
          <w:lang w:val="en-US"/>
        </w:rPr>
        <w:t>l</w:t>
      </w:r>
      <w:r w:rsidRPr="008F3448">
        <w:rPr>
          <w:rFonts w:ascii="Book Antiqua" w:hAnsi="Book Antiqua" w:cs="Times New Roman"/>
          <w:b/>
          <w:sz w:val="24"/>
          <w:szCs w:val="24"/>
          <w:lang w:val="en-US"/>
        </w:rPr>
        <w:t>/2 min bath/rat) at the perforated (5 mm diameter) cecum lesion and cecum was BPC 157 (10 µg) or a saline bath equal volume (controls).</w:t>
      </w:r>
      <w:r w:rsidRPr="00E47A42">
        <w:rPr>
          <w:rFonts w:ascii="Book Antiqua" w:hAnsi="Book Antiqua" w:cs="Times New Roman"/>
          <w:sz w:val="24"/>
          <w:szCs w:val="24"/>
          <w:lang w:val="en-US"/>
        </w:rPr>
        <w:t xml:space="preserve"> </w:t>
      </w:r>
      <w:r w:rsidRPr="007C34A5">
        <w:rPr>
          <w:rFonts w:ascii="Book Antiqua" w:hAnsi="Book Antiqua" w:cs="Times New Roman"/>
          <w:caps/>
          <w:sz w:val="24"/>
          <w:szCs w:val="24"/>
          <w:lang w:val="en-US"/>
        </w:rPr>
        <w:t>m</w:t>
      </w:r>
      <w:r w:rsidRPr="00E47A42">
        <w:rPr>
          <w:rFonts w:ascii="Book Antiqua" w:hAnsi="Book Antiqua" w:cs="Times New Roman"/>
          <w:sz w:val="24"/>
          <w:szCs w:val="24"/>
          <w:lang w:val="en-US"/>
        </w:rPr>
        <w:t xml:space="preserve">inimum </w:t>
      </w:r>
      <w:proofErr w:type="spellStart"/>
      <w:r w:rsidR="007C34A5" w:rsidRPr="007C34A5">
        <w:rPr>
          <w:rFonts w:ascii="Book Antiqua" w:hAnsi="Book Antiqua" w:cs="Times New Roman" w:hint="eastAsia"/>
          <w:sz w:val="24"/>
          <w:szCs w:val="24"/>
          <w:vertAlign w:val="superscript"/>
          <w:lang w:val="en-US" w:eastAsia="zh-CN"/>
        </w:rPr>
        <w:t>a</w:t>
      </w:r>
      <w:r w:rsidRPr="00B473E4">
        <w:rPr>
          <w:rFonts w:ascii="Book Antiqua" w:hAnsi="Book Antiqua" w:cs="Times New Roman"/>
          <w:i/>
          <w:sz w:val="24"/>
          <w:szCs w:val="24"/>
          <w:lang w:val="en-US"/>
        </w:rPr>
        <w:t>P</w:t>
      </w:r>
      <w:proofErr w:type="spellEnd"/>
      <w:r w:rsidR="00B473E4">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&lt;</w:t>
      </w:r>
      <w:r w:rsidR="00B473E4">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 xml:space="preserve">0.05 </w:t>
      </w:r>
      <w:proofErr w:type="spellStart"/>
      <w:r w:rsidR="00B473E4" w:rsidRPr="00B473E4">
        <w:rPr>
          <w:rFonts w:ascii="Book Antiqua" w:hAnsi="Book Antiqua" w:cs="Times New Roman" w:hint="eastAsia"/>
          <w:i/>
          <w:sz w:val="24"/>
          <w:szCs w:val="24"/>
          <w:lang w:val="en-US" w:eastAsia="zh-CN"/>
        </w:rPr>
        <w:t>vs</w:t>
      </w:r>
      <w:proofErr w:type="spellEnd"/>
      <w:r w:rsidRPr="00E47A42">
        <w:rPr>
          <w:rFonts w:ascii="Book Antiqua" w:hAnsi="Book Antiqua" w:cs="Times New Roman"/>
          <w:sz w:val="24"/>
          <w:szCs w:val="24"/>
          <w:lang w:val="en-US"/>
        </w:rPr>
        <w:t xml:space="preserve"> control.</w:t>
      </w:r>
    </w:p>
    <w:p w14:paraId="0710C6F7" w14:textId="77777777" w:rsidR="00EA6E12" w:rsidRDefault="00EA6E12">
      <w:pPr>
        <w:rPr>
          <w:rFonts w:ascii="Book Antiqua" w:hAnsi="Book Antiqua" w:cs="Times New Roman"/>
          <w:sz w:val="24"/>
          <w:szCs w:val="24"/>
          <w:lang w:val="en-US"/>
        </w:rPr>
      </w:pPr>
      <w:r>
        <w:rPr>
          <w:rFonts w:ascii="Book Antiqua" w:hAnsi="Book Antiqua" w:cs="Times New Roman"/>
          <w:sz w:val="24"/>
          <w:szCs w:val="24"/>
          <w:lang w:val="en-US"/>
        </w:rPr>
        <w:br w:type="page"/>
      </w:r>
    </w:p>
    <w:p w14:paraId="30A29959" w14:textId="2C5DC148" w:rsidR="00EA6E12" w:rsidRPr="00E47A42" w:rsidRDefault="00C7414F" w:rsidP="00EA6E12">
      <w:pPr>
        <w:snapToGrid w:val="0"/>
        <w:spacing w:after="0" w:line="360" w:lineRule="auto"/>
        <w:ind w:firstLine="720"/>
        <w:jc w:val="both"/>
        <w:rPr>
          <w:rFonts w:ascii="Book Antiqua" w:hAnsi="Book Antiqua" w:cs="Times New Roman"/>
          <w:sz w:val="24"/>
          <w:szCs w:val="24"/>
          <w:lang w:val="en-US"/>
        </w:rPr>
      </w:pPr>
      <w:r>
        <w:rPr>
          <w:rFonts w:ascii="Book Antiqua" w:hAnsi="Book Antiqua" w:cs="Times New Roman"/>
          <w:noProof/>
          <w:sz w:val="24"/>
          <w:szCs w:val="24"/>
          <w:lang w:val="en-US" w:eastAsia="zh-CN"/>
        </w:rPr>
        <w:lastRenderedPageBreak/>
        <mc:AlternateContent>
          <mc:Choice Requires="wps">
            <w:drawing>
              <wp:anchor distT="0" distB="0" distL="114300" distR="114300" simplePos="0" relativeHeight="251661312" behindDoc="0" locked="0" layoutInCell="1" allowOverlap="1" wp14:anchorId="23CCA5F3" wp14:editId="27EA1A49">
                <wp:simplePos x="0" y="0"/>
                <wp:positionH relativeFrom="column">
                  <wp:posOffset>1891030</wp:posOffset>
                </wp:positionH>
                <wp:positionV relativeFrom="paragraph">
                  <wp:posOffset>186055</wp:posOffset>
                </wp:positionV>
                <wp:extent cx="266700" cy="266700"/>
                <wp:effectExtent l="0" t="0" r="19050" b="19050"/>
                <wp:wrapNone/>
                <wp:docPr id="12" name="文本框 12"/>
                <wp:cNvGraphicFramePr/>
                <a:graphic xmlns:a="http://schemas.openxmlformats.org/drawingml/2006/main">
                  <a:graphicData uri="http://schemas.microsoft.com/office/word/2010/wordprocessingShape">
                    <wps:wsp>
                      <wps:cNvSpPr txBox="1"/>
                      <wps:spPr>
                        <a:xfrm>
                          <a:off x="0" y="0"/>
                          <a:ext cx="266700" cy="266700"/>
                        </a:xfrm>
                        <a:prstGeom prst="rect">
                          <a:avLst/>
                        </a:prstGeom>
                        <a:solidFill>
                          <a:schemeClr val="bg1"/>
                        </a:solidFill>
                        <a:ln>
                          <a:solidFill>
                            <a:schemeClr val="bg1"/>
                          </a:solidFill>
                        </a:ln>
                      </wps:spPr>
                      <wps:style>
                        <a:lnRef idx="2">
                          <a:schemeClr val="accent3"/>
                        </a:lnRef>
                        <a:fillRef idx="1">
                          <a:schemeClr val="lt1"/>
                        </a:fillRef>
                        <a:effectRef idx="0">
                          <a:schemeClr val="accent3"/>
                        </a:effectRef>
                        <a:fontRef idx="minor">
                          <a:schemeClr val="dk1"/>
                        </a:fontRef>
                      </wps:style>
                      <wps:txbx>
                        <w:txbxContent>
                          <w:p w14:paraId="6D9DD002" w14:textId="77777777" w:rsidR="00C7414F" w:rsidRDefault="00C7414F" w:rsidP="00C7414F">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2" o:spid="_x0000_s1082" type="#_x0000_t202" style="position:absolute;left:0;text-align:left;margin-left:148.9pt;margin-top:14.65pt;width:21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" fillcolor="white [3212]" strokecolor="white [3212]" strokeweight="1pt">
                <v:textbox>
                  <w:txbxContent>
                    <w:p w14:paraId="6D9DD002" w14:textId="77777777" w:rsidR="00C7414F" w:rsidRDefault="00C7414F" w:rsidP="00C7414F">
                      <w:pPr>
                        <w:rPr>
                          <w:lang w:eastAsia="zh-CN"/>
                        </w:rPr>
                      </w:pPr>
                      <w:r>
                        <w:rPr>
                          <w:rFonts w:hint="eastAsia"/>
                          <w:lang w:eastAsia="zh-CN"/>
                        </w:rPr>
                        <w:t>a</w:t>
                      </w:r>
                    </w:p>
                  </w:txbxContent>
                </v:textbox>
              </v:shape>
            </w:pict>
          </mc:Fallback>
        </mc:AlternateContent>
      </w:r>
      <w:r w:rsidR="00EA6E12" w:rsidRPr="00E47A42">
        <w:rPr>
          <w:rFonts w:ascii="Book Antiqua" w:hAnsi="Book Antiqua" w:cs="Times New Roman"/>
          <w:noProof/>
          <w:sz w:val="24"/>
          <w:szCs w:val="24"/>
          <w:lang w:val="en-US" w:eastAsia="zh-CN"/>
        </w:rPr>
        <w:drawing>
          <wp:inline distT="0" distB="0" distL="0" distR="0" wp14:anchorId="05F76437" wp14:editId="5E80CCCD">
            <wp:extent cx="3061486" cy="2552700"/>
            <wp:effectExtent l="0" t="0" r="5715" b="0"/>
            <wp:docPr id="5" name="Picture 5" descr="D:\Users\predrag.sikiric\Documents\drmic radovi\drmic caecum\Figures TIFF revised  9.4.2018\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predrag.sikiric\Documents\drmic radovi\drmic caecum\Figures TIFF revised  9.4.2018\FIG. 5.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3240" cy="2554163"/>
                    </a:xfrm>
                    <a:prstGeom prst="rect">
                      <a:avLst/>
                    </a:prstGeom>
                    <a:noFill/>
                    <a:ln>
                      <a:noFill/>
                    </a:ln>
                  </pic:spPr>
                </pic:pic>
              </a:graphicData>
            </a:graphic>
          </wp:inline>
        </w:drawing>
      </w:r>
    </w:p>
    <w:p w14:paraId="4FC92C3A" w14:textId="5348BE15" w:rsidR="00EA6E12" w:rsidRPr="00E47A42" w:rsidRDefault="00EA6E12" w:rsidP="00EA6E12">
      <w:pPr>
        <w:snapToGrid w:val="0"/>
        <w:spacing w:after="0" w:line="360" w:lineRule="auto"/>
        <w:jc w:val="both"/>
        <w:rPr>
          <w:rFonts w:ascii="Book Antiqua" w:hAnsi="Book Antiqua" w:cs="Times New Roman"/>
          <w:sz w:val="24"/>
          <w:szCs w:val="24"/>
          <w:lang w:val="en-US" w:eastAsia="zh-CN"/>
        </w:rPr>
      </w:pPr>
      <w:r w:rsidRPr="00C3318D">
        <w:rPr>
          <w:rFonts w:ascii="Book Antiqua" w:hAnsi="Book Antiqua" w:cs="Times New Roman"/>
          <w:b/>
          <w:sz w:val="24"/>
          <w:szCs w:val="24"/>
          <w:lang w:val="en-US"/>
        </w:rPr>
        <w:t>Fig</w:t>
      </w:r>
      <w:r w:rsidR="00C3318D" w:rsidRPr="00C3318D">
        <w:rPr>
          <w:rFonts w:ascii="Book Antiqua" w:hAnsi="Book Antiqua" w:cs="Times New Roman" w:hint="eastAsia"/>
          <w:b/>
          <w:sz w:val="24"/>
          <w:szCs w:val="24"/>
          <w:lang w:val="en-US" w:eastAsia="zh-CN"/>
        </w:rPr>
        <w:t xml:space="preserve">ure </w:t>
      </w:r>
      <w:r w:rsidRPr="00C3318D">
        <w:rPr>
          <w:rFonts w:ascii="Book Antiqua" w:hAnsi="Book Antiqua" w:cs="Times New Roman"/>
          <w:b/>
          <w:sz w:val="24"/>
          <w:szCs w:val="24"/>
          <w:lang w:val="en-US"/>
        </w:rPr>
        <w:t>5</w:t>
      </w:r>
      <w:r w:rsidR="00C3318D" w:rsidRPr="00C3318D">
        <w:rPr>
          <w:rFonts w:ascii="Book Antiqua" w:hAnsi="Book Antiqua" w:cs="Times New Roman" w:hint="eastAsia"/>
          <w:b/>
          <w:sz w:val="24"/>
          <w:szCs w:val="24"/>
          <w:lang w:val="en-US" w:eastAsia="zh-CN"/>
        </w:rPr>
        <w:t xml:space="preserve"> </w:t>
      </w:r>
      <w:r w:rsidRPr="00C3318D">
        <w:rPr>
          <w:rFonts w:ascii="Book Antiqua" w:hAnsi="Book Antiqua" w:cs="Times New Roman"/>
          <w:b/>
          <w:sz w:val="24"/>
          <w:szCs w:val="24"/>
          <w:lang w:val="en-US"/>
        </w:rPr>
        <w:t>At 15 min</w:t>
      </w:r>
      <w:r w:rsidR="00C3318D" w:rsidRPr="00C3318D">
        <w:rPr>
          <w:rFonts w:ascii="Book Antiqua" w:hAnsi="Book Antiqua" w:cs="Times New Roman" w:hint="eastAsia"/>
          <w:b/>
          <w:sz w:val="24"/>
          <w:szCs w:val="24"/>
          <w:lang w:val="en-US" w:eastAsia="zh-CN"/>
        </w:rPr>
        <w:t xml:space="preserve"> </w:t>
      </w:r>
      <w:r w:rsidRPr="00C3318D">
        <w:rPr>
          <w:rFonts w:ascii="Book Antiqua" w:hAnsi="Book Antiqua" w:cs="Times New Roman"/>
          <w:b/>
          <w:sz w:val="24"/>
          <w:szCs w:val="24"/>
          <w:lang w:val="en-US"/>
        </w:rPr>
        <w:t xml:space="preserve">post-injury, oxidative stress in tissue samples was assessed by quantifying </w:t>
      </w:r>
      <w:proofErr w:type="spellStart"/>
      <w:r w:rsidRPr="00C3318D">
        <w:rPr>
          <w:rFonts w:ascii="Book Antiqua" w:hAnsi="Book Antiqua" w:cs="Times New Roman"/>
          <w:b/>
          <w:sz w:val="24"/>
          <w:szCs w:val="24"/>
          <w:lang w:val="en-US"/>
        </w:rPr>
        <w:t>thiobarbituric</w:t>
      </w:r>
      <w:proofErr w:type="spellEnd"/>
      <w:r w:rsidRPr="00C3318D">
        <w:rPr>
          <w:rFonts w:ascii="Book Antiqua" w:hAnsi="Book Antiqua" w:cs="Times New Roman"/>
          <w:b/>
          <w:sz w:val="24"/>
          <w:szCs w:val="24"/>
          <w:lang w:val="en-US"/>
        </w:rPr>
        <w:t xml:space="preserve"> acid</w:t>
      </w:r>
      <w:r w:rsidR="00C3318D" w:rsidRPr="00C3318D">
        <w:rPr>
          <w:rFonts w:ascii="Book Antiqua" w:hAnsi="Book Antiqua" w:cs="Times New Roman" w:hint="eastAsia"/>
          <w:b/>
          <w:sz w:val="24"/>
          <w:szCs w:val="24"/>
          <w:lang w:val="en-US" w:eastAsia="zh-CN"/>
        </w:rPr>
        <w:t xml:space="preserve"> </w:t>
      </w:r>
      <w:r w:rsidRPr="00C3318D">
        <w:rPr>
          <w:rFonts w:ascii="Book Antiqua" w:hAnsi="Book Antiqua" w:cs="Times New Roman"/>
          <w:b/>
          <w:sz w:val="24"/>
          <w:szCs w:val="24"/>
          <w:lang w:val="en-US"/>
        </w:rPr>
        <w:t xml:space="preserve">reactivity as malondialdehyde equivalents. </w:t>
      </w:r>
      <w:r w:rsidRPr="00E47A42">
        <w:rPr>
          <w:rFonts w:ascii="Book Antiqua" w:hAnsi="Book Antiqua" w:cs="Times New Roman"/>
          <w:sz w:val="24"/>
          <w:szCs w:val="24"/>
          <w:lang w:val="en-US"/>
        </w:rPr>
        <w:t>Administration of medication (/kg, 10 m</w:t>
      </w:r>
      <w:r w:rsidRPr="00C3318D">
        <w:rPr>
          <w:rFonts w:ascii="Book Antiqua" w:hAnsi="Book Antiqua" w:cs="Times New Roman"/>
          <w:caps/>
          <w:sz w:val="24"/>
          <w:szCs w:val="24"/>
          <w:lang w:val="en-US"/>
        </w:rPr>
        <w:t>l</w:t>
      </w:r>
      <w:r w:rsidRPr="00E47A42">
        <w:rPr>
          <w:rFonts w:ascii="Book Antiqua" w:hAnsi="Book Antiqua" w:cs="Times New Roman"/>
          <w:sz w:val="24"/>
          <w:szCs w:val="24"/>
          <w:lang w:val="en-US"/>
        </w:rPr>
        <w:t xml:space="preserve">/2 min bath/rat) at the perforated (5 mm diameter) cecum lesion and cecum was BPC 157 (10 µg) or a saline bath of equal volume (controls). </w:t>
      </w:r>
      <w:r w:rsidR="00C3318D" w:rsidRPr="007C34A5">
        <w:rPr>
          <w:rFonts w:ascii="Book Antiqua" w:hAnsi="Book Antiqua" w:cs="Times New Roman"/>
          <w:caps/>
          <w:sz w:val="24"/>
          <w:szCs w:val="24"/>
          <w:lang w:val="en-US"/>
        </w:rPr>
        <w:t>m</w:t>
      </w:r>
      <w:r w:rsidR="00C3318D" w:rsidRPr="00E47A42">
        <w:rPr>
          <w:rFonts w:ascii="Book Antiqua" w:hAnsi="Book Antiqua" w:cs="Times New Roman"/>
          <w:sz w:val="24"/>
          <w:szCs w:val="24"/>
          <w:lang w:val="en-US"/>
        </w:rPr>
        <w:t xml:space="preserve">inimum </w:t>
      </w:r>
      <w:proofErr w:type="spellStart"/>
      <w:r w:rsidR="00C3318D" w:rsidRPr="007C34A5">
        <w:rPr>
          <w:rFonts w:ascii="Book Antiqua" w:hAnsi="Book Antiqua" w:cs="Times New Roman" w:hint="eastAsia"/>
          <w:sz w:val="24"/>
          <w:szCs w:val="24"/>
          <w:vertAlign w:val="superscript"/>
          <w:lang w:val="en-US" w:eastAsia="zh-CN"/>
        </w:rPr>
        <w:t>a</w:t>
      </w:r>
      <w:r w:rsidR="00C3318D" w:rsidRPr="00B473E4">
        <w:rPr>
          <w:rFonts w:ascii="Book Antiqua" w:hAnsi="Book Antiqua" w:cs="Times New Roman"/>
          <w:i/>
          <w:sz w:val="24"/>
          <w:szCs w:val="24"/>
          <w:lang w:val="en-US"/>
        </w:rPr>
        <w:t>P</w:t>
      </w:r>
      <w:proofErr w:type="spellEnd"/>
      <w:r w:rsidR="00C7414F">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&lt;</w:t>
      </w:r>
      <w:r w:rsidR="00C3318D">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 xml:space="preserve">0.05 </w:t>
      </w:r>
      <w:proofErr w:type="spellStart"/>
      <w:r w:rsidR="00C7414F" w:rsidRPr="00C7414F">
        <w:rPr>
          <w:rFonts w:ascii="Book Antiqua" w:hAnsi="Book Antiqua" w:cs="Times New Roman" w:hint="eastAsia"/>
          <w:i/>
          <w:sz w:val="24"/>
          <w:szCs w:val="24"/>
          <w:lang w:val="en-US" w:eastAsia="zh-CN"/>
        </w:rPr>
        <w:t>vs</w:t>
      </w:r>
      <w:proofErr w:type="spellEnd"/>
      <w:r w:rsidRPr="00E47A42">
        <w:rPr>
          <w:rFonts w:ascii="Book Antiqua" w:hAnsi="Book Antiqua" w:cs="Times New Roman"/>
          <w:sz w:val="24"/>
          <w:szCs w:val="24"/>
          <w:lang w:val="en-US"/>
        </w:rPr>
        <w:t xml:space="preserve"> control.</w:t>
      </w:r>
      <w:r w:rsidR="00C3318D">
        <w:rPr>
          <w:rFonts w:ascii="Book Antiqua" w:hAnsi="Book Antiqua" w:cs="Times New Roman" w:hint="eastAsia"/>
          <w:sz w:val="24"/>
          <w:szCs w:val="24"/>
          <w:lang w:val="en-US" w:eastAsia="zh-CN"/>
        </w:rPr>
        <w:t xml:space="preserve"> </w:t>
      </w:r>
      <w:r w:rsidR="00C3318D" w:rsidRPr="00E47A42">
        <w:rPr>
          <w:rFonts w:ascii="Book Antiqua" w:hAnsi="Book Antiqua" w:cs="Times New Roman"/>
          <w:sz w:val="24"/>
          <w:szCs w:val="24"/>
          <w:lang w:val="en-US"/>
        </w:rPr>
        <w:t>MDA</w:t>
      </w:r>
      <w:r w:rsidR="00C3318D">
        <w:rPr>
          <w:rFonts w:ascii="Book Antiqua" w:hAnsi="Book Antiqua" w:cs="Times New Roman" w:hint="eastAsia"/>
          <w:sz w:val="24"/>
          <w:szCs w:val="24"/>
          <w:lang w:val="en-US" w:eastAsia="zh-CN"/>
        </w:rPr>
        <w:t xml:space="preserve">: </w:t>
      </w:r>
      <w:r w:rsidR="00C3318D" w:rsidRPr="00C3318D">
        <w:rPr>
          <w:rFonts w:ascii="Book Antiqua" w:hAnsi="Book Antiqua" w:cs="Times New Roman"/>
          <w:caps/>
          <w:sz w:val="24"/>
          <w:szCs w:val="24"/>
          <w:lang w:val="en-US"/>
        </w:rPr>
        <w:t>m</w:t>
      </w:r>
      <w:r w:rsidR="00C3318D" w:rsidRPr="00E47A42">
        <w:rPr>
          <w:rFonts w:ascii="Book Antiqua" w:hAnsi="Book Antiqua" w:cs="Times New Roman"/>
          <w:sz w:val="24"/>
          <w:szCs w:val="24"/>
          <w:lang w:val="en-US"/>
        </w:rPr>
        <w:t>alondialdehyde equivalents</w:t>
      </w:r>
      <w:r w:rsidR="00C3318D">
        <w:rPr>
          <w:rFonts w:ascii="Book Antiqua" w:hAnsi="Book Antiqua" w:cs="Times New Roman" w:hint="eastAsia"/>
          <w:sz w:val="24"/>
          <w:szCs w:val="24"/>
          <w:lang w:val="en-US" w:eastAsia="zh-CN"/>
        </w:rPr>
        <w:t>.</w:t>
      </w:r>
    </w:p>
    <w:p w14:paraId="3F195789" w14:textId="77777777" w:rsidR="00EE3106" w:rsidRPr="00E47A42" w:rsidRDefault="00EE3106" w:rsidP="00EE3106">
      <w:pPr>
        <w:snapToGrid w:val="0"/>
        <w:spacing w:after="0" w:line="360" w:lineRule="auto"/>
        <w:ind w:firstLine="720"/>
        <w:jc w:val="both"/>
        <w:rPr>
          <w:rFonts w:ascii="Book Antiqua" w:hAnsi="Book Antiqua" w:cs="Times New Roman"/>
          <w:sz w:val="24"/>
          <w:szCs w:val="24"/>
          <w:lang w:val="en-US"/>
        </w:rPr>
      </w:pPr>
    </w:p>
    <w:p w14:paraId="05642A06" w14:textId="0678D2CA" w:rsidR="00EA6E12" w:rsidRDefault="00EA6E12">
      <w:pPr>
        <w:rPr>
          <w:rFonts w:ascii="Book Antiqua" w:hAnsi="Book Antiqua" w:cs="Times New Roman"/>
          <w:sz w:val="24"/>
          <w:szCs w:val="24"/>
          <w:lang w:val="en-US"/>
        </w:rPr>
      </w:pPr>
      <w:r>
        <w:rPr>
          <w:rFonts w:ascii="Book Antiqua" w:hAnsi="Book Antiqua" w:cs="Times New Roman"/>
          <w:sz w:val="24"/>
          <w:szCs w:val="24"/>
          <w:lang w:val="en-US"/>
        </w:rPr>
        <w:br w:type="page"/>
      </w:r>
    </w:p>
    <w:p w14:paraId="33BD2B14" w14:textId="77777777" w:rsidR="00EA6E12" w:rsidRPr="00E47A42" w:rsidRDefault="00EA6E12" w:rsidP="00EA6E12">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noProof/>
          <w:sz w:val="24"/>
          <w:szCs w:val="24"/>
          <w:lang w:val="en-US" w:eastAsia="zh-CN"/>
        </w:rPr>
        <w:lastRenderedPageBreak/>
        <w:drawing>
          <wp:inline distT="0" distB="0" distL="0" distR="0" wp14:anchorId="762B6BD4" wp14:editId="38C0BEB2">
            <wp:extent cx="4315122" cy="3438525"/>
            <wp:effectExtent l="0" t="0" r="9525" b="0"/>
            <wp:docPr id="6" name="Picture 6" descr="D:\Users\predrag.sikiric\Documents\drmic radovi\drmic caecum\Figures TIFF revised  9.4.2018\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predrag.sikiric\Documents\drmic radovi\drmic caecum\Figures TIFF revised  9.4.2018\FIG. 6.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8702" cy="3441378"/>
                    </a:xfrm>
                    <a:prstGeom prst="rect">
                      <a:avLst/>
                    </a:prstGeom>
                    <a:noFill/>
                    <a:ln>
                      <a:noFill/>
                    </a:ln>
                  </pic:spPr>
                </pic:pic>
              </a:graphicData>
            </a:graphic>
          </wp:inline>
        </w:drawing>
      </w:r>
    </w:p>
    <w:p w14:paraId="247A1613" w14:textId="0CB160F3" w:rsidR="00EA6E12" w:rsidRPr="00E47A42" w:rsidRDefault="00EA6E12" w:rsidP="00EA6E12">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b/>
          <w:sz w:val="24"/>
          <w:szCs w:val="24"/>
          <w:lang w:val="en-US"/>
        </w:rPr>
        <w:t>Fig</w:t>
      </w:r>
      <w:r w:rsidR="00305153">
        <w:rPr>
          <w:rFonts w:ascii="Book Antiqua" w:hAnsi="Book Antiqua" w:cs="Times New Roman" w:hint="eastAsia"/>
          <w:b/>
          <w:sz w:val="24"/>
          <w:szCs w:val="24"/>
          <w:lang w:val="en-US" w:eastAsia="zh-CN"/>
        </w:rPr>
        <w:t>ure</w:t>
      </w:r>
      <w:r w:rsidRPr="00E47A42">
        <w:rPr>
          <w:rFonts w:ascii="Book Antiqua" w:hAnsi="Book Antiqua" w:cs="Times New Roman"/>
          <w:b/>
          <w:sz w:val="24"/>
          <w:szCs w:val="24"/>
          <w:lang w:val="en-US"/>
        </w:rPr>
        <w:t xml:space="preserve"> 6</w:t>
      </w:r>
      <w:r w:rsidR="00305153">
        <w:rPr>
          <w:rFonts w:ascii="Book Antiqua" w:hAnsi="Book Antiqua" w:cs="Times New Roman" w:hint="eastAsia"/>
          <w:b/>
          <w:sz w:val="24"/>
          <w:szCs w:val="24"/>
          <w:lang w:val="en-US" w:eastAsia="zh-CN"/>
        </w:rPr>
        <w:t xml:space="preserve"> </w:t>
      </w:r>
      <w:r w:rsidRPr="00305153">
        <w:rPr>
          <w:rFonts w:ascii="Book Antiqua" w:hAnsi="Book Antiqua" w:cs="Times New Roman"/>
          <w:b/>
          <w:sz w:val="24"/>
          <w:szCs w:val="24"/>
          <w:lang w:val="en-US"/>
        </w:rPr>
        <w:t xml:space="preserve">The perforated cecum. Perforate lesions, before therapy (c, b) (left). Perforate lesions with therapy </w:t>
      </w:r>
      <w:r w:rsidR="00305153" w:rsidRPr="00305153">
        <w:rPr>
          <w:rFonts w:ascii="Book Antiqua" w:hAnsi="Book Antiqua" w:cs="Times New Roman" w:hint="eastAsia"/>
          <w:b/>
          <w:sz w:val="24"/>
          <w:szCs w:val="24"/>
          <w:lang w:val="en-US" w:eastAsia="zh-CN"/>
        </w:rPr>
        <w:t>[</w:t>
      </w:r>
      <w:r w:rsidRPr="00305153">
        <w:rPr>
          <w:rFonts w:ascii="Book Antiqua" w:hAnsi="Book Antiqua" w:cs="Times New Roman"/>
          <w:b/>
          <w:sz w:val="24"/>
          <w:szCs w:val="24"/>
          <w:lang w:val="en-US"/>
        </w:rPr>
        <w:t>control, saline (C), BPC 157 (B)</w:t>
      </w:r>
      <w:r w:rsidR="00305153" w:rsidRPr="00305153">
        <w:rPr>
          <w:rFonts w:ascii="Book Antiqua" w:hAnsi="Book Antiqua" w:cs="Times New Roman" w:hint="eastAsia"/>
          <w:b/>
          <w:sz w:val="24"/>
          <w:szCs w:val="24"/>
          <w:lang w:val="en-US" w:eastAsia="zh-CN"/>
        </w:rPr>
        <w:t>]</w:t>
      </w:r>
      <w:r w:rsidRPr="00305153">
        <w:rPr>
          <w:rFonts w:ascii="Book Antiqua" w:hAnsi="Book Antiqua" w:cs="Times New Roman"/>
          <w:b/>
          <w:sz w:val="24"/>
          <w:szCs w:val="24"/>
          <w:lang w:val="en-US"/>
        </w:rPr>
        <w:t xml:space="preserve"> (right).</w:t>
      </w:r>
      <w:r w:rsidRPr="00E47A42">
        <w:rPr>
          <w:rFonts w:ascii="Book Antiqua" w:hAnsi="Book Antiqua" w:cs="Times New Roman"/>
          <w:sz w:val="24"/>
          <w:szCs w:val="24"/>
          <w:lang w:val="en-US"/>
        </w:rPr>
        <w:t xml:space="preserve"> Illustrative distinctive effect of medication administration (saline bath (right, upper, control (C) versus BPC 157 bath (right, low, BPC 157 (B)). Regular failing effect of saline bath application on vessels presentation (right, upper, control (C)) versus the immediate recruitment effect of BPC 157 bath administration on the blood vessels presentation toward the perforated injury (right, low, BPC 157 (B)). Note the initial recovery of blood vessels that appear alongside with the BPC 157 bath, a network raising toward the perforated defect.</w:t>
      </w:r>
    </w:p>
    <w:p w14:paraId="7AAD8C9F" w14:textId="460D2870" w:rsidR="00EA6E12" w:rsidRDefault="00EA6E12">
      <w:pPr>
        <w:rPr>
          <w:rFonts w:ascii="Book Antiqua" w:hAnsi="Book Antiqua" w:cs="Times New Roman"/>
          <w:sz w:val="24"/>
          <w:szCs w:val="24"/>
          <w:lang w:val="en-US"/>
        </w:rPr>
      </w:pPr>
      <w:r>
        <w:rPr>
          <w:rFonts w:ascii="Book Antiqua" w:hAnsi="Book Antiqua" w:cs="Times New Roman"/>
          <w:sz w:val="24"/>
          <w:szCs w:val="24"/>
          <w:lang w:val="en-US"/>
        </w:rPr>
        <w:br w:type="page"/>
      </w:r>
    </w:p>
    <w:p w14:paraId="6EF8B907" w14:textId="77777777" w:rsidR="00EA6E12" w:rsidRPr="00E47A42" w:rsidRDefault="00EA6E12" w:rsidP="00EA6E12">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noProof/>
          <w:sz w:val="24"/>
          <w:szCs w:val="24"/>
          <w:lang w:val="en-US" w:eastAsia="zh-CN"/>
        </w:rPr>
        <w:lastRenderedPageBreak/>
        <w:drawing>
          <wp:inline distT="0" distB="0" distL="0" distR="0" wp14:anchorId="475430A1" wp14:editId="356B861E">
            <wp:extent cx="4627339" cy="1905000"/>
            <wp:effectExtent l="0" t="0" r="1905" b="0"/>
            <wp:docPr id="7" name="Picture 7" descr="D:\Users\predrag.sikiric\Documents\drmic radovi\drmic caecum\Figures TIFF revised  9.4.2018\FIG.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predrag.sikiric\Documents\drmic radovi\drmic caecum\Figures TIFF revised  9.4.2018\FIG. 7.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9134" cy="1909856"/>
                    </a:xfrm>
                    <a:prstGeom prst="rect">
                      <a:avLst/>
                    </a:prstGeom>
                    <a:noFill/>
                    <a:ln>
                      <a:noFill/>
                    </a:ln>
                  </pic:spPr>
                </pic:pic>
              </a:graphicData>
            </a:graphic>
          </wp:inline>
        </w:drawing>
      </w:r>
    </w:p>
    <w:p w14:paraId="4C911DA7" w14:textId="0EC32D68" w:rsidR="00EA6E12" w:rsidRDefault="00EA6E12" w:rsidP="00EA6E12">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b/>
          <w:sz w:val="24"/>
          <w:szCs w:val="24"/>
          <w:lang w:val="en-US"/>
        </w:rPr>
        <w:t>Fig</w:t>
      </w:r>
      <w:r w:rsidR="00305153">
        <w:rPr>
          <w:rFonts w:ascii="Book Antiqua" w:hAnsi="Book Antiqua" w:cs="Times New Roman" w:hint="eastAsia"/>
          <w:b/>
          <w:sz w:val="24"/>
          <w:szCs w:val="24"/>
          <w:lang w:val="en-US" w:eastAsia="zh-CN"/>
        </w:rPr>
        <w:t xml:space="preserve">ure </w:t>
      </w:r>
      <w:r w:rsidRPr="00E47A42">
        <w:rPr>
          <w:rFonts w:ascii="Book Antiqua" w:hAnsi="Book Antiqua" w:cs="Times New Roman"/>
          <w:b/>
          <w:sz w:val="24"/>
          <w:szCs w:val="24"/>
          <w:lang w:val="en-US"/>
        </w:rPr>
        <w:t>7</w:t>
      </w:r>
      <w:r w:rsidR="00305153">
        <w:rPr>
          <w:rFonts w:ascii="Book Antiqua" w:hAnsi="Book Antiqua" w:cs="Times New Roman" w:hint="eastAsia"/>
          <w:b/>
          <w:sz w:val="24"/>
          <w:szCs w:val="24"/>
          <w:lang w:val="en-US" w:eastAsia="zh-CN"/>
        </w:rPr>
        <w:t xml:space="preserve"> </w:t>
      </w:r>
      <w:r w:rsidR="00305153" w:rsidRPr="004142CB">
        <w:rPr>
          <w:rFonts w:ascii="Book Antiqua" w:hAnsi="Book Antiqua" w:cs="Times New Roman"/>
          <w:b/>
          <w:sz w:val="24"/>
          <w:szCs w:val="24"/>
          <w:lang w:val="en-US"/>
        </w:rPr>
        <w:t>At 10 min</w:t>
      </w:r>
      <w:r w:rsidRPr="004142CB">
        <w:rPr>
          <w:rFonts w:ascii="Book Antiqua" w:hAnsi="Book Antiqua" w:cs="Times New Roman"/>
          <w:b/>
          <w:sz w:val="24"/>
          <w:szCs w:val="24"/>
          <w:lang w:val="en-US"/>
        </w:rPr>
        <w:t xml:space="preserve">, in the perforated cecum, the illustrative effect of medication administration </w:t>
      </w:r>
      <w:r w:rsidR="0096438C" w:rsidRPr="004142CB">
        <w:rPr>
          <w:rFonts w:ascii="Book Antiqua" w:hAnsi="Book Antiqua" w:cs="Times New Roman" w:hint="eastAsia"/>
          <w:b/>
          <w:sz w:val="24"/>
          <w:szCs w:val="24"/>
          <w:lang w:val="en-US" w:eastAsia="zh-CN"/>
        </w:rPr>
        <w:t>[</w:t>
      </w:r>
      <w:r w:rsidRPr="004142CB">
        <w:rPr>
          <w:rFonts w:ascii="Book Antiqua" w:hAnsi="Book Antiqua" w:cs="Times New Roman"/>
          <w:b/>
          <w:sz w:val="24"/>
          <w:szCs w:val="24"/>
          <w:lang w:val="en-US"/>
        </w:rPr>
        <w:t>saline bath (left, control (C)</w:t>
      </w:r>
      <w:r w:rsidR="0096438C" w:rsidRPr="004142CB">
        <w:rPr>
          <w:rFonts w:ascii="Book Antiqua" w:hAnsi="Book Antiqua" w:cs="Times New Roman" w:hint="eastAsia"/>
          <w:b/>
          <w:sz w:val="24"/>
          <w:szCs w:val="24"/>
          <w:lang w:val="en-US" w:eastAsia="zh-CN"/>
        </w:rPr>
        <w:t>]</w:t>
      </w:r>
      <w:r w:rsidRPr="004142CB">
        <w:rPr>
          <w:rFonts w:ascii="Book Antiqua" w:hAnsi="Book Antiqua" w:cs="Times New Roman"/>
          <w:b/>
          <w:sz w:val="24"/>
          <w:szCs w:val="24"/>
          <w:lang w:val="en-US"/>
        </w:rPr>
        <w:t xml:space="preserve"> and BPC 157 bath </w:t>
      </w:r>
      <w:r w:rsidR="0096438C" w:rsidRPr="004142CB">
        <w:rPr>
          <w:rFonts w:ascii="Book Antiqua" w:hAnsi="Book Antiqua" w:cs="Times New Roman" w:hint="eastAsia"/>
          <w:b/>
          <w:sz w:val="24"/>
          <w:szCs w:val="24"/>
          <w:lang w:val="en-US" w:eastAsia="zh-CN"/>
        </w:rPr>
        <w:t>[</w:t>
      </w:r>
      <w:r w:rsidRPr="004142CB">
        <w:rPr>
          <w:rFonts w:ascii="Book Antiqua" w:hAnsi="Book Antiqua" w:cs="Times New Roman"/>
          <w:b/>
          <w:sz w:val="24"/>
          <w:szCs w:val="24"/>
          <w:lang w:val="en-US"/>
        </w:rPr>
        <w:t>right, BPC 157 (B)</w:t>
      </w:r>
      <w:r w:rsidR="0096438C" w:rsidRPr="004142CB">
        <w:rPr>
          <w:rFonts w:ascii="Book Antiqua" w:hAnsi="Book Antiqua" w:cs="Times New Roman" w:hint="eastAsia"/>
          <w:b/>
          <w:sz w:val="24"/>
          <w:szCs w:val="24"/>
          <w:lang w:val="en-US" w:eastAsia="zh-CN"/>
        </w:rPr>
        <w:t>]</w:t>
      </w:r>
      <w:r w:rsidRPr="004142CB">
        <w:rPr>
          <w:rFonts w:ascii="Book Antiqua" w:hAnsi="Book Antiqua" w:cs="Times New Roman"/>
          <w:b/>
          <w:sz w:val="24"/>
          <w:szCs w:val="24"/>
          <w:lang w:val="en-US"/>
        </w:rPr>
        <w:t xml:space="preserve">. </w:t>
      </w:r>
      <w:r w:rsidRPr="00E47A42">
        <w:rPr>
          <w:rFonts w:ascii="Book Antiqua" w:hAnsi="Book Antiqua" w:cs="Times New Roman"/>
          <w:sz w:val="24"/>
          <w:szCs w:val="24"/>
          <w:lang w:val="en-US"/>
        </w:rPr>
        <w:t xml:space="preserve">In the damaged cecum, the regular effect of saline bath application on vessels presentation </w:t>
      </w:r>
      <w:r w:rsidR="004142CB">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left, control (C)</w:t>
      </w:r>
      <w:r w:rsidR="004142CB">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 xml:space="preserve"> versus the immediate effect of BPC 157 bath administration on the blood vessels presentation toward the perforated injury </w:t>
      </w:r>
      <w:r w:rsidR="004142CB">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right, BPC 157 (B)</w:t>
      </w:r>
      <w:r w:rsidR="004142CB">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w:t>
      </w:r>
    </w:p>
    <w:p w14:paraId="787B05C6" w14:textId="77777777" w:rsidR="00EA6E12" w:rsidRDefault="00EA6E12">
      <w:pPr>
        <w:rPr>
          <w:rFonts w:ascii="Book Antiqua" w:hAnsi="Book Antiqua" w:cs="Times New Roman"/>
          <w:sz w:val="24"/>
          <w:szCs w:val="24"/>
          <w:lang w:val="en-US"/>
        </w:rPr>
      </w:pPr>
      <w:r>
        <w:rPr>
          <w:rFonts w:ascii="Book Antiqua" w:hAnsi="Book Antiqua" w:cs="Times New Roman"/>
          <w:sz w:val="24"/>
          <w:szCs w:val="24"/>
          <w:lang w:val="en-US"/>
        </w:rPr>
        <w:br w:type="page"/>
      </w:r>
    </w:p>
    <w:p w14:paraId="2299860D" w14:textId="77777777" w:rsidR="00EA6E12" w:rsidRPr="00E47A42" w:rsidRDefault="00EA6E12" w:rsidP="00EA6E12">
      <w:pPr>
        <w:snapToGrid w:val="0"/>
        <w:spacing w:after="0" w:line="360" w:lineRule="auto"/>
        <w:rPr>
          <w:rFonts w:ascii="Book Antiqua" w:hAnsi="Book Antiqua" w:cs="Times New Roman"/>
          <w:sz w:val="24"/>
          <w:szCs w:val="24"/>
          <w:lang w:val="en-US"/>
        </w:rPr>
      </w:pPr>
      <w:r w:rsidRPr="00E47A42">
        <w:rPr>
          <w:rFonts w:ascii="Book Antiqua" w:hAnsi="Book Antiqua" w:cs="Times New Roman"/>
          <w:noProof/>
          <w:sz w:val="24"/>
          <w:szCs w:val="24"/>
          <w:lang w:val="en-US" w:eastAsia="zh-CN"/>
        </w:rPr>
        <w:lastRenderedPageBreak/>
        <w:drawing>
          <wp:inline distT="0" distB="0" distL="0" distR="0" wp14:anchorId="1AD31F90" wp14:editId="756E510B">
            <wp:extent cx="4657128" cy="2590800"/>
            <wp:effectExtent l="0" t="0" r="0" b="0"/>
            <wp:docPr id="8" name="Picture 8" descr="D:\Users\predrag.sikiric\Documents\drmic radovi\drmic caecum\Figures TIFF revised  9.4.2018\FIG.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predrag.sikiric\Documents\drmic radovi\drmic caecum\Figures TIFF revised  9.4.2018\FIG. 8.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8164" cy="2596939"/>
                    </a:xfrm>
                    <a:prstGeom prst="rect">
                      <a:avLst/>
                    </a:prstGeom>
                    <a:noFill/>
                    <a:ln>
                      <a:noFill/>
                    </a:ln>
                  </pic:spPr>
                </pic:pic>
              </a:graphicData>
            </a:graphic>
          </wp:inline>
        </w:drawing>
      </w:r>
    </w:p>
    <w:p w14:paraId="76B863A1" w14:textId="09464984" w:rsidR="00EA6E12" w:rsidRPr="00E47A42" w:rsidRDefault="00EA6E12" w:rsidP="00EA6E12">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b/>
          <w:sz w:val="24"/>
          <w:szCs w:val="24"/>
          <w:lang w:val="en-US"/>
        </w:rPr>
        <w:t>Fig</w:t>
      </w:r>
      <w:r w:rsidR="00595925">
        <w:rPr>
          <w:rFonts w:ascii="Book Antiqua" w:hAnsi="Book Antiqua" w:cs="Times New Roman" w:hint="eastAsia"/>
          <w:b/>
          <w:sz w:val="24"/>
          <w:szCs w:val="24"/>
          <w:lang w:val="en-US" w:eastAsia="zh-CN"/>
        </w:rPr>
        <w:t>ure</w:t>
      </w:r>
      <w:r w:rsidRPr="00E47A42">
        <w:rPr>
          <w:rFonts w:ascii="Book Antiqua" w:hAnsi="Book Antiqua" w:cs="Times New Roman"/>
          <w:b/>
          <w:sz w:val="24"/>
          <w:szCs w:val="24"/>
          <w:lang w:val="en-US"/>
        </w:rPr>
        <w:t xml:space="preserve"> 8</w:t>
      </w:r>
      <w:r w:rsidR="00595925" w:rsidRPr="0096438C">
        <w:rPr>
          <w:rFonts w:ascii="Book Antiqua" w:hAnsi="Book Antiqua" w:cs="Times New Roman" w:hint="eastAsia"/>
          <w:b/>
          <w:sz w:val="24"/>
          <w:szCs w:val="24"/>
          <w:lang w:val="en-US" w:eastAsia="zh-CN"/>
        </w:rPr>
        <w:t xml:space="preserve"> </w:t>
      </w:r>
      <w:r w:rsidRPr="0096438C">
        <w:rPr>
          <w:rFonts w:ascii="Book Antiqua" w:hAnsi="Book Antiqua" w:cs="Times New Roman"/>
          <w:b/>
          <w:sz w:val="24"/>
          <w:szCs w:val="24"/>
          <w:lang w:val="en-US"/>
        </w:rPr>
        <w:t xml:space="preserve">Gross presentation of the area of perforation </w:t>
      </w:r>
      <w:r w:rsidR="00595925" w:rsidRPr="0096438C">
        <w:rPr>
          <w:rFonts w:ascii="Book Antiqua" w:hAnsi="Book Antiqua" w:cs="Times New Roman" w:hint="eastAsia"/>
          <w:b/>
          <w:sz w:val="24"/>
          <w:szCs w:val="24"/>
          <w:lang w:val="en-US" w:eastAsia="zh-CN"/>
        </w:rPr>
        <w:t>[</w:t>
      </w:r>
      <w:r w:rsidRPr="0096438C">
        <w:rPr>
          <w:rFonts w:ascii="Book Antiqua" w:hAnsi="Book Antiqua" w:cs="Times New Roman"/>
          <w:b/>
          <w:sz w:val="24"/>
          <w:szCs w:val="24"/>
          <w:lang w:val="en-US"/>
        </w:rPr>
        <w:t>left, control (C)</w:t>
      </w:r>
      <w:r w:rsidR="00C12642">
        <w:rPr>
          <w:rFonts w:ascii="Book Antiqua" w:hAnsi="Book Antiqua" w:cs="Times New Roman" w:hint="eastAsia"/>
          <w:b/>
          <w:sz w:val="24"/>
          <w:szCs w:val="24"/>
          <w:lang w:val="en-US" w:eastAsia="zh-CN"/>
        </w:rPr>
        <w:t>;</w:t>
      </w:r>
      <w:r w:rsidRPr="0096438C">
        <w:rPr>
          <w:rFonts w:ascii="Book Antiqua" w:hAnsi="Book Antiqua" w:cs="Times New Roman"/>
          <w:b/>
          <w:sz w:val="24"/>
          <w:szCs w:val="24"/>
          <w:lang w:val="en-US"/>
        </w:rPr>
        <w:t xml:space="preserve"> right, BPC 157 (B)</w:t>
      </w:r>
      <w:r w:rsidR="00595925" w:rsidRPr="0096438C">
        <w:rPr>
          <w:rFonts w:ascii="Book Antiqua" w:hAnsi="Book Antiqua" w:cs="Times New Roman" w:hint="eastAsia"/>
          <w:b/>
          <w:sz w:val="24"/>
          <w:szCs w:val="24"/>
          <w:lang w:val="en-US" w:eastAsia="zh-CN"/>
        </w:rPr>
        <w:t>]</w:t>
      </w:r>
      <w:r w:rsidRPr="0096438C">
        <w:rPr>
          <w:rFonts w:ascii="Book Antiqua" w:hAnsi="Book Antiqua" w:cs="Times New Roman"/>
          <w:b/>
          <w:sz w:val="24"/>
          <w:szCs w:val="24"/>
          <w:lang w:val="en-US"/>
        </w:rPr>
        <w:t xml:space="preserve"> and perforated injury </w:t>
      </w:r>
      <w:r w:rsidR="00595925" w:rsidRPr="0096438C">
        <w:rPr>
          <w:rFonts w:ascii="Book Antiqua" w:hAnsi="Book Antiqua" w:cs="Times New Roman" w:hint="eastAsia"/>
          <w:b/>
          <w:sz w:val="24"/>
          <w:szCs w:val="24"/>
          <w:lang w:val="en-US" w:eastAsia="zh-CN"/>
        </w:rPr>
        <w:t>[</w:t>
      </w:r>
      <w:r w:rsidRPr="0096438C">
        <w:rPr>
          <w:rFonts w:ascii="Book Antiqua" w:hAnsi="Book Antiqua" w:cs="Times New Roman"/>
          <w:b/>
          <w:sz w:val="24"/>
          <w:szCs w:val="24"/>
          <w:lang w:val="en-US"/>
        </w:rPr>
        <w:t>left, control (C)</w:t>
      </w:r>
      <w:r w:rsidR="00595925" w:rsidRPr="0096438C">
        <w:rPr>
          <w:rFonts w:ascii="Book Antiqua" w:hAnsi="Book Antiqua" w:cs="Times New Roman" w:hint="eastAsia"/>
          <w:b/>
          <w:sz w:val="24"/>
          <w:szCs w:val="24"/>
          <w:lang w:val="en-US" w:eastAsia="zh-CN"/>
        </w:rPr>
        <w:t>]</w:t>
      </w:r>
      <w:r w:rsidRPr="0096438C">
        <w:rPr>
          <w:rFonts w:ascii="Book Antiqua" w:hAnsi="Book Antiqua" w:cs="Times New Roman"/>
          <w:b/>
          <w:sz w:val="24"/>
          <w:szCs w:val="24"/>
          <w:lang w:val="en-US"/>
        </w:rPr>
        <w:t>.</w:t>
      </w:r>
      <w:r w:rsidRPr="00E47A42">
        <w:rPr>
          <w:rFonts w:ascii="Book Antiqua" w:hAnsi="Book Antiqua" w:cs="Times New Roman"/>
          <w:sz w:val="24"/>
          <w:szCs w:val="24"/>
          <w:lang w:val="en-US"/>
        </w:rPr>
        <w:t xml:space="preserve"> Presentation </w:t>
      </w:r>
      <w:r w:rsidRPr="00E47A42">
        <w:rPr>
          <w:rFonts w:ascii="Book Antiqua" w:hAnsi="Book Antiqua" w:cs="Times New Roman"/>
          <w:noProof/>
          <w:sz w:val="24"/>
          <w:szCs w:val="24"/>
          <w:lang w:val="en-US"/>
        </w:rPr>
        <w:t>at</w:t>
      </w:r>
      <w:r w:rsidRPr="00E47A42">
        <w:rPr>
          <w:rFonts w:ascii="Book Antiqua" w:hAnsi="Book Antiqua" w:cs="Times New Roman"/>
          <w:sz w:val="24"/>
          <w:szCs w:val="24"/>
          <w:lang w:val="en-US"/>
        </w:rPr>
        <w:t xml:space="preserve"> day 7. </w:t>
      </w:r>
      <w:proofErr w:type="spellStart"/>
      <w:r w:rsidRPr="00E47A42">
        <w:rPr>
          <w:rFonts w:ascii="Book Antiqua" w:hAnsi="Book Antiqua" w:cs="Times New Roman"/>
          <w:sz w:val="24"/>
          <w:szCs w:val="24"/>
          <w:lang w:val="en-US"/>
        </w:rPr>
        <w:t>Veho</w:t>
      </w:r>
      <w:proofErr w:type="spellEnd"/>
      <w:r w:rsidRPr="00E47A42">
        <w:rPr>
          <w:rFonts w:ascii="Book Antiqua" w:hAnsi="Book Antiqua" w:cs="Times New Roman"/>
          <w:sz w:val="24"/>
          <w:szCs w:val="24"/>
          <w:lang w:val="en-US"/>
        </w:rPr>
        <w:t xml:space="preserve"> discovery VMS-004D-400x</w:t>
      </w:r>
      <w:r w:rsidR="00D60ACA">
        <w:rPr>
          <w:rFonts w:ascii="Book Antiqua" w:hAnsi="Book Antiqua" w:cs="Times New Roman"/>
          <w:sz w:val="24"/>
          <w:szCs w:val="24"/>
          <w:lang w:val="en-US"/>
        </w:rPr>
        <w:t xml:space="preserve"> USB microscope. Control, 7 d</w:t>
      </w:r>
      <w:r w:rsidRPr="00E47A42">
        <w:rPr>
          <w:rFonts w:ascii="Book Antiqua" w:hAnsi="Book Antiqua" w:cs="Times New Roman"/>
          <w:sz w:val="24"/>
          <w:szCs w:val="24"/>
          <w:lang w:val="en-US"/>
        </w:rPr>
        <w:t xml:space="preserve">, left, C. Gross lesion </w:t>
      </w:r>
      <w:r w:rsidRPr="00E47A42">
        <w:rPr>
          <w:rFonts w:ascii="Book Antiqua" w:hAnsi="Book Antiqua" w:cs="Times New Roman"/>
          <w:noProof/>
          <w:sz w:val="24"/>
          <w:szCs w:val="24"/>
          <w:lang w:val="en-US"/>
        </w:rPr>
        <w:t>shown</w:t>
      </w:r>
      <w:r w:rsidRPr="00E47A42">
        <w:rPr>
          <w:rFonts w:ascii="Book Antiqua" w:hAnsi="Book Antiqua" w:cs="Times New Roman"/>
          <w:sz w:val="24"/>
          <w:szCs w:val="24"/>
          <w:lang w:val="en-US"/>
        </w:rPr>
        <w:t xml:space="preserve"> upon cecum opening b</w:t>
      </w:r>
      <w:r w:rsidR="00D60ACA">
        <w:rPr>
          <w:rFonts w:ascii="Book Antiqua" w:hAnsi="Book Antiqua" w:cs="Times New Roman"/>
          <w:sz w:val="24"/>
          <w:szCs w:val="24"/>
          <w:lang w:val="en-US"/>
        </w:rPr>
        <w:t>efore sacrifice. BPC 157, 7 d</w:t>
      </w:r>
      <w:r w:rsidRPr="00E47A42">
        <w:rPr>
          <w:rFonts w:ascii="Book Antiqua" w:hAnsi="Book Antiqua" w:cs="Times New Roman"/>
          <w:sz w:val="24"/>
          <w:szCs w:val="24"/>
          <w:lang w:val="en-US"/>
        </w:rPr>
        <w:t>, mucosa presentation without a grossly visible defect (right, BPC 157 (B)).</w:t>
      </w:r>
    </w:p>
    <w:p w14:paraId="4B2781BB" w14:textId="77777777" w:rsidR="00EA6E12" w:rsidRPr="00E47A42" w:rsidRDefault="00EA6E12" w:rsidP="00EA6E12">
      <w:pPr>
        <w:snapToGrid w:val="0"/>
        <w:spacing w:after="0" w:line="360" w:lineRule="auto"/>
        <w:jc w:val="both"/>
        <w:rPr>
          <w:rFonts w:ascii="Book Antiqua" w:hAnsi="Book Antiqua" w:cs="Times New Roman"/>
          <w:sz w:val="24"/>
          <w:szCs w:val="24"/>
          <w:lang w:val="en-US"/>
        </w:rPr>
      </w:pPr>
    </w:p>
    <w:p w14:paraId="643B4D0C" w14:textId="55607B32" w:rsidR="00EA6E12" w:rsidRDefault="00EA6E12">
      <w:pPr>
        <w:rPr>
          <w:rFonts w:ascii="Book Antiqua" w:hAnsi="Book Antiqua" w:cs="Times New Roman"/>
          <w:sz w:val="24"/>
          <w:szCs w:val="24"/>
          <w:lang w:val="en-US"/>
        </w:rPr>
      </w:pPr>
      <w:r>
        <w:rPr>
          <w:rFonts w:ascii="Book Antiqua" w:hAnsi="Book Antiqua" w:cs="Times New Roman"/>
          <w:sz w:val="24"/>
          <w:szCs w:val="24"/>
          <w:lang w:val="en-US"/>
        </w:rPr>
        <w:br w:type="page"/>
      </w:r>
    </w:p>
    <w:p w14:paraId="45F2CE7B" w14:textId="77777777" w:rsidR="00EA6E12" w:rsidRPr="00E47A42" w:rsidRDefault="00EA6E12" w:rsidP="00C14212">
      <w:pPr>
        <w:snapToGrid w:val="0"/>
        <w:spacing w:after="0" w:line="360" w:lineRule="auto"/>
        <w:rPr>
          <w:rFonts w:ascii="Book Antiqua" w:hAnsi="Book Antiqua" w:cs="Times New Roman"/>
          <w:sz w:val="24"/>
          <w:szCs w:val="24"/>
          <w:lang w:val="en-US"/>
        </w:rPr>
      </w:pPr>
      <w:r w:rsidRPr="00E47A42">
        <w:rPr>
          <w:rFonts w:ascii="Book Antiqua" w:hAnsi="Book Antiqua" w:cs="Times New Roman"/>
          <w:noProof/>
          <w:sz w:val="24"/>
          <w:szCs w:val="24"/>
          <w:lang w:val="en-US" w:eastAsia="zh-CN"/>
        </w:rPr>
        <w:lastRenderedPageBreak/>
        <w:drawing>
          <wp:inline distT="0" distB="0" distL="0" distR="0" wp14:anchorId="320467ED" wp14:editId="6E13AB30">
            <wp:extent cx="5760720" cy="3890406"/>
            <wp:effectExtent l="0" t="0" r="0" b="0"/>
            <wp:docPr id="9" name="Picture 9" descr="D:\Users\predrag.sikiric\Documents\drmic radovi\drmic caecum\Figures TIFF revised  9.4.2018\Fig.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predrag.sikiric\Documents\drmic radovi\drmic caecum\Figures TIFF revised  9.4.2018\Fig. 9.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890406"/>
                    </a:xfrm>
                    <a:prstGeom prst="rect">
                      <a:avLst/>
                    </a:prstGeom>
                    <a:noFill/>
                    <a:ln>
                      <a:noFill/>
                    </a:ln>
                  </pic:spPr>
                </pic:pic>
              </a:graphicData>
            </a:graphic>
          </wp:inline>
        </w:drawing>
      </w:r>
    </w:p>
    <w:p w14:paraId="24BAEC35" w14:textId="5249BECA" w:rsidR="00EA6E12" w:rsidRPr="00E47A42" w:rsidRDefault="00EA6E12" w:rsidP="00C12642">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b/>
          <w:sz w:val="24"/>
          <w:szCs w:val="24"/>
          <w:lang w:val="en-US"/>
        </w:rPr>
        <w:t>Fig</w:t>
      </w:r>
      <w:r w:rsidR="00C12642">
        <w:rPr>
          <w:rFonts w:ascii="Book Antiqua" w:hAnsi="Book Antiqua" w:cs="Times New Roman" w:hint="eastAsia"/>
          <w:b/>
          <w:sz w:val="24"/>
          <w:szCs w:val="24"/>
          <w:lang w:val="en-US" w:eastAsia="zh-CN"/>
        </w:rPr>
        <w:t xml:space="preserve">ure </w:t>
      </w:r>
      <w:r w:rsidRPr="00E47A42">
        <w:rPr>
          <w:rFonts w:ascii="Book Antiqua" w:hAnsi="Book Antiqua" w:cs="Times New Roman"/>
          <w:b/>
          <w:sz w:val="24"/>
          <w:szCs w:val="24"/>
          <w:lang w:val="en-US"/>
        </w:rPr>
        <w:t>9</w:t>
      </w:r>
      <w:r w:rsidR="00C12642">
        <w:rPr>
          <w:rFonts w:ascii="Book Antiqua" w:hAnsi="Book Antiqua" w:cs="Times New Roman" w:hint="eastAsia"/>
          <w:b/>
          <w:sz w:val="24"/>
          <w:szCs w:val="24"/>
          <w:lang w:val="en-US" w:eastAsia="zh-CN"/>
        </w:rPr>
        <w:t xml:space="preserve"> </w:t>
      </w:r>
      <w:r w:rsidRPr="00AA6673">
        <w:rPr>
          <w:rFonts w:ascii="Book Antiqua" w:hAnsi="Book Antiqua" w:cs="Times New Roman"/>
          <w:b/>
          <w:sz w:val="24"/>
          <w:szCs w:val="24"/>
          <w:lang w:val="en-US"/>
        </w:rPr>
        <w:t xml:space="preserve">At the first day post-injury, controls (c, C) exhibited intensive edema, loss of glands in the vicinity of the perforation, not possible to obtain a complete defect (due to </w:t>
      </w:r>
      <w:r w:rsidRPr="00AA6673">
        <w:rPr>
          <w:rFonts w:ascii="Book Antiqua" w:hAnsi="Book Antiqua" w:cs="Times New Roman"/>
          <w:b/>
          <w:noProof/>
          <w:sz w:val="24"/>
          <w:szCs w:val="24"/>
          <w:lang w:val="en-US"/>
        </w:rPr>
        <w:t>edema</w:t>
      </w:r>
      <w:r w:rsidRPr="00AA6673">
        <w:rPr>
          <w:rFonts w:ascii="Book Antiqua" w:hAnsi="Book Antiqua" w:cs="Times New Roman"/>
          <w:b/>
          <w:sz w:val="24"/>
          <w:szCs w:val="24"/>
          <w:lang w:val="en-US"/>
        </w:rPr>
        <w:t>, the tissue is disintegrating), scarce inflammation, and neutrophils</w:t>
      </w:r>
      <w:r w:rsidR="00C12642" w:rsidRPr="00AA6673">
        <w:rPr>
          <w:rFonts w:ascii="Book Antiqua" w:hAnsi="Book Antiqua" w:cs="Times New Roman"/>
          <w:b/>
          <w:sz w:val="24"/>
          <w:szCs w:val="24"/>
          <w:lang w:val="en-US"/>
        </w:rPr>
        <w:t xml:space="preserve"> </w:t>
      </w:r>
      <w:r w:rsidR="00C12642" w:rsidRPr="00AA6673">
        <w:rPr>
          <w:rFonts w:ascii="Book Antiqua" w:hAnsi="Book Antiqua" w:cs="Times New Roman" w:hint="eastAsia"/>
          <w:b/>
          <w:sz w:val="24"/>
          <w:szCs w:val="24"/>
          <w:lang w:val="en-US" w:eastAsia="zh-CN"/>
        </w:rPr>
        <w:t>[</w:t>
      </w:r>
      <w:r w:rsidR="00C12642" w:rsidRPr="00AA6673">
        <w:rPr>
          <w:rFonts w:ascii="Book Antiqua" w:hAnsi="Book Antiqua" w:cs="Times New Roman"/>
          <w:b/>
          <w:sz w:val="24"/>
          <w:szCs w:val="24"/>
          <w:lang w:val="en-US"/>
        </w:rPr>
        <w:t>c, HE</w:t>
      </w:r>
      <w:r w:rsidR="007F4E96">
        <w:rPr>
          <w:rFonts w:ascii="Book Antiqua" w:hAnsi="Book Antiqua" w:cs="Times New Roman" w:hint="eastAsia"/>
          <w:b/>
          <w:sz w:val="24"/>
          <w:szCs w:val="24"/>
          <w:lang w:val="en-US" w:eastAsia="zh-CN"/>
        </w:rPr>
        <w:t xml:space="preserve"> </w:t>
      </w:r>
      <w:r w:rsidR="00C12642" w:rsidRPr="00AA6673">
        <w:rPr>
          <w:rFonts w:ascii="Book Antiqua" w:hAnsi="Book Antiqua" w:cs="Times New Roman"/>
          <w:b/>
          <w:sz w:val="24"/>
          <w:szCs w:val="24"/>
          <w:lang w:val="en-US"/>
        </w:rPr>
        <w:t>x</w:t>
      </w:r>
      <w:r w:rsidR="007F4E96">
        <w:rPr>
          <w:rFonts w:ascii="Book Antiqua" w:hAnsi="Book Antiqua" w:cs="Times New Roman" w:hint="eastAsia"/>
          <w:b/>
          <w:sz w:val="24"/>
          <w:szCs w:val="24"/>
          <w:lang w:val="en-US" w:eastAsia="zh-CN"/>
        </w:rPr>
        <w:t xml:space="preserve"> </w:t>
      </w:r>
      <w:r w:rsidR="00C12642" w:rsidRPr="00AA6673">
        <w:rPr>
          <w:rFonts w:ascii="Book Antiqua" w:hAnsi="Book Antiqua" w:cs="Times New Roman"/>
          <w:b/>
          <w:sz w:val="24"/>
          <w:szCs w:val="24"/>
          <w:lang w:val="en-US"/>
        </w:rPr>
        <w:t>4; C, HE</w:t>
      </w:r>
      <w:r w:rsidR="007F4E96">
        <w:rPr>
          <w:rFonts w:ascii="Book Antiqua" w:hAnsi="Book Antiqua" w:cs="Times New Roman" w:hint="eastAsia"/>
          <w:b/>
          <w:sz w:val="24"/>
          <w:szCs w:val="24"/>
          <w:lang w:val="en-US" w:eastAsia="zh-CN"/>
        </w:rPr>
        <w:t xml:space="preserve"> </w:t>
      </w:r>
      <w:r w:rsidR="00C12642" w:rsidRPr="00AA6673">
        <w:rPr>
          <w:rFonts w:ascii="Book Antiqua" w:hAnsi="Book Antiqua" w:cs="Times New Roman"/>
          <w:b/>
          <w:sz w:val="24"/>
          <w:szCs w:val="24"/>
          <w:lang w:val="en-US"/>
        </w:rPr>
        <w:t>x</w:t>
      </w:r>
      <w:r w:rsidR="007F4E96">
        <w:rPr>
          <w:rFonts w:ascii="Book Antiqua" w:hAnsi="Book Antiqua" w:cs="Times New Roman" w:hint="eastAsia"/>
          <w:b/>
          <w:sz w:val="24"/>
          <w:szCs w:val="24"/>
          <w:lang w:val="en-US" w:eastAsia="zh-CN"/>
        </w:rPr>
        <w:t xml:space="preserve"> </w:t>
      </w:r>
      <w:r w:rsidR="00C12642" w:rsidRPr="00AA6673">
        <w:rPr>
          <w:rFonts w:ascii="Book Antiqua" w:hAnsi="Book Antiqua" w:cs="Times New Roman"/>
          <w:b/>
          <w:sz w:val="24"/>
          <w:szCs w:val="24"/>
          <w:lang w:val="en-US"/>
        </w:rPr>
        <w:t>10 (control)</w:t>
      </w:r>
      <w:r w:rsidR="00C12642" w:rsidRPr="00AA6673">
        <w:rPr>
          <w:rFonts w:ascii="Book Antiqua" w:hAnsi="Book Antiqua" w:cs="Times New Roman" w:hint="eastAsia"/>
          <w:b/>
          <w:sz w:val="24"/>
          <w:szCs w:val="24"/>
          <w:lang w:val="en-US" w:eastAsia="zh-CN"/>
        </w:rPr>
        <w:t>]</w:t>
      </w:r>
      <w:r w:rsidR="00C12642" w:rsidRPr="00AA6673">
        <w:rPr>
          <w:rFonts w:ascii="Book Antiqua" w:hAnsi="Book Antiqua" w:cs="Times New Roman"/>
          <w:b/>
          <w:sz w:val="24"/>
          <w:szCs w:val="24"/>
          <w:lang w:val="en-US"/>
        </w:rPr>
        <w:t>.</w:t>
      </w:r>
      <w:r w:rsidR="00C12642" w:rsidRPr="00AA6673">
        <w:rPr>
          <w:rFonts w:ascii="Book Antiqua" w:hAnsi="Book Antiqua" w:cs="Times New Roman" w:hint="eastAsia"/>
          <w:b/>
          <w:sz w:val="24"/>
          <w:szCs w:val="24"/>
          <w:lang w:val="en-US" w:eastAsia="zh-CN"/>
        </w:rPr>
        <w:t xml:space="preserve"> </w:t>
      </w:r>
      <w:r w:rsidRPr="00E47A42">
        <w:rPr>
          <w:rFonts w:ascii="Book Antiqua" w:hAnsi="Book Antiqua" w:cs="Times New Roman"/>
          <w:sz w:val="24"/>
          <w:szCs w:val="24"/>
          <w:lang w:val="en-US"/>
        </w:rPr>
        <w:t xml:space="preserve">In rats treated with BPC 157 (b, B), we noted much less </w:t>
      </w:r>
      <w:r w:rsidRPr="00E47A42">
        <w:rPr>
          <w:rFonts w:ascii="Book Antiqua" w:hAnsi="Book Antiqua" w:cs="Times New Roman"/>
          <w:noProof/>
          <w:sz w:val="24"/>
          <w:szCs w:val="24"/>
          <w:lang w:val="en-US"/>
        </w:rPr>
        <w:t>edema</w:t>
      </w:r>
      <w:r w:rsidRPr="00E47A42">
        <w:rPr>
          <w:rFonts w:ascii="Book Antiqua" w:hAnsi="Book Antiqua" w:cs="Times New Roman"/>
          <w:sz w:val="24"/>
          <w:szCs w:val="24"/>
          <w:lang w:val="en-US"/>
        </w:rPr>
        <w:t xml:space="preserve"> and intensive inflammation (mixed-</w:t>
      </w:r>
      <w:proofErr w:type="spellStart"/>
      <w:r w:rsidRPr="00E47A42">
        <w:rPr>
          <w:rFonts w:ascii="Book Antiqua" w:hAnsi="Book Antiqua" w:cs="Times New Roman"/>
          <w:noProof/>
          <w:sz w:val="24"/>
          <w:szCs w:val="24"/>
          <w:lang w:val="en-US"/>
        </w:rPr>
        <w:t>neutro</w:t>
      </w:r>
      <w:proofErr w:type="spellEnd"/>
      <w:r w:rsidRPr="00E47A42">
        <w:rPr>
          <w:rFonts w:ascii="Book Antiqua" w:hAnsi="Book Antiqua" w:cs="Times New Roman"/>
          <w:sz w:val="24"/>
          <w:szCs w:val="24"/>
          <w:lang w:val="en-US"/>
        </w:rPr>
        <w:t xml:space="preserve"> and mono). Fibrin cloth attached to defect (“holding” the edges) (b, HEx4; B, HEx10 (BPC 157)). </w:t>
      </w:r>
    </w:p>
    <w:p w14:paraId="77E2B8BC" w14:textId="7275F3BF" w:rsidR="00EE3106" w:rsidRDefault="00EE3106">
      <w:pPr>
        <w:rPr>
          <w:rFonts w:ascii="Book Antiqua" w:hAnsi="Book Antiqua" w:cs="Times New Roman"/>
          <w:b/>
          <w:sz w:val="24"/>
          <w:szCs w:val="24"/>
          <w:lang w:val="en-US"/>
        </w:rPr>
      </w:pPr>
      <w:r>
        <w:rPr>
          <w:rFonts w:ascii="Book Antiqua" w:hAnsi="Book Antiqua" w:cs="Times New Roman"/>
          <w:b/>
          <w:sz w:val="24"/>
          <w:szCs w:val="24"/>
          <w:lang w:val="en-US"/>
        </w:rPr>
        <w:br w:type="page"/>
      </w:r>
    </w:p>
    <w:p w14:paraId="3B5C8340" w14:textId="77777777" w:rsidR="00C14212" w:rsidRPr="00E47A42" w:rsidRDefault="00C14212" w:rsidP="00C14212">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noProof/>
          <w:sz w:val="24"/>
          <w:szCs w:val="24"/>
          <w:lang w:val="en-US" w:eastAsia="zh-CN"/>
        </w:rPr>
        <w:lastRenderedPageBreak/>
        <w:drawing>
          <wp:inline distT="0" distB="0" distL="0" distR="0" wp14:anchorId="5CD4A71F" wp14:editId="7A161A0D">
            <wp:extent cx="4943475" cy="3592258"/>
            <wp:effectExtent l="0" t="0" r="0" b="8255"/>
            <wp:docPr id="10" name="Picture 10" descr="D:\Users\predrag.sikiric\Documents\drmic radovi\drmic caecum\Figures TIFF revised  9.4.2018\FIG.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predrag.sikiric\Documents\drmic radovi\drmic caecum\Figures TIFF revised  9.4.2018\FIG. 10.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8970" cy="3596251"/>
                    </a:xfrm>
                    <a:prstGeom prst="rect">
                      <a:avLst/>
                    </a:prstGeom>
                    <a:noFill/>
                    <a:ln>
                      <a:noFill/>
                    </a:ln>
                  </pic:spPr>
                </pic:pic>
              </a:graphicData>
            </a:graphic>
          </wp:inline>
        </w:drawing>
      </w:r>
    </w:p>
    <w:p w14:paraId="6E4B60FC" w14:textId="481543D1" w:rsidR="00C14212" w:rsidRPr="00E47A42" w:rsidRDefault="00C14212" w:rsidP="00C14212">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b/>
          <w:sz w:val="24"/>
          <w:szCs w:val="24"/>
          <w:lang w:val="en-US"/>
        </w:rPr>
        <w:t>Fig</w:t>
      </w:r>
      <w:r w:rsidR="00634A2F">
        <w:rPr>
          <w:rFonts w:ascii="Book Antiqua" w:hAnsi="Book Antiqua" w:cs="Times New Roman" w:hint="eastAsia"/>
          <w:b/>
          <w:sz w:val="24"/>
          <w:szCs w:val="24"/>
          <w:lang w:val="en-US" w:eastAsia="zh-CN"/>
        </w:rPr>
        <w:t xml:space="preserve">ure </w:t>
      </w:r>
      <w:r w:rsidRPr="00E47A42">
        <w:rPr>
          <w:rFonts w:ascii="Book Antiqua" w:hAnsi="Book Antiqua" w:cs="Times New Roman"/>
          <w:b/>
          <w:sz w:val="24"/>
          <w:szCs w:val="24"/>
          <w:lang w:val="en-US"/>
        </w:rPr>
        <w:t>10</w:t>
      </w:r>
      <w:r w:rsidR="00634A2F" w:rsidRPr="000D08E4">
        <w:rPr>
          <w:rFonts w:ascii="Book Antiqua" w:hAnsi="Book Antiqua" w:cs="Times New Roman" w:hint="eastAsia"/>
          <w:b/>
          <w:sz w:val="24"/>
          <w:szCs w:val="24"/>
          <w:lang w:val="en-US" w:eastAsia="zh-CN"/>
        </w:rPr>
        <w:t xml:space="preserve"> </w:t>
      </w:r>
      <w:r w:rsidRPr="000D08E4">
        <w:rPr>
          <w:rFonts w:ascii="Book Antiqua" w:hAnsi="Book Antiqua" w:cs="Times New Roman"/>
          <w:b/>
          <w:sz w:val="24"/>
          <w:szCs w:val="24"/>
          <w:lang w:val="en-US"/>
        </w:rPr>
        <w:t>In control animals (c, C), the perforation after 7 d</w:t>
      </w:r>
      <w:r w:rsidR="00634A2F" w:rsidRPr="000D08E4">
        <w:rPr>
          <w:rFonts w:ascii="Book Antiqua" w:hAnsi="Book Antiqua" w:cs="Times New Roman" w:hint="eastAsia"/>
          <w:b/>
          <w:sz w:val="24"/>
          <w:szCs w:val="24"/>
          <w:lang w:val="en-US" w:eastAsia="zh-CN"/>
        </w:rPr>
        <w:t xml:space="preserve"> </w:t>
      </w:r>
      <w:r w:rsidRPr="000D08E4">
        <w:rPr>
          <w:rFonts w:ascii="Book Antiqua" w:hAnsi="Book Antiqua" w:cs="Times New Roman"/>
          <w:b/>
          <w:sz w:val="24"/>
          <w:szCs w:val="24"/>
          <w:lang w:val="en-US"/>
        </w:rPr>
        <w:t xml:space="preserve">shows a communication between the lumen and peritoneal cavity, partly closed by a loose cloth with many debris and inflammatory cells </w:t>
      </w:r>
      <w:r w:rsidR="00634A2F" w:rsidRPr="000D08E4">
        <w:rPr>
          <w:rFonts w:ascii="Book Antiqua" w:hAnsi="Book Antiqua" w:cs="Times New Roman" w:hint="eastAsia"/>
          <w:b/>
          <w:sz w:val="24"/>
          <w:szCs w:val="24"/>
          <w:lang w:val="en-US" w:eastAsia="zh-CN"/>
        </w:rPr>
        <w:t>[</w:t>
      </w:r>
      <w:r w:rsidRPr="000D08E4">
        <w:rPr>
          <w:rFonts w:ascii="Book Antiqua" w:hAnsi="Book Antiqua" w:cs="Times New Roman"/>
          <w:b/>
          <w:sz w:val="24"/>
          <w:szCs w:val="24"/>
          <w:lang w:val="en-US"/>
        </w:rPr>
        <w:t>c, HEx4; C, HEx10 (control)</w:t>
      </w:r>
      <w:r w:rsidR="00634A2F" w:rsidRPr="000D08E4">
        <w:rPr>
          <w:rFonts w:ascii="Book Antiqua" w:hAnsi="Book Antiqua" w:cs="Times New Roman" w:hint="eastAsia"/>
          <w:b/>
          <w:sz w:val="24"/>
          <w:szCs w:val="24"/>
          <w:lang w:val="en-US" w:eastAsia="zh-CN"/>
        </w:rPr>
        <w:t>]</w:t>
      </w:r>
      <w:r w:rsidRPr="000D08E4">
        <w:rPr>
          <w:rFonts w:ascii="Book Antiqua" w:hAnsi="Book Antiqua" w:cs="Times New Roman"/>
          <w:b/>
          <w:sz w:val="24"/>
          <w:szCs w:val="24"/>
          <w:lang w:val="en-US"/>
        </w:rPr>
        <w:t>.</w:t>
      </w:r>
      <w:r w:rsidRPr="00E47A42">
        <w:rPr>
          <w:rFonts w:ascii="Book Antiqua" w:hAnsi="Book Antiqua" w:cs="Times New Roman"/>
          <w:sz w:val="24"/>
          <w:szCs w:val="24"/>
          <w:lang w:val="en-US"/>
        </w:rPr>
        <w:t xml:space="preserve"> In rats treated with BPC 157 (b, B), the defect was sealed with well-formed granulation tissue. The surrounding mucosa in controls was edematous, and the epithelium shows practically no regenerative activity, while in treated animals, the </w:t>
      </w:r>
      <w:r w:rsidRPr="00E47A42">
        <w:rPr>
          <w:rFonts w:ascii="Book Antiqua" w:hAnsi="Book Antiqua" w:cs="Times New Roman"/>
          <w:noProof/>
          <w:sz w:val="24"/>
          <w:szCs w:val="24"/>
          <w:lang w:val="en-US"/>
        </w:rPr>
        <w:t>edema</w:t>
      </w:r>
      <w:r w:rsidRPr="00E47A42">
        <w:rPr>
          <w:rFonts w:ascii="Book Antiqua" w:hAnsi="Book Antiqua" w:cs="Times New Roman"/>
          <w:sz w:val="24"/>
          <w:szCs w:val="24"/>
          <w:lang w:val="en-US"/>
        </w:rPr>
        <w:t xml:space="preserve"> was much less pronounced and the surface epithelium started to migrate over the defect </w:t>
      </w:r>
      <w:r w:rsidR="00634A2F">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b, HE</w:t>
      </w:r>
      <w:r w:rsidR="00634A2F">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x</w:t>
      </w:r>
      <w:r w:rsidR="00634A2F">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4; B, HE</w:t>
      </w:r>
      <w:r w:rsidR="00634A2F">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x</w:t>
      </w:r>
      <w:r w:rsidR="00634A2F">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10 (BPC 157)</w:t>
      </w:r>
      <w:r w:rsidR="00634A2F">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w:t>
      </w:r>
    </w:p>
    <w:p w14:paraId="3214D6C8" w14:textId="40367EC1" w:rsidR="00C14212" w:rsidRDefault="00C14212">
      <w:pPr>
        <w:rPr>
          <w:rFonts w:ascii="Book Antiqua" w:hAnsi="Book Antiqua" w:cs="Times New Roman"/>
          <w:sz w:val="24"/>
          <w:szCs w:val="24"/>
          <w:lang w:val="en-US" w:eastAsia="zh-CN"/>
        </w:rPr>
      </w:pPr>
      <w:r>
        <w:rPr>
          <w:rFonts w:ascii="Book Antiqua" w:hAnsi="Book Antiqua" w:cs="Times New Roman"/>
          <w:sz w:val="24"/>
          <w:szCs w:val="24"/>
          <w:lang w:val="en-US" w:eastAsia="zh-CN"/>
        </w:rPr>
        <w:br w:type="page"/>
      </w:r>
    </w:p>
    <w:p w14:paraId="563F6C3B" w14:textId="38212613" w:rsidR="00C14212" w:rsidRPr="00CA300C" w:rsidRDefault="00C14212" w:rsidP="00C14212">
      <w:pPr>
        <w:snapToGrid w:val="0"/>
        <w:spacing w:after="0" w:line="360" w:lineRule="auto"/>
        <w:jc w:val="both"/>
        <w:rPr>
          <w:rFonts w:ascii="Book Antiqua" w:hAnsi="Book Antiqua" w:cs="Times New Roman"/>
          <w:b/>
          <w:i/>
          <w:sz w:val="24"/>
          <w:szCs w:val="24"/>
          <w:lang w:val="en-GB" w:eastAsia="zh-CN"/>
        </w:rPr>
      </w:pPr>
      <w:r w:rsidRPr="00CA300C">
        <w:rPr>
          <w:rFonts w:ascii="Book Antiqua" w:hAnsi="Book Antiqua" w:cs="Times New Roman"/>
          <w:b/>
          <w:sz w:val="24"/>
          <w:szCs w:val="24"/>
          <w:lang w:val="en-GB"/>
        </w:rPr>
        <w:lastRenderedPageBreak/>
        <w:t>Table 1</w:t>
      </w:r>
      <w:r w:rsidR="00CA300C" w:rsidRPr="00CA300C">
        <w:rPr>
          <w:rFonts w:ascii="Book Antiqua" w:hAnsi="Book Antiqua" w:cs="Times New Roman" w:hint="eastAsia"/>
          <w:b/>
          <w:sz w:val="24"/>
          <w:szCs w:val="24"/>
          <w:lang w:val="en-GB" w:eastAsia="zh-CN"/>
        </w:rPr>
        <w:t xml:space="preserve"> </w:t>
      </w:r>
      <w:r w:rsidRPr="00CA300C">
        <w:rPr>
          <w:rFonts w:ascii="Book Antiqua" w:hAnsi="Book Antiqua" w:cs="Times New Roman"/>
          <w:b/>
          <w:sz w:val="24"/>
          <w:szCs w:val="24"/>
          <w:lang w:val="en-GB"/>
        </w:rPr>
        <w:t xml:space="preserve">Assessed cecum lesion (sum of longest diameters, mm, at </w:t>
      </w:r>
      <w:r w:rsidRPr="00CA300C">
        <w:rPr>
          <w:rFonts w:ascii="Book Antiqua" w:hAnsi="Book Antiqua" w:cs="Times New Roman"/>
          <w:b/>
          <w:noProof/>
          <w:sz w:val="24"/>
          <w:szCs w:val="24"/>
          <w:lang w:val="en-GB"/>
        </w:rPr>
        <w:t>mucosal</w:t>
      </w:r>
      <w:r w:rsidRPr="00CA300C">
        <w:rPr>
          <w:rFonts w:ascii="Book Antiqua" w:hAnsi="Book Antiqua" w:cs="Times New Roman"/>
          <w:b/>
          <w:sz w:val="24"/>
          <w:szCs w:val="24"/>
          <w:lang w:val="en-GB"/>
        </w:rPr>
        <w:t xml:space="preserve"> site (M) and </w:t>
      </w:r>
      <w:proofErr w:type="spellStart"/>
      <w:r w:rsidRPr="00CA300C">
        <w:rPr>
          <w:rFonts w:ascii="Book Antiqua" w:hAnsi="Book Antiqua" w:cs="Times New Roman"/>
          <w:b/>
          <w:sz w:val="24"/>
          <w:szCs w:val="24"/>
          <w:lang w:val="en-GB"/>
        </w:rPr>
        <w:t>serosal</w:t>
      </w:r>
      <w:proofErr w:type="spellEnd"/>
      <w:r w:rsidRPr="00CA300C">
        <w:rPr>
          <w:rFonts w:ascii="Book Antiqua" w:hAnsi="Book Antiqua" w:cs="Times New Roman"/>
          <w:b/>
          <w:sz w:val="24"/>
          <w:szCs w:val="24"/>
          <w:lang w:val="en-GB"/>
        </w:rPr>
        <w:t xml:space="preserve"> site (S), means</w:t>
      </w:r>
      <w:r w:rsidR="00BC3C35">
        <w:rPr>
          <w:rFonts w:ascii="Book Antiqua" w:hAnsi="Book Antiqua" w:cs="Times New Roman" w:hint="eastAsia"/>
          <w:b/>
          <w:sz w:val="24"/>
          <w:szCs w:val="24"/>
          <w:lang w:val="en-GB" w:eastAsia="zh-CN"/>
        </w:rPr>
        <w:t xml:space="preserve"> </w:t>
      </w:r>
      <w:r w:rsidR="00BC3C35">
        <w:rPr>
          <w:rFonts w:ascii="Book Antiqua" w:hAnsi="Book Antiqua" w:cs="Times New Roman"/>
          <w:b/>
          <w:sz w:val="24"/>
          <w:szCs w:val="24"/>
          <w:lang w:val="en-GB"/>
        </w:rPr>
        <w:t xml:space="preserve">± </w:t>
      </w:r>
      <w:r w:rsidRPr="00CA300C">
        <w:rPr>
          <w:rFonts w:ascii="Book Antiqua" w:hAnsi="Book Antiqua" w:cs="Times New Roman"/>
          <w:b/>
          <w:sz w:val="24"/>
          <w:szCs w:val="24"/>
          <w:lang w:val="en-GB"/>
        </w:rPr>
        <w:t>SD) and adhesion se</w:t>
      </w:r>
      <w:r w:rsidR="00CA300C" w:rsidRPr="00CA300C">
        <w:rPr>
          <w:rFonts w:ascii="Book Antiqua" w:hAnsi="Book Antiqua" w:cs="Times New Roman"/>
          <w:b/>
          <w:sz w:val="24"/>
          <w:szCs w:val="24"/>
          <w:lang w:val="en-GB"/>
        </w:rPr>
        <w:t>verity (score 0-7, Min/Med/Max)</w:t>
      </w:r>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9"/>
        <w:gridCol w:w="1849"/>
        <w:gridCol w:w="1604"/>
        <w:gridCol w:w="1921"/>
        <w:gridCol w:w="1838"/>
      </w:tblGrid>
      <w:tr w:rsidR="00C14212" w:rsidRPr="00E47A42" w14:paraId="07F7DE0D" w14:textId="77777777" w:rsidTr="00135752">
        <w:trPr>
          <w:jc w:val="center"/>
        </w:trPr>
        <w:tc>
          <w:tcPr>
            <w:tcW w:w="2859" w:type="dxa"/>
            <w:vMerge w:val="restart"/>
          </w:tcPr>
          <w:p w14:paraId="5A27FFA1" w14:textId="0A4AF945" w:rsidR="00C14212" w:rsidRPr="00E47A42" w:rsidRDefault="00C14212" w:rsidP="00CB14BD">
            <w:pPr>
              <w:snapToGrid w:val="0"/>
              <w:spacing w:after="0" w:line="360" w:lineRule="auto"/>
              <w:rPr>
                <w:rFonts w:ascii="Book Antiqua" w:hAnsi="Book Antiqua" w:cs="Times New Roman"/>
                <w:sz w:val="24"/>
                <w:szCs w:val="24"/>
                <w:lang w:val="en-GB"/>
              </w:rPr>
            </w:pPr>
            <w:r w:rsidRPr="00E47A42">
              <w:rPr>
                <w:rFonts w:ascii="Book Antiqua" w:hAnsi="Book Antiqua" w:cs="Times New Roman"/>
                <w:b/>
                <w:sz w:val="24"/>
                <w:szCs w:val="24"/>
                <w:lang w:val="en-GB"/>
              </w:rPr>
              <w:t>Medication (/kg, 10</w:t>
            </w:r>
            <w:r w:rsidR="00135752">
              <w:rPr>
                <w:rFonts w:ascii="Book Antiqua" w:hAnsi="Book Antiqua" w:cs="Times New Roman" w:hint="eastAsia"/>
                <w:b/>
                <w:sz w:val="24"/>
                <w:szCs w:val="24"/>
                <w:lang w:val="en-GB" w:eastAsia="zh-CN"/>
              </w:rPr>
              <w:t xml:space="preserve"> </w:t>
            </w:r>
            <w:r w:rsidRPr="00E47A42">
              <w:rPr>
                <w:rFonts w:ascii="Book Antiqua" w:hAnsi="Book Antiqua" w:cs="Times New Roman"/>
                <w:b/>
                <w:sz w:val="24"/>
                <w:szCs w:val="24"/>
                <w:lang w:val="en-GB"/>
              </w:rPr>
              <w:t>m</w:t>
            </w:r>
            <w:r w:rsidRPr="00135752">
              <w:rPr>
                <w:rFonts w:ascii="Book Antiqua" w:hAnsi="Book Antiqua" w:cs="Times New Roman"/>
                <w:b/>
                <w:caps/>
                <w:sz w:val="24"/>
                <w:szCs w:val="24"/>
                <w:lang w:val="en-GB"/>
              </w:rPr>
              <w:t>l</w:t>
            </w:r>
            <w:r w:rsidRPr="00E47A42">
              <w:rPr>
                <w:rFonts w:ascii="Book Antiqua" w:hAnsi="Book Antiqua" w:cs="Times New Roman"/>
                <w:b/>
                <w:sz w:val="24"/>
                <w:szCs w:val="24"/>
                <w:lang w:val="en-GB"/>
              </w:rPr>
              <w:t>/2</w:t>
            </w:r>
            <w:r w:rsidR="00135752">
              <w:rPr>
                <w:rFonts w:ascii="Book Antiqua" w:hAnsi="Book Antiqua" w:cs="Times New Roman" w:hint="eastAsia"/>
                <w:b/>
                <w:sz w:val="24"/>
                <w:szCs w:val="24"/>
                <w:lang w:val="en-GB" w:eastAsia="zh-CN"/>
              </w:rPr>
              <w:t xml:space="preserve"> </w:t>
            </w:r>
            <w:r w:rsidRPr="00E47A42">
              <w:rPr>
                <w:rFonts w:ascii="Book Antiqua" w:hAnsi="Book Antiqua" w:cs="Times New Roman"/>
                <w:b/>
                <w:sz w:val="24"/>
                <w:szCs w:val="24"/>
                <w:lang w:val="en-GB"/>
              </w:rPr>
              <w:t>min bath/rat)</w:t>
            </w:r>
          </w:p>
        </w:tc>
        <w:tc>
          <w:tcPr>
            <w:tcW w:w="7212" w:type="dxa"/>
            <w:gridSpan w:val="4"/>
          </w:tcPr>
          <w:p w14:paraId="4B86A86B" w14:textId="453F67F9" w:rsidR="00C14212" w:rsidRPr="00CB14BD" w:rsidRDefault="00C14212" w:rsidP="00CB14BD">
            <w:pPr>
              <w:snapToGrid w:val="0"/>
              <w:spacing w:after="0" w:line="360" w:lineRule="auto"/>
              <w:jc w:val="center"/>
              <w:rPr>
                <w:rFonts w:ascii="Book Antiqua" w:hAnsi="Book Antiqua" w:cs="Times New Roman"/>
                <w:b/>
                <w:sz w:val="24"/>
                <w:szCs w:val="24"/>
                <w:lang w:val="en-GB"/>
              </w:rPr>
            </w:pPr>
            <w:r w:rsidRPr="00CB14BD">
              <w:rPr>
                <w:rFonts w:ascii="Book Antiqua" w:hAnsi="Book Antiqua" w:cs="Times New Roman"/>
                <w:b/>
                <w:sz w:val="24"/>
                <w:szCs w:val="24"/>
                <w:lang w:val="en-GB"/>
              </w:rPr>
              <w:t>Assessed cecum lesion (sum of longest diameters, mm, means</w:t>
            </w:r>
            <w:r w:rsidR="00BC3C35" w:rsidRPr="00CB14BD">
              <w:rPr>
                <w:rFonts w:ascii="Book Antiqua" w:hAnsi="Book Antiqua" w:cs="Times New Roman" w:hint="eastAsia"/>
                <w:b/>
                <w:sz w:val="24"/>
                <w:szCs w:val="24"/>
                <w:lang w:val="en-GB" w:eastAsia="zh-CN"/>
              </w:rPr>
              <w:t xml:space="preserve"> </w:t>
            </w:r>
            <w:r w:rsidR="00BC3C35" w:rsidRPr="00CB14BD">
              <w:rPr>
                <w:rFonts w:ascii="Book Antiqua" w:hAnsi="Book Antiqua" w:cs="Times New Roman"/>
                <w:b/>
                <w:sz w:val="24"/>
                <w:szCs w:val="24"/>
                <w:lang w:val="en-GB"/>
              </w:rPr>
              <w:t xml:space="preserve">± </w:t>
            </w:r>
            <w:r w:rsidRPr="00CB14BD">
              <w:rPr>
                <w:rFonts w:ascii="Book Antiqua" w:hAnsi="Book Antiqua" w:cs="Times New Roman"/>
                <w:b/>
                <w:sz w:val="24"/>
                <w:szCs w:val="24"/>
                <w:lang w:val="en-GB"/>
              </w:rPr>
              <w:t>SD) and adhesion severity (score 0-9, Min/Med/Max)</w:t>
            </w:r>
          </w:p>
        </w:tc>
      </w:tr>
      <w:tr w:rsidR="00C14212" w:rsidRPr="00E47A42" w14:paraId="42BBFA00" w14:textId="77777777" w:rsidTr="00135752">
        <w:trPr>
          <w:jc w:val="center"/>
        </w:trPr>
        <w:tc>
          <w:tcPr>
            <w:tcW w:w="2859" w:type="dxa"/>
            <w:vMerge/>
          </w:tcPr>
          <w:p w14:paraId="4B0E4FA5" w14:textId="77777777" w:rsidR="00C14212" w:rsidRPr="00E47A42" w:rsidRDefault="00C14212" w:rsidP="00CB14BD">
            <w:pPr>
              <w:snapToGrid w:val="0"/>
              <w:spacing w:after="0" w:line="360" w:lineRule="auto"/>
              <w:ind w:firstLine="720"/>
              <w:rPr>
                <w:rFonts w:ascii="Book Antiqua" w:hAnsi="Book Antiqua" w:cs="Times New Roman"/>
                <w:sz w:val="24"/>
                <w:szCs w:val="24"/>
                <w:lang w:val="en-GB"/>
              </w:rPr>
            </w:pPr>
          </w:p>
        </w:tc>
        <w:tc>
          <w:tcPr>
            <w:tcW w:w="3453" w:type="dxa"/>
            <w:gridSpan w:val="2"/>
          </w:tcPr>
          <w:p w14:paraId="7F124C3F" w14:textId="77777777" w:rsidR="00C14212" w:rsidRPr="00CB14BD" w:rsidRDefault="00C14212" w:rsidP="00CB14BD">
            <w:pPr>
              <w:snapToGrid w:val="0"/>
              <w:spacing w:after="0" w:line="360" w:lineRule="auto"/>
              <w:ind w:firstLine="720"/>
              <w:jc w:val="center"/>
              <w:rPr>
                <w:rFonts w:ascii="Book Antiqua" w:hAnsi="Book Antiqua" w:cs="Times New Roman"/>
                <w:b/>
                <w:sz w:val="24"/>
                <w:szCs w:val="24"/>
                <w:lang w:val="en-GB"/>
              </w:rPr>
            </w:pPr>
            <w:r w:rsidRPr="00CB14BD">
              <w:rPr>
                <w:rFonts w:ascii="Book Antiqua" w:hAnsi="Book Antiqua" w:cs="Times New Roman"/>
                <w:b/>
                <w:sz w:val="24"/>
                <w:szCs w:val="24"/>
                <w:lang w:val="en-GB"/>
              </w:rPr>
              <w:t>Day 1</w:t>
            </w:r>
          </w:p>
        </w:tc>
        <w:tc>
          <w:tcPr>
            <w:tcW w:w="3759" w:type="dxa"/>
            <w:gridSpan w:val="2"/>
          </w:tcPr>
          <w:p w14:paraId="7C040EE2" w14:textId="77777777" w:rsidR="00C14212" w:rsidRPr="00CB14BD" w:rsidRDefault="00C14212" w:rsidP="00CB14BD">
            <w:pPr>
              <w:snapToGrid w:val="0"/>
              <w:spacing w:after="0" w:line="360" w:lineRule="auto"/>
              <w:ind w:firstLine="720"/>
              <w:jc w:val="center"/>
              <w:rPr>
                <w:rFonts w:ascii="Book Antiqua" w:hAnsi="Book Antiqua" w:cs="Times New Roman"/>
                <w:b/>
                <w:sz w:val="24"/>
                <w:szCs w:val="24"/>
                <w:lang w:val="en-GB"/>
              </w:rPr>
            </w:pPr>
            <w:r w:rsidRPr="00CB14BD">
              <w:rPr>
                <w:rFonts w:ascii="Book Antiqua" w:hAnsi="Book Antiqua" w:cs="Times New Roman"/>
                <w:b/>
                <w:sz w:val="24"/>
                <w:szCs w:val="24"/>
                <w:lang w:val="en-GB"/>
              </w:rPr>
              <w:t>Day 7</w:t>
            </w:r>
          </w:p>
        </w:tc>
      </w:tr>
      <w:tr w:rsidR="00C14212" w:rsidRPr="00E47A42" w14:paraId="4DC29282" w14:textId="77777777" w:rsidTr="00135752">
        <w:trPr>
          <w:jc w:val="center"/>
        </w:trPr>
        <w:tc>
          <w:tcPr>
            <w:tcW w:w="2859" w:type="dxa"/>
            <w:vMerge/>
          </w:tcPr>
          <w:p w14:paraId="40729C41" w14:textId="77777777" w:rsidR="00C14212" w:rsidRPr="00E47A42" w:rsidRDefault="00C14212" w:rsidP="00CB14BD">
            <w:pPr>
              <w:snapToGrid w:val="0"/>
              <w:spacing w:after="0" w:line="360" w:lineRule="auto"/>
              <w:ind w:firstLine="720"/>
              <w:rPr>
                <w:rFonts w:ascii="Book Antiqua" w:hAnsi="Book Antiqua" w:cs="Times New Roman"/>
                <w:sz w:val="24"/>
                <w:szCs w:val="24"/>
                <w:lang w:val="en-GB"/>
              </w:rPr>
            </w:pPr>
          </w:p>
        </w:tc>
        <w:tc>
          <w:tcPr>
            <w:tcW w:w="1849" w:type="dxa"/>
          </w:tcPr>
          <w:p w14:paraId="07E143AE" w14:textId="77777777" w:rsidR="00C14212" w:rsidRPr="00CB14BD" w:rsidRDefault="00C14212" w:rsidP="00CB14BD">
            <w:pPr>
              <w:snapToGrid w:val="0"/>
              <w:spacing w:after="0" w:line="360" w:lineRule="auto"/>
              <w:jc w:val="center"/>
              <w:rPr>
                <w:rFonts w:ascii="Book Antiqua" w:hAnsi="Book Antiqua" w:cs="Times New Roman"/>
                <w:b/>
                <w:sz w:val="24"/>
                <w:szCs w:val="24"/>
                <w:lang w:val="en-GB"/>
              </w:rPr>
            </w:pPr>
            <w:r w:rsidRPr="00CB14BD">
              <w:rPr>
                <w:rFonts w:ascii="Book Antiqua" w:hAnsi="Book Antiqua" w:cs="Times New Roman"/>
                <w:b/>
                <w:sz w:val="24"/>
                <w:szCs w:val="24"/>
                <w:lang w:val="en-GB"/>
              </w:rPr>
              <w:t>Perforated cecum lesion</w:t>
            </w:r>
          </w:p>
        </w:tc>
        <w:tc>
          <w:tcPr>
            <w:tcW w:w="1604" w:type="dxa"/>
          </w:tcPr>
          <w:p w14:paraId="67EE2A6C" w14:textId="77777777" w:rsidR="00C14212" w:rsidRPr="00CB14BD" w:rsidRDefault="00C14212" w:rsidP="00CB14BD">
            <w:pPr>
              <w:snapToGrid w:val="0"/>
              <w:spacing w:after="0" w:line="360" w:lineRule="auto"/>
              <w:jc w:val="center"/>
              <w:rPr>
                <w:rFonts w:ascii="Book Antiqua" w:hAnsi="Book Antiqua" w:cs="Times New Roman"/>
                <w:b/>
                <w:sz w:val="24"/>
                <w:szCs w:val="24"/>
                <w:lang w:val="en-GB"/>
              </w:rPr>
            </w:pPr>
            <w:r w:rsidRPr="00CB14BD">
              <w:rPr>
                <w:rFonts w:ascii="Book Antiqua" w:hAnsi="Book Antiqua" w:cs="Times New Roman"/>
                <w:b/>
                <w:sz w:val="24"/>
                <w:szCs w:val="24"/>
                <w:lang w:val="en-GB"/>
              </w:rPr>
              <w:t>Adhesion severity</w:t>
            </w:r>
          </w:p>
        </w:tc>
        <w:tc>
          <w:tcPr>
            <w:tcW w:w="1921" w:type="dxa"/>
          </w:tcPr>
          <w:p w14:paraId="36DE64A0" w14:textId="77777777" w:rsidR="00C14212" w:rsidRPr="00CB14BD" w:rsidRDefault="00C14212" w:rsidP="00CB14BD">
            <w:pPr>
              <w:snapToGrid w:val="0"/>
              <w:spacing w:after="0" w:line="360" w:lineRule="auto"/>
              <w:jc w:val="center"/>
              <w:rPr>
                <w:rFonts w:ascii="Book Antiqua" w:hAnsi="Book Antiqua" w:cs="Times New Roman"/>
                <w:b/>
                <w:sz w:val="24"/>
                <w:szCs w:val="24"/>
                <w:lang w:val="en-GB"/>
              </w:rPr>
            </w:pPr>
            <w:r w:rsidRPr="00CB14BD">
              <w:rPr>
                <w:rFonts w:ascii="Book Antiqua" w:hAnsi="Book Antiqua" w:cs="Times New Roman"/>
                <w:b/>
                <w:sz w:val="24"/>
                <w:szCs w:val="24"/>
                <w:lang w:val="en-GB"/>
              </w:rPr>
              <w:t>Perforated cecum lesion</w:t>
            </w:r>
          </w:p>
        </w:tc>
        <w:tc>
          <w:tcPr>
            <w:tcW w:w="1838" w:type="dxa"/>
          </w:tcPr>
          <w:p w14:paraId="0CC71D7A" w14:textId="77777777" w:rsidR="00C14212" w:rsidRPr="00CB14BD" w:rsidRDefault="00C14212" w:rsidP="00CB14BD">
            <w:pPr>
              <w:snapToGrid w:val="0"/>
              <w:spacing w:after="0" w:line="360" w:lineRule="auto"/>
              <w:jc w:val="center"/>
              <w:rPr>
                <w:rFonts w:ascii="Book Antiqua" w:hAnsi="Book Antiqua" w:cs="Times New Roman"/>
                <w:b/>
                <w:sz w:val="24"/>
                <w:szCs w:val="24"/>
                <w:lang w:val="en-GB"/>
              </w:rPr>
            </w:pPr>
            <w:r w:rsidRPr="00CB14BD">
              <w:rPr>
                <w:rFonts w:ascii="Book Antiqua" w:hAnsi="Book Antiqua" w:cs="Times New Roman"/>
                <w:b/>
                <w:sz w:val="24"/>
                <w:szCs w:val="24"/>
                <w:lang w:val="en-GB"/>
              </w:rPr>
              <w:t>Adhesion severity</w:t>
            </w:r>
          </w:p>
        </w:tc>
      </w:tr>
      <w:tr w:rsidR="00C14212" w:rsidRPr="00E47A42" w14:paraId="3EC0ADB9" w14:textId="77777777" w:rsidTr="00135752">
        <w:trPr>
          <w:jc w:val="center"/>
        </w:trPr>
        <w:tc>
          <w:tcPr>
            <w:tcW w:w="2859" w:type="dxa"/>
          </w:tcPr>
          <w:p w14:paraId="3C7B601D" w14:textId="77777777" w:rsidR="00C14212" w:rsidRPr="00CB14BD" w:rsidRDefault="00C14212" w:rsidP="00CB14BD">
            <w:pPr>
              <w:snapToGrid w:val="0"/>
              <w:spacing w:after="0" w:line="360" w:lineRule="auto"/>
              <w:rPr>
                <w:rFonts w:ascii="Book Antiqua" w:hAnsi="Book Antiqua" w:cs="Times New Roman"/>
                <w:sz w:val="24"/>
                <w:szCs w:val="24"/>
                <w:lang w:val="en-GB"/>
              </w:rPr>
            </w:pPr>
            <w:r w:rsidRPr="00CB14BD">
              <w:rPr>
                <w:rFonts w:ascii="Book Antiqua" w:hAnsi="Book Antiqua" w:cs="Times New Roman"/>
                <w:sz w:val="24"/>
                <w:szCs w:val="24"/>
                <w:lang w:val="en-GB"/>
              </w:rPr>
              <w:t>0.9%NaCl (control)</w:t>
            </w:r>
          </w:p>
        </w:tc>
        <w:tc>
          <w:tcPr>
            <w:tcW w:w="1849" w:type="dxa"/>
          </w:tcPr>
          <w:p w14:paraId="64231F09" w14:textId="235ABD27"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5.0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0.5 (M)</w:t>
            </w:r>
          </w:p>
          <w:p w14:paraId="326A88B1" w14:textId="78F17A12"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5.0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0.5 (S)</w:t>
            </w:r>
          </w:p>
        </w:tc>
        <w:tc>
          <w:tcPr>
            <w:tcW w:w="1604" w:type="dxa"/>
          </w:tcPr>
          <w:p w14:paraId="3C0AC1C5" w14:textId="77777777"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2/3/3</w:t>
            </w:r>
          </w:p>
        </w:tc>
        <w:tc>
          <w:tcPr>
            <w:tcW w:w="1921" w:type="dxa"/>
          </w:tcPr>
          <w:p w14:paraId="03B889BF" w14:textId="042ADED9"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5.0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0.5 (M)</w:t>
            </w:r>
          </w:p>
          <w:p w14:paraId="59891C6F" w14:textId="3D4D7AEB"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6.0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0.5 (S)</w:t>
            </w:r>
          </w:p>
        </w:tc>
        <w:tc>
          <w:tcPr>
            <w:tcW w:w="1838" w:type="dxa"/>
          </w:tcPr>
          <w:p w14:paraId="7C14A311" w14:textId="77777777"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3/3/4</w:t>
            </w:r>
          </w:p>
        </w:tc>
      </w:tr>
      <w:tr w:rsidR="00C14212" w:rsidRPr="00E47A42" w14:paraId="2E6BA3EF" w14:textId="77777777" w:rsidTr="00135752">
        <w:trPr>
          <w:jc w:val="center"/>
        </w:trPr>
        <w:tc>
          <w:tcPr>
            <w:tcW w:w="2859" w:type="dxa"/>
          </w:tcPr>
          <w:p w14:paraId="00D5774A" w14:textId="77777777" w:rsidR="00C14212" w:rsidRPr="00CB14BD" w:rsidRDefault="00C14212" w:rsidP="00CB14BD">
            <w:pPr>
              <w:snapToGrid w:val="0"/>
              <w:spacing w:after="0" w:line="360" w:lineRule="auto"/>
              <w:rPr>
                <w:rFonts w:ascii="Book Antiqua" w:hAnsi="Book Antiqua" w:cs="Times New Roman"/>
                <w:sz w:val="24"/>
                <w:szCs w:val="24"/>
                <w:lang w:val="en-GB"/>
              </w:rPr>
            </w:pPr>
            <w:r w:rsidRPr="00CB14BD">
              <w:rPr>
                <w:rFonts w:ascii="Book Antiqua" w:hAnsi="Book Antiqua" w:cs="Times New Roman"/>
                <w:sz w:val="24"/>
                <w:szCs w:val="24"/>
                <w:lang w:val="en-GB"/>
              </w:rPr>
              <w:t>BPC 157 (10µg)</w:t>
            </w:r>
          </w:p>
        </w:tc>
        <w:tc>
          <w:tcPr>
            <w:tcW w:w="1849" w:type="dxa"/>
          </w:tcPr>
          <w:p w14:paraId="184E06A3" w14:textId="663C1CB5"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3.0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(M)</w:t>
            </w:r>
            <w:r w:rsidR="00BC3C35" w:rsidRPr="00BC3C35">
              <w:rPr>
                <w:rFonts w:ascii="Book Antiqua" w:hAnsi="Book Antiqua" w:cs="Times New Roman" w:hint="eastAsia"/>
                <w:sz w:val="24"/>
                <w:szCs w:val="24"/>
                <w:vertAlign w:val="superscript"/>
                <w:lang w:val="en-US" w:eastAsia="zh-CN"/>
              </w:rPr>
              <w:t>a</w:t>
            </w:r>
          </w:p>
          <w:p w14:paraId="046149E6" w14:textId="1F928EFA"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3.0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(S)</w:t>
            </w:r>
            <w:r w:rsidR="00BC3C35" w:rsidRPr="00BC3C35">
              <w:rPr>
                <w:rFonts w:ascii="Book Antiqua" w:hAnsi="Book Antiqua" w:cs="Times New Roman" w:hint="eastAsia"/>
                <w:sz w:val="24"/>
                <w:szCs w:val="24"/>
                <w:vertAlign w:val="superscript"/>
                <w:lang w:val="en-US" w:eastAsia="zh-CN"/>
              </w:rPr>
              <w:t>a</w:t>
            </w:r>
          </w:p>
        </w:tc>
        <w:tc>
          <w:tcPr>
            <w:tcW w:w="1604" w:type="dxa"/>
          </w:tcPr>
          <w:p w14:paraId="235CC1C1" w14:textId="70446ED3"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1/1/1</w:t>
            </w:r>
            <w:r w:rsidR="00BC3C35" w:rsidRPr="00BC3C35">
              <w:rPr>
                <w:rFonts w:ascii="Book Antiqua" w:hAnsi="Book Antiqua" w:cs="Times New Roman" w:hint="eastAsia"/>
                <w:sz w:val="24"/>
                <w:szCs w:val="24"/>
                <w:vertAlign w:val="superscript"/>
                <w:lang w:val="en-US" w:eastAsia="zh-CN"/>
              </w:rPr>
              <w:t>a</w:t>
            </w:r>
          </w:p>
        </w:tc>
        <w:tc>
          <w:tcPr>
            <w:tcW w:w="1921" w:type="dxa"/>
          </w:tcPr>
          <w:p w14:paraId="3881C5FE" w14:textId="3AD885D2"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0.0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(M)</w:t>
            </w:r>
            <w:r w:rsidR="00BC3C35" w:rsidRPr="00BC3C35">
              <w:rPr>
                <w:rFonts w:ascii="Book Antiqua" w:hAnsi="Book Antiqua" w:cs="Times New Roman" w:hint="eastAsia"/>
                <w:sz w:val="24"/>
                <w:szCs w:val="24"/>
                <w:vertAlign w:val="superscript"/>
                <w:lang w:val="en-US" w:eastAsia="zh-CN"/>
              </w:rPr>
              <w:t>a</w:t>
            </w:r>
          </w:p>
          <w:p w14:paraId="65957E4C" w14:textId="4FC7B0DA"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0.0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(S)</w:t>
            </w:r>
            <w:r w:rsidR="00BC3C35" w:rsidRPr="00BC3C35">
              <w:rPr>
                <w:rFonts w:ascii="Book Antiqua" w:hAnsi="Book Antiqua" w:cs="Times New Roman" w:hint="eastAsia"/>
                <w:sz w:val="24"/>
                <w:szCs w:val="24"/>
                <w:vertAlign w:val="superscript"/>
                <w:lang w:val="en-US" w:eastAsia="zh-CN"/>
              </w:rPr>
              <w:t>a</w:t>
            </w:r>
          </w:p>
        </w:tc>
        <w:tc>
          <w:tcPr>
            <w:tcW w:w="1838" w:type="dxa"/>
          </w:tcPr>
          <w:p w14:paraId="331B03C0" w14:textId="2EFB9D63"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1/1/2</w:t>
            </w:r>
            <w:r w:rsidR="00BC3C35" w:rsidRPr="00BC3C35">
              <w:rPr>
                <w:rFonts w:ascii="Book Antiqua" w:hAnsi="Book Antiqua" w:cs="Times New Roman" w:hint="eastAsia"/>
                <w:sz w:val="24"/>
                <w:szCs w:val="24"/>
                <w:vertAlign w:val="superscript"/>
                <w:lang w:val="en-US" w:eastAsia="zh-CN"/>
              </w:rPr>
              <w:t>a</w:t>
            </w:r>
          </w:p>
        </w:tc>
      </w:tr>
      <w:tr w:rsidR="00C14212" w:rsidRPr="00E47A42" w14:paraId="12FB7DBC" w14:textId="77777777" w:rsidTr="00135752">
        <w:trPr>
          <w:jc w:val="center"/>
        </w:trPr>
        <w:tc>
          <w:tcPr>
            <w:tcW w:w="2859" w:type="dxa"/>
          </w:tcPr>
          <w:p w14:paraId="727CD0BA" w14:textId="77777777" w:rsidR="00C14212" w:rsidRPr="00CB14BD" w:rsidRDefault="00C14212" w:rsidP="00CB14BD">
            <w:pPr>
              <w:snapToGrid w:val="0"/>
              <w:spacing w:after="0" w:line="360" w:lineRule="auto"/>
              <w:rPr>
                <w:rFonts w:ascii="Book Antiqua" w:hAnsi="Book Antiqua" w:cs="Times New Roman"/>
                <w:sz w:val="24"/>
                <w:szCs w:val="24"/>
                <w:lang w:val="en-GB"/>
              </w:rPr>
            </w:pPr>
            <w:r w:rsidRPr="00CB14BD">
              <w:rPr>
                <w:rFonts w:ascii="Book Antiqua" w:hAnsi="Book Antiqua" w:cs="Times New Roman"/>
                <w:sz w:val="24"/>
                <w:szCs w:val="24"/>
                <w:lang w:val="en-GB"/>
              </w:rPr>
              <w:t>L-NAME 5mg</w:t>
            </w:r>
          </w:p>
        </w:tc>
        <w:tc>
          <w:tcPr>
            <w:tcW w:w="1849" w:type="dxa"/>
          </w:tcPr>
          <w:p w14:paraId="396065A8" w14:textId="5483BD73"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7.5</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0.4 (M)</w:t>
            </w:r>
            <w:r w:rsidR="00BC3C35" w:rsidRPr="00BC3C35">
              <w:rPr>
                <w:rFonts w:ascii="Book Antiqua" w:hAnsi="Book Antiqua" w:cs="Times New Roman" w:hint="eastAsia"/>
                <w:sz w:val="24"/>
                <w:szCs w:val="24"/>
                <w:vertAlign w:val="superscript"/>
                <w:lang w:val="en-US" w:eastAsia="zh-CN"/>
              </w:rPr>
              <w:t>a</w:t>
            </w:r>
          </w:p>
          <w:p w14:paraId="4228C210" w14:textId="5D07BA32"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7.5</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0.5 (S)</w:t>
            </w:r>
            <w:r w:rsidR="00BC3C35" w:rsidRPr="00BC3C35">
              <w:rPr>
                <w:rFonts w:ascii="Book Antiqua" w:hAnsi="Book Antiqua" w:cs="Times New Roman" w:hint="eastAsia"/>
                <w:sz w:val="24"/>
                <w:szCs w:val="24"/>
                <w:vertAlign w:val="superscript"/>
                <w:lang w:val="en-US" w:eastAsia="zh-CN"/>
              </w:rPr>
              <w:t>a</w:t>
            </w:r>
          </w:p>
        </w:tc>
        <w:tc>
          <w:tcPr>
            <w:tcW w:w="1604" w:type="dxa"/>
          </w:tcPr>
          <w:p w14:paraId="30A9A619" w14:textId="53E78869"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5/6/6</w:t>
            </w:r>
            <w:r w:rsidR="00BC3C35" w:rsidRPr="00BC3C35">
              <w:rPr>
                <w:rFonts w:ascii="Book Antiqua" w:hAnsi="Book Antiqua" w:cs="Times New Roman" w:hint="eastAsia"/>
                <w:sz w:val="24"/>
                <w:szCs w:val="24"/>
                <w:vertAlign w:val="superscript"/>
                <w:lang w:val="en-US" w:eastAsia="zh-CN"/>
              </w:rPr>
              <w:t>a</w:t>
            </w:r>
          </w:p>
        </w:tc>
        <w:tc>
          <w:tcPr>
            <w:tcW w:w="1921" w:type="dxa"/>
          </w:tcPr>
          <w:p w14:paraId="7755CF17" w14:textId="729EC3BA"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8.0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0.4 (M)</w:t>
            </w:r>
            <w:r w:rsidR="00BC3C35" w:rsidRPr="00BC3C35">
              <w:rPr>
                <w:rFonts w:ascii="Book Antiqua" w:hAnsi="Book Antiqua" w:cs="Times New Roman" w:hint="eastAsia"/>
                <w:sz w:val="24"/>
                <w:szCs w:val="24"/>
                <w:vertAlign w:val="superscript"/>
                <w:lang w:val="en-US" w:eastAsia="zh-CN"/>
              </w:rPr>
              <w:t>a</w:t>
            </w:r>
          </w:p>
          <w:p w14:paraId="31F6A688" w14:textId="61DCE735"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8.8</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0.5 (S)</w:t>
            </w:r>
            <w:r w:rsidR="00BC3C35" w:rsidRPr="00BC3C35">
              <w:rPr>
                <w:rFonts w:ascii="Book Antiqua" w:hAnsi="Book Antiqua" w:cs="Times New Roman" w:hint="eastAsia"/>
                <w:sz w:val="24"/>
                <w:szCs w:val="24"/>
                <w:vertAlign w:val="superscript"/>
                <w:lang w:val="en-US" w:eastAsia="zh-CN"/>
              </w:rPr>
              <w:t>a</w:t>
            </w:r>
          </w:p>
        </w:tc>
        <w:tc>
          <w:tcPr>
            <w:tcW w:w="1838" w:type="dxa"/>
          </w:tcPr>
          <w:p w14:paraId="5E5F8EF0" w14:textId="77777777"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6/6/6</w:t>
            </w:r>
          </w:p>
        </w:tc>
      </w:tr>
      <w:tr w:rsidR="00C14212" w:rsidRPr="00E47A42" w14:paraId="7D777491" w14:textId="77777777" w:rsidTr="00135752">
        <w:trPr>
          <w:jc w:val="center"/>
        </w:trPr>
        <w:tc>
          <w:tcPr>
            <w:tcW w:w="2859" w:type="dxa"/>
          </w:tcPr>
          <w:p w14:paraId="55134207" w14:textId="77777777" w:rsidR="00C14212" w:rsidRPr="00CB14BD" w:rsidRDefault="00C14212" w:rsidP="00CB14BD">
            <w:pPr>
              <w:snapToGrid w:val="0"/>
              <w:spacing w:after="0" w:line="360" w:lineRule="auto"/>
              <w:rPr>
                <w:rFonts w:ascii="Book Antiqua" w:hAnsi="Book Antiqua" w:cs="Times New Roman"/>
                <w:sz w:val="24"/>
                <w:szCs w:val="24"/>
                <w:lang w:val="en-GB"/>
              </w:rPr>
            </w:pPr>
            <w:r w:rsidRPr="00CB14BD">
              <w:rPr>
                <w:rFonts w:ascii="Book Antiqua" w:hAnsi="Book Antiqua" w:cs="Times New Roman"/>
                <w:sz w:val="24"/>
                <w:szCs w:val="24"/>
                <w:lang w:val="en-GB"/>
              </w:rPr>
              <w:t>L-arginine 100mg</w:t>
            </w:r>
          </w:p>
        </w:tc>
        <w:tc>
          <w:tcPr>
            <w:tcW w:w="1849" w:type="dxa"/>
          </w:tcPr>
          <w:p w14:paraId="5ED8F13D" w14:textId="0C7EECB4"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7.0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(M)</w:t>
            </w:r>
            <w:r w:rsidR="00BC3C35" w:rsidRPr="00BC3C35">
              <w:rPr>
                <w:rFonts w:ascii="Book Antiqua" w:hAnsi="Book Antiqua" w:cs="Times New Roman" w:hint="eastAsia"/>
                <w:sz w:val="24"/>
                <w:szCs w:val="24"/>
                <w:vertAlign w:val="superscript"/>
                <w:lang w:val="en-US" w:eastAsia="zh-CN"/>
              </w:rPr>
              <w:t>a</w:t>
            </w:r>
          </w:p>
          <w:p w14:paraId="43ABA42D" w14:textId="6EED17AC"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7.0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(S)</w:t>
            </w:r>
          </w:p>
        </w:tc>
        <w:tc>
          <w:tcPr>
            <w:tcW w:w="1604" w:type="dxa"/>
          </w:tcPr>
          <w:p w14:paraId="2AC62538" w14:textId="7EBE71DB"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4/5/5</w:t>
            </w:r>
            <w:r w:rsidR="00BC3C35" w:rsidRPr="00BC3C35">
              <w:rPr>
                <w:rFonts w:ascii="Book Antiqua" w:hAnsi="Book Antiqua" w:cs="Times New Roman" w:hint="eastAsia"/>
                <w:sz w:val="24"/>
                <w:szCs w:val="24"/>
                <w:vertAlign w:val="superscript"/>
                <w:lang w:val="en-US" w:eastAsia="zh-CN"/>
              </w:rPr>
              <w:t>a</w:t>
            </w:r>
          </w:p>
        </w:tc>
        <w:tc>
          <w:tcPr>
            <w:tcW w:w="1921" w:type="dxa"/>
          </w:tcPr>
          <w:p w14:paraId="0E8EAB24" w14:textId="6FC7DFAD"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7.5</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0.3 (M)</w:t>
            </w:r>
            <w:r w:rsidR="00BC3C35" w:rsidRPr="00BC3C35">
              <w:rPr>
                <w:rFonts w:ascii="Book Antiqua" w:hAnsi="Book Antiqua" w:cs="Times New Roman" w:hint="eastAsia"/>
                <w:sz w:val="24"/>
                <w:szCs w:val="24"/>
                <w:vertAlign w:val="superscript"/>
                <w:lang w:val="en-US" w:eastAsia="zh-CN"/>
              </w:rPr>
              <w:t>a</w:t>
            </w:r>
          </w:p>
          <w:p w14:paraId="124836BC" w14:textId="2584B95D"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8.0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0.4 (S)</w:t>
            </w:r>
            <w:r w:rsidR="00BC3C35" w:rsidRPr="00BC3C35">
              <w:rPr>
                <w:rFonts w:ascii="Book Antiqua" w:hAnsi="Book Antiqua" w:cs="Times New Roman" w:hint="eastAsia"/>
                <w:sz w:val="24"/>
                <w:szCs w:val="24"/>
                <w:vertAlign w:val="superscript"/>
                <w:lang w:val="en-US" w:eastAsia="zh-CN"/>
              </w:rPr>
              <w:t>a</w:t>
            </w:r>
          </w:p>
        </w:tc>
        <w:tc>
          <w:tcPr>
            <w:tcW w:w="1838" w:type="dxa"/>
          </w:tcPr>
          <w:p w14:paraId="776875AD" w14:textId="3FEF7AE0"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5/6/6</w:t>
            </w:r>
            <w:r w:rsidR="00BC3C35" w:rsidRPr="00BC3C35">
              <w:rPr>
                <w:rFonts w:ascii="Book Antiqua" w:hAnsi="Book Antiqua" w:cs="Times New Roman" w:hint="eastAsia"/>
                <w:sz w:val="24"/>
                <w:szCs w:val="24"/>
                <w:vertAlign w:val="superscript"/>
                <w:lang w:val="en-US" w:eastAsia="zh-CN"/>
              </w:rPr>
              <w:t>a</w:t>
            </w:r>
          </w:p>
        </w:tc>
      </w:tr>
      <w:tr w:rsidR="00C14212" w:rsidRPr="00E47A42" w14:paraId="6D1E5D32" w14:textId="77777777" w:rsidTr="00135752">
        <w:trPr>
          <w:jc w:val="center"/>
        </w:trPr>
        <w:tc>
          <w:tcPr>
            <w:tcW w:w="2859" w:type="dxa"/>
          </w:tcPr>
          <w:p w14:paraId="6ABFCF24" w14:textId="77777777" w:rsidR="00C14212" w:rsidRPr="00CB14BD" w:rsidRDefault="00C14212" w:rsidP="00CB14BD">
            <w:pPr>
              <w:snapToGrid w:val="0"/>
              <w:spacing w:after="0" w:line="360" w:lineRule="auto"/>
              <w:rPr>
                <w:rFonts w:ascii="Book Antiqua" w:hAnsi="Book Antiqua" w:cs="Times New Roman"/>
                <w:sz w:val="24"/>
                <w:szCs w:val="24"/>
                <w:lang w:val="en-GB"/>
              </w:rPr>
            </w:pPr>
            <w:r w:rsidRPr="00CB14BD">
              <w:rPr>
                <w:rFonts w:ascii="Book Antiqua" w:hAnsi="Book Antiqua" w:cs="Times New Roman"/>
                <w:sz w:val="24"/>
                <w:szCs w:val="24"/>
                <w:lang w:val="en-GB"/>
              </w:rPr>
              <w:t>L-NAME 5mg +</w:t>
            </w:r>
          </w:p>
          <w:p w14:paraId="5B7A8AA4" w14:textId="77777777" w:rsidR="00C14212" w:rsidRPr="00CB14BD" w:rsidRDefault="00C14212" w:rsidP="00CB14BD">
            <w:pPr>
              <w:snapToGrid w:val="0"/>
              <w:spacing w:after="0" w:line="360" w:lineRule="auto"/>
              <w:rPr>
                <w:rFonts w:ascii="Book Antiqua" w:hAnsi="Book Antiqua" w:cs="Times New Roman"/>
                <w:sz w:val="24"/>
                <w:szCs w:val="24"/>
                <w:lang w:val="en-GB"/>
              </w:rPr>
            </w:pPr>
            <w:r w:rsidRPr="00CB14BD">
              <w:rPr>
                <w:rFonts w:ascii="Book Antiqua" w:hAnsi="Book Antiqua" w:cs="Times New Roman"/>
                <w:sz w:val="24"/>
                <w:szCs w:val="24"/>
                <w:lang w:val="en-GB"/>
              </w:rPr>
              <w:t xml:space="preserve"> L-arginine 100mg</w:t>
            </w:r>
          </w:p>
        </w:tc>
        <w:tc>
          <w:tcPr>
            <w:tcW w:w="1849" w:type="dxa"/>
          </w:tcPr>
          <w:p w14:paraId="0725AB5F" w14:textId="0C64EF48"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7.3</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0.5 (M)</w:t>
            </w:r>
          </w:p>
          <w:p w14:paraId="4B2BFD4E" w14:textId="01471902"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7.3</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0.5 (S)</w:t>
            </w:r>
          </w:p>
        </w:tc>
        <w:tc>
          <w:tcPr>
            <w:tcW w:w="1604" w:type="dxa"/>
          </w:tcPr>
          <w:p w14:paraId="71A1701A" w14:textId="349D6704"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5/6/6</w:t>
            </w:r>
            <w:r w:rsidR="00BC3C35" w:rsidRPr="00BC3C35">
              <w:rPr>
                <w:rFonts w:ascii="Book Antiqua" w:hAnsi="Book Antiqua" w:cs="Times New Roman" w:hint="eastAsia"/>
                <w:sz w:val="24"/>
                <w:szCs w:val="24"/>
                <w:vertAlign w:val="superscript"/>
                <w:lang w:val="en-US" w:eastAsia="zh-CN"/>
              </w:rPr>
              <w:t>a</w:t>
            </w:r>
          </w:p>
        </w:tc>
        <w:tc>
          <w:tcPr>
            <w:tcW w:w="1921" w:type="dxa"/>
          </w:tcPr>
          <w:p w14:paraId="59567C52" w14:textId="02A4F71A"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8.0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0.3 (M)</w:t>
            </w:r>
          </w:p>
          <w:p w14:paraId="65EC3EC3" w14:textId="0D2E2BE9"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8.2</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0.5 (S)</w:t>
            </w:r>
          </w:p>
        </w:tc>
        <w:tc>
          <w:tcPr>
            <w:tcW w:w="1838" w:type="dxa"/>
          </w:tcPr>
          <w:p w14:paraId="3330AB0A" w14:textId="665CA819"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5/6/6</w:t>
            </w:r>
            <w:r w:rsidR="00BC3C35" w:rsidRPr="00BC3C35">
              <w:rPr>
                <w:rFonts w:ascii="Book Antiqua" w:hAnsi="Book Antiqua" w:cs="Times New Roman" w:hint="eastAsia"/>
                <w:sz w:val="24"/>
                <w:szCs w:val="24"/>
                <w:vertAlign w:val="superscript"/>
                <w:lang w:val="en-US" w:eastAsia="zh-CN"/>
              </w:rPr>
              <w:t>a</w:t>
            </w:r>
          </w:p>
        </w:tc>
      </w:tr>
      <w:tr w:rsidR="00C14212" w:rsidRPr="00E47A42" w14:paraId="7839AC99" w14:textId="77777777" w:rsidTr="00135752">
        <w:trPr>
          <w:jc w:val="center"/>
        </w:trPr>
        <w:tc>
          <w:tcPr>
            <w:tcW w:w="2859" w:type="dxa"/>
          </w:tcPr>
          <w:p w14:paraId="74DAE8AC" w14:textId="4F0C02D4" w:rsidR="00C14212" w:rsidRPr="00CB14BD" w:rsidRDefault="00C14212" w:rsidP="00CB14BD">
            <w:pPr>
              <w:snapToGrid w:val="0"/>
              <w:spacing w:after="0" w:line="360" w:lineRule="auto"/>
              <w:rPr>
                <w:rFonts w:ascii="Book Antiqua" w:hAnsi="Book Antiqua" w:cs="Times New Roman"/>
                <w:sz w:val="24"/>
                <w:szCs w:val="24"/>
                <w:lang w:val="en-GB"/>
              </w:rPr>
            </w:pPr>
            <w:r w:rsidRPr="00CB14BD">
              <w:rPr>
                <w:rFonts w:ascii="Book Antiqua" w:hAnsi="Book Antiqua" w:cs="Times New Roman"/>
                <w:sz w:val="24"/>
                <w:szCs w:val="24"/>
                <w:lang w:val="en-GB"/>
              </w:rPr>
              <w:t>L-NAME</w:t>
            </w:r>
            <w:r w:rsidR="00CB14BD" w:rsidRPr="00CB14BD">
              <w:rPr>
                <w:rFonts w:ascii="Book Antiqua" w:hAnsi="Book Antiqua" w:cs="Times New Roman"/>
                <w:sz w:val="24"/>
                <w:szCs w:val="24"/>
                <w:lang w:val="en-GB"/>
              </w:rPr>
              <w:t xml:space="preserve"> 5mg +</w:t>
            </w:r>
            <w:r w:rsidR="00CB14BD" w:rsidRPr="00CB14BD">
              <w:rPr>
                <w:rFonts w:ascii="Book Antiqua" w:hAnsi="Book Antiqua" w:cs="Times New Roman" w:hint="eastAsia"/>
                <w:sz w:val="24"/>
                <w:szCs w:val="24"/>
                <w:lang w:val="en-GB" w:eastAsia="zh-CN"/>
              </w:rPr>
              <w:t xml:space="preserve"> </w:t>
            </w:r>
            <w:r w:rsidRPr="00CB14BD">
              <w:rPr>
                <w:rFonts w:ascii="Book Antiqua" w:hAnsi="Book Antiqua" w:cs="Times New Roman"/>
                <w:sz w:val="24"/>
                <w:szCs w:val="24"/>
                <w:lang w:val="en-GB"/>
              </w:rPr>
              <w:t>BPC 157 10</w:t>
            </w:r>
            <w:r w:rsidR="00CB14BD" w:rsidRPr="00CB14BD">
              <w:rPr>
                <w:rFonts w:ascii="Book Antiqua" w:hAnsi="Book Antiqua" w:cs="Times New Roman" w:hint="eastAsia"/>
                <w:sz w:val="24"/>
                <w:szCs w:val="24"/>
                <w:lang w:val="en-GB" w:eastAsia="zh-CN"/>
              </w:rPr>
              <w:t xml:space="preserve"> </w:t>
            </w:r>
            <w:r w:rsidRPr="00CB14BD">
              <w:rPr>
                <w:rFonts w:ascii="Book Antiqua" w:hAnsi="Book Antiqua" w:cs="Times New Roman"/>
                <w:sz w:val="24"/>
                <w:szCs w:val="24"/>
                <w:lang w:val="en-GB"/>
              </w:rPr>
              <w:t>µg</w:t>
            </w:r>
          </w:p>
        </w:tc>
        <w:tc>
          <w:tcPr>
            <w:tcW w:w="1849" w:type="dxa"/>
          </w:tcPr>
          <w:p w14:paraId="0D1D1429" w14:textId="7C4B7560"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3.0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(M)</w:t>
            </w:r>
            <w:r w:rsidR="00BC3C35" w:rsidRPr="00BC3C35">
              <w:rPr>
                <w:rFonts w:ascii="Book Antiqua" w:hAnsi="Book Antiqua" w:cs="Times New Roman" w:hint="eastAsia"/>
                <w:sz w:val="24"/>
                <w:szCs w:val="24"/>
                <w:vertAlign w:val="superscript"/>
                <w:lang w:val="en-US" w:eastAsia="zh-CN"/>
              </w:rPr>
              <w:t>a</w:t>
            </w:r>
          </w:p>
          <w:p w14:paraId="2F9B1E2B" w14:textId="75E2E8B8"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3.0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(S)</w:t>
            </w:r>
            <w:r w:rsidR="00BC3C35" w:rsidRPr="00BC3C35">
              <w:rPr>
                <w:rFonts w:ascii="Book Antiqua" w:hAnsi="Book Antiqua" w:cs="Times New Roman" w:hint="eastAsia"/>
                <w:sz w:val="24"/>
                <w:szCs w:val="24"/>
                <w:vertAlign w:val="superscript"/>
                <w:lang w:val="en-US" w:eastAsia="zh-CN"/>
              </w:rPr>
              <w:t>a</w:t>
            </w:r>
          </w:p>
        </w:tc>
        <w:tc>
          <w:tcPr>
            <w:tcW w:w="1604" w:type="dxa"/>
          </w:tcPr>
          <w:p w14:paraId="6CE13714" w14:textId="4CF5662D"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1/1/1</w:t>
            </w:r>
            <w:r w:rsidR="00BC3C35" w:rsidRPr="00BC3C35">
              <w:rPr>
                <w:rFonts w:ascii="Book Antiqua" w:hAnsi="Book Antiqua" w:cs="Times New Roman" w:hint="eastAsia"/>
                <w:sz w:val="24"/>
                <w:szCs w:val="24"/>
                <w:vertAlign w:val="superscript"/>
                <w:lang w:val="en-US" w:eastAsia="zh-CN"/>
              </w:rPr>
              <w:t>a</w:t>
            </w:r>
          </w:p>
        </w:tc>
        <w:tc>
          <w:tcPr>
            <w:tcW w:w="1921" w:type="dxa"/>
          </w:tcPr>
          <w:p w14:paraId="170AE3D8" w14:textId="25A77D75"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0.0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(M)</w:t>
            </w:r>
            <w:r w:rsidR="00BC3C35" w:rsidRPr="00BC3C35">
              <w:rPr>
                <w:rFonts w:ascii="Book Antiqua" w:hAnsi="Book Antiqua" w:cs="Times New Roman" w:hint="eastAsia"/>
                <w:sz w:val="24"/>
                <w:szCs w:val="24"/>
                <w:vertAlign w:val="superscript"/>
                <w:lang w:val="en-US" w:eastAsia="zh-CN"/>
              </w:rPr>
              <w:t>a</w:t>
            </w:r>
          </w:p>
          <w:p w14:paraId="17D38666" w14:textId="2EA5B1EC"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0.0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(S)</w:t>
            </w:r>
            <w:r w:rsidR="00BC3C35" w:rsidRPr="00BC3C35">
              <w:rPr>
                <w:rFonts w:ascii="Book Antiqua" w:hAnsi="Book Antiqua" w:cs="Times New Roman" w:hint="eastAsia"/>
                <w:sz w:val="24"/>
                <w:szCs w:val="24"/>
                <w:vertAlign w:val="superscript"/>
                <w:lang w:val="en-US" w:eastAsia="zh-CN"/>
              </w:rPr>
              <w:t>a</w:t>
            </w:r>
          </w:p>
        </w:tc>
        <w:tc>
          <w:tcPr>
            <w:tcW w:w="1838" w:type="dxa"/>
          </w:tcPr>
          <w:p w14:paraId="28D7C1FC" w14:textId="06EDFFA2"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1/1/2</w:t>
            </w:r>
            <w:r w:rsidR="00BC3C35" w:rsidRPr="00BC3C35">
              <w:rPr>
                <w:rFonts w:ascii="Book Antiqua" w:hAnsi="Book Antiqua" w:cs="Times New Roman" w:hint="eastAsia"/>
                <w:sz w:val="24"/>
                <w:szCs w:val="24"/>
                <w:vertAlign w:val="superscript"/>
                <w:lang w:val="en-US" w:eastAsia="zh-CN"/>
              </w:rPr>
              <w:t>a</w:t>
            </w:r>
          </w:p>
        </w:tc>
      </w:tr>
      <w:tr w:rsidR="00C14212" w:rsidRPr="00E47A42" w14:paraId="064259E4" w14:textId="77777777" w:rsidTr="00135752">
        <w:trPr>
          <w:jc w:val="center"/>
        </w:trPr>
        <w:tc>
          <w:tcPr>
            <w:tcW w:w="2859" w:type="dxa"/>
          </w:tcPr>
          <w:p w14:paraId="579F516E" w14:textId="6FA8EDC4" w:rsidR="00C14212" w:rsidRPr="00CB14BD" w:rsidRDefault="00C14212" w:rsidP="00CB14BD">
            <w:pPr>
              <w:snapToGrid w:val="0"/>
              <w:spacing w:after="0" w:line="360" w:lineRule="auto"/>
              <w:rPr>
                <w:rFonts w:ascii="Book Antiqua" w:hAnsi="Book Antiqua" w:cs="Times New Roman"/>
                <w:sz w:val="24"/>
                <w:szCs w:val="24"/>
                <w:lang w:val="en-GB"/>
              </w:rPr>
            </w:pPr>
            <w:r w:rsidRPr="00CB14BD">
              <w:rPr>
                <w:rFonts w:ascii="Book Antiqua" w:hAnsi="Book Antiqua" w:cs="Times New Roman"/>
                <w:sz w:val="24"/>
                <w:szCs w:val="24"/>
                <w:lang w:val="en-GB"/>
              </w:rPr>
              <w:t>L-arginine 100</w:t>
            </w:r>
            <w:r w:rsidR="00CB14BD" w:rsidRPr="00CB14BD">
              <w:rPr>
                <w:rFonts w:ascii="Book Antiqua" w:hAnsi="Book Antiqua" w:cs="Times New Roman" w:hint="eastAsia"/>
                <w:sz w:val="24"/>
                <w:szCs w:val="24"/>
                <w:lang w:val="en-GB" w:eastAsia="zh-CN"/>
              </w:rPr>
              <w:t xml:space="preserve"> </w:t>
            </w:r>
            <w:r w:rsidRPr="00CB14BD">
              <w:rPr>
                <w:rFonts w:ascii="Book Antiqua" w:hAnsi="Book Antiqua" w:cs="Times New Roman"/>
                <w:sz w:val="24"/>
                <w:szCs w:val="24"/>
                <w:lang w:val="en-GB"/>
              </w:rPr>
              <w:t>mg + BPC 157 10</w:t>
            </w:r>
            <w:r w:rsidR="00CB14BD" w:rsidRPr="00CB14BD">
              <w:rPr>
                <w:rFonts w:ascii="Book Antiqua" w:hAnsi="Book Antiqua" w:cs="Times New Roman" w:hint="eastAsia"/>
                <w:sz w:val="24"/>
                <w:szCs w:val="24"/>
                <w:lang w:val="en-GB" w:eastAsia="zh-CN"/>
              </w:rPr>
              <w:t xml:space="preserve"> </w:t>
            </w:r>
            <w:r w:rsidRPr="00CB14BD">
              <w:rPr>
                <w:rFonts w:ascii="Book Antiqua" w:hAnsi="Book Antiqua" w:cs="Times New Roman"/>
                <w:sz w:val="24"/>
                <w:szCs w:val="24"/>
                <w:lang w:val="en-GB"/>
              </w:rPr>
              <w:t>µg</w:t>
            </w:r>
          </w:p>
        </w:tc>
        <w:tc>
          <w:tcPr>
            <w:tcW w:w="1849" w:type="dxa"/>
          </w:tcPr>
          <w:p w14:paraId="1603DFBA" w14:textId="1D06DCFF"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3.0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(M)</w:t>
            </w:r>
            <w:r w:rsidR="00BC3C35" w:rsidRPr="00BC3C35">
              <w:rPr>
                <w:rFonts w:ascii="Book Antiqua" w:hAnsi="Book Antiqua" w:cs="Times New Roman" w:hint="eastAsia"/>
                <w:sz w:val="24"/>
                <w:szCs w:val="24"/>
                <w:vertAlign w:val="superscript"/>
                <w:lang w:val="en-US" w:eastAsia="zh-CN"/>
              </w:rPr>
              <w:t>a</w:t>
            </w:r>
          </w:p>
          <w:p w14:paraId="2DAA923A" w14:textId="2B58E9BF"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3.0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(S)</w:t>
            </w:r>
            <w:r w:rsidR="00BC3C35" w:rsidRPr="00BC3C35">
              <w:rPr>
                <w:rFonts w:ascii="Book Antiqua" w:hAnsi="Book Antiqua" w:cs="Times New Roman" w:hint="eastAsia"/>
                <w:sz w:val="24"/>
                <w:szCs w:val="24"/>
                <w:vertAlign w:val="superscript"/>
                <w:lang w:val="en-US" w:eastAsia="zh-CN"/>
              </w:rPr>
              <w:t>a</w:t>
            </w:r>
          </w:p>
        </w:tc>
        <w:tc>
          <w:tcPr>
            <w:tcW w:w="1604" w:type="dxa"/>
          </w:tcPr>
          <w:p w14:paraId="03B882A1" w14:textId="0B41E22F"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1/1/1</w:t>
            </w:r>
            <w:r w:rsidR="00BC3C35" w:rsidRPr="00BC3C35">
              <w:rPr>
                <w:rFonts w:ascii="Book Antiqua" w:hAnsi="Book Antiqua" w:cs="Times New Roman" w:hint="eastAsia"/>
                <w:sz w:val="24"/>
                <w:szCs w:val="24"/>
                <w:vertAlign w:val="superscript"/>
                <w:lang w:val="en-US" w:eastAsia="zh-CN"/>
              </w:rPr>
              <w:t>a</w:t>
            </w:r>
          </w:p>
        </w:tc>
        <w:tc>
          <w:tcPr>
            <w:tcW w:w="1921" w:type="dxa"/>
          </w:tcPr>
          <w:p w14:paraId="58781FDF" w14:textId="59911A2A"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0.0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(M)</w:t>
            </w:r>
            <w:r w:rsidR="00BC3C35" w:rsidRPr="00BC3C35">
              <w:rPr>
                <w:rFonts w:ascii="Book Antiqua" w:hAnsi="Book Antiqua" w:cs="Times New Roman" w:hint="eastAsia"/>
                <w:sz w:val="24"/>
                <w:szCs w:val="24"/>
                <w:vertAlign w:val="superscript"/>
                <w:lang w:val="en-US" w:eastAsia="zh-CN"/>
              </w:rPr>
              <w:t>a</w:t>
            </w:r>
          </w:p>
          <w:p w14:paraId="136B8F7F" w14:textId="178EBA63"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0.0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(S)</w:t>
            </w:r>
            <w:r w:rsidR="00BC3C35" w:rsidRPr="00BC3C35">
              <w:rPr>
                <w:rFonts w:ascii="Book Antiqua" w:hAnsi="Book Antiqua" w:cs="Times New Roman" w:hint="eastAsia"/>
                <w:sz w:val="24"/>
                <w:szCs w:val="24"/>
                <w:vertAlign w:val="superscript"/>
                <w:lang w:val="en-US" w:eastAsia="zh-CN"/>
              </w:rPr>
              <w:t>a</w:t>
            </w:r>
          </w:p>
        </w:tc>
        <w:tc>
          <w:tcPr>
            <w:tcW w:w="1838" w:type="dxa"/>
          </w:tcPr>
          <w:p w14:paraId="206CBAAE" w14:textId="5B17F8F2"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1/1/2</w:t>
            </w:r>
            <w:r w:rsidR="00BC3C35" w:rsidRPr="00BC3C35">
              <w:rPr>
                <w:rFonts w:ascii="Book Antiqua" w:hAnsi="Book Antiqua" w:cs="Times New Roman" w:hint="eastAsia"/>
                <w:sz w:val="24"/>
                <w:szCs w:val="24"/>
                <w:vertAlign w:val="superscript"/>
                <w:lang w:val="en-US" w:eastAsia="zh-CN"/>
              </w:rPr>
              <w:t>a</w:t>
            </w:r>
          </w:p>
        </w:tc>
      </w:tr>
      <w:tr w:rsidR="00C14212" w:rsidRPr="00E47A42" w14:paraId="6278EA38" w14:textId="77777777" w:rsidTr="00135752">
        <w:trPr>
          <w:jc w:val="center"/>
        </w:trPr>
        <w:tc>
          <w:tcPr>
            <w:tcW w:w="2859" w:type="dxa"/>
          </w:tcPr>
          <w:p w14:paraId="3B1CBD50" w14:textId="04294D78" w:rsidR="00C14212" w:rsidRPr="00CB14BD" w:rsidRDefault="00C14212" w:rsidP="00CB14BD">
            <w:pPr>
              <w:snapToGrid w:val="0"/>
              <w:spacing w:after="0" w:line="360" w:lineRule="auto"/>
              <w:rPr>
                <w:rFonts w:ascii="Book Antiqua" w:hAnsi="Book Antiqua" w:cs="Times New Roman"/>
                <w:sz w:val="24"/>
                <w:szCs w:val="24"/>
                <w:lang w:val="en-GB"/>
              </w:rPr>
            </w:pPr>
            <w:r w:rsidRPr="00CB14BD">
              <w:rPr>
                <w:rFonts w:ascii="Book Antiqua" w:hAnsi="Book Antiqua" w:cs="Times New Roman"/>
                <w:sz w:val="24"/>
                <w:szCs w:val="24"/>
                <w:lang w:val="en-GB"/>
              </w:rPr>
              <w:t>L-NAME 5</w:t>
            </w:r>
            <w:r w:rsidR="00CB14BD" w:rsidRPr="00CB14BD">
              <w:rPr>
                <w:rFonts w:ascii="Book Antiqua" w:hAnsi="Book Antiqua" w:cs="Times New Roman" w:hint="eastAsia"/>
                <w:sz w:val="24"/>
                <w:szCs w:val="24"/>
                <w:lang w:val="en-GB" w:eastAsia="zh-CN"/>
              </w:rPr>
              <w:t xml:space="preserve"> </w:t>
            </w:r>
            <w:r w:rsidR="00CB14BD" w:rsidRPr="00CB14BD">
              <w:rPr>
                <w:rFonts w:ascii="Book Antiqua" w:hAnsi="Book Antiqua" w:cs="Times New Roman"/>
                <w:sz w:val="24"/>
                <w:szCs w:val="24"/>
                <w:lang w:val="en-GB"/>
              </w:rPr>
              <w:t xml:space="preserve">mg + </w:t>
            </w:r>
            <w:r w:rsidRPr="00CB14BD">
              <w:rPr>
                <w:rFonts w:ascii="Book Antiqua" w:hAnsi="Book Antiqua" w:cs="Times New Roman"/>
                <w:sz w:val="24"/>
                <w:szCs w:val="24"/>
                <w:lang w:val="en-GB"/>
              </w:rPr>
              <w:t>L-arginine 100</w:t>
            </w:r>
            <w:r w:rsidR="00CB14BD" w:rsidRPr="00CB14BD">
              <w:rPr>
                <w:rFonts w:ascii="Book Antiqua" w:hAnsi="Book Antiqua" w:cs="Times New Roman" w:hint="eastAsia"/>
                <w:sz w:val="24"/>
                <w:szCs w:val="24"/>
                <w:lang w:val="en-GB" w:eastAsia="zh-CN"/>
              </w:rPr>
              <w:t xml:space="preserve"> </w:t>
            </w:r>
            <w:r w:rsidRPr="00CB14BD">
              <w:rPr>
                <w:rFonts w:ascii="Book Antiqua" w:hAnsi="Book Antiqua" w:cs="Times New Roman"/>
                <w:sz w:val="24"/>
                <w:szCs w:val="24"/>
                <w:lang w:val="en-GB"/>
              </w:rPr>
              <w:t>mg + BPC 157 10</w:t>
            </w:r>
            <w:r w:rsidR="00CB14BD" w:rsidRPr="00CB14BD">
              <w:rPr>
                <w:rFonts w:ascii="Book Antiqua" w:hAnsi="Book Antiqua" w:cs="Times New Roman" w:hint="eastAsia"/>
                <w:sz w:val="24"/>
                <w:szCs w:val="24"/>
                <w:lang w:val="en-GB" w:eastAsia="zh-CN"/>
              </w:rPr>
              <w:t xml:space="preserve"> </w:t>
            </w:r>
            <w:r w:rsidRPr="00CB14BD">
              <w:rPr>
                <w:rFonts w:ascii="Book Antiqua" w:hAnsi="Book Antiqua" w:cs="Times New Roman"/>
                <w:sz w:val="24"/>
                <w:szCs w:val="24"/>
                <w:lang w:val="en-GB"/>
              </w:rPr>
              <w:t>µg</w:t>
            </w:r>
          </w:p>
        </w:tc>
        <w:tc>
          <w:tcPr>
            <w:tcW w:w="1849" w:type="dxa"/>
          </w:tcPr>
          <w:p w14:paraId="58977A48" w14:textId="0D0C0654"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3.0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(M)</w:t>
            </w:r>
            <w:r w:rsidR="00BC3C35" w:rsidRPr="00BC3C35">
              <w:rPr>
                <w:rFonts w:ascii="Book Antiqua" w:hAnsi="Book Antiqua" w:cs="Times New Roman" w:hint="eastAsia"/>
                <w:sz w:val="24"/>
                <w:szCs w:val="24"/>
                <w:vertAlign w:val="superscript"/>
                <w:lang w:val="en-US" w:eastAsia="zh-CN"/>
              </w:rPr>
              <w:t>a</w:t>
            </w:r>
          </w:p>
          <w:p w14:paraId="463AFC4A" w14:textId="215B7200"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3.0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(S)</w:t>
            </w:r>
            <w:r w:rsidR="00BC3C35" w:rsidRPr="00BC3C35">
              <w:rPr>
                <w:rFonts w:ascii="Book Antiqua" w:hAnsi="Book Antiqua" w:cs="Times New Roman" w:hint="eastAsia"/>
                <w:sz w:val="24"/>
                <w:szCs w:val="24"/>
                <w:vertAlign w:val="superscript"/>
                <w:lang w:val="en-US" w:eastAsia="zh-CN"/>
              </w:rPr>
              <w:t>a</w:t>
            </w:r>
          </w:p>
        </w:tc>
        <w:tc>
          <w:tcPr>
            <w:tcW w:w="1604" w:type="dxa"/>
          </w:tcPr>
          <w:p w14:paraId="5FED7E72" w14:textId="790D9FC5"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0/1/1</w:t>
            </w:r>
            <w:r w:rsidR="00BC3C35" w:rsidRPr="00BC3C35">
              <w:rPr>
                <w:rFonts w:ascii="Book Antiqua" w:hAnsi="Book Antiqua" w:cs="Times New Roman" w:hint="eastAsia"/>
                <w:sz w:val="24"/>
                <w:szCs w:val="24"/>
                <w:vertAlign w:val="superscript"/>
                <w:lang w:val="en-US" w:eastAsia="zh-CN"/>
              </w:rPr>
              <w:t>a</w:t>
            </w:r>
          </w:p>
        </w:tc>
        <w:tc>
          <w:tcPr>
            <w:tcW w:w="1921" w:type="dxa"/>
          </w:tcPr>
          <w:p w14:paraId="3518B3E8" w14:textId="556179E9"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0.0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(M)</w:t>
            </w:r>
            <w:r w:rsidR="00BC3C35" w:rsidRPr="00BC3C35">
              <w:rPr>
                <w:rFonts w:ascii="Book Antiqua" w:hAnsi="Book Antiqua" w:cs="Times New Roman" w:hint="eastAsia"/>
                <w:sz w:val="24"/>
                <w:szCs w:val="24"/>
                <w:vertAlign w:val="superscript"/>
                <w:lang w:val="en-US" w:eastAsia="zh-CN"/>
              </w:rPr>
              <w:t>a</w:t>
            </w:r>
          </w:p>
          <w:p w14:paraId="0FBA929E" w14:textId="05D19C2F"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0.0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(S)</w:t>
            </w:r>
            <w:r w:rsidR="00BC3C35" w:rsidRPr="00BC3C35">
              <w:rPr>
                <w:rFonts w:ascii="Book Antiqua" w:hAnsi="Book Antiqua" w:cs="Times New Roman" w:hint="eastAsia"/>
                <w:sz w:val="24"/>
                <w:szCs w:val="24"/>
                <w:vertAlign w:val="superscript"/>
                <w:lang w:val="en-US" w:eastAsia="zh-CN"/>
              </w:rPr>
              <w:t>a</w:t>
            </w:r>
          </w:p>
        </w:tc>
        <w:tc>
          <w:tcPr>
            <w:tcW w:w="1838" w:type="dxa"/>
          </w:tcPr>
          <w:p w14:paraId="039767E2" w14:textId="08B72214"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1/1/2</w:t>
            </w:r>
            <w:r w:rsidR="00BC3C35" w:rsidRPr="00BC3C35">
              <w:rPr>
                <w:rFonts w:ascii="Book Antiqua" w:hAnsi="Book Antiqua" w:cs="Times New Roman" w:hint="eastAsia"/>
                <w:sz w:val="24"/>
                <w:szCs w:val="24"/>
                <w:vertAlign w:val="superscript"/>
                <w:lang w:val="en-US" w:eastAsia="zh-CN"/>
              </w:rPr>
              <w:t>a</w:t>
            </w:r>
          </w:p>
        </w:tc>
      </w:tr>
    </w:tbl>
    <w:p w14:paraId="05A9982B" w14:textId="15E39E63" w:rsidR="00755369" w:rsidRPr="00C14212" w:rsidRDefault="00CA300C" w:rsidP="00EE3106">
      <w:pPr>
        <w:autoSpaceDE w:val="0"/>
        <w:adjustRightInd w:val="0"/>
        <w:snapToGrid w:val="0"/>
        <w:spacing w:after="0" w:line="360" w:lineRule="auto"/>
        <w:jc w:val="both"/>
        <w:rPr>
          <w:rFonts w:ascii="Book Antiqua" w:hAnsi="Book Antiqua" w:cs="Times New Roman"/>
          <w:sz w:val="24"/>
          <w:szCs w:val="24"/>
          <w:lang w:val="en-US" w:eastAsia="zh-CN"/>
        </w:rPr>
      </w:pPr>
      <w:r w:rsidRPr="00E47A42">
        <w:rPr>
          <w:rFonts w:ascii="Book Antiqua" w:hAnsi="Book Antiqua" w:cs="Times New Roman"/>
          <w:sz w:val="24"/>
          <w:szCs w:val="24"/>
          <w:lang w:val="en-GB"/>
        </w:rPr>
        <w:t>At 1 min post-injury, administration of medication (/kg, 10</w:t>
      </w:r>
      <w:r w:rsidR="00135752">
        <w:rPr>
          <w:rFonts w:ascii="Book Antiqua" w:hAnsi="Book Antiqua" w:cs="Times New Roman" w:hint="eastAsia"/>
          <w:sz w:val="24"/>
          <w:szCs w:val="24"/>
          <w:lang w:val="en-GB" w:eastAsia="zh-CN"/>
        </w:rPr>
        <w:t xml:space="preserve"> </w:t>
      </w:r>
      <w:r w:rsidRPr="00E47A42">
        <w:rPr>
          <w:rFonts w:ascii="Book Antiqua" w:hAnsi="Book Antiqua" w:cs="Times New Roman"/>
          <w:sz w:val="24"/>
          <w:szCs w:val="24"/>
          <w:lang w:val="en-GB"/>
        </w:rPr>
        <w:t>m</w:t>
      </w:r>
      <w:r w:rsidRPr="00135752">
        <w:rPr>
          <w:rFonts w:ascii="Book Antiqua" w:hAnsi="Book Antiqua" w:cs="Times New Roman"/>
          <w:caps/>
          <w:sz w:val="24"/>
          <w:szCs w:val="24"/>
          <w:lang w:val="en-GB"/>
        </w:rPr>
        <w:t>l</w:t>
      </w:r>
      <w:r w:rsidRPr="00E47A42">
        <w:rPr>
          <w:rFonts w:ascii="Book Antiqua" w:hAnsi="Book Antiqua" w:cs="Times New Roman"/>
          <w:sz w:val="24"/>
          <w:szCs w:val="24"/>
          <w:lang w:val="en-GB"/>
        </w:rPr>
        <w:t>/2</w:t>
      </w:r>
      <w:r w:rsidR="00135752">
        <w:rPr>
          <w:rFonts w:ascii="Book Antiqua" w:hAnsi="Book Antiqua" w:cs="Times New Roman" w:hint="eastAsia"/>
          <w:sz w:val="24"/>
          <w:szCs w:val="24"/>
          <w:lang w:val="en-GB" w:eastAsia="zh-CN"/>
        </w:rPr>
        <w:t xml:space="preserve"> </w:t>
      </w:r>
      <w:r w:rsidRPr="00E47A42">
        <w:rPr>
          <w:rFonts w:ascii="Book Antiqua" w:hAnsi="Book Antiqua" w:cs="Times New Roman"/>
          <w:sz w:val="24"/>
          <w:szCs w:val="24"/>
          <w:lang w:val="en-GB"/>
        </w:rPr>
        <w:t>min bath/rat) at the perforated (5</w:t>
      </w:r>
      <w:r w:rsidR="00135752">
        <w:rPr>
          <w:rFonts w:ascii="Book Antiqua" w:hAnsi="Book Antiqua" w:cs="Times New Roman" w:hint="eastAsia"/>
          <w:sz w:val="24"/>
          <w:szCs w:val="24"/>
          <w:lang w:val="en-GB" w:eastAsia="zh-CN"/>
        </w:rPr>
        <w:t xml:space="preserve"> </w:t>
      </w:r>
      <w:r w:rsidRPr="00E47A42">
        <w:rPr>
          <w:rFonts w:ascii="Book Antiqua" w:hAnsi="Book Antiqua" w:cs="Times New Roman"/>
          <w:sz w:val="24"/>
          <w:szCs w:val="24"/>
          <w:lang w:val="en-GB"/>
        </w:rPr>
        <w:t>mm diameter) lesion and cecum, includes BPC 157 (10</w:t>
      </w:r>
      <w:r w:rsidR="00135752">
        <w:rPr>
          <w:rFonts w:ascii="Book Antiqua" w:hAnsi="Book Antiqua" w:cs="Times New Roman" w:hint="eastAsia"/>
          <w:sz w:val="24"/>
          <w:szCs w:val="24"/>
          <w:lang w:val="en-GB" w:eastAsia="zh-CN"/>
        </w:rPr>
        <w:t xml:space="preserve"> </w:t>
      </w:r>
      <w:r w:rsidRPr="00E47A42">
        <w:rPr>
          <w:rFonts w:ascii="Book Antiqua" w:hAnsi="Book Antiqua" w:cs="Times New Roman"/>
          <w:sz w:val="24"/>
          <w:szCs w:val="24"/>
          <w:lang w:val="en-GB"/>
        </w:rPr>
        <w:t>µg), NOS-blocker L-NAME (5</w:t>
      </w:r>
      <w:r w:rsidR="00135752">
        <w:rPr>
          <w:rFonts w:ascii="Book Antiqua" w:hAnsi="Book Antiqua" w:cs="Times New Roman" w:hint="eastAsia"/>
          <w:sz w:val="24"/>
          <w:szCs w:val="24"/>
          <w:lang w:val="en-GB" w:eastAsia="zh-CN"/>
        </w:rPr>
        <w:t xml:space="preserve"> </w:t>
      </w:r>
      <w:r w:rsidRPr="00E47A42">
        <w:rPr>
          <w:rFonts w:ascii="Book Antiqua" w:hAnsi="Book Antiqua" w:cs="Times New Roman"/>
          <w:sz w:val="24"/>
          <w:szCs w:val="24"/>
          <w:lang w:val="en-GB"/>
        </w:rPr>
        <w:t>mg), NOS-substrate L-arginine (100</w:t>
      </w:r>
      <w:r w:rsidR="00135752">
        <w:rPr>
          <w:rFonts w:ascii="Book Antiqua" w:hAnsi="Book Antiqua" w:cs="Times New Roman" w:hint="eastAsia"/>
          <w:sz w:val="24"/>
          <w:szCs w:val="24"/>
          <w:lang w:val="en-GB" w:eastAsia="zh-CN"/>
        </w:rPr>
        <w:t xml:space="preserve"> </w:t>
      </w:r>
      <w:r w:rsidRPr="00E47A42">
        <w:rPr>
          <w:rFonts w:ascii="Book Antiqua" w:hAnsi="Book Antiqua" w:cs="Times New Roman"/>
          <w:sz w:val="24"/>
          <w:szCs w:val="24"/>
          <w:lang w:val="en-GB"/>
        </w:rPr>
        <w:t>mg) alone or combined, a saline bath of equal volume (controls), and rats were left after abdominal closure undisturbed till the sacrifice, at day 1 or day 7.</w:t>
      </w:r>
      <w:r w:rsidR="00BC3C35">
        <w:rPr>
          <w:rFonts w:ascii="Book Antiqua" w:hAnsi="Book Antiqua" w:cs="Times New Roman" w:hint="eastAsia"/>
          <w:sz w:val="24"/>
          <w:szCs w:val="24"/>
          <w:lang w:val="en-US" w:eastAsia="zh-CN"/>
        </w:rPr>
        <w:t xml:space="preserve"> </w:t>
      </w:r>
      <w:r w:rsidR="00BC3C35" w:rsidRPr="00BC3C35">
        <w:rPr>
          <w:rFonts w:ascii="Book Antiqua" w:hAnsi="Book Antiqua" w:cs="Times New Roman"/>
          <w:caps/>
          <w:sz w:val="24"/>
          <w:szCs w:val="24"/>
          <w:lang w:val="en-US"/>
        </w:rPr>
        <w:t>m</w:t>
      </w:r>
      <w:r w:rsidR="00BC3C35" w:rsidRPr="00E47A42">
        <w:rPr>
          <w:rFonts w:ascii="Book Antiqua" w:hAnsi="Book Antiqua" w:cs="Times New Roman"/>
          <w:sz w:val="24"/>
          <w:szCs w:val="24"/>
          <w:lang w:val="en-US"/>
        </w:rPr>
        <w:t>inimum</w:t>
      </w:r>
      <w:r w:rsidR="00BC3C35">
        <w:rPr>
          <w:rFonts w:ascii="Book Antiqua" w:hAnsi="Book Antiqua" w:cs="Times New Roman" w:hint="eastAsia"/>
          <w:sz w:val="24"/>
          <w:szCs w:val="24"/>
          <w:lang w:val="en-US" w:eastAsia="zh-CN"/>
        </w:rPr>
        <w:t xml:space="preserve"> </w:t>
      </w:r>
      <w:proofErr w:type="spellStart"/>
      <w:r w:rsidR="00BC3C35" w:rsidRPr="00BC3C35">
        <w:rPr>
          <w:rFonts w:ascii="Book Antiqua" w:hAnsi="Book Antiqua" w:cs="Times New Roman" w:hint="eastAsia"/>
          <w:sz w:val="24"/>
          <w:szCs w:val="24"/>
          <w:vertAlign w:val="superscript"/>
          <w:lang w:val="en-US" w:eastAsia="zh-CN"/>
        </w:rPr>
        <w:t>a</w:t>
      </w:r>
      <w:r w:rsidR="00BC3C35" w:rsidRPr="003516DB">
        <w:rPr>
          <w:rFonts w:ascii="Book Antiqua" w:hAnsi="Book Antiqua" w:cs="Times New Roman"/>
          <w:i/>
          <w:sz w:val="24"/>
          <w:szCs w:val="24"/>
          <w:lang w:val="en-US"/>
        </w:rPr>
        <w:t>P</w:t>
      </w:r>
      <w:proofErr w:type="spellEnd"/>
      <w:r w:rsidR="00BC3C35">
        <w:rPr>
          <w:rFonts w:ascii="Book Antiqua" w:hAnsi="Book Antiqua" w:cs="Times New Roman" w:hint="eastAsia"/>
          <w:sz w:val="24"/>
          <w:szCs w:val="24"/>
          <w:lang w:val="en-US" w:eastAsia="zh-CN"/>
        </w:rPr>
        <w:t xml:space="preserve"> </w:t>
      </w:r>
      <w:r w:rsidR="00BC3C35" w:rsidRPr="00E47A42">
        <w:rPr>
          <w:rFonts w:ascii="Book Antiqua" w:hAnsi="Book Antiqua" w:cs="Times New Roman"/>
          <w:sz w:val="24"/>
          <w:szCs w:val="24"/>
          <w:lang w:val="en-US"/>
        </w:rPr>
        <w:t>&lt;</w:t>
      </w:r>
      <w:r w:rsidR="00BC3C35">
        <w:rPr>
          <w:rFonts w:ascii="Book Antiqua" w:hAnsi="Book Antiqua" w:cs="Times New Roman" w:hint="eastAsia"/>
          <w:sz w:val="24"/>
          <w:szCs w:val="24"/>
          <w:lang w:val="en-US" w:eastAsia="zh-CN"/>
        </w:rPr>
        <w:t xml:space="preserve"> </w:t>
      </w:r>
      <w:r w:rsidR="00BC3C35" w:rsidRPr="00E47A42">
        <w:rPr>
          <w:rFonts w:ascii="Book Antiqua" w:hAnsi="Book Antiqua" w:cs="Times New Roman"/>
          <w:sz w:val="24"/>
          <w:szCs w:val="24"/>
          <w:lang w:val="en-US"/>
        </w:rPr>
        <w:t xml:space="preserve">0.05 </w:t>
      </w:r>
      <w:proofErr w:type="spellStart"/>
      <w:r w:rsidR="00BC3C35" w:rsidRPr="00BC3C35">
        <w:rPr>
          <w:rFonts w:ascii="Book Antiqua" w:hAnsi="Book Antiqua" w:cs="Times New Roman" w:hint="eastAsia"/>
          <w:i/>
          <w:sz w:val="24"/>
          <w:szCs w:val="24"/>
          <w:lang w:val="en-US" w:eastAsia="zh-CN"/>
        </w:rPr>
        <w:t>vs</w:t>
      </w:r>
      <w:proofErr w:type="spellEnd"/>
      <w:r w:rsidR="00BC3C35">
        <w:rPr>
          <w:rFonts w:ascii="Book Antiqua" w:hAnsi="Book Antiqua" w:cs="Times New Roman" w:hint="eastAsia"/>
          <w:sz w:val="24"/>
          <w:szCs w:val="24"/>
          <w:lang w:val="en-US" w:eastAsia="zh-CN"/>
        </w:rPr>
        <w:t xml:space="preserve"> </w:t>
      </w:r>
      <w:r w:rsidR="00BC3C35" w:rsidRPr="00E47A42">
        <w:rPr>
          <w:rFonts w:ascii="Book Antiqua" w:hAnsi="Book Antiqua" w:cs="Times New Roman"/>
          <w:sz w:val="24"/>
          <w:szCs w:val="24"/>
          <w:lang w:val="en-US"/>
        </w:rPr>
        <w:t>control.</w:t>
      </w:r>
    </w:p>
    <w:sectPr w:rsidR="00755369" w:rsidRPr="00C1421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8B46B3" w14:textId="77777777" w:rsidR="00193839" w:rsidRDefault="00193839" w:rsidP="00202A9C">
      <w:pPr>
        <w:spacing w:after="0" w:line="240" w:lineRule="auto"/>
      </w:pPr>
      <w:r>
        <w:separator/>
      </w:r>
    </w:p>
  </w:endnote>
  <w:endnote w:type="continuationSeparator" w:id="0">
    <w:p w14:paraId="13C06400" w14:textId="77777777" w:rsidR="00193839" w:rsidRDefault="00193839" w:rsidP="00202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等线">
    <w:altName w:val="宋体"/>
    <w:panose1 w:val="00000000000000000000"/>
    <w:charset w:val="86"/>
    <w:family w:val="roman"/>
    <w:notTrueType/>
    <w:pitch w:val="default"/>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02FF" w:usb1="4000E47F" w:usb2="00000029" w:usb3="00000000" w:csb0="0000019F" w:csb1="00000000"/>
  </w:font>
  <w:font w:name="Courier New">
    <w:panose1 w:val="02070309020205020404"/>
    <w:charset w:val="00"/>
    <w:family w:val="modern"/>
    <w:pitch w:val="fixed"/>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473772"/>
      <w:docPartObj>
        <w:docPartGallery w:val="Page Numbers (Bottom of Page)"/>
        <w:docPartUnique/>
      </w:docPartObj>
    </w:sdtPr>
    <w:sdtEndPr/>
    <w:sdtContent>
      <w:p w14:paraId="63391957" w14:textId="5EE7156A" w:rsidR="007C34A5" w:rsidRDefault="007C34A5">
        <w:pPr>
          <w:pStyle w:val="ab"/>
          <w:jc w:val="right"/>
        </w:pPr>
        <w:r>
          <w:fldChar w:fldCharType="begin"/>
        </w:r>
        <w:r>
          <w:instrText>PAGE   \* MERGEFORMAT</w:instrText>
        </w:r>
        <w:r>
          <w:fldChar w:fldCharType="separate"/>
        </w:r>
        <w:r w:rsidR="0042524A">
          <w:rPr>
            <w:noProof/>
          </w:rPr>
          <w:t>5</w:t>
        </w:r>
        <w:r>
          <w:fldChar w:fldCharType="end"/>
        </w:r>
      </w:p>
    </w:sdtContent>
  </w:sdt>
  <w:p w14:paraId="208E07E2" w14:textId="77777777" w:rsidR="007C34A5" w:rsidRDefault="007C34A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C97E6" w14:textId="77777777" w:rsidR="00193839" w:rsidRDefault="00193839" w:rsidP="00202A9C">
      <w:pPr>
        <w:spacing w:after="0" w:line="240" w:lineRule="auto"/>
      </w:pPr>
      <w:r>
        <w:separator/>
      </w:r>
    </w:p>
  </w:footnote>
  <w:footnote w:type="continuationSeparator" w:id="0">
    <w:p w14:paraId="6D9B4015" w14:textId="77777777" w:rsidR="00193839" w:rsidRDefault="00193839" w:rsidP="00202A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001E63"/>
    <w:multiLevelType w:val="hybridMultilevel"/>
    <w:tmpl w:val="045EFDFC"/>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zQ1MzQytrQ0NbYwM7RQ0lEKTi0uzszPAykwNKsFALX8KFgtAAAA"/>
  </w:docVars>
  <w:rsids>
    <w:rsidRoot w:val="00E05F1C"/>
    <w:rsid w:val="00006E2F"/>
    <w:rsid w:val="0000726C"/>
    <w:rsid w:val="0001192B"/>
    <w:rsid w:val="00020B6A"/>
    <w:rsid w:val="00021464"/>
    <w:rsid w:val="000416BA"/>
    <w:rsid w:val="000417FF"/>
    <w:rsid w:val="00050D94"/>
    <w:rsid w:val="00053992"/>
    <w:rsid w:val="00053DEB"/>
    <w:rsid w:val="00057402"/>
    <w:rsid w:val="00066B52"/>
    <w:rsid w:val="00077DB0"/>
    <w:rsid w:val="000A10E5"/>
    <w:rsid w:val="000B12C8"/>
    <w:rsid w:val="000B70EF"/>
    <w:rsid w:val="000D08E4"/>
    <w:rsid w:val="000D10D6"/>
    <w:rsid w:val="000E020F"/>
    <w:rsid w:val="000E234F"/>
    <w:rsid w:val="000E47DF"/>
    <w:rsid w:val="000E5A7F"/>
    <w:rsid w:val="000F1F01"/>
    <w:rsid w:val="001044E8"/>
    <w:rsid w:val="00104F3A"/>
    <w:rsid w:val="001060C4"/>
    <w:rsid w:val="00111B7C"/>
    <w:rsid w:val="00116B5E"/>
    <w:rsid w:val="00122769"/>
    <w:rsid w:val="00130C9D"/>
    <w:rsid w:val="00131B26"/>
    <w:rsid w:val="001343DC"/>
    <w:rsid w:val="00135752"/>
    <w:rsid w:val="001433D8"/>
    <w:rsid w:val="001549FA"/>
    <w:rsid w:val="00182D2A"/>
    <w:rsid w:val="00184239"/>
    <w:rsid w:val="001846EF"/>
    <w:rsid w:val="0018773F"/>
    <w:rsid w:val="00193839"/>
    <w:rsid w:val="001A3C3D"/>
    <w:rsid w:val="001B503A"/>
    <w:rsid w:val="001C6292"/>
    <w:rsid w:val="001F38A1"/>
    <w:rsid w:val="00202A9C"/>
    <w:rsid w:val="00204745"/>
    <w:rsid w:val="0022476E"/>
    <w:rsid w:val="00227298"/>
    <w:rsid w:val="00230586"/>
    <w:rsid w:val="0023676B"/>
    <w:rsid w:val="002410ED"/>
    <w:rsid w:val="0024515D"/>
    <w:rsid w:val="0024609B"/>
    <w:rsid w:val="00253E13"/>
    <w:rsid w:val="00256526"/>
    <w:rsid w:val="00260D06"/>
    <w:rsid w:val="00263893"/>
    <w:rsid w:val="0026718B"/>
    <w:rsid w:val="00271916"/>
    <w:rsid w:val="00275CD8"/>
    <w:rsid w:val="00283D1F"/>
    <w:rsid w:val="00291C33"/>
    <w:rsid w:val="00292E3A"/>
    <w:rsid w:val="0029585F"/>
    <w:rsid w:val="00295B2F"/>
    <w:rsid w:val="002B3855"/>
    <w:rsid w:val="002C14F0"/>
    <w:rsid w:val="002C514E"/>
    <w:rsid w:val="002C64F9"/>
    <w:rsid w:val="002D03EA"/>
    <w:rsid w:val="002D1D7A"/>
    <w:rsid w:val="002D483D"/>
    <w:rsid w:val="002E0052"/>
    <w:rsid w:val="002E7EFE"/>
    <w:rsid w:val="002F1EC6"/>
    <w:rsid w:val="002F61DE"/>
    <w:rsid w:val="00302628"/>
    <w:rsid w:val="00303309"/>
    <w:rsid w:val="00305153"/>
    <w:rsid w:val="00306940"/>
    <w:rsid w:val="00316EBD"/>
    <w:rsid w:val="00331313"/>
    <w:rsid w:val="00340C53"/>
    <w:rsid w:val="003516DB"/>
    <w:rsid w:val="003519B4"/>
    <w:rsid w:val="003535AD"/>
    <w:rsid w:val="00363EE3"/>
    <w:rsid w:val="003706A5"/>
    <w:rsid w:val="00381543"/>
    <w:rsid w:val="00395747"/>
    <w:rsid w:val="003A2218"/>
    <w:rsid w:val="003A308D"/>
    <w:rsid w:val="003A3EBF"/>
    <w:rsid w:val="003A4740"/>
    <w:rsid w:val="003A6A7D"/>
    <w:rsid w:val="003C7065"/>
    <w:rsid w:val="003C715B"/>
    <w:rsid w:val="003E61D5"/>
    <w:rsid w:val="00407F08"/>
    <w:rsid w:val="004118A8"/>
    <w:rsid w:val="004142CB"/>
    <w:rsid w:val="00417688"/>
    <w:rsid w:val="00424272"/>
    <w:rsid w:val="0042524A"/>
    <w:rsid w:val="00427847"/>
    <w:rsid w:val="00434934"/>
    <w:rsid w:val="00437990"/>
    <w:rsid w:val="004416D7"/>
    <w:rsid w:val="00447AB7"/>
    <w:rsid w:val="00463B68"/>
    <w:rsid w:val="004667D8"/>
    <w:rsid w:val="00474FC5"/>
    <w:rsid w:val="00480D62"/>
    <w:rsid w:val="00481DA4"/>
    <w:rsid w:val="00482FFB"/>
    <w:rsid w:val="00492A9B"/>
    <w:rsid w:val="00495E6D"/>
    <w:rsid w:val="00496E79"/>
    <w:rsid w:val="004A1E0F"/>
    <w:rsid w:val="004A46B7"/>
    <w:rsid w:val="004A5B86"/>
    <w:rsid w:val="004B5ADB"/>
    <w:rsid w:val="004B63E4"/>
    <w:rsid w:val="004B7872"/>
    <w:rsid w:val="004B7A8B"/>
    <w:rsid w:val="004C2F23"/>
    <w:rsid w:val="004C6559"/>
    <w:rsid w:val="004D23F3"/>
    <w:rsid w:val="004D6B77"/>
    <w:rsid w:val="004E6A94"/>
    <w:rsid w:val="004F3735"/>
    <w:rsid w:val="004F7356"/>
    <w:rsid w:val="00503D82"/>
    <w:rsid w:val="00514918"/>
    <w:rsid w:val="005232FA"/>
    <w:rsid w:val="00527764"/>
    <w:rsid w:val="00533419"/>
    <w:rsid w:val="0053735E"/>
    <w:rsid w:val="005450F5"/>
    <w:rsid w:val="00547F54"/>
    <w:rsid w:val="005605FF"/>
    <w:rsid w:val="00563063"/>
    <w:rsid w:val="00570524"/>
    <w:rsid w:val="00590186"/>
    <w:rsid w:val="00590D76"/>
    <w:rsid w:val="005946C0"/>
    <w:rsid w:val="00595925"/>
    <w:rsid w:val="005960CD"/>
    <w:rsid w:val="005977F6"/>
    <w:rsid w:val="005A1A39"/>
    <w:rsid w:val="005A3B6E"/>
    <w:rsid w:val="005A5746"/>
    <w:rsid w:val="005B46CC"/>
    <w:rsid w:val="005C3032"/>
    <w:rsid w:val="005C4663"/>
    <w:rsid w:val="005C6E86"/>
    <w:rsid w:val="005C72F3"/>
    <w:rsid w:val="005D20D2"/>
    <w:rsid w:val="005D3357"/>
    <w:rsid w:val="005E0A6E"/>
    <w:rsid w:val="005F40BE"/>
    <w:rsid w:val="005F54B9"/>
    <w:rsid w:val="005F62B1"/>
    <w:rsid w:val="00602616"/>
    <w:rsid w:val="00603BC0"/>
    <w:rsid w:val="006162EC"/>
    <w:rsid w:val="00616E28"/>
    <w:rsid w:val="00625885"/>
    <w:rsid w:val="00634A2F"/>
    <w:rsid w:val="00637649"/>
    <w:rsid w:val="00637D1F"/>
    <w:rsid w:val="006441C7"/>
    <w:rsid w:val="006546E4"/>
    <w:rsid w:val="0066635F"/>
    <w:rsid w:val="006670EC"/>
    <w:rsid w:val="006729D6"/>
    <w:rsid w:val="006905E1"/>
    <w:rsid w:val="00692C66"/>
    <w:rsid w:val="00695CC8"/>
    <w:rsid w:val="006A165A"/>
    <w:rsid w:val="006A399E"/>
    <w:rsid w:val="006A5C3B"/>
    <w:rsid w:val="006B0CC4"/>
    <w:rsid w:val="006B18BA"/>
    <w:rsid w:val="006D4933"/>
    <w:rsid w:val="006E2F19"/>
    <w:rsid w:val="006F1A45"/>
    <w:rsid w:val="00703179"/>
    <w:rsid w:val="00705A8A"/>
    <w:rsid w:val="007067D6"/>
    <w:rsid w:val="00716A56"/>
    <w:rsid w:val="00716E7E"/>
    <w:rsid w:val="00717680"/>
    <w:rsid w:val="007178DE"/>
    <w:rsid w:val="0073152B"/>
    <w:rsid w:val="00750369"/>
    <w:rsid w:val="00754E50"/>
    <w:rsid w:val="00755369"/>
    <w:rsid w:val="00763AE7"/>
    <w:rsid w:val="00773145"/>
    <w:rsid w:val="00773E9C"/>
    <w:rsid w:val="0077552A"/>
    <w:rsid w:val="007807F8"/>
    <w:rsid w:val="007840FD"/>
    <w:rsid w:val="00796A99"/>
    <w:rsid w:val="007A611A"/>
    <w:rsid w:val="007B7943"/>
    <w:rsid w:val="007C0EC1"/>
    <w:rsid w:val="007C34A5"/>
    <w:rsid w:val="007C3CBB"/>
    <w:rsid w:val="007D1F85"/>
    <w:rsid w:val="007D3DF7"/>
    <w:rsid w:val="007E10C5"/>
    <w:rsid w:val="007E1F13"/>
    <w:rsid w:val="007F35D2"/>
    <w:rsid w:val="007F385A"/>
    <w:rsid w:val="007F4E96"/>
    <w:rsid w:val="007F66BE"/>
    <w:rsid w:val="007F7A6A"/>
    <w:rsid w:val="0080110A"/>
    <w:rsid w:val="00802EF1"/>
    <w:rsid w:val="00803575"/>
    <w:rsid w:val="0080664F"/>
    <w:rsid w:val="00820646"/>
    <w:rsid w:val="00827922"/>
    <w:rsid w:val="00835128"/>
    <w:rsid w:val="008369A6"/>
    <w:rsid w:val="00844520"/>
    <w:rsid w:val="00851579"/>
    <w:rsid w:val="0085192A"/>
    <w:rsid w:val="00852528"/>
    <w:rsid w:val="00862E52"/>
    <w:rsid w:val="008712DE"/>
    <w:rsid w:val="00874396"/>
    <w:rsid w:val="00890C68"/>
    <w:rsid w:val="0089526F"/>
    <w:rsid w:val="008B13AA"/>
    <w:rsid w:val="008B306C"/>
    <w:rsid w:val="008B3B59"/>
    <w:rsid w:val="008B5977"/>
    <w:rsid w:val="008C0D85"/>
    <w:rsid w:val="008C4C80"/>
    <w:rsid w:val="008D5461"/>
    <w:rsid w:val="008E6437"/>
    <w:rsid w:val="008F3448"/>
    <w:rsid w:val="00906ED2"/>
    <w:rsid w:val="00907686"/>
    <w:rsid w:val="009078AF"/>
    <w:rsid w:val="00912508"/>
    <w:rsid w:val="009234D0"/>
    <w:rsid w:val="00926701"/>
    <w:rsid w:val="00926D6D"/>
    <w:rsid w:val="009346E7"/>
    <w:rsid w:val="009433C5"/>
    <w:rsid w:val="0094634B"/>
    <w:rsid w:val="00951F79"/>
    <w:rsid w:val="00954691"/>
    <w:rsid w:val="009606F6"/>
    <w:rsid w:val="0096438C"/>
    <w:rsid w:val="0096451C"/>
    <w:rsid w:val="00964850"/>
    <w:rsid w:val="00970C0A"/>
    <w:rsid w:val="00981D48"/>
    <w:rsid w:val="009821C7"/>
    <w:rsid w:val="009858B7"/>
    <w:rsid w:val="00986BA6"/>
    <w:rsid w:val="009A3C66"/>
    <w:rsid w:val="009B03BD"/>
    <w:rsid w:val="009C0BF0"/>
    <w:rsid w:val="009D5024"/>
    <w:rsid w:val="009D5EFA"/>
    <w:rsid w:val="009E7736"/>
    <w:rsid w:val="009F1FD2"/>
    <w:rsid w:val="009F3E75"/>
    <w:rsid w:val="00A00116"/>
    <w:rsid w:val="00A00E5A"/>
    <w:rsid w:val="00A13458"/>
    <w:rsid w:val="00A173B6"/>
    <w:rsid w:val="00A27187"/>
    <w:rsid w:val="00A302B4"/>
    <w:rsid w:val="00A47C7B"/>
    <w:rsid w:val="00A5388E"/>
    <w:rsid w:val="00A67B21"/>
    <w:rsid w:val="00A75220"/>
    <w:rsid w:val="00A8055A"/>
    <w:rsid w:val="00A93238"/>
    <w:rsid w:val="00AA1218"/>
    <w:rsid w:val="00AA1695"/>
    <w:rsid w:val="00AA2655"/>
    <w:rsid w:val="00AA6673"/>
    <w:rsid w:val="00AB0123"/>
    <w:rsid w:val="00AB0A62"/>
    <w:rsid w:val="00AB3269"/>
    <w:rsid w:val="00AB6127"/>
    <w:rsid w:val="00AC0A35"/>
    <w:rsid w:val="00AC29F3"/>
    <w:rsid w:val="00AC464D"/>
    <w:rsid w:val="00AC4695"/>
    <w:rsid w:val="00AD699E"/>
    <w:rsid w:val="00AE0E84"/>
    <w:rsid w:val="00AE4E06"/>
    <w:rsid w:val="00AF42FF"/>
    <w:rsid w:val="00B0112D"/>
    <w:rsid w:val="00B2287D"/>
    <w:rsid w:val="00B268BF"/>
    <w:rsid w:val="00B35C02"/>
    <w:rsid w:val="00B408D1"/>
    <w:rsid w:val="00B43B28"/>
    <w:rsid w:val="00B473E4"/>
    <w:rsid w:val="00B57FC3"/>
    <w:rsid w:val="00B62926"/>
    <w:rsid w:val="00B6720D"/>
    <w:rsid w:val="00B92E42"/>
    <w:rsid w:val="00B94ED5"/>
    <w:rsid w:val="00B96467"/>
    <w:rsid w:val="00B97AF9"/>
    <w:rsid w:val="00BB179C"/>
    <w:rsid w:val="00BC3C35"/>
    <w:rsid w:val="00BC41A6"/>
    <w:rsid w:val="00BD43BB"/>
    <w:rsid w:val="00BE6650"/>
    <w:rsid w:val="00BE7057"/>
    <w:rsid w:val="00BF1774"/>
    <w:rsid w:val="00C06511"/>
    <w:rsid w:val="00C10004"/>
    <w:rsid w:val="00C12642"/>
    <w:rsid w:val="00C13B57"/>
    <w:rsid w:val="00C14212"/>
    <w:rsid w:val="00C23D37"/>
    <w:rsid w:val="00C24345"/>
    <w:rsid w:val="00C3191D"/>
    <w:rsid w:val="00C32ED7"/>
    <w:rsid w:val="00C3318D"/>
    <w:rsid w:val="00C379E8"/>
    <w:rsid w:val="00C40C8A"/>
    <w:rsid w:val="00C476A2"/>
    <w:rsid w:val="00C54837"/>
    <w:rsid w:val="00C573BA"/>
    <w:rsid w:val="00C60199"/>
    <w:rsid w:val="00C711A7"/>
    <w:rsid w:val="00C7414F"/>
    <w:rsid w:val="00C77680"/>
    <w:rsid w:val="00C77B48"/>
    <w:rsid w:val="00C8364B"/>
    <w:rsid w:val="00C83B6C"/>
    <w:rsid w:val="00C901D5"/>
    <w:rsid w:val="00C962DD"/>
    <w:rsid w:val="00CA300C"/>
    <w:rsid w:val="00CA7B8A"/>
    <w:rsid w:val="00CB14BD"/>
    <w:rsid w:val="00CB21B0"/>
    <w:rsid w:val="00CB471C"/>
    <w:rsid w:val="00CB5745"/>
    <w:rsid w:val="00CB6D86"/>
    <w:rsid w:val="00CC5028"/>
    <w:rsid w:val="00CC6C21"/>
    <w:rsid w:val="00CC6FBD"/>
    <w:rsid w:val="00CE5B80"/>
    <w:rsid w:val="00CE67BB"/>
    <w:rsid w:val="00CF1D29"/>
    <w:rsid w:val="00CF464E"/>
    <w:rsid w:val="00CF5639"/>
    <w:rsid w:val="00D10251"/>
    <w:rsid w:val="00D11D14"/>
    <w:rsid w:val="00D175EE"/>
    <w:rsid w:val="00D23F57"/>
    <w:rsid w:val="00D31578"/>
    <w:rsid w:val="00D35159"/>
    <w:rsid w:val="00D36636"/>
    <w:rsid w:val="00D45F85"/>
    <w:rsid w:val="00D46AFD"/>
    <w:rsid w:val="00D51461"/>
    <w:rsid w:val="00D60ACA"/>
    <w:rsid w:val="00D713DB"/>
    <w:rsid w:val="00D72A16"/>
    <w:rsid w:val="00D72BF0"/>
    <w:rsid w:val="00D72C63"/>
    <w:rsid w:val="00D977C1"/>
    <w:rsid w:val="00DA3ACD"/>
    <w:rsid w:val="00DB7042"/>
    <w:rsid w:val="00DC37CE"/>
    <w:rsid w:val="00DD27AF"/>
    <w:rsid w:val="00DE32EA"/>
    <w:rsid w:val="00E05F1C"/>
    <w:rsid w:val="00E104E4"/>
    <w:rsid w:val="00E148F3"/>
    <w:rsid w:val="00E16939"/>
    <w:rsid w:val="00E17A75"/>
    <w:rsid w:val="00E2089B"/>
    <w:rsid w:val="00E21071"/>
    <w:rsid w:val="00E21103"/>
    <w:rsid w:val="00E3424A"/>
    <w:rsid w:val="00E34B33"/>
    <w:rsid w:val="00E36648"/>
    <w:rsid w:val="00E467EB"/>
    <w:rsid w:val="00E47A42"/>
    <w:rsid w:val="00E70E7C"/>
    <w:rsid w:val="00E80744"/>
    <w:rsid w:val="00E933B0"/>
    <w:rsid w:val="00E935FE"/>
    <w:rsid w:val="00E95688"/>
    <w:rsid w:val="00E975D7"/>
    <w:rsid w:val="00E9767F"/>
    <w:rsid w:val="00EA083A"/>
    <w:rsid w:val="00EA6E12"/>
    <w:rsid w:val="00EB6469"/>
    <w:rsid w:val="00EC0007"/>
    <w:rsid w:val="00EC1220"/>
    <w:rsid w:val="00EC6B0B"/>
    <w:rsid w:val="00ED2981"/>
    <w:rsid w:val="00ED410F"/>
    <w:rsid w:val="00ED4F05"/>
    <w:rsid w:val="00ED5FE3"/>
    <w:rsid w:val="00EE3106"/>
    <w:rsid w:val="00EE3A5D"/>
    <w:rsid w:val="00EE5B5C"/>
    <w:rsid w:val="00EF1909"/>
    <w:rsid w:val="00EF3098"/>
    <w:rsid w:val="00EF3EDA"/>
    <w:rsid w:val="00EF7349"/>
    <w:rsid w:val="00F042B3"/>
    <w:rsid w:val="00F048E6"/>
    <w:rsid w:val="00F07DEF"/>
    <w:rsid w:val="00F17A39"/>
    <w:rsid w:val="00F21F35"/>
    <w:rsid w:val="00F44D8B"/>
    <w:rsid w:val="00F634A3"/>
    <w:rsid w:val="00F73ADC"/>
    <w:rsid w:val="00F748BA"/>
    <w:rsid w:val="00F7683C"/>
    <w:rsid w:val="00F82C98"/>
    <w:rsid w:val="00F955AB"/>
    <w:rsid w:val="00F97A74"/>
    <w:rsid w:val="00FA1A3B"/>
    <w:rsid w:val="00FA24D3"/>
    <w:rsid w:val="00FA6BD1"/>
    <w:rsid w:val="00FB5B0B"/>
    <w:rsid w:val="00FC5E5B"/>
    <w:rsid w:val="00FC788A"/>
    <w:rsid w:val="00FE11C3"/>
    <w:rsid w:val="00FE1513"/>
    <w:rsid w:val="00FE2558"/>
    <w:rsid w:val="00FE4382"/>
    <w:rsid w:val="00FF659B"/>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DF4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unhideWhenUsed/>
    <w:rsid w:val="00E05F1C"/>
    <w:pPr>
      <w:spacing w:after="0" w:line="240" w:lineRule="auto"/>
    </w:pPr>
    <w:rPr>
      <w:rFonts w:ascii="Calibri" w:hAnsi="Calibri"/>
      <w:szCs w:val="21"/>
    </w:rPr>
  </w:style>
  <w:style w:type="character" w:customStyle="1" w:styleId="Char">
    <w:name w:val="纯文本 Char"/>
    <w:basedOn w:val="a0"/>
    <w:link w:val="a3"/>
    <w:uiPriority w:val="99"/>
    <w:rsid w:val="00E05F1C"/>
    <w:rPr>
      <w:rFonts w:ascii="Calibri" w:hAnsi="Calibri"/>
      <w:szCs w:val="21"/>
    </w:rPr>
  </w:style>
  <w:style w:type="paragraph" w:customStyle="1" w:styleId="details">
    <w:name w:val="details"/>
    <w:basedOn w:val="a"/>
    <w:rsid w:val="00E05F1C"/>
    <w:pPr>
      <w:autoSpaceDN w:val="0"/>
      <w:spacing w:before="100" w:after="100" w:line="240" w:lineRule="auto"/>
    </w:pPr>
    <w:rPr>
      <w:rFonts w:ascii="Times New Roman" w:eastAsia="Times New Roman" w:hAnsi="Times New Roman" w:cs="Times New Roman"/>
      <w:sz w:val="24"/>
      <w:szCs w:val="24"/>
      <w:lang w:val="en-US"/>
    </w:rPr>
  </w:style>
  <w:style w:type="character" w:customStyle="1" w:styleId="jrnl">
    <w:name w:val="jrnl"/>
    <w:basedOn w:val="a0"/>
    <w:rsid w:val="00E05F1C"/>
  </w:style>
  <w:style w:type="character" w:styleId="a4">
    <w:name w:val="footnote reference"/>
    <w:basedOn w:val="a0"/>
    <w:uiPriority w:val="99"/>
    <w:semiHidden/>
    <w:unhideWhenUsed/>
    <w:rsid w:val="006E2F19"/>
    <w:rPr>
      <w:vertAlign w:val="superscript"/>
    </w:rPr>
  </w:style>
  <w:style w:type="paragraph" w:customStyle="1" w:styleId="title1">
    <w:name w:val="title1"/>
    <w:basedOn w:val="a"/>
    <w:rsid w:val="00204745"/>
    <w:pPr>
      <w:spacing w:after="0" w:line="240" w:lineRule="auto"/>
    </w:pPr>
    <w:rPr>
      <w:rFonts w:ascii="Times New Roman" w:eastAsia="Times New Roman" w:hAnsi="Times New Roman" w:cs="Times New Roman"/>
      <w:sz w:val="27"/>
      <w:szCs w:val="27"/>
      <w:lang w:eastAsia="hr-HR"/>
    </w:rPr>
  </w:style>
  <w:style w:type="paragraph" w:customStyle="1" w:styleId="desc2">
    <w:name w:val="desc2"/>
    <w:basedOn w:val="a"/>
    <w:rsid w:val="00204745"/>
    <w:pPr>
      <w:spacing w:after="0" w:line="240" w:lineRule="auto"/>
    </w:pPr>
    <w:rPr>
      <w:rFonts w:ascii="Times New Roman" w:eastAsia="Times New Roman" w:hAnsi="Times New Roman" w:cs="Times New Roman"/>
      <w:sz w:val="26"/>
      <w:szCs w:val="26"/>
      <w:lang w:eastAsia="hr-HR"/>
    </w:rPr>
  </w:style>
  <w:style w:type="paragraph" w:customStyle="1" w:styleId="details1">
    <w:name w:val="details1"/>
    <w:basedOn w:val="a"/>
    <w:rsid w:val="00204745"/>
    <w:pPr>
      <w:spacing w:after="0" w:line="240" w:lineRule="auto"/>
    </w:pPr>
    <w:rPr>
      <w:rFonts w:ascii="Times New Roman" w:eastAsia="Times New Roman" w:hAnsi="Times New Roman" w:cs="Times New Roman"/>
      <w:lang w:eastAsia="hr-HR"/>
    </w:rPr>
  </w:style>
  <w:style w:type="paragraph" w:styleId="a5">
    <w:name w:val="List Paragraph"/>
    <w:basedOn w:val="a"/>
    <w:uiPriority w:val="34"/>
    <w:qFormat/>
    <w:rsid w:val="00514918"/>
    <w:pPr>
      <w:ind w:left="720"/>
      <w:contextualSpacing/>
    </w:pPr>
  </w:style>
  <w:style w:type="character" w:styleId="a6">
    <w:name w:val="annotation reference"/>
    <w:basedOn w:val="a0"/>
    <w:uiPriority w:val="99"/>
    <w:semiHidden/>
    <w:unhideWhenUsed/>
    <w:rsid w:val="00750369"/>
    <w:rPr>
      <w:sz w:val="16"/>
      <w:szCs w:val="16"/>
    </w:rPr>
  </w:style>
  <w:style w:type="paragraph" w:styleId="a7">
    <w:name w:val="annotation text"/>
    <w:basedOn w:val="a"/>
    <w:link w:val="Char0"/>
    <w:uiPriority w:val="99"/>
    <w:unhideWhenUsed/>
    <w:rsid w:val="00750369"/>
    <w:pPr>
      <w:spacing w:line="240" w:lineRule="auto"/>
    </w:pPr>
    <w:rPr>
      <w:sz w:val="20"/>
      <w:szCs w:val="20"/>
    </w:rPr>
  </w:style>
  <w:style w:type="character" w:customStyle="1" w:styleId="Char0">
    <w:name w:val="批注文字 Char"/>
    <w:basedOn w:val="a0"/>
    <w:link w:val="a7"/>
    <w:uiPriority w:val="99"/>
    <w:rsid w:val="00750369"/>
    <w:rPr>
      <w:sz w:val="20"/>
      <w:szCs w:val="20"/>
    </w:rPr>
  </w:style>
  <w:style w:type="paragraph" w:styleId="a8">
    <w:name w:val="annotation subject"/>
    <w:basedOn w:val="a7"/>
    <w:next w:val="a7"/>
    <w:link w:val="Char1"/>
    <w:uiPriority w:val="99"/>
    <w:semiHidden/>
    <w:unhideWhenUsed/>
    <w:rsid w:val="00750369"/>
    <w:rPr>
      <w:b/>
      <w:bCs/>
    </w:rPr>
  </w:style>
  <w:style w:type="character" w:customStyle="1" w:styleId="Char1">
    <w:name w:val="批注主题 Char"/>
    <w:basedOn w:val="Char0"/>
    <w:link w:val="a8"/>
    <w:uiPriority w:val="99"/>
    <w:semiHidden/>
    <w:rsid w:val="00750369"/>
    <w:rPr>
      <w:b/>
      <w:bCs/>
      <w:sz w:val="20"/>
      <w:szCs w:val="20"/>
    </w:rPr>
  </w:style>
  <w:style w:type="paragraph" w:styleId="a9">
    <w:name w:val="Balloon Text"/>
    <w:basedOn w:val="a"/>
    <w:link w:val="Char2"/>
    <w:uiPriority w:val="99"/>
    <w:semiHidden/>
    <w:unhideWhenUsed/>
    <w:rsid w:val="00750369"/>
    <w:pPr>
      <w:spacing w:after="0" w:line="240" w:lineRule="auto"/>
    </w:pPr>
    <w:rPr>
      <w:rFonts w:ascii="Tahoma" w:hAnsi="Tahoma" w:cs="Tahoma"/>
      <w:sz w:val="16"/>
      <w:szCs w:val="16"/>
      <w:lang w:val="en-US"/>
    </w:rPr>
  </w:style>
  <w:style w:type="character" w:customStyle="1" w:styleId="Char2">
    <w:name w:val="批注框文本 Char"/>
    <w:basedOn w:val="a0"/>
    <w:link w:val="a9"/>
    <w:uiPriority w:val="99"/>
    <w:semiHidden/>
    <w:rsid w:val="00750369"/>
    <w:rPr>
      <w:rFonts w:ascii="Tahoma" w:hAnsi="Tahoma" w:cs="Tahoma"/>
      <w:sz w:val="16"/>
      <w:szCs w:val="16"/>
      <w:lang w:val="en-US"/>
    </w:rPr>
  </w:style>
  <w:style w:type="paragraph" w:styleId="aa">
    <w:name w:val="header"/>
    <w:basedOn w:val="a"/>
    <w:link w:val="Char3"/>
    <w:uiPriority w:val="99"/>
    <w:unhideWhenUsed/>
    <w:rsid w:val="00202A9C"/>
    <w:pPr>
      <w:tabs>
        <w:tab w:val="center" w:pos="4536"/>
        <w:tab w:val="right" w:pos="9072"/>
      </w:tabs>
      <w:spacing w:after="0" w:line="240" w:lineRule="auto"/>
    </w:pPr>
  </w:style>
  <w:style w:type="character" w:customStyle="1" w:styleId="Char3">
    <w:name w:val="页眉 Char"/>
    <w:basedOn w:val="a0"/>
    <w:link w:val="aa"/>
    <w:uiPriority w:val="99"/>
    <w:rsid w:val="00202A9C"/>
  </w:style>
  <w:style w:type="paragraph" w:styleId="ab">
    <w:name w:val="footer"/>
    <w:basedOn w:val="a"/>
    <w:link w:val="Char4"/>
    <w:uiPriority w:val="99"/>
    <w:unhideWhenUsed/>
    <w:rsid w:val="00202A9C"/>
    <w:pPr>
      <w:tabs>
        <w:tab w:val="center" w:pos="4536"/>
        <w:tab w:val="right" w:pos="9072"/>
      </w:tabs>
      <w:spacing w:after="0" w:line="240" w:lineRule="auto"/>
    </w:pPr>
  </w:style>
  <w:style w:type="character" w:customStyle="1" w:styleId="Char4">
    <w:name w:val="页脚 Char"/>
    <w:basedOn w:val="a0"/>
    <w:link w:val="ab"/>
    <w:uiPriority w:val="99"/>
    <w:rsid w:val="00202A9C"/>
  </w:style>
  <w:style w:type="paragraph" w:styleId="ac">
    <w:name w:val="Revision"/>
    <w:hidden/>
    <w:uiPriority w:val="99"/>
    <w:semiHidden/>
    <w:rsid w:val="009A3C66"/>
    <w:pPr>
      <w:spacing w:after="0" w:line="240" w:lineRule="auto"/>
    </w:pPr>
  </w:style>
  <w:style w:type="paragraph" w:customStyle="1" w:styleId="1">
    <w:name w:val="正文1"/>
    <w:uiPriority w:val="99"/>
    <w:rsid w:val="002D1D7A"/>
    <w:pPr>
      <w:spacing w:after="0" w:line="276" w:lineRule="auto"/>
    </w:pPr>
    <w:rPr>
      <w:rFonts w:ascii="Arial" w:eastAsia="宋体" w:hAnsi="Arial" w:cs="Arial"/>
      <w:color w:val="000000"/>
      <w:szCs w:val="20"/>
      <w:lang w:val="pl-PL" w:eastAsia="pl-PL"/>
    </w:rPr>
  </w:style>
  <w:style w:type="character" w:styleId="ad">
    <w:name w:val="Hyperlink"/>
    <w:basedOn w:val="a0"/>
    <w:uiPriority w:val="99"/>
    <w:unhideWhenUsed/>
    <w:rsid w:val="002D1D7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unhideWhenUsed/>
    <w:rsid w:val="00E05F1C"/>
    <w:pPr>
      <w:spacing w:after="0" w:line="240" w:lineRule="auto"/>
    </w:pPr>
    <w:rPr>
      <w:rFonts w:ascii="Calibri" w:hAnsi="Calibri"/>
      <w:szCs w:val="21"/>
    </w:rPr>
  </w:style>
  <w:style w:type="character" w:customStyle="1" w:styleId="Char">
    <w:name w:val="纯文本 Char"/>
    <w:basedOn w:val="a0"/>
    <w:link w:val="a3"/>
    <w:uiPriority w:val="99"/>
    <w:rsid w:val="00E05F1C"/>
    <w:rPr>
      <w:rFonts w:ascii="Calibri" w:hAnsi="Calibri"/>
      <w:szCs w:val="21"/>
    </w:rPr>
  </w:style>
  <w:style w:type="paragraph" w:customStyle="1" w:styleId="details">
    <w:name w:val="details"/>
    <w:basedOn w:val="a"/>
    <w:rsid w:val="00E05F1C"/>
    <w:pPr>
      <w:autoSpaceDN w:val="0"/>
      <w:spacing w:before="100" w:after="100" w:line="240" w:lineRule="auto"/>
    </w:pPr>
    <w:rPr>
      <w:rFonts w:ascii="Times New Roman" w:eastAsia="Times New Roman" w:hAnsi="Times New Roman" w:cs="Times New Roman"/>
      <w:sz w:val="24"/>
      <w:szCs w:val="24"/>
      <w:lang w:val="en-US"/>
    </w:rPr>
  </w:style>
  <w:style w:type="character" w:customStyle="1" w:styleId="jrnl">
    <w:name w:val="jrnl"/>
    <w:basedOn w:val="a0"/>
    <w:rsid w:val="00E05F1C"/>
  </w:style>
  <w:style w:type="character" w:styleId="a4">
    <w:name w:val="footnote reference"/>
    <w:basedOn w:val="a0"/>
    <w:uiPriority w:val="99"/>
    <w:semiHidden/>
    <w:unhideWhenUsed/>
    <w:rsid w:val="006E2F19"/>
    <w:rPr>
      <w:vertAlign w:val="superscript"/>
    </w:rPr>
  </w:style>
  <w:style w:type="paragraph" w:customStyle="1" w:styleId="title1">
    <w:name w:val="title1"/>
    <w:basedOn w:val="a"/>
    <w:rsid w:val="00204745"/>
    <w:pPr>
      <w:spacing w:after="0" w:line="240" w:lineRule="auto"/>
    </w:pPr>
    <w:rPr>
      <w:rFonts w:ascii="Times New Roman" w:eastAsia="Times New Roman" w:hAnsi="Times New Roman" w:cs="Times New Roman"/>
      <w:sz w:val="27"/>
      <w:szCs w:val="27"/>
      <w:lang w:eastAsia="hr-HR"/>
    </w:rPr>
  </w:style>
  <w:style w:type="paragraph" w:customStyle="1" w:styleId="desc2">
    <w:name w:val="desc2"/>
    <w:basedOn w:val="a"/>
    <w:rsid w:val="00204745"/>
    <w:pPr>
      <w:spacing w:after="0" w:line="240" w:lineRule="auto"/>
    </w:pPr>
    <w:rPr>
      <w:rFonts w:ascii="Times New Roman" w:eastAsia="Times New Roman" w:hAnsi="Times New Roman" w:cs="Times New Roman"/>
      <w:sz w:val="26"/>
      <w:szCs w:val="26"/>
      <w:lang w:eastAsia="hr-HR"/>
    </w:rPr>
  </w:style>
  <w:style w:type="paragraph" w:customStyle="1" w:styleId="details1">
    <w:name w:val="details1"/>
    <w:basedOn w:val="a"/>
    <w:rsid w:val="00204745"/>
    <w:pPr>
      <w:spacing w:after="0" w:line="240" w:lineRule="auto"/>
    </w:pPr>
    <w:rPr>
      <w:rFonts w:ascii="Times New Roman" w:eastAsia="Times New Roman" w:hAnsi="Times New Roman" w:cs="Times New Roman"/>
      <w:lang w:eastAsia="hr-HR"/>
    </w:rPr>
  </w:style>
  <w:style w:type="paragraph" w:styleId="a5">
    <w:name w:val="List Paragraph"/>
    <w:basedOn w:val="a"/>
    <w:uiPriority w:val="34"/>
    <w:qFormat/>
    <w:rsid w:val="00514918"/>
    <w:pPr>
      <w:ind w:left="720"/>
      <w:contextualSpacing/>
    </w:pPr>
  </w:style>
  <w:style w:type="character" w:styleId="a6">
    <w:name w:val="annotation reference"/>
    <w:basedOn w:val="a0"/>
    <w:uiPriority w:val="99"/>
    <w:semiHidden/>
    <w:unhideWhenUsed/>
    <w:rsid w:val="00750369"/>
    <w:rPr>
      <w:sz w:val="16"/>
      <w:szCs w:val="16"/>
    </w:rPr>
  </w:style>
  <w:style w:type="paragraph" w:styleId="a7">
    <w:name w:val="annotation text"/>
    <w:basedOn w:val="a"/>
    <w:link w:val="Char0"/>
    <w:uiPriority w:val="99"/>
    <w:unhideWhenUsed/>
    <w:rsid w:val="00750369"/>
    <w:pPr>
      <w:spacing w:line="240" w:lineRule="auto"/>
    </w:pPr>
    <w:rPr>
      <w:sz w:val="20"/>
      <w:szCs w:val="20"/>
    </w:rPr>
  </w:style>
  <w:style w:type="character" w:customStyle="1" w:styleId="Char0">
    <w:name w:val="批注文字 Char"/>
    <w:basedOn w:val="a0"/>
    <w:link w:val="a7"/>
    <w:uiPriority w:val="99"/>
    <w:rsid w:val="00750369"/>
    <w:rPr>
      <w:sz w:val="20"/>
      <w:szCs w:val="20"/>
    </w:rPr>
  </w:style>
  <w:style w:type="paragraph" w:styleId="a8">
    <w:name w:val="annotation subject"/>
    <w:basedOn w:val="a7"/>
    <w:next w:val="a7"/>
    <w:link w:val="Char1"/>
    <w:uiPriority w:val="99"/>
    <w:semiHidden/>
    <w:unhideWhenUsed/>
    <w:rsid w:val="00750369"/>
    <w:rPr>
      <w:b/>
      <w:bCs/>
    </w:rPr>
  </w:style>
  <w:style w:type="character" w:customStyle="1" w:styleId="Char1">
    <w:name w:val="批注主题 Char"/>
    <w:basedOn w:val="Char0"/>
    <w:link w:val="a8"/>
    <w:uiPriority w:val="99"/>
    <w:semiHidden/>
    <w:rsid w:val="00750369"/>
    <w:rPr>
      <w:b/>
      <w:bCs/>
      <w:sz w:val="20"/>
      <w:szCs w:val="20"/>
    </w:rPr>
  </w:style>
  <w:style w:type="paragraph" w:styleId="a9">
    <w:name w:val="Balloon Text"/>
    <w:basedOn w:val="a"/>
    <w:link w:val="Char2"/>
    <w:uiPriority w:val="99"/>
    <w:semiHidden/>
    <w:unhideWhenUsed/>
    <w:rsid w:val="00750369"/>
    <w:pPr>
      <w:spacing w:after="0" w:line="240" w:lineRule="auto"/>
    </w:pPr>
    <w:rPr>
      <w:rFonts w:ascii="Tahoma" w:hAnsi="Tahoma" w:cs="Tahoma"/>
      <w:sz w:val="16"/>
      <w:szCs w:val="16"/>
      <w:lang w:val="en-US"/>
    </w:rPr>
  </w:style>
  <w:style w:type="character" w:customStyle="1" w:styleId="Char2">
    <w:name w:val="批注框文本 Char"/>
    <w:basedOn w:val="a0"/>
    <w:link w:val="a9"/>
    <w:uiPriority w:val="99"/>
    <w:semiHidden/>
    <w:rsid w:val="00750369"/>
    <w:rPr>
      <w:rFonts w:ascii="Tahoma" w:hAnsi="Tahoma" w:cs="Tahoma"/>
      <w:sz w:val="16"/>
      <w:szCs w:val="16"/>
      <w:lang w:val="en-US"/>
    </w:rPr>
  </w:style>
  <w:style w:type="paragraph" w:styleId="aa">
    <w:name w:val="header"/>
    <w:basedOn w:val="a"/>
    <w:link w:val="Char3"/>
    <w:uiPriority w:val="99"/>
    <w:unhideWhenUsed/>
    <w:rsid w:val="00202A9C"/>
    <w:pPr>
      <w:tabs>
        <w:tab w:val="center" w:pos="4536"/>
        <w:tab w:val="right" w:pos="9072"/>
      </w:tabs>
      <w:spacing w:after="0" w:line="240" w:lineRule="auto"/>
    </w:pPr>
  </w:style>
  <w:style w:type="character" w:customStyle="1" w:styleId="Char3">
    <w:name w:val="页眉 Char"/>
    <w:basedOn w:val="a0"/>
    <w:link w:val="aa"/>
    <w:uiPriority w:val="99"/>
    <w:rsid w:val="00202A9C"/>
  </w:style>
  <w:style w:type="paragraph" w:styleId="ab">
    <w:name w:val="footer"/>
    <w:basedOn w:val="a"/>
    <w:link w:val="Char4"/>
    <w:uiPriority w:val="99"/>
    <w:unhideWhenUsed/>
    <w:rsid w:val="00202A9C"/>
    <w:pPr>
      <w:tabs>
        <w:tab w:val="center" w:pos="4536"/>
        <w:tab w:val="right" w:pos="9072"/>
      </w:tabs>
      <w:spacing w:after="0" w:line="240" w:lineRule="auto"/>
    </w:pPr>
  </w:style>
  <w:style w:type="character" w:customStyle="1" w:styleId="Char4">
    <w:name w:val="页脚 Char"/>
    <w:basedOn w:val="a0"/>
    <w:link w:val="ab"/>
    <w:uiPriority w:val="99"/>
    <w:rsid w:val="00202A9C"/>
  </w:style>
  <w:style w:type="paragraph" w:styleId="ac">
    <w:name w:val="Revision"/>
    <w:hidden/>
    <w:uiPriority w:val="99"/>
    <w:semiHidden/>
    <w:rsid w:val="009A3C66"/>
    <w:pPr>
      <w:spacing w:after="0" w:line="240" w:lineRule="auto"/>
    </w:pPr>
  </w:style>
  <w:style w:type="paragraph" w:customStyle="1" w:styleId="1">
    <w:name w:val="正文1"/>
    <w:uiPriority w:val="99"/>
    <w:rsid w:val="002D1D7A"/>
    <w:pPr>
      <w:spacing w:after="0" w:line="276" w:lineRule="auto"/>
    </w:pPr>
    <w:rPr>
      <w:rFonts w:ascii="Arial" w:eastAsia="宋体" w:hAnsi="Arial" w:cs="Arial"/>
      <w:color w:val="000000"/>
      <w:szCs w:val="20"/>
      <w:lang w:val="pl-PL" w:eastAsia="pl-PL"/>
    </w:rPr>
  </w:style>
  <w:style w:type="character" w:styleId="ad">
    <w:name w:val="Hyperlink"/>
    <w:basedOn w:val="a0"/>
    <w:uiPriority w:val="99"/>
    <w:unhideWhenUsed/>
    <w:rsid w:val="002D1D7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3524">
      <w:bodyDiv w:val="1"/>
      <w:marLeft w:val="0"/>
      <w:marRight w:val="0"/>
      <w:marTop w:val="0"/>
      <w:marBottom w:val="0"/>
      <w:divBdr>
        <w:top w:val="none" w:sz="0" w:space="0" w:color="auto"/>
        <w:left w:val="none" w:sz="0" w:space="0" w:color="auto"/>
        <w:bottom w:val="none" w:sz="0" w:space="0" w:color="auto"/>
        <w:right w:val="none" w:sz="0" w:space="0" w:color="auto"/>
      </w:divBdr>
    </w:div>
    <w:div w:id="63576139">
      <w:bodyDiv w:val="1"/>
      <w:marLeft w:val="0"/>
      <w:marRight w:val="0"/>
      <w:marTop w:val="0"/>
      <w:marBottom w:val="0"/>
      <w:divBdr>
        <w:top w:val="none" w:sz="0" w:space="0" w:color="auto"/>
        <w:left w:val="none" w:sz="0" w:space="0" w:color="auto"/>
        <w:bottom w:val="none" w:sz="0" w:space="0" w:color="auto"/>
        <w:right w:val="none" w:sz="0" w:space="0" w:color="auto"/>
      </w:divBdr>
    </w:div>
    <w:div w:id="286785862">
      <w:bodyDiv w:val="1"/>
      <w:marLeft w:val="0"/>
      <w:marRight w:val="0"/>
      <w:marTop w:val="0"/>
      <w:marBottom w:val="0"/>
      <w:divBdr>
        <w:top w:val="none" w:sz="0" w:space="0" w:color="auto"/>
        <w:left w:val="none" w:sz="0" w:space="0" w:color="auto"/>
        <w:bottom w:val="none" w:sz="0" w:space="0" w:color="auto"/>
        <w:right w:val="none" w:sz="0" w:space="0" w:color="auto"/>
      </w:divBdr>
    </w:div>
    <w:div w:id="459080994">
      <w:bodyDiv w:val="1"/>
      <w:marLeft w:val="0"/>
      <w:marRight w:val="0"/>
      <w:marTop w:val="0"/>
      <w:marBottom w:val="0"/>
      <w:divBdr>
        <w:top w:val="none" w:sz="0" w:space="0" w:color="auto"/>
        <w:left w:val="none" w:sz="0" w:space="0" w:color="auto"/>
        <w:bottom w:val="none" w:sz="0" w:space="0" w:color="auto"/>
        <w:right w:val="none" w:sz="0" w:space="0" w:color="auto"/>
      </w:divBdr>
      <w:divsChild>
        <w:div w:id="1002243827">
          <w:marLeft w:val="0"/>
          <w:marRight w:val="1"/>
          <w:marTop w:val="0"/>
          <w:marBottom w:val="0"/>
          <w:divBdr>
            <w:top w:val="none" w:sz="0" w:space="0" w:color="auto"/>
            <w:left w:val="none" w:sz="0" w:space="0" w:color="auto"/>
            <w:bottom w:val="none" w:sz="0" w:space="0" w:color="auto"/>
            <w:right w:val="none" w:sz="0" w:space="0" w:color="auto"/>
          </w:divBdr>
          <w:divsChild>
            <w:div w:id="2048218303">
              <w:marLeft w:val="0"/>
              <w:marRight w:val="0"/>
              <w:marTop w:val="0"/>
              <w:marBottom w:val="0"/>
              <w:divBdr>
                <w:top w:val="none" w:sz="0" w:space="0" w:color="auto"/>
                <w:left w:val="none" w:sz="0" w:space="0" w:color="auto"/>
                <w:bottom w:val="none" w:sz="0" w:space="0" w:color="auto"/>
                <w:right w:val="none" w:sz="0" w:space="0" w:color="auto"/>
              </w:divBdr>
              <w:divsChild>
                <w:div w:id="234239867">
                  <w:marLeft w:val="0"/>
                  <w:marRight w:val="1"/>
                  <w:marTop w:val="0"/>
                  <w:marBottom w:val="0"/>
                  <w:divBdr>
                    <w:top w:val="none" w:sz="0" w:space="0" w:color="auto"/>
                    <w:left w:val="none" w:sz="0" w:space="0" w:color="auto"/>
                    <w:bottom w:val="none" w:sz="0" w:space="0" w:color="auto"/>
                    <w:right w:val="none" w:sz="0" w:space="0" w:color="auto"/>
                  </w:divBdr>
                  <w:divsChild>
                    <w:div w:id="2085103849">
                      <w:marLeft w:val="0"/>
                      <w:marRight w:val="0"/>
                      <w:marTop w:val="0"/>
                      <w:marBottom w:val="0"/>
                      <w:divBdr>
                        <w:top w:val="none" w:sz="0" w:space="0" w:color="auto"/>
                        <w:left w:val="none" w:sz="0" w:space="0" w:color="auto"/>
                        <w:bottom w:val="none" w:sz="0" w:space="0" w:color="auto"/>
                        <w:right w:val="none" w:sz="0" w:space="0" w:color="auto"/>
                      </w:divBdr>
                      <w:divsChild>
                        <w:div w:id="491261783">
                          <w:marLeft w:val="0"/>
                          <w:marRight w:val="0"/>
                          <w:marTop w:val="0"/>
                          <w:marBottom w:val="0"/>
                          <w:divBdr>
                            <w:top w:val="none" w:sz="0" w:space="0" w:color="auto"/>
                            <w:left w:val="none" w:sz="0" w:space="0" w:color="auto"/>
                            <w:bottom w:val="none" w:sz="0" w:space="0" w:color="auto"/>
                            <w:right w:val="none" w:sz="0" w:space="0" w:color="auto"/>
                          </w:divBdr>
                          <w:divsChild>
                            <w:div w:id="31152448">
                              <w:marLeft w:val="0"/>
                              <w:marRight w:val="0"/>
                              <w:marTop w:val="120"/>
                              <w:marBottom w:val="360"/>
                              <w:divBdr>
                                <w:top w:val="none" w:sz="0" w:space="0" w:color="auto"/>
                                <w:left w:val="none" w:sz="0" w:space="0" w:color="auto"/>
                                <w:bottom w:val="none" w:sz="0" w:space="0" w:color="auto"/>
                                <w:right w:val="none" w:sz="0" w:space="0" w:color="auto"/>
                              </w:divBdr>
                              <w:divsChild>
                                <w:div w:id="897788817">
                                  <w:marLeft w:val="0"/>
                                  <w:marRight w:val="0"/>
                                  <w:marTop w:val="0"/>
                                  <w:marBottom w:val="0"/>
                                  <w:divBdr>
                                    <w:top w:val="none" w:sz="0" w:space="0" w:color="auto"/>
                                    <w:left w:val="none" w:sz="0" w:space="0" w:color="auto"/>
                                    <w:bottom w:val="none" w:sz="0" w:space="0" w:color="auto"/>
                                    <w:right w:val="none" w:sz="0" w:space="0" w:color="auto"/>
                                  </w:divBdr>
                                </w:div>
                                <w:div w:id="1937058422">
                                  <w:marLeft w:val="420"/>
                                  <w:marRight w:val="0"/>
                                  <w:marTop w:val="0"/>
                                  <w:marBottom w:val="0"/>
                                  <w:divBdr>
                                    <w:top w:val="none" w:sz="0" w:space="0" w:color="auto"/>
                                    <w:left w:val="none" w:sz="0" w:space="0" w:color="auto"/>
                                    <w:bottom w:val="none" w:sz="0" w:space="0" w:color="auto"/>
                                    <w:right w:val="none" w:sz="0" w:space="0" w:color="auto"/>
                                  </w:divBdr>
                                  <w:divsChild>
                                    <w:div w:id="208472136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418271">
      <w:bodyDiv w:val="1"/>
      <w:marLeft w:val="0"/>
      <w:marRight w:val="0"/>
      <w:marTop w:val="0"/>
      <w:marBottom w:val="0"/>
      <w:divBdr>
        <w:top w:val="none" w:sz="0" w:space="0" w:color="auto"/>
        <w:left w:val="none" w:sz="0" w:space="0" w:color="auto"/>
        <w:bottom w:val="none" w:sz="0" w:space="0" w:color="auto"/>
        <w:right w:val="none" w:sz="0" w:space="0" w:color="auto"/>
      </w:divBdr>
    </w:div>
    <w:div w:id="495536408">
      <w:bodyDiv w:val="1"/>
      <w:marLeft w:val="0"/>
      <w:marRight w:val="0"/>
      <w:marTop w:val="0"/>
      <w:marBottom w:val="0"/>
      <w:divBdr>
        <w:top w:val="none" w:sz="0" w:space="0" w:color="auto"/>
        <w:left w:val="none" w:sz="0" w:space="0" w:color="auto"/>
        <w:bottom w:val="none" w:sz="0" w:space="0" w:color="auto"/>
        <w:right w:val="none" w:sz="0" w:space="0" w:color="auto"/>
      </w:divBdr>
      <w:divsChild>
        <w:div w:id="698579617">
          <w:marLeft w:val="0"/>
          <w:marRight w:val="1"/>
          <w:marTop w:val="0"/>
          <w:marBottom w:val="0"/>
          <w:divBdr>
            <w:top w:val="none" w:sz="0" w:space="0" w:color="auto"/>
            <w:left w:val="none" w:sz="0" w:space="0" w:color="auto"/>
            <w:bottom w:val="none" w:sz="0" w:space="0" w:color="auto"/>
            <w:right w:val="none" w:sz="0" w:space="0" w:color="auto"/>
          </w:divBdr>
          <w:divsChild>
            <w:div w:id="1273978364">
              <w:marLeft w:val="0"/>
              <w:marRight w:val="0"/>
              <w:marTop w:val="0"/>
              <w:marBottom w:val="0"/>
              <w:divBdr>
                <w:top w:val="none" w:sz="0" w:space="0" w:color="auto"/>
                <w:left w:val="none" w:sz="0" w:space="0" w:color="auto"/>
                <w:bottom w:val="none" w:sz="0" w:space="0" w:color="auto"/>
                <w:right w:val="none" w:sz="0" w:space="0" w:color="auto"/>
              </w:divBdr>
              <w:divsChild>
                <w:div w:id="638388333">
                  <w:marLeft w:val="0"/>
                  <w:marRight w:val="1"/>
                  <w:marTop w:val="0"/>
                  <w:marBottom w:val="0"/>
                  <w:divBdr>
                    <w:top w:val="none" w:sz="0" w:space="0" w:color="auto"/>
                    <w:left w:val="none" w:sz="0" w:space="0" w:color="auto"/>
                    <w:bottom w:val="none" w:sz="0" w:space="0" w:color="auto"/>
                    <w:right w:val="none" w:sz="0" w:space="0" w:color="auto"/>
                  </w:divBdr>
                  <w:divsChild>
                    <w:div w:id="1750275148">
                      <w:marLeft w:val="0"/>
                      <w:marRight w:val="0"/>
                      <w:marTop w:val="0"/>
                      <w:marBottom w:val="0"/>
                      <w:divBdr>
                        <w:top w:val="none" w:sz="0" w:space="0" w:color="auto"/>
                        <w:left w:val="none" w:sz="0" w:space="0" w:color="auto"/>
                        <w:bottom w:val="none" w:sz="0" w:space="0" w:color="auto"/>
                        <w:right w:val="none" w:sz="0" w:space="0" w:color="auto"/>
                      </w:divBdr>
                      <w:divsChild>
                        <w:div w:id="1761484771">
                          <w:marLeft w:val="0"/>
                          <w:marRight w:val="0"/>
                          <w:marTop w:val="0"/>
                          <w:marBottom w:val="0"/>
                          <w:divBdr>
                            <w:top w:val="none" w:sz="0" w:space="0" w:color="auto"/>
                            <w:left w:val="none" w:sz="0" w:space="0" w:color="auto"/>
                            <w:bottom w:val="none" w:sz="0" w:space="0" w:color="auto"/>
                            <w:right w:val="none" w:sz="0" w:space="0" w:color="auto"/>
                          </w:divBdr>
                          <w:divsChild>
                            <w:div w:id="1339386360">
                              <w:marLeft w:val="0"/>
                              <w:marRight w:val="0"/>
                              <w:marTop w:val="120"/>
                              <w:marBottom w:val="360"/>
                              <w:divBdr>
                                <w:top w:val="none" w:sz="0" w:space="0" w:color="auto"/>
                                <w:left w:val="none" w:sz="0" w:space="0" w:color="auto"/>
                                <w:bottom w:val="none" w:sz="0" w:space="0" w:color="auto"/>
                                <w:right w:val="none" w:sz="0" w:space="0" w:color="auto"/>
                              </w:divBdr>
                              <w:divsChild>
                                <w:div w:id="106169139">
                                  <w:marLeft w:val="0"/>
                                  <w:marRight w:val="0"/>
                                  <w:marTop w:val="0"/>
                                  <w:marBottom w:val="0"/>
                                  <w:divBdr>
                                    <w:top w:val="none" w:sz="0" w:space="0" w:color="auto"/>
                                    <w:left w:val="none" w:sz="0" w:space="0" w:color="auto"/>
                                    <w:bottom w:val="none" w:sz="0" w:space="0" w:color="auto"/>
                                    <w:right w:val="none" w:sz="0" w:space="0" w:color="auto"/>
                                  </w:divBdr>
                                </w:div>
                                <w:div w:id="1800995372">
                                  <w:marLeft w:val="420"/>
                                  <w:marRight w:val="0"/>
                                  <w:marTop w:val="0"/>
                                  <w:marBottom w:val="0"/>
                                  <w:divBdr>
                                    <w:top w:val="none" w:sz="0" w:space="0" w:color="auto"/>
                                    <w:left w:val="none" w:sz="0" w:space="0" w:color="auto"/>
                                    <w:bottom w:val="none" w:sz="0" w:space="0" w:color="auto"/>
                                    <w:right w:val="none" w:sz="0" w:space="0" w:color="auto"/>
                                  </w:divBdr>
                                  <w:divsChild>
                                    <w:div w:id="111117014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5501092">
      <w:bodyDiv w:val="1"/>
      <w:marLeft w:val="0"/>
      <w:marRight w:val="0"/>
      <w:marTop w:val="0"/>
      <w:marBottom w:val="0"/>
      <w:divBdr>
        <w:top w:val="none" w:sz="0" w:space="0" w:color="auto"/>
        <w:left w:val="none" w:sz="0" w:space="0" w:color="auto"/>
        <w:bottom w:val="none" w:sz="0" w:space="0" w:color="auto"/>
        <w:right w:val="none" w:sz="0" w:space="0" w:color="auto"/>
      </w:divBdr>
    </w:div>
    <w:div w:id="884368013">
      <w:bodyDiv w:val="1"/>
      <w:marLeft w:val="0"/>
      <w:marRight w:val="0"/>
      <w:marTop w:val="0"/>
      <w:marBottom w:val="0"/>
      <w:divBdr>
        <w:top w:val="none" w:sz="0" w:space="0" w:color="auto"/>
        <w:left w:val="none" w:sz="0" w:space="0" w:color="auto"/>
        <w:bottom w:val="none" w:sz="0" w:space="0" w:color="auto"/>
        <w:right w:val="none" w:sz="0" w:space="0" w:color="auto"/>
      </w:divBdr>
    </w:div>
    <w:div w:id="1086223906">
      <w:bodyDiv w:val="1"/>
      <w:marLeft w:val="0"/>
      <w:marRight w:val="0"/>
      <w:marTop w:val="0"/>
      <w:marBottom w:val="0"/>
      <w:divBdr>
        <w:top w:val="none" w:sz="0" w:space="0" w:color="auto"/>
        <w:left w:val="none" w:sz="0" w:space="0" w:color="auto"/>
        <w:bottom w:val="none" w:sz="0" w:space="0" w:color="auto"/>
        <w:right w:val="none" w:sz="0" w:space="0" w:color="auto"/>
      </w:divBdr>
    </w:div>
    <w:div w:id="1091976023">
      <w:bodyDiv w:val="1"/>
      <w:marLeft w:val="0"/>
      <w:marRight w:val="0"/>
      <w:marTop w:val="0"/>
      <w:marBottom w:val="0"/>
      <w:divBdr>
        <w:top w:val="none" w:sz="0" w:space="0" w:color="auto"/>
        <w:left w:val="none" w:sz="0" w:space="0" w:color="auto"/>
        <w:bottom w:val="none" w:sz="0" w:space="0" w:color="auto"/>
        <w:right w:val="none" w:sz="0" w:space="0" w:color="auto"/>
      </w:divBdr>
    </w:div>
    <w:div w:id="1188907589">
      <w:bodyDiv w:val="1"/>
      <w:marLeft w:val="0"/>
      <w:marRight w:val="0"/>
      <w:marTop w:val="0"/>
      <w:marBottom w:val="0"/>
      <w:divBdr>
        <w:top w:val="none" w:sz="0" w:space="0" w:color="auto"/>
        <w:left w:val="none" w:sz="0" w:space="0" w:color="auto"/>
        <w:bottom w:val="none" w:sz="0" w:space="0" w:color="auto"/>
        <w:right w:val="none" w:sz="0" w:space="0" w:color="auto"/>
      </w:divBdr>
    </w:div>
    <w:div w:id="1196767972">
      <w:bodyDiv w:val="1"/>
      <w:marLeft w:val="0"/>
      <w:marRight w:val="0"/>
      <w:marTop w:val="0"/>
      <w:marBottom w:val="0"/>
      <w:divBdr>
        <w:top w:val="none" w:sz="0" w:space="0" w:color="auto"/>
        <w:left w:val="none" w:sz="0" w:space="0" w:color="auto"/>
        <w:bottom w:val="none" w:sz="0" w:space="0" w:color="auto"/>
        <w:right w:val="none" w:sz="0" w:space="0" w:color="auto"/>
      </w:divBdr>
    </w:div>
    <w:div w:id="1246184204">
      <w:bodyDiv w:val="1"/>
      <w:marLeft w:val="0"/>
      <w:marRight w:val="0"/>
      <w:marTop w:val="0"/>
      <w:marBottom w:val="0"/>
      <w:divBdr>
        <w:top w:val="none" w:sz="0" w:space="0" w:color="auto"/>
        <w:left w:val="none" w:sz="0" w:space="0" w:color="auto"/>
        <w:bottom w:val="none" w:sz="0" w:space="0" w:color="auto"/>
        <w:right w:val="none" w:sz="0" w:space="0" w:color="auto"/>
      </w:divBdr>
    </w:div>
    <w:div w:id="1470394365">
      <w:bodyDiv w:val="1"/>
      <w:marLeft w:val="0"/>
      <w:marRight w:val="0"/>
      <w:marTop w:val="0"/>
      <w:marBottom w:val="0"/>
      <w:divBdr>
        <w:top w:val="none" w:sz="0" w:space="0" w:color="auto"/>
        <w:left w:val="none" w:sz="0" w:space="0" w:color="auto"/>
        <w:bottom w:val="none" w:sz="0" w:space="0" w:color="auto"/>
        <w:right w:val="none" w:sz="0" w:space="0" w:color="auto"/>
      </w:divBdr>
    </w:div>
    <w:div w:id="1518884314">
      <w:bodyDiv w:val="1"/>
      <w:marLeft w:val="0"/>
      <w:marRight w:val="0"/>
      <w:marTop w:val="0"/>
      <w:marBottom w:val="0"/>
      <w:divBdr>
        <w:top w:val="none" w:sz="0" w:space="0" w:color="auto"/>
        <w:left w:val="none" w:sz="0" w:space="0" w:color="auto"/>
        <w:bottom w:val="none" w:sz="0" w:space="0" w:color="auto"/>
        <w:right w:val="none" w:sz="0" w:space="0" w:color="auto"/>
      </w:divBdr>
    </w:div>
    <w:div w:id="1656834235">
      <w:bodyDiv w:val="1"/>
      <w:marLeft w:val="0"/>
      <w:marRight w:val="0"/>
      <w:marTop w:val="0"/>
      <w:marBottom w:val="0"/>
      <w:divBdr>
        <w:top w:val="none" w:sz="0" w:space="0" w:color="auto"/>
        <w:left w:val="none" w:sz="0" w:space="0" w:color="auto"/>
        <w:bottom w:val="none" w:sz="0" w:space="0" w:color="auto"/>
        <w:right w:val="none" w:sz="0" w:space="0" w:color="auto"/>
      </w:divBdr>
    </w:div>
    <w:div w:id="1720397943">
      <w:bodyDiv w:val="1"/>
      <w:marLeft w:val="0"/>
      <w:marRight w:val="0"/>
      <w:marTop w:val="0"/>
      <w:marBottom w:val="0"/>
      <w:divBdr>
        <w:top w:val="none" w:sz="0" w:space="0" w:color="auto"/>
        <w:left w:val="none" w:sz="0" w:space="0" w:color="auto"/>
        <w:bottom w:val="none" w:sz="0" w:space="0" w:color="auto"/>
        <w:right w:val="none" w:sz="0" w:space="0" w:color="auto"/>
      </w:divBdr>
    </w:div>
    <w:div w:id="1754277964">
      <w:bodyDiv w:val="1"/>
      <w:marLeft w:val="0"/>
      <w:marRight w:val="0"/>
      <w:marTop w:val="0"/>
      <w:marBottom w:val="0"/>
      <w:divBdr>
        <w:top w:val="none" w:sz="0" w:space="0" w:color="auto"/>
        <w:left w:val="none" w:sz="0" w:space="0" w:color="auto"/>
        <w:bottom w:val="none" w:sz="0" w:space="0" w:color="auto"/>
        <w:right w:val="none" w:sz="0" w:space="0" w:color="auto"/>
      </w:divBdr>
      <w:divsChild>
        <w:div w:id="833256106">
          <w:marLeft w:val="0"/>
          <w:marRight w:val="1"/>
          <w:marTop w:val="0"/>
          <w:marBottom w:val="0"/>
          <w:divBdr>
            <w:top w:val="none" w:sz="0" w:space="0" w:color="auto"/>
            <w:left w:val="none" w:sz="0" w:space="0" w:color="auto"/>
            <w:bottom w:val="none" w:sz="0" w:space="0" w:color="auto"/>
            <w:right w:val="none" w:sz="0" w:space="0" w:color="auto"/>
          </w:divBdr>
          <w:divsChild>
            <w:div w:id="1138495480">
              <w:marLeft w:val="0"/>
              <w:marRight w:val="0"/>
              <w:marTop w:val="0"/>
              <w:marBottom w:val="0"/>
              <w:divBdr>
                <w:top w:val="none" w:sz="0" w:space="0" w:color="auto"/>
                <w:left w:val="none" w:sz="0" w:space="0" w:color="auto"/>
                <w:bottom w:val="none" w:sz="0" w:space="0" w:color="auto"/>
                <w:right w:val="none" w:sz="0" w:space="0" w:color="auto"/>
              </w:divBdr>
              <w:divsChild>
                <w:div w:id="190846572">
                  <w:marLeft w:val="0"/>
                  <w:marRight w:val="1"/>
                  <w:marTop w:val="0"/>
                  <w:marBottom w:val="0"/>
                  <w:divBdr>
                    <w:top w:val="none" w:sz="0" w:space="0" w:color="auto"/>
                    <w:left w:val="none" w:sz="0" w:space="0" w:color="auto"/>
                    <w:bottom w:val="none" w:sz="0" w:space="0" w:color="auto"/>
                    <w:right w:val="none" w:sz="0" w:space="0" w:color="auto"/>
                  </w:divBdr>
                  <w:divsChild>
                    <w:div w:id="1702894094">
                      <w:marLeft w:val="0"/>
                      <w:marRight w:val="0"/>
                      <w:marTop w:val="0"/>
                      <w:marBottom w:val="0"/>
                      <w:divBdr>
                        <w:top w:val="none" w:sz="0" w:space="0" w:color="auto"/>
                        <w:left w:val="none" w:sz="0" w:space="0" w:color="auto"/>
                        <w:bottom w:val="none" w:sz="0" w:space="0" w:color="auto"/>
                        <w:right w:val="none" w:sz="0" w:space="0" w:color="auto"/>
                      </w:divBdr>
                      <w:divsChild>
                        <w:div w:id="1051617043">
                          <w:marLeft w:val="0"/>
                          <w:marRight w:val="0"/>
                          <w:marTop w:val="0"/>
                          <w:marBottom w:val="0"/>
                          <w:divBdr>
                            <w:top w:val="none" w:sz="0" w:space="0" w:color="auto"/>
                            <w:left w:val="none" w:sz="0" w:space="0" w:color="auto"/>
                            <w:bottom w:val="none" w:sz="0" w:space="0" w:color="auto"/>
                            <w:right w:val="none" w:sz="0" w:space="0" w:color="auto"/>
                          </w:divBdr>
                          <w:divsChild>
                            <w:div w:id="1771928016">
                              <w:marLeft w:val="0"/>
                              <w:marRight w:val="0"/>
                              <w:marTop w:val="120"/>
                              <w:marBottom w:val="360"/>
                              <w:divBdr>
                                <w:top w:val="none" w:sz="0" w:space="0" w:color="auto"/>
                                <w:left w:val="none" w:sz="0" w:space="0" w:color="auto"/>
                                <w:bottom w:val="none" w:sz="0" w:space="0" w:color="auto"/>
                                <w:right w:val="none" w:sz="0" w:space="0" w:color="auto"/>
                              </w:divBdr>
                              <w:divsChild>
                                <w:div w:id="1814061169">
                                  <w:marLeft w:val="420"/>
                                  <w:marRight w:val="0"/>
                                  <w:marTop w:val="0"/>
                                  <w:marBottom w:val="0"/>
                                  <w:divBdr>
                                    <w:top w:val="none" w:sz="0" w:space="0" w:color="auto"/>
                                    <w:left w:val="none" w:sz="0" w:space="0" w:color="auto"/>
                                    <w:bottom w:val="none" w:sz="0" w:space="0" w:color="auto"/>
                                    <w:right w:val="none" w:sz="0" w:space="0" w:color="auto"/>
                                  </w:divBdr>
                                  <w:divsChild>
                                    <w:div w:id="199683429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3830536">
      <w:bodyDiv w:val="1"/>
      <w:marLeft w:val="0"/>
      <w:marRight w:val="0"/>
      <w:marTop w:val="0"/>
      <w:marBottom w:val="0"/>
      <w:divBdr>
        <w:top w:val="none" w:sz="0" w:space="0" w:color="auto"/>
        <w:left w:val="none" w:sz="0" w:space="0" w:color="auto"/>
        <w:bottom w:val="none" w:sz="0" w:space="0" w:color="auto"/>
        <w:right w:val="none" w:sz="0" w:space="0" w:color="auto"/>
      </w:divBdr>
    </w:div>
    <w:div w:id="1986084641">
      <w:bodyDiv w:val="1"/>
      <w:marLeft w:val="0"/>
      <w:marRight w:val="0"/>
      <w:marTop w:val="0"/>
      <w:marBottom w:val="0"/>
      <w:divBdr>
        <w:top w:val="none" w:sz="0" w:space="0" w:color="auto"/>
        <w:left w:val="none" w:sz="0" w:space="0" w:color="auto"/>
        <w:bottom w:val="none" w:sz="0" w:space="0" w:color="auto"/>
        <w:right w:val="none" w:sz="0" w:space="0" w:color="auto"/>
      </w:divBdr>
    </w:div>
    <w:div w:id="212325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image" Target="media/image6.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footer" Target="footer1.xml"/><Relationship Id="rId10" Type="http://schemas.openxmlformats.org/officeDocument/2006/relationships/hyperlink" Target="http://link.springer.com/10.1007/978-1-4684-5697-4" TargetMode="External"/><Relationship Id="rId19" Type="http://schemas.openxmlformats.org/officeDocument/2006/relationships/image" Target="media/image8.tiff"/><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30.emf"/><Relationship Id="rId22"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EAC34-6A8F-42B7-BCC8-15AC216B3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145751</Words>
  <Characters>830781</Characters>
  <Application>Microsoft Office Word</Application>
  <DocSecurity>0</DocSecurity>
  <Lines>6923</Lines>
  <Paragraphs>1949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predrag.sikiric</dc:creator>
  <cp:lastModifiedBy>Administrator</cp:lastModifiedBy>
  <cp:revision>4</cp:revision>
  <dcterms:created xsi:type="dcterms:W3CDTF">2018-12-19T23:50:00Z</dcterms:created>
  <dcterms:modified xsi:type="dcterms:W3CDTF">2019-01-08T07:02:00Z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http://www.zotero.org/styles/acta-orthopaedica</vt:lpwstr>
  </property>
  <property fmtid="{D5CDD505-2E9C-101B-9397-08002B2CF9AE}" pid="4" name="Mendeley Recent Style Name 0_1">
    <vt:lpwstr>Acta Orthopaedica</vt:lpwstr>
  </property>
  <property fmtid="{D5CDD505-2E9C-101B-9397-08002B2CF9AE}" pid="5" name="Mendeley Recent Style Id 1_1">
    <vt:lpwstr>http://www.zotero.org/styles/annals-of-hematology</vt:lpwstr>
  </property>
  <property fmtid="{D5CDD505-2E9C-101B-9397-08002B2CF9AE}" pid="6" name="Mendeley Recent Style Name 1_1">
    <vt:lpwstr>Annals of Hematology</vt:lpwstr>
  </property>
  <property fmtid="{D5CDD505-2E9C-101B-9397-08002B2CF9AE}" pid="7" name="Mendeley Recent Style Id 2_1">
    <vt:lpwstr>http://www.zotero.org/styles/journal-of-thrombosis-and-thrombolysis</vt:lpwstr>
  </property>
  <property fmtid="{D5CDD505-2E9C-101B-9397-08002B2CF9AE}" pid="8" name="Mendeley Recent Style Name 2_1">
    <vt:lpwstr>Journal of Thrombosis and Thrombolysis</vt:lpwstr>
  </property>
  <property fmtid="{D5CDD505-2E9C-101B-9397-08002B2CF9AE}" pid="9" name="Mendeley Recent Style Id 3_1">
    <vt:lpwstr>http://www.zotero.org/styles/modern-humanities-research-association</vt:lpwstr>
  </property>
  <property fmtid="{D5CDD505-2E9C-101B-9397-08002B2CF9AE}" pid="10" name="Mendeley Recent Style Name 3_1">
    <vt:lpwstr>Modern Humanities Research Association 3rd edition (note with bibliography)</vt:lpwstr>
  </property>
  <property fmtid="{D5CDD505-2E9C-101B-9397-08002B2CF9AE}" pid="11" name="Mendeley Recent Style Id 4_1">
    <vt:lpwstr>http://www.zotero.org/styles/surgery</vt:lpwstr>
  </property>
  <property fmtid="{D5CDD505-2E9C-101B-9397-08002B2CF9AE}" pid="12" name="Mendeley Recent Style Name 4_1">
    <vt:lpwstr>Surgery</vt:lpwstr>
  </property>
  <property fmtid="{D5CDD505-2E9C-101B-9397-08002B2CF9AE}" pid="13" name="Mendeley Recent Style Id 5_1">
    <vt:lpwstr>http://www.zotero.org/styles/the-american-journal-of-sports-medicine</vt:lpwstr>
  </property>
  <property fmtid="{D5CDD505-2E9C-101B-9397-08002B2CF9AE}" pid="14" name="Mendeley Recent Style Name 5_1">
    <vt:lpwstr>The American Journal of Sports Medicine</vt:lpwstr>
  </property>
  <property fmtid="{D5CDD505-2E9C-101B-9397-08002B2CF9AE}" pid="15" name="Mendeley Recent Style Id 6_1">
    <vt:lpwstr>http://www.zotero.org/styles/thrombosis-research</vt:lpwstr>
  </property>
  <property fmtid="{D5CDD505-2E9C-101B-9397-08002B2CF9AE}" pid="16" name="Mendeley Recent Style Name 6_1">
    <vt:lpwstr>Thrombosis Research</vt:lpwstr>
  </property>
  <property fmtid="{D5CDD505-2E9C-101B-9397-08002B2CF9AE}" pid="17" name="Mendeley Recent Style Id 7_1">
    <vt:lpwstr>http://www.zotero.org/styles/urologia-internationalis</vt:lpwstr>
  </property>
  <property fmtid="{D5CDD505-2E9C-101B-9397-08002B2CF9AE}" pid="18" name="Mendeley Recent Style Name 7_1">
    <vt:lpwstr>Urologia Internationalis</vt:lpwstr>
  </property>
  <property fmtid="{D5CDD505-2E9C-101B-9397-08002B2CF9AE}" pid="19" name="Mendeley Recent Style Id 8_1">
    <vt:lpwstr>http://www.zotero.org/styles/vancouver</vt:lpwstr>
  </property>
  <property fmtid="{D5CDD505-2E9C-101B-9397-08002B2CF9AE}" pid="20" name="Mendeley Recent Style Name 8_1">
    <vt:lpwstr>Vancouver</vt:lpwstr>
  </property>
  <property fmtid="{D5CDD505-2E9C-101B-9397-08002B2CF9AE}" pid="21" name="Mendeley Recent Style Id 9_1">
    <vt:lpwstr>http://www.zotero.org/styles/world-journal-of-gastroenterology</vt:lpwstr>
  </property>
  <property fmtid="{D5CDD505-2E9C-101B-9397-08002B2CF9AE}" pid="22" name="Mendeley Recent Style Name 9_1">
    <vt:lpwstr>World Journal of Gastroenterology</vt:lpwstr>
  </property>
  <property fmtid="{D5CDD505-2E9C-101B-9397-08002B2CF9AE}" pid="23" name="Mendeley Unique User Id_1">
    <vt:lpwstr>ba2049c9-765f-34ba-bfeb-f45a0df307ac</vt:lpwstr>
  </property>
  <property fmtid="{D5CDD505-2E9C-101B-9397-08002B2CF9AE}" pid="24" name="Mendeley Citation Style_1">
    <vt:lpwstr>http://www.zotero.org/styles/world-journal-of-gastroenterology</vt:lpwstr>
  </property>
</Properties>
</file>