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B86D29" w14:textId="77777777" w:rsidR="002A03B0" w:rsidRPr="006B4BF5" w:rsidRDefault="007849A1"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sz w:val="24"/>
          <w:szCs w:val="24"/>
          <w:lang w:val="en-US"/>
        </w:rPr>
        <w:t xml:space="preserve">Name of Journal: </w:t>
      </w:r>
      <w:r w:rsidRPr="006B4BF5">
        <w:rPr>
          <w:rFonts w:ascii="Book Antiqua" w:hAnsi="Book Antiqua"/>
          <w:b/>
          <w:i/>
          <w:sz w:val="24"/>
          <w:szCs w:val="24"/>
          <w:lang w:val="en-US"/>
        </w:rPr>
        <w:t>World Journal of Gastroenterology</w:t>
      </w:r>
    </w:p>
    <w:p w14:paraId="24C27EBC" w14:textId="59A92895" w:rsidR="007849A1" w:rsidRPr="006B4BF5" w:rsidRDefault="00340C30" w:rsidP="005C3D9B">
      <w:pPr>
        <w:adjustRightInd w:val="0"/>
        <w:snapToGrid w:val="0"/>
        <w:spacing w:line="360" w:lineRule="auto"/>
        <w:jc w:val="both"/>
        <w:outlineLvl w:val="0"/>
        <w:rPr>
          <w:rFonts w:ascii="Book Antiqua" w:hAnsi="Book Antiqua"/>
          <w:b/>
          <w:sz w:val="24"/>
          <w:szCs w:val="24"/>
          <w:highlight w:val="white"/>
          <w:lang w:val="en-US"/>
        </w:rPr>
      </w:pPr>
      <w:bookmarkStart w:id="0" w:name="OLE_LINK485"/>
      <w:bookmarkStart w:id="1" w:name="OLE_LINK486"/>
      <w:bookmarkStart w:id="2" w:name="OLE_LINK661"/>
      <w:bookmarkStart w:id="3" w:name="OLE_LINK768"/>
      <w:bookmarkStart w:id="4" w:name="OLE_LINK514"/>
      <w:bookmarkStart w:id="5" w:name="OLE_LINK515"/>
      <w:bookmarkStart w:id="6" w:name="OLE_LINK13"/>
      <w:r w:rsidRPr="006B4BF5">
        <w:rPr>
          <w:rFonts w:ascii="Book Antiqua" w:hAnsi="Book Antiqua"/>
          <w:b/>
          <w:sz w:val="24"/>
          <w:szCs w:val="24"/>
          <w:highlight w:val="white"/>
          <w:lang w:val="en-US"/>
        </w:rPr>
        <w:t>Manuscript NO:</w:t>
      </w:r>
      <w:bookmarkEnd w:id="0"/>
      <w:bookmarkEnd w:id="1"/>
      <w:bookmarkEnd w:id="2"/>
      <w:bookmarkEnd w:id="3"/>
      <w:r w:rsidRPr="006B4BF5">
        <w:rPr>
          <w:rFonts w:ascii="Book Antiqua" w:hAnsi="Book Antiqua"/>
          <w:b/>
          <w:sz w:val="24"/>
          <w:szCs w:val="24"/>
          <w:highlight w:val="white"/>
          <w:lang w:val="en-US"/>
        </w:rPr>
        <w:t xml:space="preserve"> 41763</w:t>
      </w:r>
    </w:p>
    <w:bookmarkEnd w:id="4"/>
    <w:bookmarkEnd w:id="5"/>
    <w:bookmarkEnd w:id="6"/>
    <w:p w14:paraId="5484B38F" w14:textId="77777777" w:rsidR="002A03B0" w:rsidRPr="006B4BF5" w:rsidRDefault="007849A1" w:rsidP="005C3D9B">
      <w:pPr>
        <w:adjustRightInd w:val="0"/>
        <w:snapToGrid w:val="0"/>
        <w:spacing w:line="360" w:lineRule="auto"/>
        <w:jc w:val="both"/>
        <w:outlineLvl w:val="0"/>
        <w:rPr>
          <w:rFonts w:ascii="Book Antiqua" w:hAnsi="Book Antiqua"/>
          <w:b/>
          <w:sz w:val="24"/>
          <w:szCs w:val="24"/>
          <w:lang w:val="en-US"/>
        </w:rPr>
      </w:pPr>
      <w:r w:rsidRPr="006B4BF5">
        <w:rPr>
          <w:rFonts w:ascii="Book Antiqua" w:hAnsi="Book Antiqua"/>
          <w:b/>
          <w:sz w:val="24"/>
          <w:szCs w:val="24"/>
          <w:highlight w:val="white"/>
          <w:lang w:val="en-US"/>
        </w:rPr>
        <w:t xml:space="preserve">Manuscript Type: </w:t>
      </w:r>
      <w:r w:rsidR="00262438" w:rsidRPr="006B4BF5">
        <w:rPr>
          <w:rFonts w:ascii="Book Antiqua" w:hAnsi="Book Antiqua"/>
          <w:b/>
          <w:sz w:val="24"/>
          <w:szCs w:val="24"/>
          <w:lang w:val="en-US"/>
        </w:rPr>
        <w:t>ORIGINAL ARTICLE</w:t>
      </w:r>
    </w:p>
    <w:p w14:paraId="6FB3FF37"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6752CDC7" w14:textId="77777777" w:rsidR="002A03B0" w:rsidRPr="006B4BF5" w:rsidRDefault="00262438"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Basic Study</w:t>
      </w:r>
    </w:p>
    <w:p w14:paraId="6EAD3251" w14:textId="337FAA5E" w:rsidR="002A03B0" w:rsidRPr="006B4BF5" w:rsidRDefault="000A756F" w:rsidP="007B12C8">
      <w:pPr>
        <w:adjustRightInd w:val="0"/>
        <w:snapToGrid w:val="0"/>
        <w:spacing w:line="360" w:lineRule="auto"/>
        <w:jc w:val="both"/>
        <w:rPr>
          <w:rFonts w:ascii="Book Antiqua" w:hAnsi="Book Antiqua"/>
          <w:b/>
          <w:sz w:val="24"/>
          <w:szCs w:val="24"/>
          <w:lang w:val="en-US"/>
        </w:rPr>
      </w:pPr>
      <w:bookmarkStart w:id="7" w:name="OLE_LINK47"/>
      <w:r w:rsidRPr="006B4BF5">
        <w:rPr>
          <w:rFonts w:ascii="Book Antiqua" w:hAnsi="Book Antiqua"/>
          <w:b/>
          <w:sz w:val="24"/>
          <w:szCs w:val="24"/>
          <w:lang w:val="en-US"/>
        </w:rPr>
        <w:t>Micro</w:t>
      </w:r>
      <w:r w:rsidR="007849A1" w:rsidRPr="006B4BF5">
        <w:rPr>
          <w:rFonts w:ascii="Book Antiqua" w:hAnsi="Book Antiqua"/>
          <w:b/>
          <w:sz w:val="24"/>
          <w:szCs w:val="24"/>
          <w:lang w:val="en-US"/>
        </w:rPr>
        <w:t>RNA</w:t>
      </w:r>
      <w:r w:rsidR="00A00E34" w:rsidRPr="006B4BF5">
        <w:rPr>
          <w:rFonts w:ascii="Book Antiqua" w:hAnsi="Book Antiqua"/>
          <w:b/>
          <w:sz w:val="24"/>
          <w:szCs w:val="24"/>
          <w:lang w:val="en-US"/>
        </w:rPr>
        <w:t>-</w:t>
      </w:r>
      <w:r w:rsidR="007849A1" w:rsidRPr="006B4BF5">
        <w:rPr>
          <w:rFonts w:ascii="Book Antiqua" w:hAnsi="Book Antiqua"/>
          <w:b/>
          <w:sz w:val="24"/>
          <w:szCs w:val="24"/>
          <w:lang w:val="en-US"/>
        </w:rPr>
        <w:t>15a</w:t>
      </w:r>
      <w:r w:rsidRPr="006B4BF5">
        <w:rPr>
          <w:rFonts w:ascii="Book Antiqua" w:hAnsi="Book Antiqua"/>
          <w:b/>
          <w:sz w:val="24"/>
          <w:szCs w:val="24"/>
          <w:lang w:val="en-US"/>
        </w:rPr>
        <w:t xml:space="preserve"> </w:t>
      </w:r>
      <w:r w:rsidR="00D10BC0" w:rsidRPr="006B4BF5">
        <w:rPr>
          <w:rFonts w:ascii="Book Antiqua" w:hAnsi="Book Antiqua"/>
          <w:b/>
          <w:sz w:val="24"/>
          <w:szCs w:val="24"/>
          <w:lang w:val="en-US"/>
        </w:rPr>
        <w:t>-</w:t>
      </w:r>
      <w:r w:rsidRPr="006B4BF5">
        <w:rPr>
          <w:rFonts w:ascii="Book Antiqua" w:hAnsi="Book Antiqua"/>
          <w:b/>
          <w:sz w:val="24"/>
          <w:szCs w:val="24"/>
          <w:lang w:val="en-US"/>
        </w:rPr>
        <w:t xml:space="preserve"> cell division cycle 42 signaling pathway in pathogenesis </w:t>
      </w:r>
      <w:r w:rsidR="007849A1" w:rsidRPr="006B4BF5">
        <w:rPr>
          <w:rFonts w:ascii="Book Antiqua" w:hAnsi="Book Antiqua"/>
          <w:b/>
          <w:sz w:val="24"/>
          <w:szCs w:val="24"/>
          <w:lang w:val="en-US"/>
        </w:rPr>
        <w:t>of</w:t>
      </w:r>
      <w:r w:rsidRPr="006B4BF5">
        <w:rPr>
          <w:rFonts w:ascii="Book Antiqua" w:hAnsi="Book Antiqua"/>
          <w:b/>
          <w:sz w:val="24"/>
          <w:szCs w:val="24"/>
          <w:lang w:val="en-US"/>
        </w:rPr>
        <w:t xml:space="preserve"> pediatric inflammatory </w:t>
      </w:r>
      <w:r w:rsidR="007849A1" w:rsidRPr="006B4BF5">
        <w:rPr>
          <w:rFonts w:ascii="Book Antiqua" w:hAnsi="Book Antiqua"/>
          <w:b/>
          <w:sz w:val="24"/>
          <w:szCs w:val="24"/>
          <w:lang w:val="en-US"/>
        </w:rPr>
        <w:t>bowel</w:t>
      </w:r>
      <w:r w:rsidRPr="006B4BF5">
        <w:rPr>
          <w:rFonts w:ascii="Book Antiqua" w:hAnsi="Book Antiqua"/>
          <w:b/>
          <w:sz w:val="24"/>
          <w:szCs w:val="24"/>
          <w:lang w:val="en-US"/>
        </w:rPr>
        <w:t xml:space="preserve"> </w:t>
      </w:r>
      <w:r w:rsidR="007849A1" w:rsidRPr="006B4BF5">
        <w:rPr>
          <w:rFonts w:ascii="Book Antiqua" w:hAnsi="Book Antiqua"/>
          <w:b/>
          <w:sz w:val="24"/>
          <w:szCs w:val="24"/>
          <w:lang w:val="en-US"/>
        </w:rPr>
        <w:t>disease</w:t>
      </w:r>
    </w:p>
    <w:bookmarkEnd w:id="7"/>
    <w:p w14:paraId="5EA8AE74" w14:textId="77777777" w:rsidR="006A338D" w:rsidRPr="006B4BF5" w:rsidRDefault="006A338D" w:rsidP="007B12C8">
      <w:pPr>
        <w:adjustRightInd w:val="0"/>
        <w:snapToGrid w:val="0"/>
        <w:spacing w:line="360" w:lineRule="auto"/>
        <w:jc w:val="both"/>
        <w:rPr>
          <w:rFonts w:ascii="Book Antiqua" w:hAnsi="Book Antiqua"/>
          <w:sz w:val="24"/>
          <w:szCs w:val="24"/>
          <w:lang w:val="en-US"/>
        </w:rPr>
      </w:pPr>
    </w:p>
    <w:p w14:paraId="05704444" w14:textId="36B36F27" w:rsidR="002A03B0" w:rsidRPr="006B4BF5" w:rsidRDefault="007849A1" w:rsidP="005C3D9B">
      <w:pPr>
        <w:adjustRightInd w:val="0"/>
        <w:snapToGrid w:val="0"/>
        <w:spacing w:line="360" w:lineRule="auto"/>
        <w:jc w:val="both"/>
        <w:outlineLvl w:val="0"/>
        <w:rPr>
          <w:rFonts w:ascii="Book Antiqua" w:hAnsi="Book Antiqua"/>
          <w:sz w:val="24"/>
          <w:szCs w:val="24"/>
          <w:lang w:val="en-US"/>
        </w:rPr>
      </w:pPr>
      <w:r w:rsidRPr="006B4BF5">
        <w:rPr>
          <w:rFonts w:ascii="Book Antiqua" w:hAnsi="Book Antiqua"/>
          <w:sz w:val="24"/>
          <w:szCs w:val="24"/>
          <w:lang w:val="en-US"/>
        </w:rPr>
        <w:t xml:space="preserve">Tang WJ </w:t>
      </w:r>
      <w:r w:rsidRPr="006B4BF5">
        <w:rPr>
          <w:rFonts w:ascii="Book Antiqua" w:hAnsi="Book Antiqua"/>
          <w:i/>
          <w:sz w:val="24"/>
          <w:szCs w:val="24"/>
          <w:lang w:val="en-US"/>
        </w:rPr>
        <w:t>et al</w:t>
      </w:r>
      <w:r w:rsidR="00A26F27" w:rsidRPr="006B4BF5">
        <w:rPr>
          <w:rFonts w:ascii="Book Antiqua" w:hAnsi="Book Antiqua"/>
          <w:sz w:val="24"/>
          <w:szCs w:val="24"/>
          <w:lang w:val="en-US"/>
        </w:rPr>
        <w:t>. M</w:t>
      </w:r>
      <w:r w:rsidRPr="006B4BF5">
        <w:rPr>
          <w:rFonts w:ascii="Book Antiqua" w:hAnsi="Book Antiqua"/>
          <w:sz w:val="24"/>
          <w:szCs w:val="24"/>
          <w:lang w:val="en-US"/>
        </w:rPr>
        <w:t>iR</w:t>
      </w:r>
      <w:r w:rsidR="006A338D" w:rsidRPr="006B4BF5">
        <w:rPr>
          <w:rFonts w:ascii="Book Antiqua" w:hAnsi="Book Antiqua"/>
          <w:sz w:val="24"/>
          <w:szCs w:val="24"/>
          <w:lang w:val="en-US"/>
        </w:rPr>
        <w:t>-</w:t>
      </w:r>
      <w:r w:rsidRPr="006B4BF5">
        <w:rPr>
          <w:rFonts w:ascii="Book Antiqua" w:hAnsi="Book Antiqua"/>
          <w:sz w:val="24"/>
          <w:szCs w:val="24"/>
          <w:lang w:val="en-US"/>
        </w:rPr>
        <w:t>15a</w:t>
      </w:r>
      <w:r w:rsidR="006A338D" w:rsidRPr="006B4BF5">
        <w:rPr>
          <w:rFonts w:ascii="Book Antiqua" w:hAnsi="Book Antiqua"/>
          <w:sz w:val="24"/>
          <w:szCs w:val="24"/>
          <w:lang w:val="en-US"/>
        </w:rPr>
        <w:t xml:space="preserve"> </w:t>
      </w:r>
      <w:r w:rsidR="00D10BC0" w:rsidRPr="006B4BF5">
        <w:rPr>
          <w:rFonts w:ascii="Book Antiqua" w:hAnsi="Book Antiqua"/>
          <w:sz w:val="24"/>
          <w:szCs w:val="24"/>
          <w:lang w:val="en-US"/>
        </w:rPr>
        <w:t>-</w:t>
      </w:r>
      <w:r w:rsidR="006A338D" w:rsidRPr="006B4BF5">
        <w:rPr>
          <w:rFonts w:ascii="Book Antiqua" w:hAnsi="Book Antiqua"/>
          <w:sz w:val="24"/>
          <w:szCs w:val="24"/>
          <w:lang w:val="en-US"/>
        </w:rPr>
        <w:t xml:space="preserve"> </w:t>
      </w:r>
      <w:r w:rsidRPr="006B4BF5">
        <w:rPr>
          <w:rFonts w:ascii="Book Antiqua" w:hAnsi="Book Antiqua"/>
          <w:sz w:val="24"/>
          <w:szCs w:val="24"/>
          <w:lang w:val="en-US"/>
        </w:rPr>
        <w:t>Cdc42 and pediatric IBD</w:t>
      </w:r>
    </w:p>
    <w:p w14:paraId="7601322D"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26EEED6C" w14:textId="77777777" w:rsidR="002A03B0" w:rsidRPr="006B4BF5" w:rsidRDefault="007849A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Wen-Juan Tang, Kai-Yue Peng, Zi-Fei Tang, Yu-Huan Wang, Ai-Juan Xue, Ying Huang</w:t>
      </w:r>
    </w:p>
    <w:p w14:paraId="0B2D1F7A"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5D1D4B88" w14:textId="77777777" w:rsidR="002A03B0" w:rsidRPr="006B4BF5" w:rsidRDefault="007849A1" w:rsidP="007B12C8">
      <w:pPr>
        <w:adjustRightInd w:val="0"/>
        <w:snapToGrid w:val="0"/>
        <w:spacing w:line="360" w:lineRule="auto"/>
        <w:jc w:val="both"/>
        <w:rPr>
          <w:rFonts w:ascii="Book Antiqua" w:hAnsi="Book Antiqua"/>
          <w:sz w:val="24"/>
          <w:szCs w:val="24"/>
          <w:lang w:val="en-US"/>
        </w:rPr>
      </w:pPr>
      <w:r w:rsidRPr="006B4BF5">
        <w:rPr>
          <w:rFonts w:ascii="Book Antiqua" w:hAnsi="Book Antiqua"/>
          <w:b/>
          <w:sz w:val="24"/>
          <w:szCs w:val="24"/>
          <w:lang w:val="en-US"/>
        </w:rPr>
        <w:t xml:space="preserve">Wen-Juan Tang, Kai-Yue Peng, Zi-Fei Tang, Yu-Huan Wang, Ai-Juan Xue, Ying Huang, </w:t>
      </w:r>
      <w:r w:rsidRPr="006B4BF5">
        <w:rPr>
          <w:rFonts w:ascii="Book Antiqua" w:hAnsi="Book Antiqua"/>
          <w:sz w:val="24"/>
          <w:szCs w:val="24"/>
          <w:lang w:val="en-US"/>
        </w:rPr>
        <w:t>Department of Gastroenterology, Children’s Hospital of Fudan University, Shanghai 201102, China</w:t>
      </w:r>
    </w:p>
    <w:p w14:paraId="1A1DC876"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6107FC80" w14:textId="33609062" w:rsidR="002A03B0" w:rsidRPr="006B4BF5" w:rsidRDefault="007849A1" w:rsidP="007B12C8">
      <w:pPr>
        <w:adjustRightInd w:val="0"/>
        <w:snapToGrid w:val="0"/>
        <w:spacing w:line="360" w:lineRule="auto"/>
        <w:jc w:val="both"/>
        <w:rPr>
          <w:rFonts w:ascii="Book Antiqua" w:hAnsi="Book Antiqua"/>
          <w:sz w:val="24"/>
          <w:szCs w:val="24"/>
          <w:lang w:val="en-US"/>
        </w:rPr>
      </w:pPr>
      <w:r w:rsidRPr="006B4BF5">
        <w:rPr>
          <w:rFonts w:ascii="Book Antiqua" w:hAnsi="Book Antiqua"/>
          <w:b/>
          <w:sz w:val="24"/>
          <w:szCs w:val="24"/>
          <w:lang w:val="en-US"/>
        </w:rPr>
        <w:t xml:space="preserve">ORICD number: </w:t>
      </w:r>
      <w:r w:rsidRPr="006B4BF5">
        <w:rPr>
          <w:rFonts w:ascii="Book Antiqua" w:hAnsi="Book Antiqua"/>
          <w:sz w:val="24"/>
          <w:szCs w:val="24"/>
          <w:lang w:val="en-US"/>
        </w:rPr>
        <w:t>Wen-</w:t>
      </w:r>
      <w:r w:rsidR="00EC146A" w:rsidRPr="006B4BF5">
        <w:rPr>
          <w:rFonts w:ascii="Book Antiqua" w:hAnsi="Book Antiqua"/>
          <w:sz w:val="24"/>
          <w:szCs w:val="24"/>
          <w:lang w:val="en-US"/>
        </w:rPr>
        <w:t>Juan Tang (0000-0001-8513-905X);</w:t>
      </w:r>
      <w:r w:rsidRPr="006B4BF5">
        <w:rPr>
          <w:rFonts w:ascii="Book Antiqua" w:hAnsi="Book Antiqua"/>
          <w:sz w:val="24"/>
          <w:szCs w:val="24"/>
          <w:lang w:val="en-US"/>
        </w:rPr>
        <w:t xml:space="preserve"> Kai-</w:t>
      </w:r>
      <w:r w:rsidR="00EC146A" w:rsidRPr="006B4BF5">
        <w:rPr>
          <w:rFonts w:ascii="Book Antiqua" w:hAnsi="Book Antiqua"/>
          <w:sz w:val="24"/>
          <w:szCs w:val="24"/>
          <w:lang w:val="en-US"/>
        </w:rPr>
        <w:t>Yue Peng (0000-0002-2695-0763); Zi-Fei Tang (0000-0001-8139-3392); Yu-Huan</w:t>
      </w:r>
      <w:r w:rsidRPr="006B4BF5">
        <w:rPr>
          <w:rFonts w:ascii="Book Antiqua" w:hAnsi="Book Antiqua"/>
          <w:sz w:val="24"/>
          <w:szCs w:val="24"/>
          <w:lang w:val="en-US"/>
        </w:rPr>
        <w:t xml:space="preserve"> Wang</w:t>
      </w:r>
      <w:r w:rsidR="00EC146A" w:rsidRPr="006B4BF5">
        <w:rPr>
          <w:rFonts w:ascii="Book Antiqua" w:hAnsi="Book Antiqua"/>
          <w:sz w:val="24"/>
          <w:szCs w:val="24"/>
          <w:lang w:val="en-US"/>
        </w:rPr>
        <w:t xml:space="preserve"> (0000-0002-4433-5473);</w:t>
      </w:r>
      <w:r w:rsidR="00A534AB" w:rsidRPr="006B4BF5">
        <w:rPr>
          <w:rFonts w:ascii="Book Antiqua" w:hAnsi="Book Antiqua"/>
          <w:sz w:val="24"/>
          <w:szCs w:val="24"/>
          <w:lang w:val="en-US"/>
        </w:rPr>
        <w:t xml:space="preserve"> </w:t>
      </w:r>
      <w:r w:rsidR="00EC146A" w:rsidRPr="006B4BF5">
        <w:rPr>
          <w:rFonts w:ascii="Book Antiqua" w:hAnsi="Book Antiqua"/>
          <w:sz w:val="24"/>
          <w:szCs w:val="24"/>
          <w:lang w:val="en-US"/>
        </w:rPr>
        <w:t>Ai-J</w:t>
      </w:r>
      <w:r w:rsidRPr="006B4BF5">
        <w:rPr>
          <w:rFonts w:ascii="Book Antiqua" w:hAnsi="Book Antiqua"/>
          <w:sz w:val="24"/>
          <w:szCs w:val="24"/>
          <w:lang w:val="en-US"/>
        </w:rPr>
        <w:t>uan</w:t>
      </w:r>
      <w:r w:rsidR="00A534AB" w:rsidRPr="006B4BF5">
        <w:rPr>
          <w:rFonts w:ascii="Book Antiqua" w:hAnsi="Book Antiqua"/>
          <w:sz w:val="24"/>
          <w:szCs w:val="24"/>
          <w:lang w:val="en-US"/>
        </w:rPr>
        <w:t xml:space="preserve"> </w:t>
      </w:r>
      <w:r w:rsidR="00EC146A" w:rsidRPr="006B4BF5">
        <w:rPr>
          <w:rFonts w:ascii="Book Antiqua" w:hAnsi="Book Antiqua"/>
          <w:sz w:val="24"/>
          <w:szCs w:val="24"/>
          <w:lang w:val="en-US"/>
        </w:rPr>
        <w:t>Xue</w:t>
      </w:r>
      <w:r w:rsidR="00EC146A" w:rsidRPr="006B4BF5">
        <w:rPr>
          <w:rFonts w:ascii="Book Antiqua" w:hAnsi="Book Antiqua"/>
          <w:sz w:val="24"/>
          <w:szCs w:val="24"/>
          <w:lang w:val="en-US"/>
        </w:rPr>
        <w:tab/>
        <w:t>(0000-0002-0890-2493);</w:t>
      </w:r>
      <w:r w:rsidR="00A534AB" w:rsidRPr="006B4BF5">
        <w:rPr>
          <w:rFonts w:ascii="Book Antiqua" w:hAnsi="Book Antiqua"/>
          <w:sz w:val="24"/>
          <w:szCs w:val="24"/>
          <w:lang w:val="en-US"/>
        </w:rPr>
        <w:t xml:space="preserve"> </w:t>
      </w:r>
      <w:r w:rsidRPr="006B4BF5">
        <w:rPr>
          <w:rFonts w:ascii="Book Antiqua" w:hAnsi="Book Antiqua"/>
          <w:sz w:val="24"/>
          <w:szCs w:val="24"/>
          <w:lang w:val="en-US"/>
        </w:rPr>
        <w:t>Ying</w:t>
      </w:r>
      <w:r w:rsidR="00A534AB" w:rsidRPr="006B4BF5">
        <w:rPr>
          <w:rFonts w:ascii="Book Antiqua" w:hAnsi="Book Antiqua"/>
          <w:sz w:val="24"/>
          <w:szCs w:val="24"/>
          <w:lang w:val="en-US"/>
        </w:rPr>
        <w:t xml:space="preserve"> </w:t>
      </w:r>
      <w:r w:rsidRPr="006B4BF5">
        <w:rPr>
          <w:rFonts w:ascii="Book Antiqua" w:hAnsi="Book Antiqua"/>
          <w:sz w:val="24"/>
          <w:szCs w:val="24"/>
          <w:lang w:val="en-US"/>
        </w:rPr>
        <w:t>Huang</w:t>
      </w:r>
      <w:r w:rsidR="00EC146A" w:rsidRPr="006B4BF5">
        <w:rPr>
          <w:rFonts w:ascii="Book Antiqua" w:hAnsi="Book Antiqua"/>
          <w:sz w:val="24"/>
          <w:szCs w:val="24"/>
          <w:lang w:val="en-US"/>
        </w:rPr>
        <w:t xml:space="preserve"> </w:t>
      </w:r>
      <w:r w:rsidRPr="006B4BF5">
        <w:rPr>
          <w:rFonts w:ascii="Book Antiqua" w:hAnsi="Book Antiqua"/>
          <w:sz w:val="24"/>
          <w:szCs w:val="24"/>
          <w:lang w:val="en-US"/>
        </w:rPr>
        <w:t>(0000-0002-1233-7220)</w:t>
      </w:r>
      <w:r w:rsidR="00EC146A" w:rsidRPr="006B4BF5">
        <w:rPr>
          <w:rFonts w:ascii="Book Antiqua" w:hAnsi="Book Antiqua"/>
          <w:sz w:val="24"/>
          <w:szCs w:val="24"/>
          <w:lang w:val="en-US"/>
        </w:rPr>
        <w:t>.</w:t>
      </w:r>
    </w:p>
    <w:p w14:paraId="0A6EA6ED"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52067F34" w14:textId="74D8786F" w:rsidR="00A534AB" w:rsidRPr="006B4BF5" w:rsidRDefault="007849A1" w:rsidP="007B12C8">
      <w:pPr>
        <w:adjustRightInd w:val="0"/>
        <w:snapToGrid w:val="0"/>
        <w:spacing w:line="360" w:lineRule="auto"/>
        <w:jc w:val="both"/>
        <w:rPr>
          <w:rFonts w:ascii="Book Antiqua" w:hAnsi="Book Antiqua"/>
          <w:sz w:val="24"/>
          <w:szCs w:val="24"/>
          <w:lang w:val="en-US"/>
        </w:rPr>
      </w:pPr>
      <w:r w:rsidRPr="006B4BF5">
        <w:rPr>
          <w:rFonts w:ascii="Book Antiqua" w:hAnsi="Book Antiqua"/>
          <w:b/>
          <w:sz w:val="24"/>
          <w:szCs w:val="24"/>
          <w:lang w:val="en-US"/>
        </w:rPr>
        <w:t>Author contributions:</w:t>
      </w:r>
      <w:r w:rsidRPr="006B4BF5">
        <w:rPr>
          <w:rFonts w:ascii="Book Antiqua" w:hAnsi="Book Antiqua"/>
          <w:sz w:val="24"/>
          <w:szCs w:val="24"/>
          <w:lang w:val="en-US"/>
        </w:rPr>
        <w:t xml:space="preserve"> Huang </w:t>
      </w:r>
      <w:r w:rsidR="00A534AB" w:rsidRPr="006B4BF5">
        <w:rPr>
          <w:rFonts w:ascii="Book Antiqua" w:hAnsi="Book Antiqua"/>
          <w:sz w:val="24"/>
          <w:szCs w:val="24"/>
          <w:lang w:val="en-US"/>
        </w:rPr>
        <w:t>Y</w:t>
      </w:r>
      <w:r w:rsidR="00EC146A" w:rsidRPr="006B4BF5">
        <w:rPr>
          <w:rFonts w:ascii="Book Antiqua" w:hAnsi="Book Antiqua"/>
          <w:sz w:val="24"/>
          <w:szCs w:val="24"/>
          <w:lang w:val="en-US"/>
        </w:rPr>
        <w:t xml:space="preserve"> </w:t>
      </w:r>
      <w:r w:rsidRPr="006B4BF5">
        <w:rPr>
          <w:rFonts w:ascii="Book Antiqua" w:hAnsi="Book Antiqua"/>
          <w:sz w:val="24"/>
          <w:szCs w:val="24"/>
          <w:lang w:val="en-US"/>
        </w:rPr>
        <w:t xml:space="preserve">designed the study, coordinated and supervised data collection, and critically reviewed and revised the manuscript; Tang </w:t>
      </w:r>
      <w:r w:rsidR="00A534AB" w:rsidRPr="006B4BF5">
        <w:rPr>
          <w:rFonts w:ascii="Book Antiqua" w:hAnsi="Book Antiqua"/>
          <w:sz w:val="24"/>
          <w:szCs w:val="24"/>
          <w:lang w:val="en-US"/>
        </w:rPr>
        <w:t>W</w:t>
      </w:r>
      <w:r w:rsidR="00EC146A" w:rsidRPr="006B4BF5">
        <w:rPr>
          <w:rFonts w:ascii="Book Antiqua" w:hAnsi="Book Antiqua"/>
          <w:sz w:val="24"/>
          <w:szCs w:val="24"/>
          <w:lang w:val="en-US"/>
        </w:rPr>
        <w:t>J</w:t>
      </w:r>
      <w:r w:rsidR="005C3D9B" w:rsidRPr="006B4BF5">
        <w:rPr>
          <w:rFonts w:ascii="Book Antiqua" w:hAnsi="Book Antiqua"/>
          <w:sz w:val="24"/>
          <w:szCs w:val="24"/>
          <w:lang w:val="en-US"/>
        </w:rPr>
        <w:t xml:space="preserve"> </w:t>
      </w:r>
      <w:r w:rsidR="00A534AB" w:rsidRPr="006B4BF5">
        <w:rPr>
          <w:rFonts w:ascii="Book Antiqua" w:hAnsi="Book Antiqua"/>
          <w:sz w:val="24"/>
          <w:szCs w:val="24"/>
          <w:lang w:val="en-US"/>
        </w:rPr>
        <w:t xml:space="preserve">performed </w:t>
      </w:r>
      <w:r w:rsidRPr="006B4BF5">
        <w:rPr>
          <w:rFonts w:ascii="Book Antiqua" w:hAnsi="Book Antiqua"/>
          <w:sz w:val="24"/>
          <w:szCs w:val="24"/>
          <w:lang w:val="en-US"/>
        </w:rPr>
        <w:t xml:space="preserve">the </w:t>
      </w:r>
      <w:r w:rsidR="00A534AB" w:rsidRPr="006B4BF5">
        <w:rPr>
          <w:rFonts w:ascii="Book Antiqua" w:hAnsi="Book Antiqua"/>
          <w:sz w:val="24"/>
          <w:szCs w:val="24"/>
          <w:lang w:val="en-US"/>
        </w:rPr>
        <w:t>research, analyzed data, and wrote the initial manuscript; Peng K</w:t>
      </w:r>
      <w:r w:rsidR="00EC146A" w:rsidRPr="006B4BF5">
        <w:rPr>
          <w:rFonts w:ascii="Book Antiqua" w:hAnsi="Book Antiqua"/>
          <w:sz w:val="24"/>
          <w:szCs w:val="24"/>
          <w:lang w:val="en-US"/>
        </w:rPr>
        <w:t>Y and Xue</w:t>
      </w:r>
      <w:r w:rsidR="00A534AB" w:rsidRPr="006B4BF5">
        <w:rPr>
          <w:rFonts w:ascii="Book Antiqua" w:hAnsi="Book Antiqua"/>
          <w:sz w:val="24"/>
          <w:szCs w:val="24"/>
          <w:lang w:val="en-US"/>
        </w:rPr>
        <w:t xml:space="preserve"> A</w:t>
      </w:r>
      <w:r w:rsidR="00EC146A" w:rsidRPr="006B4BF5">
        <w:rPr>
          <w:rFonts w:ascii="Book Antiqua" w:hAnsi="Book Antiqua"/>
          <w:sz w:val="24"/>
          <w:szCs w:val="24"/>
          <w:lang w:val="en-US"/>
        </w:rPr>
        <w:t>J</w:t>
      </w:r>
      <w:r w:rsidR="00A534AB" w:rsidRPr="006B4BF5">
        <w:rPr>
          <w:rFonts w:ascii="Book Antiqua" w:hAnsi="Book Antiqua"/>
          <w:sz w:val="24"/>
          <w:szCs w:val="24"/>
          <w:lang w:val="en-US"/>
        </w:rPr>
        <w:t xml:space="preserve"> contributed to cell culture and some data analyses; Tang Z</w:t>
      </w:r>
      <w:r w:rsidR="00EC146A" w:rsidRPr="006B4BF5">
        <w:rPr>
          <w:rFonts w:ascii="Book Antiqua" w:hAnsi="Book Antiqua"/>
          <w:sz w:val="24"/>
          <w:szCs w:val="24"/>
          <w:lang w:val="en-US"/>
        </w:rPr>
        <w:t>F</w:t>
      </w:r>
      <w:r w:rsidR="00A534AB" w:rsidRPr="006B4BF5">
        <w:rPr>
          <w:rFonts w:ascii="Book Antiqua" w:hAnsi="Book Antiqua"/>
          <w:sz w:val="24"/>
          <w:szCs w:val="24"/>
          <w:lang w:val="en-US"/>
        </w:rPr>
        <w:t xml:space="preserve"> and Wang Y</w:t>
      </w:r>
      <w:r w:rsidR="00EC146A" w:rsidRPr="006B4BF5">
        <w:rPr>
          <w:rFonts w:ascii="Book Antiqua" w:hAnsi="Book Antiqua"/>
          <w:sz w:val="24"/>
          <w:szCs w:val="24"/>
          <w:lang w:val="en-US"/>
        </w:rPr>
        <w:t>H</w:t>
      </w:r>
      <w:r w:rsidR="00A534AB" w:rsidRPr="006B4BF5">
        <w:rPr>
          <w:rFonts w:ascii="Book Antiqua" w:hAnsi="Book Antiqua"/>
          <w:sz w:val="24"/>
          <w:szCs w:val="24"/>
          <w:lang w:val="en-US"/>
        </w:rPr>
        <w:t xml:space="preserve"> contributed to clinical data analyses. </w:t>
      </w:r>
      <w:r w:rsidR="00BB6FAC" w:rsidRPr="006B4BF5">
        <w:rPr>
          <w:rFonts w:ascii="Book Antiqua" w:hAnsi="Book Antiqua"/>
          <w:sz w:val="24"/>
          <w:szCs w:val="24"/>
          <w:lang w:val="en-US"/>
        </w:rPr>
        <w:t xml:space="preserve">All authors approved </w:t>
      </w:r>
      <w:r w:rsidR="00A534AB" w:rsidRPr="006B4BF5">
        <w:rPr>
          <w:rFonts w:ascii="Book Antiqua" w:hAnsi="Book Antiqua"/>
          <w:sz w:val="24"/>
          <w:szCs w:val="24"/>
          <w:lang w:val="en-US"/>
        </w:rPr>
        <w:t>the final manuscript to be submitted for publication..</w:t>
      </w:r>
    </w:p>
    <w:p w14:paraId="5E4AD511"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2A763AFF" w14:textId="22502820" w:rsidR="002A03B0" w:rsidRPr="006B4BF5" w:rsidRDefault="007849A1" w:rsidP="005C3D9B">
      <w:pPr>
        <w:adjustRightInd w:val="0"/>
        <w:snapToGrid w:val="0"/>
        <w:spacing w:line="360" w:lineRule="auto"/>
        <w:jc w:val="both"/>
        <w:outlineLvl w:val="0"/>
        <w:rPr>
          <w:rFonts w:ascii="Book Antiqua" w:hAnsi="Book Antiqua"/>
          <w:sz w:val="24"/>
          <w:szCs w:val="24"/>
          <w:lang w:val="en-US"/>
        </w:rPr>
      </w:pPr>
      <w:r w:rsidRPr="006B4BF5">
        <w:rPr>
          <w:rFonts w:ascii="Book Antiqua" w:hAnsi="Book Antiqua"/>
          <w:b/>
          <w:sz w:val="24"/>
          <w:szCs w:val="24"/>
          <w:lang w:val="en-US"/>
        </w:rPr>
        <w:t xml:space="preserve">Supported by </w:t>
      </w:r>
      <w:r w:rsidRPr="006B4BF5">
        <w:rPr>
          <w:rFonts w:ascii="Book Antiqua" w:hAnsi="Book Antiqua"/>
          <w:sz w:val="24"/>
          <w:szCs w:val="24"/>
          <w:lang w:val="en-US"/>
        </w:rPr>
        <w:t>the National Natural Scienc</w:t>
      </w:r>
      <w:r w:rsidR="00EC146A" w:rsidRPr="006B4BF5">
        <w:rPr>
          <w:rFonts w:ascii="Book Antiqua" w:hAnsi="Book Antiqua"/>
          <w:sz w:val="24"/>
          <w:szCs w:val="24"/>
          <w:lang w:val="en-US"/>
        </w:rPr>
        <w:t>e Foundation of Shanghai, No. 201540068</w:t>
      </w:r>
      <w:r w:rsidRPr="006B4BF5">
        <w:rPr>
          <w:rFonts w:ascii="Book Antiqua" w:hAnsi="Book Antiqua"/>
          <w:sz w:val="24"/>
          <w:szCs w:val="24"/>
          <w:lang w:val="en-US"/>
        </w:rPr>
        <w:t>.</w:t>
      </w:r>
    </w:p>
    <w:p w14:paraId="14C2003D"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718FCF17"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3508A8A1" w14:textId="7767475E" w:rsidR="00872AB6" w:rsidRPr="006B4BF5" w:rsidRDefault="00BB6FAC" w:rsidP="007B12C8">
      <w:pPr>
        <w:adjustRightInd w:val="0"/>
        <w:snapToGrid w:val="0"/>
        <w:spacing w:line="360" w:lineRule="auto"/>
        <w:jc w:val="both"/>
        <w:rPr>
          <w:rFonts w:ascii="Book Antiqua" w:hAnsi="Book Antiqua"/>
          <w:sz w:val="24"/>
          <w:szCs w:val="24"/>
          <w:lang w:val="en-US"/>
        </w:rPr>
      </w:pPr>
      <w:r w:rsidRPr="006B4BF5">
        <w:rPr>
          <w:rFonts w:ascii="Book Antiqua" w:hAnsi="Book Antiqua"/>
          <w:b/>
          <w:sz w:val="24"/>
          <w:szCs w:val="24"/>
          <w:lang w:val="en-US"/>
        </w:rPr>
        <w:t xml:space="preserve">Institutional review board </w:t>
      </w:r>
      <w:r w:rsidR="007849A1" w:rsidRPr="006B4BF5">
        <w:rPr>
          <w:rFonts w:ascii="Book Antiqua" w:hAnsi="Book Antiqua"/>
          <w:b/>
          <w:sz w:val="24"/>
          <w:szCs w:val="24"/>
          <w:lang w:val="en-US"/>
        </w:rPr>
        <w:t>statement:</w:t>
      </w:r>
      <w:r w:rsidRPr="006B4BF5">
        <w:rPr>
          <w:rFonts w:ascii="Book Antiqua" w:hAnsi="Book Antiqua"/>
          <w:sz w:val="24"/>
          <w:szCs w:val="24"/>
          <w:lang w:val="en-US"/>
        </w:rPr>
        <w:t xml:space="preserve"> This study was reviewed and </w:t>
      </w:r>
      <w:r w:rsidR="007849A1" w:rsidRPr="006B4BF5">
        <w:rPr>
          <w:rFonts w:ascii="Book Antiqua" w:hAnsi="Book Antiqua"/>
          <w:sz w:val="24"/>
          <w:szCs w:val="24"/>
          <w:lang w:val="en-US"/>
        </w:rPr>
        <w:t>approved by the Ethics Committee of the Children’s Hospital of Fudan University, and written informed consent was obtained from all patients for the use of their tissues.</w:t>
      </w:r>
    </w:p>
    <w:p w14:paraId="58227F92"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3E84F58E" w14:textId="77777777" w:rsidR="002A03B0" w:rsidRPr="006B4BF5" w:rsidRDefault="007849A1" w:rsidP="005C3D9B">
      <w:pPr>
        <w:adjustRightInd w:val="0"/>
        <w:snapToGrid w:val="0"/>
        <w:spacing w:line="360" w:lineRule="auto"/>
        <w:jc w:val="both"/>
        <w:outlineLvl w:val="0"/>
        <w:rPr>
          <w:rFonts w:ascii="Book Antiqua" w:hAnsi="Book Antiqua"/>
          <w:sz w:val="24"/>
          <w:szCs w:val="24"/>
          <w:lang w:val="en-US"/>
        </w:rPr>
      </w:pPr>
      <w:r w:rsidRPr="006B4BF5">
        <w:rPr>
          <w:rFonts w:ascii="Book Antiqua" w:hAnsi="Book Antiqua"/>
          <w:b/>
          <w:sz w:val="24"/>
          <w:szCs w:val="24"/>
          <w:lang w:val="en-US"/>
        </w:rPr>
        <w:t xml:space="preserve">Conflict-of-interest statement: </w:t>
      </w:r>
      <w:r w:rsidRPr="006B4BF5">
        <w:rPr>
          <w:rFonts w:ascii="Book Antiqua" w:hAnsi="Book Antiqua"/>
          <w:sz w:val="24"/>
          <w:szCs w:val="24"/>
          <w:lang w:val="en-US"/>
        </w:rPr>
        <w:t>The authors have no conflict of interest to disclose.</w:t>
      </w:r>
    </w:p>
    <w:p w14:paraId="0DCD298C"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5AC35911" w14:textId="77777777" w:rsidR="002A03B0" w:rsidRPr="006B4BF5" w:rsidRDefault="007849A1" w:rsidP="005C3D9B">
      <w:pPr>
        <w:adjustRightInd w:val="0"/>
        <w:snapToGrid w:val="0"/>
        <w:spacing w:line="360" w:lineRule="auto"/>
        <w:jc w:val="both"/>
        <w:outlineLvl w:val="0"/>
        <w:rPr>
          <w:rFonts w:ascii="Book Antiqua" w:hAnsi="Book Antiqua"/>
          <w:sz w:val="24"/>
          <w:szCs w:val="24"/>
          <w:lang w:val="en-US"/>
        </w:rPr>
      </w:pPr>
      <w:r w:rsidRPr="006B4BF5">
        <w:rPr>
          <w:rFonts w:ascii="Book Antiqua" w:hAnsi="Book Antiqua"/>
          <w:b/>
          <w:sz w:val="24"/>
          <w:szCs w:val="24"/>
          <w:lang w:val="en-US"/>
        </w:rPr>
        <w:t>Data sharing statement:</w:t>
      </w:r>
      <w:r w:rsidRPr="006B4BF5">
        <w:rPr>
          <w:rFonts w:ascii="Book Antiqua" w:hAnsi="Book Antiqua"/>
          <w:sz w:val="24"/>
          <w:szCs w:val="24"/>
          <w:lang w:val="en-US"/>
        </w:rPr>
        <w:t xml:space="preserve"> No additional data are available.</w:t>
      </w:r>
    </w:p>
    <w:p w14:paraId="133CD2FF" w14:textId="77777777" w:rsidR="007849A1" w:rsidRPr="006B4BF5" w:rsidRDefault="007849A1" w:rsidP="007B12C8">
      <w:pPr>
        <w:adjustRightInd w:val="0"/>
        <w:snapToGrid w:val="0"/>
        <w:spacing w:line="360" w:lineRule="auto"/>
        <w:jc w:val="both"/>
        <w:rPr>
          <w:rFonts w:ascii="Book Antiqua" w:hAnsi="Book Antiqua"/>
          <w:sz w:val="24"/>
          <w:szCs w:val="24"/>
          <w:lang w:val="en-US"/>
        </w:rPr>
      </w:pPr>
    </w:p>
    <w:p w14:paraId="1F7730BE" w14:textId="6E995F4A" w:rsidR="007849A1" w:rsidRPr="006B4BF5" w:rsidRDefault="007849A1" w:rsidP="007B12C8">
      <w:pPr>
        <w:adjustRightInd w:val="0"/>
        <w:snapToGrid w:val="0"/>
        <w:spacing w:line="360" w:lineRule="auto"/>
        <w:jc w:val="both"/>
        <w:rPr>
          <w:rFonts w:ascii="Book Antiqua" w:hAnsi="Book Antiqua"/>
          <w:sz w:val="24"/>
          <w:szCs w:val="24"/>
          <w:lang w:val="en-US"/>
        </w:rPr>
      </w:pPr>
      <w:r w:rsidRPr="006B4BF5">
        <w:rPr>
          <w:rFonts w:ascii="Book Antiqua" w:hAnsi="Book Antiqua"/>
          <w:b/>
          <w:sz w:val="24"/>
          <w:szCs w:val="24"/>
          <w:lang w:val="en-US"/>
        </w:rPr>
        <w:t>ARRIVE guidelines statement:</w:t>
      </w:r>
      <w:r w:rsidR="00BB6FAC" w:rsidRPr="006B4BF5">
        <w:rPr>
          <w:rFonts w:ascii="Book Antiqua" w:hAnsi="Book Antiqua"/>
          <w:sz w:val="24"/>
          <w:szCs w:val="24"/>
          <w:lang w:val="en-US"/>
        </w:rPr>
        <w:t xml:space="preserve"> </w:t>
      </w:r>
      <w:r w:rsidR="00210204" w:rsidRPr="006B4BF5">
        <w:rPr>
          <w:rFonts w:ascii="Book Antiqua" w:hAnsi="Book Antiqua"/>
          <w:sz w:val="24"/>
          <w:szCs w:val="24"/>
          <w:lang w:val="en-US"/>
        </w:rPr>
        <w:t>The authors have read the ARRIVE gui</w:t>
      </w:r>
      <w:r w:rsidR="00EC146A" w:rsidRPr="006B4BF5">
        <w:rPr>
          <w:rFonts w:ascii="Book Antiqua" w:hAnsi="Book Antiqua"/>
          <w:sz w:val="24"/>
          <w:szCs w:val="24"/>
          <w:lang w:val="en-US"/>
        </w:rPr>
        <w:t>delines, and the manuscript was</w:t>
      </w:r>
      <w:r w:rsidR="00210204" w:rsidRPr="006B4BF5">
        <w:rPr>
          <w:rFonts w:ascii="Book Antiqua" w:hAnsi="Book Antiqua"/>
          <w:sz w:val="24"/>
          <w:szCs w:val="24"/>
          <w:lang w:val="en-US"/>
        </w:rPr>
        <w:t xml:space="preserve"> prepared and revised according to the ARRIVE guidelines</w:t>
      </w:r>
      <w:r w:rsidR="00EC146A" w:rsidRPr="006B4BF5">
        <w:rPr>
          <w:rFonts w:ascii="Book Antiqua" w:hAnsi="Book Antiqua"/>
          <w:sz w:val="24"/>
          <w:szCs w:val="24"/>
          <w:lang w:val="en-US"/>
        </w:rPr>
        <w:t>.</w:t>
      </w:r>
    </w:p>
    <w:p w14:paraId="3A95B407" w14:textId="77777777" w:rsidR="002A03B0" w:rsidRPr="006B4BF5" w:rsidRDefault="002A03B0" w:rsidP="00EC146A">
      <w:pPr>
        <w:adjustRightInd w:val="0"/>
        <w:snapToGrid w:val="0"/>
        <w:spacing w:line="360" w:lineRule="auto"/>
        <w:jc w:val="both"/>
        <w:rPr>
          <w:rFonts w:ascii="Book Antiqua" w:hAnsi="Book Antiqua"/>
          <w:sz w:val="24"/>
          <w:szCs w:val="24"/>
          <w:lang w:val="en-US"/>
        </w:rPr>
      </w:pPr>
    </w:p>
    <w:p w14:paraId="4A065662" w14:textId="77777777" w:rsidR="00EC146A" w:rsidRPr="006B4BF5" w:rsidRDefault="00EC146A" w:rsidP="00EC146A">
      <w:pPr>
        <w:adjustRightInd w:val="0"/>
        <w:snapToGrid w:val="0"/>
        <w:spacing w:line="360" w:lineRule="auto"/>
        <w:jc w:val="both"/>
        <w:rPr>
          <w:rFonts w:ascii="Book Antiqua" w:hAnsi="Book Antiqua"/>
          <w:sz w:val="24"/>
          <w:szCs w:val="24"/>
          <w:lang w:val="en-US"/>
        </w:rPr>
      </w:pPr>
      <w:r w:rsidRPr="006B4BF5">
        <w:rPr>
          <w:rFonts w:ascii="Book Antiqua" w:hAnsi="Book Antiqua"/>
          <w:b/>
          <w:color w:val="000000"/>
          <w:sz w:val="24"/>
          <w:szCs w:val="24"/>
          <w:lang w:val="en-US"/>
        </w:rPr>
        <w:t xml:space="preserve">Open-Access: </w:t>
      </w:r>
      <w:bookmarkStart w:id="8" w:name="OLE_LINK50"/>
      <w:bookmarkStart w:id="9" w:name="OLE_LINK52"/>
      <w:r w:rsidRPr="006B4BF5">
        <w:rPr>
          <w:rFonts w:ascii="Book Antiqua" w:hAnsi="Book Antiqua"/>
          <w:color w:val="000000"/>
          <w:sz w:val="24"/>
          <w:szCs w:val="24"/>
          <w:lang w:val="en-US"/>
        </w:rPr>
        <w:t xml:space="preserve">This is an </w:t>
      </w:r>
      <w:r w:rsidRPr="006B4BF5">
        <w:rPr>
          <w:rFonts w:ascii="Book Antiqua" w:hAnsi="Book Antiqua" w:cs="SimSun"/>
          <w:sz w:val="24"/>
          <w:szCs w:val="24"/>
          <w:lang w:val="en-US"/>
        </w:rPr>
        <w:t xml:space="preserve">open-access article that was </w:t>
      </w:r>
      <w:r w:rsidRPr="006B4BF5">
        <w:rPr>
          <w:rFonts w:ascii="Book Antiqua" w:hAnsi="Book Antiqua"/>
          <w:sz w:val="24"/>
          <w:szCs w:val="24"/>
          <w:lang w:val="en-US"/>
        </w:rPr>
        <w:t xml:space="preserve">selected by an in-house editor and fully peer-reviewed by external reviewers. It is </w:t>
      </w:r>
      <w:r w:rsidRPr="006B4BF5">
        <w:rPr>
          <w:rFonts w:ascii="Book Antiqua" w:hAnsi="Book Antiqua" w:cs="SimSun"/>
          <w:sz w:val="24"/>
          <w:szCs w:val="24"/>
          <w:lang w:val="en-US"/>
        </w:rPr>
        <w:t xml:space="preserve">distributed in accordance with </w:t>
      </w:r>
      <w:r w:rsidRPr="006B4BF5">
        <w:rPr>
          <w:rFonts w:ascii="Book Antiqua" w:hAnsi="Book Antiqua"/>
          <w:sz w:val="24"/>
          <w:szCs w:val="24"/>
          <w:lang w:val="en-US"/>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6B4BF5">
          <w:rPr>
            <w:rStyle w:val="Hyperlink"/>
            <w:rFonts w:ascii="Book Antiqua" w:hAnsi="Book Antiqua"/>
            <w:sz w:val="24"/>
            <w:szCs w:val="24"/>
            <w:lang w:val="en-US"/>
          </w:rPr>
          <w:t>http://creativecommons.org/licenses/by-nc/4.0/</w:t>
        </w:r>
      </w:hyperlink>
      <w:bookmarkEnd w:id="8"/>
      <w:bookmarkEnd w:id="9"/>
    </w:p>
    <w:p w14:paraId="702CBA8D" w14:textId="77777777" w:rsidR="00EC146A" w:rsidRPr="006B4BF5" w:rsidRDefault="00EC146A" w:rsidP="00EC146A">
      <w:pPr>
        <w:adjustRightInd w:val="0"/>
        <w:snapToGrid w:val="0"/>
        <w:spacing w:line="360" w:lineRule="auto"/>
        <w:jc w:val="both"/>
        <w:rPr>
          <w:rFonts w:ascii="Book Antiqua" w:hAnsi="Book Antiqua"/>
          <w:sz w:val="24"/>
          <w:szCs w:val="24"/>
          <w:lang w:val="en-US"/>
        </w:rPr>
      </w:pPr>
    </w:p>
    <w:p w14:paraId="1C284391" w14:textId="7EFDA1F7" w:rsidR="002A03B0" w:rsidRPr="006B4BF5" w:rsidRDefault="00EC146A" w:rsidP="005C3D9B">
      <w:pPr>
        <w:adjustRightInd w:val="0"/>
        <w:snapToGrid w:val="0"/>
        <w:spacing w:line="360" w:lineRule="auto"/>
        <w:jc w:val="both"/>
        <w:outlineLvl w:val="0"/>
        <w:rPr>
          <w:rFonts w:ascii="Book Antiqua" w:hAnsi="Book Antiqua"/>
          <w:sz w:val="24"/>
          <w:szCs w:val="24"/>
          <w:lang w:val="en-US"/>
        </w:rPr>
      </w:pPr>
      <w:bookmarkStart w:id="10" w:name="OLE_LINK11"/>
      <w:r w:rsidRPr="006B4BF5">
        <w:rPr>
          <w:rFonts w:ascii="Book Antiqua" w:hAnsi="Book Antiqua" w:cs="Times New Roman"/>
          <w:b/>
          <w:bCs/>
          <w:sz w:val="24"/>
          <w:szCs w:val="24"/>
          <w:highlight w:val="white"/>
          <w:lang w:val="en-US"/>
        </w:rPr>
        <w:t xml:space="preserve">Manuscript source: </w:t>
      </w:r>
      <w:r w:rsidRPr="006B4BF5">
        <w:rPr>
          <w:rFonts w:ascii="Book Antiqua" w:hAnsi="Book Antiqua" w:cs="Times New Roman"/>
          <w:bCs/>
          <w:sz w:val="24"/>
          <w:szCs w:val="24"/>
          <w:highlight w:val="white"/>
          <w:lang w:val="en-US"/>
        </w:rPr>
        <w:t>Unsolicited manuscript</w:t>
      </w:r>
      <w:bookmarkEnd w:id="10"/>
    </w:p>
    <w:p w14:paraId="4FB4CF0B" w14:textId="77777777" w:rsidR="002A03B0" w:rsidRPr="006B4BF5" w:rsidRDefault="002A03B0" w:rsidP="00EC146A">
      <w:pPr>
        <w:adjustRightInd w:val="0"/>
        <w:snapToGrid w:val="0"/>
        <w:spacing w:line="360" w:lineRule="auto"/>
        <w:jc w:val="both"/>
        <w:rPr>
          <w:rFonts w:ascii="Book Antiqua" w:hAnsi="Book Antiqua"/>
          <w:sz w:val="24"/>
          <w:szCs w:val="24"/>
          <w:lang w:val="en-US"/>
        </w:rPr>
      </w:pPr>
    </w:p>
    <w:p w14:paraId="6677A9C4" w14:textId="19495A65" w:rsidR="002A03B0" w:rsidRPr="006B4BF5" w:rsidRDefault="007849A1" w:rsidP="00EC146A">
      <w:pPr>
        <w:adjustRightInd w:val="0"/>
        <w:snapToGrid w:val="0"/>
        <w:spacing w:line="360" w:lineRule="auto"/>
        <w:jc w:val="both"/>
        <w:rPr>
          <w:rFonts w:ascii="Book Antiqua" w:hAnsi="Book Antiqua"/>
          <w:sz w:val="24"/>
          <w:szCs w:val="24"/>
          <w:lang w:val="en-US"/>
        </w:rPr>
      </w:pPr>
      <w:r w:rsidRPr="006B4BF5">
        <w:rPr>
          <w:rFonts w:ascii="Book Antiqua" w:hAnsi="Book Antiqua"/>
          <w:b/>
          <w:sz w:val="24"/>
          <w:szCs w:val="24"/>
          <w:lang w:val="en-US"/>
        </w:rPr>
        <w:t>Correspondence to:</w:t>
      </w:r>
      <w:r w:rsidRPr="006B4BF5">
        <w:rPr>
          <w:rFonts w:ascii="Book Antiqua" w:hAnsi="Book Antiqua"/>
          <w:sz w:val="24"/>
          <w:szCs w:val="24"/>
          <w:lang w:val="en-US"/>
        </w:rPr>
        <w:t xml:space="preserve"> </w:t>
      </w:r>
      <w:r w:rsidRPr="006B4BF5">
        <w:rPr>
          <w:rFonts w:ascii="Book Antiqua" w:hAnsi="Book Antiqua"/>
          <w:b/>
          <w:sz w:val="24"/>
          <w:szCs w:val="24"/>
          <w:lang w:val="en-US"/>
        </w:rPr>
        <w:t xml:space="preserve">Ying Huang, </w:t>
      </w:r>
      <w:r w:rsidR="005C3D9B" w:rsidRPr="006B4BF5">
        <w:rPr>
          <w:rFonts w:ascii="Book Antiqua" w:hAnsi="Book Antiqua"/>
          <w:b/>
          <w:sz w:val="24"/>
          <w:szCs w:val="24"/>
          <w:lang w:val="en-US"/>
        </w:rPr>
        <w:t xml:space="preserve">MD, PhD, Chief Doctor, Director, Professor, </w:t>
      </w:r>
      <w:r w:rsidRPr="006B4BF5">
        <w:rPr>
          <w:rFonts w:ascii="Book Antiqua" w:hAnsi="Book Antiqua"/>
          <w:sz w:val="24"/>
          <w:szCs w:val="24"/>
          <w:lang w:val="en-US"/>
        </w:rPr>
        <w:t>Department of Gastroenterology, Children’s Hospital of Fudan University, 399 Wanyu</w:t>
      </w:r>
      <w:r w:rsidR="005C3D9B" w:rsidRPr="006B4BF5">
        <w:rPr>
          <w:rFonts w:ascii="Book Antiqua" w:hAnsi="Book Antiqua"/>
          <w:sz w:val="24"/>
          <w:szCs w:val="24"/>
          <w:lang w:val="en-US"/>
        </w:rPr>
        <w:t>an Road, Shanghai 201102, China.</w:t>
      </w:r>
      <w:r w:rsidRPr="006B4BF5">
        <w:rPr>
          <w:rFonts w:ascii="Book Antiqua" w:hAnsi="Book Antiqua"/>
          <w:sz w:val="24"/>
          <w:szCs w:val="24"/>
          <w:lang w:val="en-US"/>
        </w:rPr>
        <w:t xml:space="preserve"> </w:t>
      </w:r>
      <w:hyperlink r:id="rId9">
        <w:r w:rsidRPr="006B4BF5">
          <w:rPr>
            <w:rFonts w:ascii="Book Antiqua" w:hAnsi="Book Antiqua"/>
            <w:sz w:val="24"/>
            <w:szCs w:val="24"/>
            <w:lang w:val="en-US"/>
          </w:rPr>
          <w:t>15111240011@fudan.edu.cn</w:t>
        </w:r>
      </w:hyperlink>
    </w:p>
    <w:p w14:paraId="17B8BD11" w14:textId="3E9044B3" w:rsidR="002A03B0" w:rsidRPr="006B4BF5" w:rsidRDefault="005C3D9B" w:rsidP="007B12C8">
      <w:pPr>
        <w:adjustRightInd w:val="0"/>
        <w:snapToGrid w:val="0"/>
        <w:spacing w:line="360" w:lineRule="auto"/>
        <w:jc w:val="both"/>
        <w:rPr>
          <w:rFonts w:ascii="Book Antiqua" w:hAnsi="Book Antiqua"/>
          <w:sz w:val="24"/>
          <w:szCs w:val="24"/>
          <w:lang w:val="en-US"/>
        </w:rPr>
      </w:pPr>
      <w:r w:rsidRPr="006B4BF5">
        <w:rPr>
          <w:rFonts w:ascii="Book Antiqua" w:hAnsi="Book Antiqua"/>
          <w:b/>
          <w:sz w:val="24"/>
          <w:szCs w:val="24"/>
          <w:lang w:val="en-US"/>
        </w:rPr>
        <w:t>Telephone:</w:t>
      </w:r>
      <w:r w:rsidRPr="006B4BF5">
        <w:rPr>
          <w:rFonts w:ascii="Book Antiqua" w:hAnsi="Book Antiqua"/>
          <w:sz w:val="24"/>
          <w:szCs w:val="24"/>
          <w:lang w:val="en-US"/>
        </w:rPr>
        <w:t xml:space="preserve"> </w:t>
      </w:r>
      <w:bookmarkStart w:id="11" w:name="OLE_LINK48"/>
      <w:bookmarkStart w:id="12" w:name="OLE_LINK49"/>
      <w:r w:rsidRPr="006B4BF5">
        <w:rPr>
          <w:rFonts w:ascii="Book Antiqua" w:hAnsi="Book Antiqua"/>
          <w:sz w:val="24"/>
          <w:szCs w:val="24"/>
          <w:lang w:val="en-US"/>
        </w:rPr>
        <w:t>+86-</w:t>
      </w:r>
      <w:r w:rsidR="007849A1" w:rsidRPr="006B4BF5">
        <w:rPr>
          <w:rFonts w:ascii="Book Antiqua" w:hAnsi="Book Antiqua"/>
          <w:sz w:val="24"/>
          <w:szCs w:val="24"/>
          <w:lang w:val="en-US"/>
        </w:rPr>
        <w:t>21-64931727</w:t>
      </w:r>
      <w:bookmarkEnd w:id="11"/>
      <w:bookmarkEnd w:id="12"/>
    </w:p>
    <w:p w14:paraId="4CA00D71" w14:textId="50FE3C02" w:rsidR="002A03B0" w:rsidRPr="006B4BF5" w:rsidRDefault="007849A1" w:rsidP="007B12C8">
      <w:pPr>
        <w:adjustRightInd w:val="0"/>
        <w:snapToGrid w:val="0"/>
        <w:spacing w:line="360" w:lineRule="auto"/>
        <w:jc w:val="both"/>
        <w:rPr>
          <w:rFonts w:ascii="Book Antiqua" w:hAnsi="Book Antiqua"/>
          <w:sz w:val="24"/>
          <w:szCs w:val="24"/>
          <w:lang w:val="en-US"/>
        </w:rPr>
      </w:pPr>
      <w:r w:rsidRPr="006B4BF5">
        <w:rPr>
          <w:rFonts w:ascii="Book Antiqua" w:hAnsi="Book Antiqua"/>
          <w:b/>
          <w:sz w:val="24"/>
          <w:szCs w:val="24"/>
          <w:lang w:val="en-US"/>
        </w:rPr>
        <w:t>Fax:</w:t>
      </w:r>
      <w:r w:rsidR="005C3D9B" w:rsidRPr="006B4BF5">
        <w:rPr>
          <w:rFonts w:ascii="Book Antiqua" w:hAnsi="Book Antiqua"/>
          <w:sz w:val="24"/>
          <w:szCs w:val="24"/>
          <w:lang w:val="en-US"/>
        </w:rPr>
        <w:t xml:space="preserve"> +86-</w:t>
      </w:r>
      <w:r w:rsidR="00D90624" w:rsidRPr="006B4BF5">
        <w:rPr>
          <w:rFonts w:ascii="Book Antiqua" w:hAnsi="Book Antiqua"/>
          <w:sz w:val="24"/>
          <w:szCs w:val="24"/>
          <w:lang w:val="en-US"/>
        </w:rPr>
        <w:t>21-64931990</w:t>
      </w:r>
    </w:p>
    <w:p w14:paraId="445109F1" w14:textId="77777777" w:rsidR="005C3D9B" w:rsidRPr="006B4BF5" w:rsidRDefault="005C3D9B" w:rsidP="005C3D9B">
      <w:pPr>
        <w:adjustRightInd w:val="0"/>
        <w:snapToGrid w:val="0"/>
        <w:spacing w:line="360" w:lineRule="auto"/>
        <w:jc w:val="both"/>
        <w:rPr>
          <w:rFonts w:ascii="Book Antiqua" w:hAnsi="Book Antiqua"/>
          <w:sz w:val="24"/>
          <w:szCs w:val="24"/>
          <w:lang w:val="en-US"/>
        </w:rPr>
      </w:pPr>
    </w:p>
    <w:p w14:paraId="71EA322C" w14:textId="0CE995D1" w:rsidR="005C3D9B" w:rsidRPr="006B4BF5" w:rsidRDefault="005C3D9B" w:rsidP="005C3D9B">
      <w:pPr>
        <w:adjustRightInd w:val="0"/>
        <w:snapToGrid w:val="0"/>
        <w:spacing w:line="360" w:lineRule="auto"/>
        <w:jc w:val="both"/>
        <w:outlineLvl w:val="0"/>
        <w:rPr>
          <w:rFonts w:ascii="Book Antiqua" w:hAnsi="Book Antiqua"/>
          <w:b/>
          <w:sz w:val="24"/>
          <w:szCs w:val="24"/>
          <w:lang w:val="en-US"/>
        </w:rPr>
      </w:pPr>
      <w:bookmarkStart w:id="13" w:name="OLE_LINK14"/>
      <w:bookmarkStart w:id="14" w:name="OLE_LINK16"/>
      <w:bookmarkStart w:id="15" w:name="OLE_LINK51"/>
      <w:r w:rsidRPr="006B4BF5">
        <w:rPr>
          <w:rFonts w:ascii="Book Antiqua" w:hAnsi="Book Antiqua"/>
          <w:b/>
          <w:sz w:val="24"/>
          <w:szCs w:val="24"/>
          <w:lang w:val="en-US"/>
        </w:rPr>
        <w:t xml:space="preserve">Received: </w:t>
      </w:r>
      <w:r w:rsidRPr="006B4BF5">
        <w:rPr>
          <w:rFonts w:ascii="Book Antiqua" w:hAnsi="Book Antiqua"/>
          <w:sz w:val="24"/>
          <w:szCs w:val="24"/>
          <w:lang w:val="en-US"/>
        </w:rPr>
        <w:t>September</w:t>
      </w:r>
      <w:r w:rsidRPr="006B4BF5">
        <w:rPr>
          <w:rFonts w:ascii="Book Antiqua" w:eastAsia="DengXian" w:hAnsi="Book Antiqua"/>
          <w:sz w:val="24"/>
          <w:szCs w:val="24"/>
          <w:lang w:val="en-US"/>
        </w:rPr>
        <w:t xml:space="preserve"> 4, 2018</w:t>
      </w:r>
    </w:p>
    <w:p w14:paraId="4093ACE8" w14:textId="47BDECC3" w:rsidR="005C3D9B" w:rsidRPr="006B4BF5" w:rsidRDefault="005C3D9B" w:rsidP="005C3D9B">
      <w:pPr>
        <w:adjustRightInd w:val="0"/>
        <w:snapToGrid w:val="0"/>
        <w:spacing w:line="360" w:lineRule="auto"/>
        <w:jc w:val="both"/>
        <w:outlineLvl w:val="0"/>
        <w:rPr>
          <w:rFonts w:ascii="Book Antiqua" w:eastAsia="DengXian" w:hAnsi="Book Antiqua"/>
          <w:b/>
          <w:sz w:val="24"/>
          <w:szCs w:val="24"/>
          <w:lang w:val="en-US"/>
        </w:rPr>
      </w:pPr>
      <w:r w:rsidRPr="006B4BF5">
        <w:rPr>
          <w:rFonts w:ascii="Book Antiqua" w:hAnsi="Book Antiqua"/>
          <w:b/>
          <w:sz w:val="24"/>
          <w:szCs w:val="24"/>
          <w:lang w:val="en-US"/>
        </w:rPr>
        <w:lastRenderedPageBreak/>
        <w:t>Peer-review started:</w:t>
      </w:r>
      <w:r w:rsidRPr="006B4BF5">
        <w:rPr>
          <w:rFonts w:ascii="Book Antiqua" w:eastAsia="DengXian" w:hAnsi="Book Antiqua"/>
          <w:b/>
          <w:sz w:val="24"/>
          <w:szCs w:val="24"/>
          <w:lang w:val="en-US"/>
        </w:rPr>
        <w:t xml:space="preserve"> </w:t>
      </w:r>
      <w:r w:rsidRPr="006B4BF5">
        <w:rPr>
          <w:rFonts w:ascii="Book Antiqua" w:hAnsi="Book Antiqua"/>
          <w:sz w:val="24"/>
          <w:szCs w:val="24"/>
          <w:lang w:val="en-US"/>
        </w:rPr>
        <w:t>September</w:t>
      </w:r>
      <w:r w:rsidRPr="006B4BF5">
        <w:rPr>
          <w:rFonts w:ascii="Book Antiqua" w:eastAsia="DengXian" w:hAnsi="Book Antiqua"/>
          <w:sz w:val="24"/>
          <w:szCs w:val="24"/>
          <w:lang w:val="en-US"/>
        </w:rPr>
        <w:t xml:space="preserve"> 4, 2018</w:t>
      </w:r>
    </w:p>
    <w:p w14:paraId="7C5D21E9" w14:textId="19427AA4" w:rsidR="005C3D9B" w:rsidRPr="006B4BF5" w:rsidRDefault="005C3D9B" w:rsidP="005C3D9B">
      <w:pPr>
        <w:adjustRightInd w:val="0"/>
        <w:snapToGrid w:val="0"/>
        <w:spacing w:line="360" w:lineRule="auto"/>
        <w:jc w:val="both"/>
        <w:outlineLvl w:val="0"/>
        <w:rPr>
          <w:rFonts w:ascii="Book Antiqua" w:eastAsia="DengXian" w:hAnsi="Book Antiqua"/>
          <w:b/>
          <w:sz w:val="24"/>
          <w:szCs w:val="24"/>
          <w:lang w:val="en-US"/>
        </w:rPr>
      </w:pPr>
      <w:r w:rsidRPr="006B4BF5">
        <w:rPr>
          <w:rFonts w:ascii="Book Antiqua" w:hAnsi="Book Antiqua"/>
          <w:b/>
          <w:sz w:val="24"/>
          <w:szCs w:val="24"/>
          <w:lang w:val="en-US"/>
        </w:rPr>
        <w:t>First decision:</w:t>
      </w:r>
      <w:r w:rsidRPr="006B4BF5">
        <w:rPr>
          <w:rFonts w:ascii="Book Antiqua" w:eastAsia="DengXian" w:hAnsi="Book Antiqua"/>
          <w:b/>
          <w:sz w:val="24"/>
          <w:szCs w:val="24"/>
          <w:lang w:val="en-US"/>
        </w:rPr>
        <w:t xml:space="preserve"> </w:t>
      </w:r>
      <w:r w:rsidRPr="006B4BF5">
        <w:rPr>
          <w:rFonts w:ascii="Book Antiqua" w:hAnsi="Book Antiqua"/>
          <w:sz w:val="24"/>
          <w:szCs w:val="24"/>
          <w:lang w:val="en-US"/>
        </w:rPr>
        <w:t>October</w:t>
      </w:r>
      <w:r w:rsidRPr="006B4BF5">
        <w:rPr>
          <w:rFonts w:ascii="Book Antiqua" w:eastAsia="DengXian" w:hAnsi="Book Antiqua"/>
          <w:sz w:val="24"/>
          <w:szCs w:val="24"/>
          <w:lang w:val="en-US"/>
        </w:rPr>
        <w:t xml:space="preserve"> 4, 2018</w:t>
      </w:r>
    </w:p>
    <w:p w14:paraId="1BEADB7C" w14:textId="074D23BA" w:rsidR="005C3D9B" w:rsidRPr="006B4BF5" w:rsidRDefault="005C3D9B" w:rsidP="005C3D9B">
      <w:pPr>
        <w:adjustRightInd w:val="0"/>
        <w:snapToGrid w:val="0"/>
        <w:spacing w:line="360" w:lineRule="auto"/>
        <w:jc w:val="both"/>
        <w:rPr>
          <w:rFonts w:ascii="Book Antiqua" w:hAnsi="Book Antiqua"/>
          <w:b/>
          <w:sz w:val="24"/>
          <w:szCs w:val="24"/>
          <w:lang w:val="en-US"/>
        </w:rPr>
      </w:pPr>
      <w:r w:rsidRPr="006B4BF5">
        <w:rPr>
          <w:rFonts w:ascii="Book Antiqua" w:hAnsi="Book Antiqua"/>
          <w:b/>
          <w:sz w:val="24"/>
          <w:szCs w:val="24"/>
          <w:lang w:val="en-US"/>
        </w:rPr>
        <w:t xml:space="preserve">Revised: </w:t>
      </w:r>
      <w:r w:rsidRPr="006B4BF5">
        <w:rPr>
          <w:rFonts w:ascii="Book Antiqua" w:hAnsi="Book Antiqua"/>
          <w:sz w:val="24"/>
          <w:szCs w:val="24"/>
          <w:lang w:val="en-US"/>
        </w:rPr>
        <w:t xml:space="preserve">October 31, 2018 </w:t>
      </w:r>
    </w:p>
    <w:p w14:paraId="1BF2F6FF" w14:textId="59BB29D5" w:rsidR="005C3D9B" w:rsidRPr="000E0D81" w:rsidRDefault="005C3D9B" w:rsidP="005C3D9B">
      <w:pPr>
        <w:adjustRightInd w:val="0"/>
        <w:snapToGrid w:val="0"/>
        <w:spacing w:line="360" w:lineRule="auto"/>
        <w:jc w:val="both"/>
        <w:outlineLvl w:val="0"/>
        <w:rPr>
          <w:rFonts w:ascii="Book Antiqua" w:hAnsi="Book Antiqua"/>
          <w:b/>
          <w:sz w:val="24"/>
          <w:szCs w:val="24"/>
          <w:lang w:val="en-US"/>
        </w:rPr>
      </w:pPr>
      <w:r w:rsidRPr="006B4BF5">
        <w:rPr>
          <w:rFonts w:ascii="Book Antiqua" w:hAnsi="Book Antiqua"/>
          <w:b/>
          <w:sz w:val="24"/>
          <w:szCs w:val="24"/>
          <w:lang w:val="en-US"/>
        </w:rPr>
        <w:t xml:space="preserve">Accepted: </w:t>
      </w:r>
      <w:r w:rsidR="000E0D81" w:rsidRPr="000E0D81">
        <w:rPr>
          <w:rFonts w:ascii="Book Antiqua" w:hAnsi="Book Antiqua"/>
          <w:sz w:val="24"/>
          <w:szCs w:val="24"/>
          <w:lang w:val="en-US"/>
        </w:rPr>
        <w:t>November 7, 2018</w:t>
      </w:r>
    </w:p>
    <w:p w14:paraId="52FA4B09" w14:textId="77777777" w:rsidR="005C3D9B" w:rsidRPr="006B4BF5" w:rsidRDefault="005C3D9B" w:rsidP="005C3D9B">
      <w:pPr>
        <w:adjustRightInd w:val="0"/>
        <w:snapToGrid w:val="0"/>
        <w:spacing w:line="360" w:lineRule="auto"/>
        <w:jc w:val="both"/>
        <w:outlineLvl w:val="0"/>
        <w:rPr>
          <w:rFonts w:ascii="Book Antiqua" w:hAnsi="Book Antiqua"/>
          <w:b/>
          <w:sz w:val="24"/>
          <w:szCs w:val="24"/>
          <w:lang w:val="en-US"/>
        </w:rPr>
      </w:pPr>
      <w:r w:rsidRPr="006B4BF5">
        <w:rPr>
          <w:rFonts w:ascii="Book Antiqua" w:hAnsi="Book Antiqua"/>
          <w:b/>
          <w:sz w:val="24"/>
          <w:szCs w:val="24"/>
          <w:lang w:val="en-US"/>
        </w:rPr>
        <w:t>Article in press:</w:t>
      </w:r>
    </w:p>
    <w:p w14:paraId="3560579C" w14:textId="4C0DC89F" w:rsidR="005C3D9B" w:rsidRPr="006B4BF5" w:rsidRDefault="005C3D9B" w:rsidP="005C3D9B">
      <w:pPr>
        <w:adjustRightInd w:val="0"/>
        <w:snapToGrid w:val="0"/>
        <w:spacing w:line="360" w:lineRule="auto"/>
        <w:jc w:val="both"/>
        <w:outlineLvl w:val="0"/>
        <w:rPr>
          <w:rFonts w:ascii="Book Antiqua" w:hAnsi="Book Antiqua"/>
          <w:sz w:val="24"/>
          <w:szCs w:val="24"/>
          <w:lang w:val="en-US"/>
        </w:rPr>
      </w:pPr>
      <w:r w:rsidRPr="006B4BF5">
        <w:rPr>
          <w:rFonts w:ascii="Book Antiqua" w:hAnsi="Book Antiqua"/>
          <w:b/>
          <w:sz w:val="24"/>
          <w:szCs w:val="24"/>
          <w:lang w:val="en-US"/>
        </w:rPr>
        <w:t>Published online:</w:t>
      </w:r>
      <w:bookmarkEnd w:id="13"/>
      <w:bookmarkEnd w:id="14"/>
      <w:bookmarkEnd w:id="15"/>
    </w:p>
    <w:p w14:paraId="07C0C28A" w14:textId="77777777" w:rsidR="005C3D9B" w:rsidRPr="006B4BF5" w:rsidRDefault="005C3D9B">
      <w:pPr>
        <w:rPr>
          <w:rFonts w:ascii="Book Antiqua" w:hAnsi="Book Antiqua"/>
          <w:sz w:val="24"/>
          <w:szCs w:val="24"/>
          <w:lang w:val="en-US"/>
        </w:rPr>
      </w:pPr>
      <w:r w:rsidRPr="006B4BF5">
        <w:rPr>
          <w:rFonts w:ascii="Book Antiqua" w:hAnsi="Book Antiqua"/>
          <w:sz w:val="24"/>
          <w:szCs w:val="24"/>
          <w:lang w:val="en-US"/>
        </w:rPr>
        <w:br w:type="page"/>
      </w:r>
    </w:p>
    <w:p w14:paraId="33308C75" w14:textId="47D66A81" w:rsidR="002A03B0" w:rsidRPr="006B4BF5" w:rsidRDefault="007849A1" w:rsidP="005C3D9B">
      <w:pPr>
        <w:adjustRightInd w:val="0"/>
        <w:snapToGrid w:val="0"/>
        <w:spacing w:line="360" w:lineRule="auto"/>
        <w:jc w:val="both"/>
        <w:outlineLvl w:val="0"/>
        <w:rPr>
          <w:rFonts w:ascii="Book Antiqua" w:hAnsi="Book Antiqua"/>
          <w:b/>
          <w:sz w:val="24"/>
          <w:szCs w:val="24"/>
          <w:lang w:val="en-US"/>
        </w:rPr>
      </w:pPr>
      <w:r w:rsidRPr="006B4BF5">
        <w:rPr>
          <w:rFonts w:ascii="Book Antiqua" w:hAnsi="Book Antiqua"/>
          <w:b/>
          <w:sz w:val="24"/>
          <w:szCs w:val="24"/>
          <w:lang w:val="en-US"/>
        </w:rPr>
        <w:lastRenderedPageBreak/>
        <w:t>Abstract</w:t>
      </w:r>
    </w:p>
    <w:p w14:paraId="70B42F78" w14:textId="77777777" w:rsidR="002A03B0" w:rsidRPr="006B4BF5" w:rsidRDefault="007849A1"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AIM</w:t>
      </w:r>
    </w:p>
    <w:p w14:paraId="4B8E11A5" w14:textId="0645938D" w:rsidR="002A03B0" w:rsidRPr="006B4BF5" w:rsidRDefault="007849A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To determine whether cell division cycle (Cdc)42 is regulated by mi</w:t>
      </w:r>
      <w:r w:rsidR="00A00E34" w:rsidRPr="006B4BF5">
        <w:rPr>
          <w:rFonts w:ascii="Book Antiqua" w:hAnsi="Book Antiqua"/>
          <w:sz w:val="24"/>
          <w:szCs w:val="24"/>
          <w:lang w:val="en-US"/>
        </w:rPr>
        <w:t>cro</w:t>
      </w:r>
      <w:r w:rsidRPr="006B4BF5">
        <w:rPr>
          <w:rFonts w:ascii="Book Antiqua" w:hAnsi="Book Antiqua"/>
          <w:sz w:val="24"/>
          <w:szCs w:val="24"/>
          <w:lang w:val="en-US"/>
        </w:rPr>
        <w:t>RNA (miR)-15a in development of pediatric inflammatory bowel disease (IBD).</w:t>
      </w:r>
    </w:p>
    <w:p w14:paraId="742BBD0E" w14:textId="77777777" w:rsidR="00A00E34" w:rsidRPr="006B4BF5" w:rsidRDefault="00A00E34" w:rsidP="005C3D9B">
      <w:pPr>
        <w:adjustRightInd w:val="0"/>
        <w:snapToGrid w:val="0"/>
        <w:spacing w:line="360" w:lineRule="auto"/>
        <w:jc w:val="both"/>
        <w:outlineLvl w:val="0"/>
        <w:rPr>
          <w:rFonts w:ascii="Book Antiqua" w:hAnsi="Book Antiqua"/>
          <w:sz w:val="24"/>
          <w:szCs w:val="24"/>
          <w:lang w:val="en-US"/>
        </w:rPr>
      </w:pPr>
    </w:p>
    <w:p w14:paraId="2447B4F2" w14:textId="77777777" w:rsidR="002A03B0" w:rsidRPr="006B4BF5" w:rsidRDefault="007849A1"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METHODS</w:t>
      </w:r>
    </w:p>
    <w:p w14:paraId="6DF55EC2" w14:textId="2C3754D1" w:rsidR="002A03B0" w:rsidRPr="006B4BF5" w:rsidRDefault="007849A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We cultured 293T cells, used plasmids and performed dual-luciferase assay to determine whether Cdc42 is the target gene of miR-15a. Cultured Caco-2 cells, used tumor necrosis factor (TNF)-</w:t>
      </w:r>
      <w:r w:rsidRPr="006B4BF5">
        <w:rPr>
          <w:rFonts w:ascii="Book Antiqua" w:hAnsi="Book Antiqua"/>
          <w:sz w:val="24"/>
          <w:szCs w:val="24"/>
        </w:rPr>
        <w:t>α</w:t>
      </w:r>
      <w:r w:rsidRPr="006B4BF5">
        <w:rPr>
          <w:rFonts w:ascii="Book Antiqua" w:hAnsi="Book Antiqua"/>
          <w:sz w:val="24"/>
          <w:szCs w:val="24"/>
          <w:lang w:val="en-US"/>
        </w:rPr>
        <w:t xml:space="preserve"> to stimulate cells. and employed lentiviruses to change the expression of miR-15a and Cdc42. </w:t>
      </w:r>
      <w:r w:rsidR="00965F21" w:rsidRPr="006B4BF5">
        <w:rPr>
          <w:rFonts w:ascii="Book Antiqua" w:hAnsi="Book Antiqua"/>
          <w:sz w:val="24"/>
          <w:szCs w:val="24"/>
          <w:lang w:val="en-US"/>
        </w:rPr>
        <w:t>Performed quantitative reverse transcription polymerase chain reaction (qRT-PCR) and immunofluoresce</w:t>
      </w:r>
      <w:r w:rsidR="00BB6FAC" w:rsidRPr="006B4BF5">
        <w:rPr>
          <w:rFonts w:ascii="Book Antiqua" w:hAnsi="Book Antiqua"/>
          <w:sz w:val="24"/>
          <w:szCs w:val="24"/>
          <w:lang w:val="en-US"/>
        </w:rPr>
        <w:t xml:space="preserve">nce to determine whether Cdc42 </w:t>
      </w:r>
      <w:r w:rsidR="00965F21" w:rsidRPr="006B4BF5">
        <w:rPr>
          <w:rFonts w:ascii="Book Antiqua" w:hAnsi="Book Antiqua"/>
          <w:sz w:val="24"/>
          <w:szCs w:val="24"/>
          <w:lang w:val="en-US"/>
        </w:rPr>
        <w:t>i</w:t>
      </w:r>
      <w:r w:rsidR="007C6B20" w:rsidRPr="006B4BF5">
        <w:rPr>
          <w:rFonts w:ascii="Book Antiqua" w:hAnsi="Book Antiqua"/>
          <w:sz w:val="24"/>
          <w:szCs w:val="24"/>
          <w:lang w:val="en-US"/>
        </w:rPr>
        <w:t>s regulated by miR-15a in cells</w:t>
      </w:r>
      <w:r w:rsidR="00965F21" w:rsidRPr="006B4BF5">
        <w:rPr>
          <w:rFonts w:ascii="Book Antiqua" w:hAnsi="Book Antiqua"/>
          <w:sz w:val="24"/>
          <w:szCs w:val="24"/>
          <w:lang w:val="en-US"/>
        </w:rPr>
        <w:t xml:space="preserve">. </w:t>
      </w:r>
      <w:r w:rsidRPr="006B4BF5">
        <w:rPr>
          <w:rFonts w:ascii="Book Antiqua" w:hAnsi="Book Antiqua"/>
          <w:sz w:val="24"/>
          <w:szCs w:val="24"/>
          <w:lang w:val="en-US"/>
        </w:rPr>
        <w:t xml:space="preserve">Collected Ileocecal tissue by endoscopy from patients. Performed qRT-PCR to disclose the the expression of miR-15a and </w:t>
      </w:r>
      <w:r w:rsidR="007C6B20" w:rsidRPr="006B4BF5">
        <w:rPr>
          <w:rFonts w:ascii="Book Antiqua" w:hAnsi="Book Antiqua"/>
          <w:sz w:val="24"/>
          <w:szCs w:val="24"/>
          <w:lang w:val="en-US"/>
        </w:rPr>
        <w:t>Cdc42 in pediatric IBD patients</w:t>
      </w:r>
      <w:r w:rsidRPr="006B4BF5">
        <w:rPr>
          <w:rFonts w:ascii="Book Antiqua" w:hAnsi="Book Antiqua"/>
          <w:sz w:val="24"/>
          <w:szCs w:val="24"/>
          <w:lang w:val="en-US"/>
        </w:rPr>
        <w:t>.</w:t>
      </w:r>
    </w:p>
    <w:p w14:paraId="6095AD15" w14:textId="77777777" w:rsidR="00A00E34" w:rsidRPr="006B4BF5" w:rsidRDefault="00A00E34" w:rsidP="005C3D9B">
      <w:pPr>
        <w:adjustRightInd w:val="0"/>
        <w:snapToGrid w:val="0"/>
        <w:spacing w:line="360" w:lineRule="auto"/>
        <w:jc w:val="both"/>
        <w:outlineLvl w:val="0"/>
        <w:rPr>
          <w:rFonts w:ascii="Book Antiqua" w:hAnsi="Book Antiqua"/>
          <w:sz w:val="24"/>
          <w:szCs w:val="24"/>
          <w:lang w:val="en-US"/>
        </w:rPr>
      </w:pPr>
    </w:p>
    <w:p w14:paraId="7941372D" w14:textId="77777777" w:rsidR="002A03B0" w:rsidRPr="006B4BF5" w:rsidRDefault="007849A1"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RESULTS</w:t>
      </w:r>
    </w:p>
    <w:p w14:paraId="34784CB5" w14:textId="0EEA9C0D" w:rsidR="002A03B0" w:rsidRPr="006B4BF5" w:rsidRDefault="007849A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Target</w:t>
      </w:r>
      <w:r w:rsidR="00A00E34" w:rsidRPr="006B4BF5">
        <w:rPr>
          <w:rFonts w:ascii="Book Antiqua" w:hAnsi="Book Antiqua"/>
          <w:sz w:val="24"/>
          <w:szCs w:val="24"/>
          <w:lang w:val="en-US"/>
        </w:rPr>
        <w:t xml:space="preserve"> </w:t>
      </w:r>
      <w:r w:rsidRPr="006B4BF5">
        <w:rPr>
          <w:rFonts w:ascii="Book Antiqua" w:hAnsi="Book Antiqua"/>
          <w:sz w:val="24"/>
          <w:szCs w:val="24"/>
          <w:lang w:val="en-US"/>
        </w:rPr>
        <w:t>Scan and dual-luciferase assay revealed that Cdc42 was the target gene o</w:t>
      </w:r>
      <w:r w:rsidR="00A00E34" w:rsidRPr="006B4BF5">
        <w:rPr>
          <w:rFonts w:ascii="Book Antiqua" w:hAnsi="Book Antiqua"/>
          <w:sz w:val="24"/>
          <w:szCs w:val="24"/>
          <w:lang w:val="en-US"/>
        </w:rPr>
        <w:t>f miR-15a. M</w:t>
      </w:r>
      <w:r w:rsidRPr="006B4BF5">
        <w:rPr>
          <w:rFonts w:ascii="Book Antiqua" w:hAnsi="Book Antiqua"/>
          <w:sz w:val="24"/>
          <w:szCs w:val="24"/>
          <w:lang w:val="en-US"/>
        </w:rPr>
        <w:t>iR-15a increased (</w:t>
      </w:r>
      <w:r w:rsidRPr="006B4BF5">
        <w:rPr>
          <w:rFonts w:ascii="Book Antiqua" w:hAnsi="Book Antiqua"/>
          <w:i/>
          <w:sz w:val="24"/>
          <w:szCs w:val="24"/>
          <w:lang w:val="en-US"/>
        </w:rPr>
        <w:t xml:space="preserve">P </w:t>
      </w:r>
      <w:r w:rsidRPr="006B4BF5">
        <w:rPr>
          <w:rFonts w:ascii="Book Antiqua" w:hAnsi="Book Antiqua"/>
          <w:sz w:val="24"/>
          <w:szCs w:val="24"/>
          <w:lang w:val="en-US"/>
        </w:rPr>
        <w:t>= 0.0038) and Cdc42 decreased (</w:t>
      </w:r>
      <w:r w:rsidRPr="006B4BF5">
        <w:rPr>
          <w:rFonts w:ascii="Book Antiqua" w:hAnsi="Book Antiqua"/>
          <w:i/>
          <w:sz w:val="24"/>
          <w:szCs w:val="24"/>
          <w:lang w:val="en-US"/>
        </w:rPr>
        <w:t>P</w:t>
      </w:r>
      <w:r w:rsidRPr="006B4BF5">
        <w:rPr>
          <w:rFonts w:ascii="Book Antiqua" w:hAnsi="Book Antiqua"/>
          <w:sz w:val="24"/>
          <w:szCs w:val="24"/>
          <w:lang w:val="en-US"/>
        </w:rPr>
        <w:t xml:space="preserve"> = 0.0013) in cells stimulated by TNF-</w:t>
      </w:r>
      <w:r w:rsidRPr="006B4BF5">
        <w:rPr>
          <w:rFonts w:ascii="Book Antiqua" w:hAnsi="Book Antiqua"/>
          <w:sz w:val="24"/>
          <w:szCs w:val="24"/>
        </w:rPr>
        <w:t>α</w:t>
      </w:r>
      <w:r w:rsidRPr="006B4BF5">
        <w:rPr>
          <w:rFonts w:ascii="Book Antiqua" w:hAnsi="Book Antiqua"/>
          <w:sz w:val="24"/>
          <w:szCs w:val="24"/>
          <w:lang w:val="en-US"/>
        </w:rPr>
        <w:t xml:space="preserve">, and the epithelial junction proteins </w:t>
      </w:r>
      <w:bookmarkStart w:id="16" w:name="OLE_LINK36"/>
      <w:bookmarkStart w:id="17" w:name="OLE_LINK37"/>
      <w:r w:rsidRPr="006B4BF5">
        <w:rPr>
          <w:rFonts w:ascii="Book Antiqua" w:hAnsi="Book Antiqua"/>
          <w:sz w:val="24"/>
          <w:szCs w:val="24"/>
          <w:lang w:val="en-US"/>
        </w:rPr>
        <w:t>zona occludens (ZO)-1</w:t>
      </w:r>
      <w:bookmarkEnd w:id="16"/>
      <w:bookmarkEnd w:id="17"/>
      <w:r w:rsidRPr="006B4BF5">
        <w:rPr>
          <w:rFonts w:ascii="Book Antiqua" w:hAnsi="Book Antiqua"/>
          <w:sz w:val="24"/>
          <w:szCs w:val="24"/>
          <w:lang w:val="en-US"/>
        </w:rPr>
        <w:t xml:space="preserve"> (</w:t>
      </w:r>
      <w:r w:rsidRPr="006B4BF5">
        <w:rPr>
          <w:rFonts w:ascii="Book Antiqua" w:hAnsi="Book Antiqua"/>
          <w:i/>
          <w:sz w:val="24"/>
          <w:szCs w:val="24"/>
          <w:lang w:val="en-US"/>
        </w:rPr>
        <w:t>P</w:t>
      </w:r>
      <w:r w:rsidRPr="006B4BF5">
        <w:rPr>
          <w:rFonts w:ascii="Book Antiqua" w:hAnsi="Book Antiqua"/>
          <w:sz w:val="24"/>
          <w:szCs w:val="24"/>
          <w:lang w:val="en-US"/>
        </w:rPr>
        <w:t xml:space="preserve"> &lt; 0.05) and E-cadherin (</w:t>
      </w:r>
      <w:r w:rsidRPr="006B4BF5">
        <w:rPr>
          <w:rFonts w:ascii="Book Antiqua" w:hAnsi="Book Antiqua"/>
          <w:i/>
          <w:sz w:val="24"/>
          <w:szCs w:val="24"/>
          <w:lang w:val="en-US"/>
        </w:rPr>
        <w:t>P</w:t>
      </w:r>
      <w:r w:rsidRPr="006B4BF5">
        <w:rPr>
          <w:rFonts w:ascii="Book Antiqua" w:hAnsi="Book Antiqua"/>
          <w:sz w:val="24"/>
          <w:szCs w:val="24"/>
          <w:lang w:val="en-US"/>
        </w:rPr>
        <w:t xml:space="preserve"> &lt; 0.001) decreased. Cdc42 decreased in the miR-15a mimic cells (</w:t>
      </w:r>
      <w:r w:rsidRPr="006B4BF5">
        <w:rPr>
          <w:rFonts w:ascii="Book Antiqua" w:hAnsi="Book Antiqua"/>
          <w:i/>
          <w:sz w:val="24"/>
          <w:szCs w:val="24"/>
          <w:lang w:val="en-US"/>
        </w:rPr>
        <w:t>P</w:t>
      </w:r>
      <w:r w:rsidRPr="006B4BF5">
        <w:rPr>
          <w:rFonts w:ascii="Book Antiqua" w:hAnsi="Book Antiqua"/>
          <w:sz w:val="24"/>
          <w:szCs w:val="24"/>
          <w:lang w:val="en-US"/>
        </w:rPr>
        <w:t xml:space="preserve"> &lt; 0.001) and increased in the miR-15a inhibitor cells (</w:t>
      </w:r>
      <w:r w:rsidRPr="006B4BF5">
        <w:rPr>
          <w:rFonts w:ascii="Book Antiqua" w:hAnsi="Book Antiqua"/>
          <w:i/>
          <w:sz w:val="24"/>
          <w:szCs w:val="24"/>
          <w:lang w:val="en-US"/>
        </w:rPr>
        <w:t xml:space="preserve">P </w:t>
      </w:r>
      <w:r w:rsidRPr="006B4BF5">
        <w:rPr>
          <w:rFonts w:ascii="Book Antiqua" w:hAnsi="Book Antiqua"/>
          <w:sz w:val="24"/>
          <w:szCs w:val="24"/>
          <w:lang w:val="en-US"/>
        </w:rPr>
        <w:t>&lt; 0.05). ZO-1 and E-cadherin decreased in miR-15a mimic cells (</w:t>
      </w:r>
      <w:r w:rsidRPr="006B4BF5">
        <w:rPr>
          <w:rFonts w:ascii="Book Antiqua" w:hAnsi="Book Antiqua"/>
          <w:i/>
          <w:sz w:val="24"/>
          <w:szCs w:val="24"/>
          <w:lang w:val="en-US"/>
        </w:rPr>
        <w:t>P</w:t>
      </w:r>
      <w:r w:rsidRPr="006B4BF5">
        <w:rPr>
          <w:rFonts w:ascii="Book Antiqua" w:hAnsi="Book Antiqua"/>
          <w:sz w:val="24"/>
          <w:szCs w:val="24"/>
          <w:lang w:val="en-US"/>
        </w:rPr>
        <w:t xml:space="preserve"> &lt; 0.001) but not in the miR-15a inhibitor + TNF-</w:t>
      </w:r>
      <w:r w:rsidRPr="006B4BF5">
        <w:rPr>
          <w:rFonts w:ascii="Book Antiqua" w:hAnsi="Book Antiqua"/>
          <w:sz w:val="24"/>
          <w:szCs w:val="24"/>
        </w:rPr>
        <w:t>α</w:t>
      </w:r>
      <w:r w:rsidRPr="006B4BF5">
        <w:rPr>
          <w:rFonts w:ascii="Book Antiqua" w:hAnsi="Book Antiqua"/>
          <w:sz w:val="24"/>
          <w:szCs w:val="24"/>
          <w:lang w:val="en-US"/>
        </w:rPr>
        <w:t xml:space="preserve"> cells. In Lv-Cdc42 + TNF-</w:t>
      </w:r>
      <w:r w:rsidRPr="006B4BF5">
        <w:rPr>
          <w:rFonts w:ascii="Book Antiqua" w:hAnsi="Book Antiqua"/>
          <w:sz w:val="24"/>
          <w:szCs w:val="24"/>
        </w:rPr>
        <w:t>α</w:t>
      </w:r>
      <w:r w:rsidRPr="006B4BF5">
        <w:rPr>
          <w:rFonts w:ascii="Book Antiqua" w:hAnsi="Book Antiqua"/>
          <w:sz w:val="24"/>
          <w:szCs w:val="24"/>
          <w:lang w:val="en-US"/>
        </w:rPr>
        <w:t xml:space="preserve"> cells, ZO-1 and E-cadherin increased compared with the</w:t>
      </w:r>
      <w:r w:rsidR="00A00E34" w:rsidRPr="006B4BF5">
        <w:rPr>
          <w:rFonts w:ascii="Book Antiqua" w:hAnsi="Book Antiqua"/>
          <w:sz w:val="24"/>
          <w:szCs w:val="24"/>
          <w:lang w:val="en-US"/>
        </w:rPr>
        <w:t xml:space="preserve"> </w:t>
      </w:r>
      <w:r w:rsidRPr="006B4BF5">
        <w:rPr>
          <w:rFonts w:ascii="Book Antiqua" w:hAnsi="Book Antiqua"/>
          <w:sz w:val="24"/>
          <w:szCs w:val="24"/>
          <w:lang w:val="en-US"/>
        </w:rPr>
        <w:t>Lv-Cdc42-NC</w:t>
      </w:r>
      <w:r w:rsidR="00A00E34" w:rsidRPr="006B4BF5">
        <w:rPr>
          <w:rFonts w:ascii="Book Antiqua" w:hAnsi="Book Antiqua"/>
          <w:sz w:val="24"/>
          <w:szCs w:val="24"/>
          <w:lang w:val="en-US"/>
        </w:rPr>
        <w:t xml:space="preserve"> </w:t>
      </w:r>
      <w:r w:rsidRPr="006B4BF5">
        <w:rPr>
          <w:rFonts w:ascii="Book Antiqua" w:hAnsi="Book Antiqua"/>
          <w:sz w:val="24"/>
          <w:szCs w:val="24"/>
          <w:lang w:val="en-US"/>
        </w:rPr>
        <w:t>+</w:t>
      </w:r>
      <w:r w:rsidR="00A00E34" w:rsidRPr="006B4BF5">
        <w:rPr>
          <w:rFonts w:ascii="Book Antiqua" w:hAnsi="Book Antiqua"/>
          <w:sz w:val="24"/>
          <w:szCs w:val="24"/>
          <w:lang w:val="en-US"/>
        </w:rPr>
        <w:t xml:space="preserve"> </w:t>
      </w:r>
      <w:r w:rsidRPr="006B4BF5">
        <w:rPr>
          <w:rFonts w:ascii="Book Antiqua" w:hAnsi="Book Antiqua"/>
          <w:sz w:val="24"/>
          <w:szCs w:val="24"/>
          <w:lang w:val="en-US"/>
        </w:rPr>
        <w:t>TNF-</w:t>
      </w:r>
      <w:r w:rsidRPr="006B4BF5">
        <w:rPr>
          <w:rFonts w:ascii="Book Antiqua" w:hAnsi="Book Antiqua"/>
          <w:sz w:val="24"/>
          <w:szCs w:val="24"/>
        </w:rPr>
        <w:t>α</w:t>
      </w:r>
      <w:r w:rsidRPr="006B4BF5">
        <w:rPr>
          <w:rFonts w:ascii="Book Antiqua" w:hAnsi="Book Antiqua"/>
          <w:sz w:val="24"/>
          <w:szCs w:val="24"/>
          <w:lang w:val="en-US"/>
        </w:rPr>
        <w:t xml:space="preserve"> (</w:t>
      </w:r>
      <w:r w:rsidRPr="006B4BF5">
        <w:rPr>
          <w:rFonts w:ascii="Book Antiqua" w:hAnsi="Book Antiqua"/>
          <w:i/>
          <w:sz w:val="24"/>
          <w:szCs w:val="24"/>
          <w:lang w:val="en-US"/>
        </w:rPr>
        <w:t xml:space="preserve">P </w:t>
      </w:r>
      <w:r w:rsidRPr="006B4BF5">
        <w:rPr>
          <w:rFonts w:ascii="Book Antiqua" w:hAnsi="Book Antiqua"/>
          <w:sz w:val="24"/>
          <w:szCs w:val="24"/>
          <w:lang w:val="en-US"/>
        </w:rPr>
        <w:t>&lt; 0.05) or miR-15a mimic cells (</w:t>
      </w:r>
      <w:r w:rsidRPr="006B4BF5">
        <w:rPr>
          <w:rFonts w:ascii="Book Antiqua" w:hAnsi="Book Antiqua"/>
          <w:i/>
          <w:sz w:val="24"/>
          <w:szCs w:val="24"/>
          <w:lang w:val="en-US"/>
        </w:rPr>
        <w:t>P</w:t>
      </w:r>
      <w:r w:rsidRPr="006B4BF5">
        <w:rPr>
          <w:rFonts w:ascii="Book Antiqua" w:hAnsi="Book Antiqua"/>
          <w:sz w:val="24"/>
          <w:szCs w:val="24"/>
          <w:lang w:val="en-US"/>
        </w:rPr>
        <w:t xml:space="preserve"> &lt; 0.05). Fifty-four pediatric IBD patients were included in this study, 21 in control group, 19 in the Crohn’s disease (CD) </w:t>
      </w:r>
      <w:r w:rsidR="00A00E34" w:rsidRPr="006B4BF5">
        <w:rPr>
          <w:rFonts w:ascii="Book Antiqua" w:hAnsi="Book Antiqua"/>
          <w:sz w:val="24"/>
          <w:szCs w:val="24"/>
          <w:lang w:val="en-US"/>
        </w:rPr>
        <w:t xml:space="preserve">active </w:t>
      </w:r>
      <w:r w:rsidRPr="006B4BF5">
        <w:rPr>
          <w:rFonts w:ascii="Book Antiqua" w:hAnsi="Book Antiqua"/>
          <w:sz w:val="24"/>
          <w:szCs w:val="24"/>
          <w:lang w:val="en-US"/>
        </w:rPr>
        <w:t>(</w:t>
      </w:r>
      <w:r w:rsidR="00A00E34" w:rsidRPr="006B4BF5">
        <w:rPr>
          <w:rFonts w:ascii="Book Antiqua" w:hAnsi="Book Antiqua"/>
          <w:sz w:val="24"/>
          <w:szCs w:val="24"/>
          <w:lang w:val="en-US"/>
        </w:rPr>
        <w:t>AC</w:t>
      </w:r>
      <w:r w:rsidRPr="006B4BF5">
        <w:rPr>
          <w:rFonts w:ascii="Book Antiqua" w:hAnsi="Book Antiqua"/>
          <w:sz w:val="24"/>
          <w:szCs w:val="24"/>
          <w:lang w:val="en-US"/>
        </w:rPr>
        <w:t xml:space="preserve">) group, seven in the CD </w:t>
      </w:r>
      <w:r w:rsidR="00A00E34" w:rsidRPr="006B4BF5">
        <w:rPr>
          <w:rFonts w:ascii="Book Antiqua" w:hAnsi="Book Antiqua"/>
          <w:sz w:val="24"/>
          <w:szCs w:val="24"/>
          <w:lang w:val="en-US"/>
        </w:rPr>
        <w:t xml:space="preserve">remission </w:t>
      </w:r>
      <w:r w:rsidRPr="006B4BF5">
        <w:rPr>
          <w:rFonts w:ascii="Book Antiqua" w:hAnsi="Book Antiqua"/>
          <w:sz w:val="24"/>
          <w:szCs w:val="24"/>
          <w:lang w:val="en-US"/>
        </w:rPr>
        <w:t>(</w:t>
      </w:r>
      <w:r w:rsidR="00A00E34" w:rsidRPr="006B4BF5">
        <w:rPr>
          <w:rFonts w:ascii="Book Antiqua" w:hAnsi="Book Antiqua"/>
          <w:sz w:val="24"/>
          <w:szCs w:val="24"/>
          <w:lang w:val="en-US"/>
        </w:rPr>
        <w:t>RE</w:t>
      </w:r>
      <w:r w:rsidRPr="006B4BF5">
        <w:rPr>
          <w:rFonts w:ascii="Book Antiqua" w:hAnsi="Book Antiqua"/>
          <w:sz w:val="24"/>
          <w:szCs w:val="24"/>
          <w:lang w:val="en-US"/>
        </w:rPr>
        <w:t xml:space="preserve">) group, and seven in the </w:t>
      </w:r>
      <w:bookmarkStart w:id="18" w:name="OLE_LINK30"/>
      <w:bookmarkStart w:id="19" w:name="OLE_LINK31"/>
      <w:r w:rsidR="00A00E34" w:rsidRPr="006B4BF5">
        <w:rPr>
          <w:rFonts w:ascii="Book Antiqua" w:hAnsi="Book Antiqua"/>
          <w:sz w:val="24"/>
          <w:szCs w:val="24"/>
          <w:lang w:val="en-US"/>
        </w:rPr>
        <w:t>ulcerative colitis (UC)</w:t>
      </w:r>
      <w:bookmarkEnd w:id="18"/>
      <w:bookmarkEnd w:id="19"/>
      <w:r w:rsidR="00A00E34" w:rsidRPr="006B4BF5">
        <w:rPr>
          <w:rFonts w:ascii="Book Antiqua" w:hAnsi="Book Antiqua"/>
          <w:sz w:val="24"/>
          <w:szCs w:val="24"/>
          <w:lang w:val="en-US"/>
        </w:rPr>
        <w:t xml:space="preserve"> group. M</w:t>
      </w:r>
      <w:r w:rsidRPr="006B4BF5">
        <w:rPr>
          <w:rFonts w:ascii="Book Antiqua" w:hAnsi="Book Antiqua"/>
          <w:sz w:val="24"/>
          <w:szCs w:val="24"/>
          <w:lang w:val="en-US"/>
        </w:rPr>
        <w:t>iR-15a increased and Cdc42 decreased in the CD AC group compared with the control group (</w:t>
      </w:r>
      <w:r w:rsidRPr="006B4BF5">
        <w:rPr>
          <w:rFonts w:ascii="Book Antiqua" w:hAnsi="Book Antiqua"/>
          <w:i/>
          <w:sz w:val="24"/>
          <w:szCs w:val="24"/>
          <w:lang w:val="en-US"/>
        </w:rPr>
        <w:t>P</w:t>
      </w:r>
      <w:r w:rsidRPr="006B4BF5">
        <w:rPr>
          <w:rFonts w:ascii="Book Antiqua" w:hAnsi="Book Antiqua"/>
          <w:sz w:val="24"/>
          <w:szCs w:val="24"/>
          <w:lang w:val="en-US"/>
        </w:rPr>
        <w:t xml:space="preserve"> &lt; 0.05). miR-15a decreased and Cdc42 increased in the CD RE group compared with CD AC group (</w:t>
      </w:r>
      <w:r w:rsidRPr="006B4BF5">
        <w:rPr>
          <w:rFonts w:ascii="Book Antiqua" w:hAnsi="Book Antiqua"/>
          <w:i/>
          <w:sz w:val="24"/>
          <w:szCs w:val="24"/>
          <w:lang w:val="en-US"/>
        </w:rPr>
        <w:t xml:space="preserve">P </w:t>
      </w:r>
      <w:r w:rsidRPr="006B4BF5">
        <w:rPr>
          <w:rFonts w:ascii="Book Antiqua" w:hAnsi="Book Antiqua"/>
          <w:sz w:val="24"/>
          <w:szCs w:val="24"/>
          <w:lang w:val="en-US"/>
        </w:rPr>
        <w:t xml:space="preserve">&lt; 0.05). miR-15a was positively correlated with Pediatric </w:t>
      </w:r>
      <w:r w:rsidR="0060495B" w:rsidRPr="006B4BF5">
        <w:rPr>
          <w:rFonts w:ascii="Book Antiqua" w:hAnsi="Book Antiqua"/>
          <w:sz w:val="24"/>
          <w:szCs w:val="24"/>
          <w:lang w:val="en-US"/>
        </w:rPr>
        <w:t>Crohn’s disease</w:t>
      </w:r>
      <w:r w:rsidRPr="006B4BF5">
        <w:rPr>
          <w:rFonts w:ascii="Book Antiqua" w:hAnsi="Book Antiqua"/>
          <w:sz w:val="24"/>
          <w:szCs w:val="24"/>
          <w:lang w:val="en-US"/>
        </w:rPr>
        <w:t xml:space="preserve"> </w:t>
      </w:r>
      <w:r w:rsidRPr="006B4BF5">
        <w:rPr>
          <w:rFonts w:ascii="Book Antiqua" w:hAnsi="Book Antiqua"/>
          <w:sz w:val="24"/>
          <w:szCs w:val="24"/>
          <w:lang w:val="en-US"/>
        </w:rPr>
        <w:lastRenderedPageBreak/>
        <w:t>Activity Index (PCDAI) (</w:t>
      </w:r>
      <w:r w:rsidRPr="006B4BF5">
        <w:rPr>
          <w:rFonts w:ascii="Book Antiqua" w:hAnsi="Book Antiqua"/>
          <w:i/>
          <w:sz w:val="24"/>
          <w:szCs w:val="24"/>
          <w:lang w:val="en-US"/>
        </w:rPr>
        <w:t xml:space="preserve">P </w:t>
      </w:r>
      <w:r w:rsidRPr="006B4BF5">
        <w:rPr>
          <w:rFonts w:ascii="Book Antiqua" w:hAnsi="Book Antiqua"/>
          <w:sz w:val="24"/>
          <w:szCs w:val="24"/>
          <w:lang w:val="en-US"/>
        </w:rPr>
        <w:t>= 0.006), Cdc42 was negatively correlated with PCDAI (</w:t>
      </w:r>
      <w:r w:rsidRPr="006B4BF5">
        <w:rPr>
          <w:rFonts w:ascii="Book Antiqua" w:hAnsi="Book Antiqua"/>
          <w:i/>
          <w:sz w:val="24"/>
          <w:szCs w:val="24"/>
          <w:lang w:val="en-US"/>
        </w:rPr>
        <w:t>P</w:t>
      </w:r>
      <w:r w:rsidRPr="006B4BF5">
        <w:rPr>
          <w:rFonts w:ascii="Book Antiqua" w:hAnsi="Book Antiqua"/>
          <w:sz w:val="24"/>
          <w:szCs w:val="24"/>
          <w:lang w:val="en-US"/>
        </w:rPr>
        <w:t xml:space="preserve"> = 0.0008), and miR-15a was negatively correlated with Cdc42 in pediatric IBD patients (</w:t>
      </w:r>
      <w:r w:rsidRPr="006B4BF5">
        <w:rPr>
          <w:rFonts w:ascii="Book Antiqua" w:hAnsi="Book Antiqua"/>
          <w:i/>
          <w:sz w:val="24"/>
          <w:szCs w:val="24"/>
          <w:lang w:val="en-US"/>
        </w:rPr>
        <w:t>P</w:t>
      </w:r>
      <w:r w:rsidRPr="006B4BF5">
        <w:rPr>
          <w:rFonts w:ascii="Book Antiqua" w:hAnsi="Book Antiqua"/>
          <w:sz w:val="24"/>
          <w:szCs w:val="24"/>
          <w:lang w:val="en-US"/>
        </w:rPr>
        <w:t xml:space="preserve"> = 0.0045).</w:t>
      </w:r>
    </w:p>
    <w:p w14:paraId="7C8CB641" w14:textId="77777777" w:rsidR="00A00E34" w:rsidRPr="006B4BF5" w:rsidRDefault="00A00E34" w:rsidP="005C3D9B">
      <w:pPr>
        <w:adjustRightInd w:val="0"/>
        <w:snapToGrid w:val="0"/>
        <w:spacing w:line="360" w:lineRule="auto"/>
        <w:jc w:val="both"/>
        <w:outlineLvl w:val="0"/>
        <w:rPr>
          <w:rFonts w:ascii="Book Antiqua" w:hAnsi="Book Antiqua"/>
          <w:sz w:val="24"/>
          <w:szCs w:val="24"/>
          <w:lang w:val="en-US"/>
        </w:rPr>
      </w:pPr>
    </w:p>
    <w:p w14:paraId="06237D78" w14:textId="77777777" w:rsidR="002A03B0" w:rsidRPr="006B4BF5" w:rsidRDefault="007849A1"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CONCLUSION</w:t>
      </w:r>
    </w:p>
    <w:p w14:paraId="1A912389" w14:textId="6ACC5C1A" w:rsidR="002A03B0" w:rsidRPr="006B4BF5" w:rsidRDefault="00A00E34"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M</w:t>
      </w:r>
      <w:r w:rsidR="007849A1" w:rsidRPr="006B4BF5">
        <w:rPr>
          <w:rFonts w:ascii="Book Antiqua" w:hAnsi="Book Antiqua"/>
          <w:sz w:val="24"/>
          <w:szCs w:val="24"/>
          <w:lang w:val="en-US"/>
        </w:rPr>
        <w:t>iR-15a negatively regulates epithelial junctions through Cdc42 in Caco-2 cells and pediatric IBD patients.</w:t>
      </w:r>
    </w:p>
    <w:p w14:paraId="45D1FB3A" w14:textId="77777777" w:rsidR="00A00E34" w:rsidRPr="006B4BF5" w:rsidRDefault="00A00E34" w:rsidP="007B12C8">
      <w:pPr>
        <w:adjustRightInd w:val="0"/>
        <w:snapToGrid w:val="0"/>
        <w:spacing w:line="360" w:lineRule="auto"/>
        <w:jc w:val="both"/>
        <w:rPr>
          <w:rFonts w:ascii="Book Antiqua" w:hAnsi="Book Antiqua"/>
          <w:sz w:val="24"/>
          <w:szCs w:val="24"/>
          <w:lang w:val="en-US"/>
        </w:rPr>
      </w:pPr>
    </w:p>
    <w:p w14:paraId="4D0D086C" w14:textId="3E6E8751" w:rsidR="002A03B0" w:rsidRPr="006B4BF5" w:rsidRDefault="007849A1" w:rsidP="007B12C8">
      <w:pPr>
        <w:adjustRightInd w:val="0"/>
        <w:snapToGrid w:val="0"/>
        <w:spacing w:line="360" w:lineRule="auto"/>
        <w:jc w:val="both"/>
        <w:rPr>
          <w:rFonts w:ascii="Book Antiqua" w:hAnsi="Book Antiqua"/>
          <w:sz w:val="24"/>
          <w:szCs w:val="24"/>
          <w:lang w:val="en-US"/>
        </w:rPr>
      </w:pPr>
      <w:r w:rsidRPr="006B4BF5">
        <w:rPr>
          <w:rFonts w:ascii="Book Antiqua" w:hAnsi="Book Antiqua"/>
          <w:b/>
          <w:sz w:val="24"/>
          <w:szCs w:val="24"/>
          <w:lang w:val="en-US"/>
        </w:rPr>
        <w:t>Key words:</w:t>
      </w:r>
      <w:r w:rsidRPr="006B4BF5">
        <w:rPr>
          <w:rFonts w:ascii="Book Antiqua" w:hAnsi="Book Antiqua"/>
          <w:sz w:val="24"/>
          <w:szCs w:val="24"/>
          <w:lang w:val="en-US"/>
        </w:rPr>
        <w:t xml:space="preserve"> </w:t>
      </w:r>
      <w:bookmarkStart w:id="20" w:name="OLE_LINK53"/>
      <w:r w:rsidRPr="006B4BF5">
        <w:rPr>
          <w:rFonts w:ascii="Book Antiqua" w:hAnsi="Book Antiqua"/>
          <w:sz w:val="24"/>
          <w:szCs w:val="24"/>
          <w:lang w:val="en-US"/>
        </w:rPr>
        <w:t xml:space="preserve">Pediatric inflammatory bowel disease; </w:t>
      </w:r>
      <w:r w:rsidR="00A00E34" w:rsidRPr="006B4BF5">
        <w:rPr>
          <w:rFonts w:ascii="Book Antiqua" w:hAnsi="Book Antiqua"/>
          <w:sz w:val="24"/>
          <w:szCs w:val="24"/>
          <w:lang w:val="en-US"/>
        </w:rPr>
        <w:t>Micro</w:t>
      </w:r>
      <w:r w:rsidR="0053118D" w:rsidRPr="006B4BF5">
        <w:rPr>
          <w:rFonts w:ascii="Book Antiqua" w:hAnsi="Book Antiqua"/>
          <w:sz w:val="24"/>
          <w:szCs w:val="24"/>
          <w:lang w:val="en-US"/>
        </w:rPr>
        <w:t>RNA-15a</w:t>
      </w:r>
      <w:r w:rsidRPr="006B4BF5">
        <w:rPr>
          <w:rFonts w:ascii="Book Antiqua" w:hAnsi="Book Antiqua"/>
          <w:sz w:val="24"/>
          <w:szCs w:val="24"/>
          <w:lang w:val="en-US"/>
        </w:rPr>
        <w:t xml:space="preserve">; </w:t>
      </w:r>
      <w:r w:rsidR="00A00E34" w:rsidRPr="006B4BF5">
        <w:rPr>
          <w:rFonts w:ascii="Book Antiqua" w:hAnsi="Book Antiqua"/>
          <w:sz w:val="24"/>
          <w:szCs w:val="24"/>
          <w:lang w:val="en-US"/>
        </w:rPr>
        <w:t>Cell division cycle 42;</w:t>
      </w:r>
      <w:r w:rsidR="0053118D" w:rsidRPr="006B4BF5">
        <w:rPr>
          <w:rFonts w:ascii="Book Antiqua" w:hAnsi="Book Antiqua"/>
          <w:sz w:val="24"/>
          <w:szCs w:val="24"/>
          <w:lang w:val="en-US"/>
        </w:rPr>
        <w:t xml:space="preserve"> </w:t>
      </w:r>
      <w:r w:rsidR="00A00E34" w:rsidRPr="006B4BF5">
        <w:rPr>
          <w:rFonts w:ascii="Book Antiqua" w:hAnsi="Book Antiqua"/>
          <w:sz w:val="24"/>
          <w:szCs w:val="24"/>
          <w:lang w:val="en-US"/>
        </w:rPr>
        <w:t>Zona occludens-1;</w:t>
      </w:r>
      <w:r w:rsidRPr="006B4BF5">
        <w:rPr>
          <w:rFonts w:ascii="Book Antiqua" w:hAnsi="Book Antiqua"/>
          <w:sz w:val="24"/>
          <w:szCs w:val="24"/>
          <w:lang w:val="en-US"/>
        </w:rPr>
        <w:t xml:space="preserve"> E-cadherin</w:t>
      </w:r>
      <w:bookmarkEnd w:id="20"/>
    </w:p>
    <w:p w14:paraId="314A1348" w14:textId="77777777" w:rsidR="00A00E34" w:rsidRPr="006B4BF5" w:rsidRDefault="00A00E34" w:rsidP="00A00E34">
      <w:pPr>
        <w:adjustRightInd w:val="0"/>
        <w:snapToGrid w:val="0"/>
        <w:spacing w:line="360" w:lineRule="auto"/>
        <w:jc w:val="both"/>
        <w:rPr>
          <w:rFonts w:ascii="Book Antiqua" w:hAnsi="Book Antiqua"/>
          <w:sz w:val="24"/>
          <w:szCs w:val="24"/>
          <w:lang w:val="en-US"/>
        </w:rPr>
      </w:pPr>
    </w:p>
    <w:p w14:paraId="7FF42C73" w14:textId="77777777" w:rsidR="00A00E34" w:rsidRPr="006B4BF5" w:rsidRDefault="00A00E34" w:rsidP="00A00E34">
      <w:pPr>
        <w:adjustRightInd w:val="0"/>
        <w:snapToGrid w:val="0"/>
        <w:spacing w:line="360" w:lineRule="auto"/>
        <w:jc w:val="both"/>
        <w:rPr>
          <w:rFonts w:ascii="Book Antiqua" w:hAnsi="Book Antiqua"/>
          <w:sz w:val="24"/>
          <w:szCs w:val="24"/>
          <w:lang w:val="en-US"/>
        </w:rPr>
      </w:pPr>
      <w:bookmarkStart w:id="21" w:name="OLE_LINK58"/>
      <w:bookmarkStart w:id="22" w:name="OLE_LINK59"/>
      <w:bookmarkStart w:id="23" w:name="OLE_LINK24"/>
      <w:r w:rsidRPr="006B4BF5">
        <w:rPr>
          <w:rFonts w:ascii="Book Antiqua" w:hAnsi="Book Antiqua"/>
          <w:b/>
          <w:sz w:val="24"/>
          <w:szCs w:val="24"/>
          <w:lang w:val="en-US"/>
        </w:rPr>
        <w:t xml:space="preserve">© The Author(s) 2018. </w:t>
      </w:r>
      <w:r w:rsidRPr="006B4BF5">
        <w:rPr>
          <w:rFonts w:ascii="Book Antiqua" w:hAnsi="Book Antiqua"/>
          <w:sz w:val="24"/>
          <w:szCs w:val="24"/>
          <w:lang w:val="en-US"/>
        </w:rPr>
        <w:t xml:space="preserve">Published by Baishideng Publishing Group Inc. All rights reserved. </w:t>
      </w:r>
    </w:p>
    <w:bookmarkEnd w:id="21"/>
    <w:bookmarkEnd w:id="22"/>
    <w:bookmarkEnd w:id="23"/>
    <w:p w14:paraId="01D2775E" w14:textId="77777777" w:rsidR="00A00E34" w:rsidRPr="006B4BF5" w:rsidRDefault="00A00E34" w:rsidP="00A00E34">
      <w:pPr>
        <w:adjustRightInd w:val="0"/>
        <w:snapToGrid w:val="0"/>
        <w:spacing w:line="360" w:lineRule="auto"/>
        <w:jc w:val="both"/>
        <w:rPr>
          <w:rFonts w:ascii="Book Antiqua" w:hAnsi="Book Antiqua"/>
          <w:sz w:val="24"/>
          <w:szCs w:val="24"/>
          <w:lang w:val="en-US"/>
        </w:rPr>
      </w:pPr>
    </w:p>
    <w:p w14:paraId="5D42B2F9" w14:textId="7753FE2D" w:rsidR="002A03B0" w:rsidRPr="006B4BF5" w:rsidRDefault="007849A1" w:rsidP="007B12C8">
      <w:pPr>
        <w:adjustRightInd w:val="0"/>
        <w:snapToGrid w:val="0"/>
        <w:spacing w:line="360" w:lineRule="auto"/>
        <w:jc w:val="both"/>
        <w:rPr>
          <w:rFonts w:ascii="Book Antiqua" w:hAnsi="Book Antiqua"/>
          <w:sz w:val="24"/>
          <w:szCs w:val="24"/>
          <w:lang w:val="en-US"/>
        </w:rPr>
      </w:pPr>
      <w:r w:rsidRPr="006B4BF5">
        <w:rPr>
          <w:rFonts w:ascii="Book Antiqua" w:hAnsi="Book Antiqua"/>
          <w:b/>
          <w:sz w:val="24"/>
          <w:szCs w:val="24"/>
          <w:lang w:val="en-US"/>
        </w:rPr>
        <w:t>Core tip:</w:t>
      </w:r>
      <w:r w:rsidRPr="006B4BF5">
        <w:rPr>
          <w:rFonts w:ascii="Book Antiqua" w:hAnsi="Book Antiqua"/>
          <w:sz w:val="24"/>
          <w:szCs w:val="24"/>
          <w:lang w:val="en-US"/>
        </w:rPr>
        <w:t xml:space="preserve"> This study aimed to determine whether cell division cycle (Cdc)42 was regulated by mi</w:t>
      </w:r>
      <w:r w:rsidR="00146E06" w:rsidRPr="006B4BF5">
        <w:rPr>
          <w:rFonts w:ascii="Book Antiqua" w:hAnsi="Book Antiqua"/>
          <w:sz w:val="24"/>
          <w:szCs w:val="24"/>
          <w:lang w:val="en-US"/>
        </w:rPr>
        <w:t>cro</w:t>
      </w:r>
      <w:r w:rsidRPr="006B4BF5">
        <w:rPr>
          <w:rFonts w:ascii="Book Antiqua" w:hAnsi="Book Antiqua"/>
          <w:sz w:val="24"/>
          <w:szCs w:val="24"/>
          <w:lang w:val="en-US"/>
        </w:rPr>
        <w:t xml:space="preserve">RNAs in pediatric inflammatory bowel disease (IBD) development. We studied </w:t>
      </w:r>
      <w:r w:rsidR="00146E06" w:rsidRPr="006B4BF5">
        <w:rPr>
          <w:rFonts w:ascii="Book Antiqua" w:hAnsi="Book Antiqua"/>
          <w:sz w:val="24"/>
          <w:szCs w:val="24"/>
          <w:lang w:val="en-US"/>
        </w:rPr>
        <w:t xml:space="preserve">microRNA (miR)-15a </w:t>
      </w:r>
      <w:r w:rsidR="00D10BC0" w:rsidRPr="006B4BF5">
        <w:rPr>
          <w:rFonts w:ascii="Book Antiqua" w:hAnsi="Book Antiqua"/>
          <w:sz w:val="24"/>
          <w:szCs w:val="24"/>
          <w:lang w:val="en-US"/>
        </w:rPr>
        <w:t>-</w:t>
      </w:r>
      <w:r w:rsidR="00146E06" w:rsidRPr="006B4BF5">
        <w:rPr>
          <w:rFonts w:ascii="Book Antiqua" w:hAnsi="Book Antiqua"/>
          <w:sz w:val="24"/>
          <w:szCs w:val="24"/>
          <w:lang w:val="en-US"/>
        </w:rPr>
        <w:t xml:space="preserve"> </w:t>
      </w:r>
      <w:r w:rsidRPr="006B4BF5">
        <w:rPr>
          <w:rFonts w:ascii="Book Antiqua" w:hAnsi="Book Antiqua"/>
          <w:sz w:val="24"/>
          <w:szCs w:val="24"/>
          <w:lang w:val="en-US"/>
        </w:rPr>
        <w:t>Cdc42 signaling in pediatric IBD patients, and found that miR-15a negatively regulated Cdc42 in pediatric IBD patients, and both were strongly correlated with the severity of IBD. Additionally, this</w:t>
      </w:r>
      <w:r w:rsidR="007C1A73" w:rsidRPr="006B4BF5">
        <w:rPr>
          <w:rFonts w:ascii="Book Antiqua" w:hAnsi="Book Antiqua"/>
          <w:sz w:val="24"/>
          <w:szCs w:val="24"/>
          <w:lang w:val="en-US"/>
        </w:rPr>
        <w:t xml:space="preserve"> study prov</w:t>
      </w:r>
      <w:r w:rsidR="004A016B" w:rsidRPr="006B4BF5">
        <w:rPr>
          <w:rFonts w:ascii="Book Antiqua" w:hAnsi="Book Antiqua"/>
          <w:sz w:val="24"/>
          <w:szCs w:val="24"/>
          <w:lang w:val="en-US"/>
        </w:rPr>
        <w:t>ides evidence that Cdc42 is the</w:t>
      </w:r>
      <w:r w:rsidR="007C1A73" w:rsidRPr="006B4BF5">
        <w:rPr>
          <w:rFonts w:ascii="Book Antiqua" w:hAnsi="Book Antiqua"/>
          <w:sz w:val="24"/>
          <w:szCs w:val="24"/>
          <w:lang w:val="en-US"/>
        </w:rPr>
        <w:t xml:space="preserve"> tar</w:t>
      </w:r>
      <w:r w:rsidR="004A016B" w:rsidRPr="006B4BF5">
        <w:rPr>
          <w:rFonts w:ascii="Book Antiqua" w:hAnsi="Book Antiqua"/>
          <w:sz w:val="24"/>
          <w:szCs w:val="24"/>
          <w:lang w:val="en-US"/>
        </w:rPr>
        <w:t>get gene of miR-15a, and this</w:t>
      </w:r>
      <w:r w:rsidR="007C1A73" w:rsidRPr="006B4BF5">
        <w:rPr>
          <w:rFonts w:ascii="Book Antiqua" w:hAnsi="Book Antiqua"/>
          <w:sz w:val="24"/>
          <w:szCs w:val="24"/>
          <w:lang w:val="en-US"/>
        </w:rPr>
        <w:t xml:space="preserve"> will provide a critical clue for understanding IBD development.</w:t>
      </w:r>
    </w:p>
    <w:p w14:paraId="0D371260" w14:textId="77777777" w:rsidR="00146E06" w:rsidRPr="006B4BF5" w:rsidRDefault="00146E06" w:rsidP="007B12C8">
      <w:pPr>
        <w:adjustRightInd w:val="0"/>
        <w:snapToGrid w:val="0"/>
        <w:spacing w:line="360" w:lineRule="auto"/>
        <w:jc w:val="both"/>
        <w:rPr>
          <w:rFonts w:ascii="Book Antiqua" w:hAnsi="Book Antiqua"/>
          <w:sz w:val="24"/>
          <w:szCs w:val="24"/>
          <w:lang w:val="en-US"/>
        </w:rPr>
      </w:pPr>
    </w:p>
    <w:p w14:paraId="104DD9A3" w14:textId="2A6ACD4E" w:rsidR="002A03B0" w:rsidRPr="006B4BF5" w:rsidRDefault="007849A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Tang</w:t>
      </w:r>
      <w:r w:rsidR="00146E06" w:rsidRPr="006B4BF5">
        <w:rPr>
          <w:rFonts w:ascii="Book Antiqua" w:hAnsi="Book Antiqua"/>
          <w:sz w:val="24"/>
          <w:szCs w:val="24"/>
          <w:lang w:val="en-US"/>
        </w:rPr>
        <w:t xml:space="preserve"> WJ</w:t>
      </w:r>
      <w:r w:rsidRPr="006B4BF5">
        <w:rPr>
          <w:rFonts w:ascii="Book Antiqua" w:hAnsi="Book Antiqua"/>
          <w:sz w:val="24"/>
          <w:szCs w:val="24"/>
          <w:lang w:val="en-US"/>
        </w:rPr>
        <w:t>, Peng</w:t>
      </w:r>
      <w:r w:rsidR="00146E06" w:rsidRPr="006B4BF5">
        <w:rPr>
          <w:rFonts w:ascii="Book Antiqua" w:hAnsi="Book Antiqua"/>
          <w:sz w:val="24"/>
          <w:szCs w:val="24"/>
          <w:lang w:val="en-US"/>
        </w:rPr>
        <w:t xml:space="preserve"> KY</w:t>
      </w:r>
      <w:r w:rsidRPr="006B4BF5">
        <w:rPr>
          <w:rFonts w:ascii="Book Antiqua" w:hAnsi="Book Antiqua"/>
          <w:sz w:val="24"/>
          <w:szCs w:val="24"/>
          <w:lang w:val="en-US"/>
        </w:rPr>
        <w:t>, Tang</w:t>
      </w:r>
      <w:r w:rsidR="00146E06" w:rsidRPr="006B4BF5">
        <w:rPr>
          <w:rFonts w:ascii="Book Antiqua" w:hAnsi="Book Antiqua"/>
          <w:sz w:val="24"/>
          <w:szCs w:val="24"/>
          <w:lang w:val="en-US"/>
        </w:rPr>
        <w:t xml:space="preserve"> ZF</w:t>
      </w:r>
      <w:r w:rsidRPr="006B4BF5">
        <w:rPr>
          <w:rFonts w:ascii="Book Antiqua" w:hAnsi="Book Antiqua"/>
          <w:sz w:val="24"/>
          <w:szCs w:val="24"/>
          <w:lang w:val="en-US"/>
        </w:rPr>
        <w:t>, Wang</w:t>
      </w:r>
      <w:r w:rsidR="00146E06" w:rsidRPr="006B4BF5">
        <w:rPr>
          <w:rFonts w:ascii="Book Antiqua" w:hAnsi="Book Antiqua"/>
          <w:sz w:val="24"/>
          <w:szCs w:val="24"/>
          <w:lang w:val="en-US"/>
        </w:rPr>
        <w:t xml:space="preserve"> YH</w:t>
      </w:r>
      <w:r w:rsidRPr="006B4BF5">
        <w:rPr>
          <w:rFonts w:ascii="Book Antiqua" w:hAnsi="Book Antiqua"/>
          <w:sz w:val="24"/>
          <w:szCs w:val="24"/>
          <w:lang w:val="en-US"/>
        </w:rPr>
        <w:t>, Xue</w:t>
      </w:r>
      <w:r w:rsidR="00146E06" w:rsidRPr="006B4BF5">
        <w:rPr>
          <w:rFonts w:ascii="Book Antiqua" w:hAnsi="Book Antiqua"/>
          <w:sz w:val="24"/>
          <w:szCs w:val="24"/>
          <w:lang w:val="en-US"/>
        </w:rPr>
        <w:t xml:space="preserve"> AJ</w:t>
      </w:r>
      <w:r w:rsidRPr="006B4BF5">
        <w:rPr>
          <w:rFonts w:ascii="Book Antiqua" w:hAnsi="Book Antiqua"/>
          <w:sz w:val="24"/>
          <w:szCs w:val="24"/>
          <w:lang w:val="en-US"/>
        </w:rPr>
        <w:t>, Huang</w:t>
      </w:r>
      <w:r w:rsidR="00146E06" w:rsidRPr="006B4BF5">
        <w:rPr>
          <w:rFonts w:ascii="Book Antiqua" w:hAnsi="Book Antiqua"/>
          <w:sz w:val="24"/>
          <w:szCs w:val="24"/>
          <w:lang w:val="en-US"/>
        </w:rPr>
        <w:t xml:space="preserve"> Y</w:t>
      </w:r>
      <w:r w:rsidRPr="006B4BF5">
        <w:rPr>
          <w:rFonts w:ascii="Book Antiqua" w:hAnsi="Book Antiqua"/>
          <w:sz w:val="24"/>
          <w:szCs w:val="24"/>
          <w:lang w:val="en-US"/>
        </w:rPr>
        <w:t xml:space="preserve">. </w:t>
      </w:r>
      <w:r w:rsidR="00146E06" w:rsidRPr="006B4BF5">
        <w:rPr>
          <w:rFonts w:ascii="Book Antiqua" w:hAnsi="Book Antiqua"/>
          <w:sz w:val="24"/>
          <w:szCs w:val="24"/>
          <w:lang w:val="en-US"/>
        </w:rPr>
        <w:t xml:space="preserve">MicroRNA-15a </w:t>
      </w:r>
      <w:r w:rsidR="00B97935" w:rsidRPr="006B4BF5">
        <w:rPr>
          <w:rFonts w:ascii="Book Antiqua" w:hAnsi="Book Antiqua"/>
          <w:sz w:val="24"/>
          <w:szCs w:val="24"/>
          <w:lang w:val="en-US"/>
        </w:rPr>
        <w:t>-</w:t>
      </w:r>
      <w:r w:rsidR="00146E06" w:rsidRPr="006B4BF5">
        <w:rPr>
          <w:rFonts w:ascii="Book Antiqua" w:hAnsi="Book Antiqua"/>
          <w:sz w:val="24"/>
          <w:szCs w:val="24"/>
          <w:lang w:val="en-US"/>
        </w:rPr>
        <w:t xml:space="preserve"> cell division cycle 42 signaling pathway in pathogenesis of pediatric inflammatory bowel disease</w:t>
      </w:r>
      <w:r w:rsidRPr="006B4BF5">
        <w:rPr>
          <w:rFonts w:ascii="Book Antiqua" w:hAnsi="Book Antiqua"/>
          <w:sz w:val="24"/>
          <w:szCs w:val="24"/>
          <w:lang w:val="en-US"/>
        </w:rPr>
        <w:t>.</w:t>
      </w:r>
      <w:r w:rsidR="00146E06" w:rsidRPr="006B4BF5">
        <w:rPr>
          <w:rFonts w:ascii="Book Antiqua" w:hAnsi="Book Antiqua"/>
          <w:sz w:val="24"/>
          <w:szCs w:val="24"/>
          <w:lang w:val="en-US"/>
        </w:rPr>
        <w:t xml:space="preserve"> </w:t>
      </w:r>
      <w:bookmarkStart w:id="24" w:name="OLE_LINK1105"/>
      <w:bookmarkStart w:id="25" w:name="OLE_LINK1107"/>
      <w:r w:rsidR="00146E06" w:rsidRPr="006B4BF5">
        <w:rPr>
          <w:rFonts w:ascii="Book Antiqua" w:hAnsi="Book Antiqua"/>
          <w:i/>
          <w:color w:val="000000"/>
          <w:sz w:val="24"/>
          <w:szCs w:val="24"/>
          <w:lang w:val="en-US"/>
        </w:rPr>
        <w:t xml:space="preserve">World J Gastroenterol </w:t>
      </w:r>
      <w:r w:rsidR="00146E06" w:rsidRPr="006B4BF5">
        <w:rPr>
          <w:rFonts w:ascii="Book Antiqua" w:hAnsi="Book Antiqua"/>
          <w:color w:val="000000"/>
          <w:sz w:val="24"/>
          <w:szCs w:val="24"/>
          <w:lang w:val="en-US"/>
        </w:rPr>
        <w:t>2018; In press</w:t>
      </w:r>
      <w:bookmarkEnd w:id="24"/>
      <w:bookmarkEnd w:id="25"/>
    </w:p>
    <w:p w14:paraId="15A30E1F" w14:textId="77777777" w:rsidR="007849A1" w:rsidRPr="006B4BF5" w:rsidRDefault="007849A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br w:type="page"/>
      </w:r>
    </w:p>
    <w:p w14:paraId="2B616ED0" w14:textId="77777777" w:rsidR="002A03B0" w:rsidRPr="006B4BF5" w:rsidRDefault="007849A1" w:rsidP="005C3D9B">
      <w:pPr>
        <w:adjustRightInd w:val="0"/>
        <w:snapToGrid w:val="0"/>
        <w:spacing w:line="360" w:lineRule="auto"/>
        <w:jc w:val="both"/>
        <w:outlineLvl w:val="0"/>
        <w:rPr>
          <w:rFonts w:ascii="Book Antiqua" w:hAnsi="Book Antiqua"/>
          <w:b/>
          <w:sz w:val="24"/>
          <w:szCs w:val="24"/>
          <w:lang w:val="en-US"/>
        </w:rPr>
      </w:pPr>
      <w:r w:rsidRPr="006B4BF5">
        <w:rPr>
          <w:rFonts w:ascii="Book Antiqua" w:hAnsi="Book Antiqua"/>
          <w:b/>
          <w:sz w:val="24"/>
          <w:szCs w:val="24"/>
          <w:lang w:val="en-US"/>
        </w:rPr>
        <w:lastRenderedPageBreak/>
        <w:t>INTRODUCTION</w:t>
      </w:r>
    </w:p>
    <w:p w14:paraId="125F722A" w14:textId="0241784C" w:rsidR="002A03B0" w:rsidRPr="006B4BF5" w:rsidRDefault="007849A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Inflammatory bowel disease (IBD) is a chronic inflammatory disorder with an increasing prevalence. It includes ulcerative colitis (UC) and </w:t>
      </w:r>
      <w:bookmarkStart w:id="26" w:name="OLE_LINK19"/>
      <w:r w:rsidRPr="006B4BF5">
        <w:rPr>
          <w:rFonts w:ascii="Book Antiqua" w:hAnsi="Book Antiqua"/>
          <w:sz w:val="24"/>
          <w:szCs w:val="24"/>
          <w:lang w:val="en-US"/>
        </w:rPr>
        <w:t>Crohn’s disease</w:t>
      </w:r>
      <w:bookmarkEnd w:id="26"/>
      <w:r w:rsidRPr="006B4BF5">
        <w:rPr>
          <w:rFonts w:ascii="Book Antiqua" w:hAnsi="Book Antiqua"/>
          <w:sz w:val="24"/>
          <w:szCs w:val="24"/>
          <w:lang w:val="en-US"/>
        </w:rPr>
        <w:t xml:space="preserve"> (CD). Epidemiological studies have demonstrated a rising incidence of IBD in Chinese children. It was reported in 2001 that the incidence of pediatric IBD was 0.5/million, while in 2011 the incidence increased to 6.1/million</w:t>
      </w:r>
      <w:r w:rsidRPr="006B4BF5">
        <w:rPr>
          <w:rFonts w:ascii="Book Antiqua" w:hAnsi="Book Antiqua"/>
          <w:sz w:val="24"/>
          <w:szCs w:val="24"/>
          <w:vertAlign w:val="superscript"/>
          <w:lang w:val="en-US"/>
        </w:rPr>
        <w:t>[1]</w:t>
      </w:r>
      <w:r w:rsidRPr="006B4BF5">
        <w:rPr>
          <w:rFonts w:ascii="Book Antiqua" w:hAnsi="Book Antiqua"/>
          <w:sz w:val="24"/>
          <w:szCs w:val="24"/>
          <w:lang w:val="en-US"/>
        </w:rPr>
        <w:t>. Pediatric IBD has severe phenotypes, extensive intestinal involvement, rapid progression, and has several side issues, including growth failure, poor bone density, and delayed puberty, thus, it is important to investigate the pathogenesis of pediatric IBD.</w:t>
      </w:r>
    </w:p>
    <w:p w14:paraId="72AB5D7E" w14:textId="36850263" w:rsidR="002A03B0" w:rsidRPr="006B4BF5" w:rsidRDefault="004B5A33"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7849A1" w:rsidRPr="006B4BF5">
        <w:rPr>
          <w:rFonts w:ascii="Book Antiqua" w:hAnsi="Book Antiqua"/>
          <w:sz w:val="24"/>
          <w:szCs w:val="24"/>
          <w:lang w:val="en-US"/>
        </w:rPr>
        <w:t>The etiology of IBD remains unknown, and multiple factors may be involved in its development, including infection, immune syste</w:t>
      </w:r>
      <w:r w:rsidRPr="006B4BF5">
        <w:rPr>
          <w:rFonts w:ascii="Book Antiqua" w:hAnsi="Book Antiqua"/>
          <w:sz w:val="24"/>
          <w:szCs w:val="24"/>
          <w:lang w:val="en-US"/>
        </w:rPr>
        <w:t>m, genetics, and environment</w:t>
      </w:r>
      <w:r w:rsidRPr="006B4BF5">
        <w:rPr>
          <w:rFonts w:ascii="Book Antiqua" w:hAnsi="Book Antiqua"/>
          <w:sz w:val="24"/>
          <w:szCs w:val="24"/>
          <w:vertAlign w:val="superscript"/>
          <w:lang w:val="en-US"/>
        </w:rPr>
        <w:t>[2,</w:t>
      </w:r>
      <w:r w:rsidR="007849A1" w:rsidRPr="006B4BF5">
        <w:rPr>
          <w:rFonts w:ascii="Book Antiqua" w:hAnsi="Book Antiqua"/>
          <w:sz w:val="24"/>
          <w:szCs w:val="24"/>
          <w:vertAlign w:val="superscript"/>
          <w:lang w:val="en-US"/>
        </w:rPr>
        <w:t>3]</w:t>
      </w:r>
      <w:r w:rsidR="007849A1" w:rsidRPr="006B4BF5">
        <w:rPr>
          <w:rFonts w:ascii="Book Antiqua" w:hAnsi="Book Antiqua"/>
          <w:sz w:val="24"/>
          <w:szCs w:val="24"/>
          <w:lang w:val="en-US"/>
        </w:rPr>
        <w:t xml:space="preserve">. High expression of </w:t>
      </w:r>
      <w:bookmarkStart w:id="27" w:name="OLE_LINK20"/>
      <w:r w:rsidR="007849A1" w:rsidRPr="006B4BF5">
        <w:rPr>
          <w:rFonts w:ascii="Book Antiqua" w:hAnsi="Book Antiqua"/>
          <w:sz w:val="24"/>
          <w:szCs w:val="24"/>
          <w:lang w:val="en-US"/>
        </w:rPr>
        <w:t>tumor necrosis factor</w:t>
      </w:r>
      <w:bookmarkEnd w:id="27"/>
      <w:r w:rsidR="007849A1" w:rsidRPr="006B4BF5">
        <w:rPr>
          <w:rFonts w:ascii="Book Antiqua" w:hAnsi="Book Antiqua"/>
          <w:sz w:val="24"/>
          <w:szCs w:val="24"/>
          <w:lang w:val="en-US"/>
        </w:rPr>
        <w:t xml:space="preserve"> (TNF)-</w:t>
      </w:r>
      <w:r w:rsidR="007849A1" w:rsidRPr="006B4BF5">
        <w:rPr>
          <w:rFonts w:ascii="Book Antiqua" w:hAnsi="Book Antiqua"/>
          <w:sz w:val="24"/>
          <w:szCs w:val="24"/>
        </w:rPr>
        <w:t>α</w:t>
      </w:r>
      <w:r w:rsidR="007849A1" w:rsidRPr="006B4BF5">
        <w:rPr>
          <w:rFonts w:ascii="Book Antiqua" w:hAnsi="Book Antiqua"/>
          <w:sz w:val="24"/>
          <w:szCs w:val="24"/>
          <w:lang w:val="en-US"/>
        </w:rPr>
        <w:t xml:space="preserve"> has been found in most pediatric IBD patients. TNF-</w:t>
      </w:r>
      <w:r w:rsidR="007849A1" w:rsidRPr="006B4BF5">
        <w:rPr>
          <w:rFonts w:ascii="Book Antiqua" w:hAnsi="Book Antiqua"/>
          <w:sz w:val="24"/>
          <w:szCs w:val="24"/>
        </w:rPr>
        <w:t>α</w:t>
      </w:r>
      <w:r w:rsidR="007849A1" w:rsidRPr="006B4BF5">
        <w:rPr>
          <w:rFonts w:ascii="Book Antiqua" w:hAnsi="Book Antiqua"/>
          <w:sz w:val="24"/>
          <w:szCs w:val="24"/>
          <w:lang w:val="en-US"/>
        </w:rPr>
        <w:t xml:space="preserve"> plays an important role in the expression of </w:t>
      </w:r>
      <w:r w:rsidRPr="006B4BF5">
        <w:rPr>
          <w:rFonts w:ascii="Book Antiqua" w:hAnsi="Book Antiqua"/>
          <w:sz w:val="24"/>
          <w:szCs w:val="24"/>
          <w:lang w:val="en-US"/>
        </w:rPr>
        <w:t>microRNAs</w:t>
      </w:r>
      <w:r w:rsidR="007849A1" w:rsidRPr="006B4BF5">
        <w:rPr>
          <w:rFonts w:ascii="Book Antiqua" w:hAnsi="Book Antiqua"/>
          <w:sz w:val="24"/>
          <w:szCs w:val="24"/>
          <w:lang w:val="en-US"/>
        </w:rPr>
        <w:t>.</w:t>
      </w:r>
    </w:p>
    <w:p w14:paraId="1DBE88E3" w14:textId="1CD9F172" w:rsidR="002A03B0" w:rsidRPr="006B4BF5" w:rsidRDefault="004B5A33"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MicroRNAs are families of small (approximately </w:t>
      </w:r>
      <w:r w:rsidR="007849A1" w:rsidRPr="006B4BF5">
        <w:rPr>
          <w:rFonts w:ascii="Book Antiqua" w:hAnsi="Book Antiqua"/>
          <w:sz w:val="24"/>
          <w:szCs w:val="24"/>
          <w:lang w:val="en-US"/>
        </w:rPr>
        <w:t>20 nucleotides long), noncoding RNAs. They play a definitive regulatory role in innate and adaptive immune processes</w:t>
      </w:r>
      <w:r w:rsidR="007849A1" w:rsidRPr="006B4BF5">
        <w:rPr>
          <w:rFonts w:ascii="Book Antiqua" w:hAnsi="Book Antiqua"/>
          <w:sz w:val="24"/>
          <w:szCs w:val="24"/>
          <w:vertAlign w:val="superscript"/>
          <w:lang w:val="en-US"/>
        </w:rPr>
        <w:t>[</w:t>
      </w:r>
      <w:r w:rsidRPr="006B4BF5">
        <w:rPr>
          <w:rFonts w:ascii="Book Antiqua" w:hAnsi="Book Antiqua"/>
          <w:sz w:val="24"/>
          <w:szCs w:val="24"/>
          <w:vertAlign w:val="superscript"/>
          <w:lang w:val="en-US"/>
        </w:rPr>
        <w:t>4,</w:t>
      </w:r>
      <w:r w:rsidR="007849A1" w:rsidRPr="006B4BF5">
        <w:rPr>
          <w:rFonts w:ascii="Book Antiqua" w:hAnsi="Book Antiqua"/>
          <w:sz w:val="24"/>
          <w:szCs w:val="24"/>
          <w:vertAlign w:val="superscript"/>
          <w:lang w:val="en-US"/>
        </w:rPr>
        <w:t>5]</w:t>
      </w:r>
      <w:r w:rsidR="007849A1" w:rsidRPr="006B4BF5">
        <w:rPr>
          <w:rFonts w:ascii="Book Antiqua" w:hAnsi="Book Antiqua"/>
          <w:sz w:val="24"/>
          <w:szCs w:val="24"/>
          <w:lang w:val="en-US"/>
        </w:rPr>
        <w:t xml:space="preserve">. Altered expression of </w:t>
      </w:r>
      <w:r w:rsidRPr="006B4BF5">
        <w:rPr>
          <w:rFonts w:ascii="Book Antiqua" w:hAnsi="Book Antiqua"/>
          <w:sz w:val="24"/>
          <w:szCs w:val="24"/>
          <w:lang w:val="en-US"/>
        </w:rPr>
        <w:t>microRNA</w:t>
      </w:r>
      <w:r w:rsidR="007849A1" w:rsidRPr="006B4BF5">
        <w:rPr>
          <w:rFonts w:ascii="Book Antiqua" w:hAnsi="Book Antiqua"/>
          <w:sz w:val="24"/>
          <w:szCs w:val="24"/>
          <w:lang w:val="en-US"/>
        </w:rPr>
        <w:t xml:space="preserve">s has been identified in adult patients suffering from CD and UC. Wu </w:t>
      </w:r>
      <w:r w:rsidR="007849A1" w:rsidRPr="006B4BF5">
        <w:rPr>
          <w:rFonts w:ascii="Book Antiqua" w:hAnsi="Book Antiqua"/>
          <w:i/>
          <w:sz w:val="24"/>
          <w:szCs w:val="24"/>
          <w:lang w:val="en-US"/>
        </w:rPr>
        <w:t>et al</w:t>
      </w:r>
      <w:r w:rsidRPr="006B4BF5">
        <w:rPr>
          <w:rFonts w:ascii="Book Antiqua" w:hAnsi="Book Antiqua"/>
          <w:sz w:val="24"/>
          <w:szCs w:val="24"/>
          <w:vertAlign w:val="superscript"/>
          <w:lang w:val="en-US"/>
        </w:rPr>
        <w:t>[6]</w:t>
      </w:r>
      <w:r w:rsidR="007849A1" w:rsidRPr="006B4BF5">
        <w:rPr>
          <w:rFonts w:ascii="Book Antiqua" w:hAnsi="Book Antiqua"/>
          <w:sz w:val="24"/>
          <w:szCs w:val="24"/>
          <w:lang w:val="en-US"/>
        </w:rPr>
        <w:t xml:space="preserve"> reported that the level of 11 </w:t>
      </w:r>
      <w:r w:rsidRPr="006B4BF5">
        <w:rPr>
          <w:rFonts w:ascii="Book Antiqua" w:hAnsi="Book Antiqua"/>
          <w:sz w:val="24"/>
          <w:szCs w:val="24"/>
          <w:lang w:val="en-US"/>
        </w:rPr>
        <w:t>microRNA</w:t>
      </w:r>
      <w:r w:rsidR="007849A1" w:rsidRPr="006B4BF5">
        <w:rPr>
          <w:rFonts w:ascii="Book Antiqua" w:hAnsi="Book Antiqua"/>
          <w:sz w:val="24"/>
          <w:szCs w:val="24"/>
          <w:lang w:val="en-US"/>
        </w:rPr>
        <w:t xml:space="preserve">s was altered in the colon of UC patients and </w:t>
      </w:r>
      <w:r w:rsidRPr="006B4BF5">
        <w:rPr>
          <w:rFonts w:ascii="Book Antiqua" w:hAnsi="Book Antiqua"/>
          <w:sz w:val="24"/>
          <w:szCs w:val="24"/>
          <w:lang w:val="en-US"/>
        </w:rPr>
        <w:t>microRNA</w:t>
      </w:r>
      <w:r w:rsidR="007849A1" w:rsidRPr="006B4BF5">
        <w:rPr>
          <w:rFonts w:ascii="Book Antiqua" w:hAnsi="Book Antiqua"/>
          <w:sz w:val="24"/>
          <w:szCs w:val="24"/>
          <w:lang w:val="en-US"/>
        </w:rPr>
        <w:t xml:space="preserve"> (miR)-192 negatively regulated TNF-</w:t>
      </w:r>
      <w:r w:rsidR="007849A1" w:rsidRPr="006B4BF5">
        <w:rPr>
          <w:rFonts w:ascii="Book Antiqua" w:hAnsi="Book Antiqua"/>
          <w:sz w:val="24"/>
          <w:szCs w:val="24"/>
        </w:rPr>
        <w:t>α</w:t>
      </w:r>
      <w:r w:rsidR="007849A1" w:rsidRPr="006B4BF5">
        <w:rPr>
          <w:rFonts w:ascii="Book Antiqua" w:hAnsi="Book Antiqua"/>
          <w:sz w:val="24"/>
          <w:szCs w:val="24"/>
          <w:lang w:val="en-US"/>
        </w:rPr>
        <w:t xml:space="preserve"> in IBD patients. Paraskev </w:t>
      </w:r>
      <w:r w:rsidR="007849A1" w:rsidRPr="006B4BF5">
        <w:rPr>
          <w:rFonts w:ascii="Book Antiqua" w:hAnsi="Book Antiqua"/>
          <w:i/>
          <w:sz w:val="24"/>
          <w:szCs w:val="24"/>
          <w:lang w:val="en-US"/>
        </w:rPr>
        <w:t>et al</w:t>
      </w:r>
      <w:r w:rsidR="00011595" w:rsidRPr="006B4BF5">
        <w:rPr>
          <w:rFonts w:ascii="Book Antiqua" w:hAnsi="Book Antiqua"/>
          <w:sz w:val="24"/>
          <w:szCs w:val="24"/>
          <w:vertAlign w:val="superscript"/>
          <w:lang w:val="en-US"/>
        </w:rPr>
        <w:t>[7]</w:t>
      </w:r>
      <w:r w:rsidR="007849A1" w:rsidRPr="006B4BF5">
        <w:rPr>
          <w:rFonts w:ascii="Book Antiqua" w:hAnsi="Book Antiqua"/>
          <w:sz w:val="24"/>
          <w:szCs w:val="24"/>
          <w:lang w:val="en-US"/>
        </w:rPr>
        <w:t xml:space="preserve"> showed that levels of several </w:t>
      </w:r>
      <w:r w:rsidRPr="006B4BF5">
        <w:rPr>
          <w:rFonts w:ascii="Book Antiqua" w:hAnsi="Book Antiqua"/>
          <w:sz w:val="24"/>
          <w:szCs w:val="24"/>
          <w:lang w:val="en-US"/>
        </w:rPr>
        <w:t>microRNA</w:t>
      </w:r>
      <w:r w:rsidR="00011595" w:rsidRPr="006B4BF5">
        <w:rPr>
          <w:rFonts w:ascii="Book Antiqua" w:hAnsi="Book Antiqua"/>
          <w:sz w:val="24"/>
          <w:szCs w:val="24"/>
          <w:lang w:val="en-US"/>
        </w:rPr>
        <w:t xml:space="preserve">s were increased in </w:t>
      </w:r>
      <w:r w:rsidR="007849A1" w:rsidRPr="006B4BF5">
        <w:rPr>
          <w:rFonts w:ascii="Book Antiqua" w:hAnsi="Book Antiqua"/>
          <w:sz w:val="24"/>
          <w:szCs w:val="24"/>
          <w:lang w:val="en-US"/>
        </w:rPr>
        <w:t xml:space="preserve">CD and UC patients. </w:t>
      </w:r>
      <w:r w:rsidR="00011595" w:rsidRPr="006B4BF5">
        <w:rPr>
          <w:rFonts w:ascii="Book Antiqua" w:hAnsi="Book Antiqua"/>
          <w:sz w:val="24"/>
          <w:szCs w:val="24"/>
          <w:lang w:val="en-US"/>
        </w:rPr>
        <w:t xml:space="preserve">Takagi </w:t>
      </w:r>
      <w:r w:rsidR="00011595" w:rsidRPr="006B4BF5">
        <w:rPr>
          <w:rFonts w:ascii="Book Antiqua" w:hAnsi="Book Antiqua"/>
          <w:i/>
          <w:sz w:val="24"/>
          <w:szCs w:val="24"/>
          <w:lang w:val="en-US"/>
        </w:rPr>
        <w:t xml:space="preserve">et </w:t>
      </w:r>
      <w:r w:rsidR="007849A1" w:rsidRPr="006B4BF5">
        <w:rPr>
          <w:rFonts w:ascii="Book Antiqua" w:hAnsi="Book Antiqua"/>
          <w:i/>
          <w:sz w:val="24"/>
          <w:szCs w:val="24"/>
          <w:lang w:val="en-US"/>
        </w:rPr>
        <w:t>al</w:t>
      </w:r>
      <w:r w:rsidR="00011595" w:rsidRPr="006B4BF5">
        <w:rPr>
          <w:rFonts w:ascii="Book Antiqua" w:hAnsi="Book Antiqua"/>
          <w:sz w:val="24"/>
          <w:szCs w:val="24"/>
          <w:vertAlign w:val="superscript"/>
          <w:lang w:val="en-US"/>
        </w:rPr>
        <w:t>[8]</w:t>
      </w:r>
      <w:r w:rsidR="007849A1" w:rsidRPr="006B4BF5">
        <w:rPr>
          <w:rFonts w:ascii="Book Antiqua" w:hAnsi="Book Antiqua"/>
          <w:sz w:val="24"/>
          <w:szCs w:val="24"/>
          <w:lang w:val="en-US"/>
        </w:rPr>
        <w:t xml:space="preserve"> reported that miR-21 and miR-15 were upregulated in UC patients. However, most studies have been conducted in adults, and there are only a limited number of studies examining </w:t>
      </w:r>
      <w:r w:rsidRPr="006B4BF5">
        <w:rPr>
          <w:rFonts w:ascii="Book Antiqua" w:hAnsi="Book Antiqua"/>
          <w:sz w:val="24"/>
          <w:szCs w:val="24"/>
          <w:lang w:val="en-US"/>
        </w:rPr>
        <w:t>microRNA</w:t>
      </w:r>
      <w:r w:rsidR="007849A1" w:rsidRPr="006B4BF5">
        <w:rPr>
          <w:rFonts w:ascii="Book Antiqua" w:hAnsi="Book Antiqua"/>
          <w:sz w:val="24"/>
          <w:szCs w:val="24"/>
          <w:lang w:val="en-US"/>
        </w:rPr>
        <w:t xml:space="preserve">s in children with IBD. </w:t>
      </w:r>
      <w:r w:rsidR="00BB6FAC" w:rsidRPr="006B4BF5">
        <w:rPr>
          <w:rFonts w:ascii="Book Antiqua" w:hAnsi="Book Antiqua"/>
          <w:sz w:val="24"/>
          <w:szCs w:val="24"/>
          <w:lang w:val="en-US"/>
        </w:rPr>
        <w:t xml:space="preserve">Béres </w:t>
      </w:r>
      <w:r w:rsidR="00BB6FAC" w:rsidRPr="006B4BF5">
        <w:rPr>
          <w:rFonts w:ascii="Book Antiqua" w:hAnsi="Book Antiqua"/>
          <w:i/>
          <w:sz w:val="24"/>
          <w:szCs w:val="24"/>
          <w:lang w:val="en-US"/>
        </w:rPr>
        <w:t>et</w:t>
      </w:r>
      <w:r w:rsidR="007849A1" w:rsidRPr="006B4BF5">
        <w:rPr>
          <w:rFonts w:ascii="Book Antiqua" w:hAnsi="Book Antiqua"/>
          <w:i/>
          <w:sz w:val="24"/>
          <w:szCs w:val="24"/>
          <w:lang w:val="en-US"/>
        </w:rPr>
        <w:t xml:space="preserve"> al</w:t>
      </w:r>
      <w:r w:rsidR="00BB6FAC" w:rsidRPr="006B4BF5">
        <w:rPr>
          <w:rFonts w:ascii="Book Antiqua" w:hAnsi="Book Antiqua"/>
          <w:sz w:val="24"/>
          <w:szCs w:val="24"/>
          <w:vertAlign w:val="superscript"/>
          <w:lang w:val="en-US"/>
        </w:rPr>
        <w:t>[9]</w:t>
      </w:r>
      <w:r w:rsidR="007849A1" w:rsidRPr="006B4BF5">
        <w:rPr>
          <w:rFonts w:ascii="Book Antiqua" w:hAnsi="Book Antiqua"/>
          <w:sz w:val="24"/>
          <w:szCs w:val="24"/>
          <w:lang w:val="en-US"/>
        </w:rPr>
        <w:t xml:space="preserve"> showed that the level of miR-155 was increased in pediatric IBD patients, and after TNF-</w:t>
      </w:r>
      <w:r w:rsidR="007849A1" w:rsidRPr="006B4BF5">
        <w:rPr>
          <w:rFonts w:ascii="Book Antiqua" w:hAnsi="Book Antiqua"/>
          <w:sz w:val="24"/>
          <w:szCs w:val="24"/>
        </w:rPr>
        <w:t>α</w:t>
      </w:r>
      <w:r w:rsidR="007849A1" w:rsidRPr="006B4BF5">
        <w:rPr>
          <w:rFonts w:ascii="Book Antiqua" w:hAnsi="Book Antiqua"/>
          <w:sz w:val="24"/>
          <w:szCs w:val="24"/>
          <w:lang w:val="en-US"/>
        </w:rPr>
        <w:t xml:space="preserve"> stimulation </w:t>
      </w:r>
      <w:r w:rsidR="007849A1" w:rsidRPr="006B4BF5">
        <w:rPr>
          <w:rFonts w:ascii="Book Antiqua" w:hAnsi="Book Antiqua"/>
          <w:i/>
          <w:sz w:val="24"/>
          <w:szCs w:val="24"/>
          <w:lang w:val="en-US"/>
        </w:rPr>
        <w:t>in vitro</w:t>
      </w:r>
      <w:r w:rsidR="007849A1" w:rsidRPr="006B4BF5">
        <w:rPr>
          <w:rFonts w:ascii="Book Antiqua" w:hAnsi="Book Antiqua"/>
          <w:sz w:val="24"/>
          <w:szCs w:val="24"/>
          <w:lang w:val="en-US"/>
        </w:rPr>
        <w:t>, the level of miR-155 was increased.</w:t>
      </w:r>
    </w:p>
    <w:p w14:paraId="319628DC" w14:textId="0FA3A940" w:rsidR="002A03B0" w:rsidRPr="006B4BF5" w:rsidRDefault="00011595"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7849A1" w:rsidRPr="006B4BF5">
        <w:rPr>
          <w:rFonts w:ascii="Book Antiqua" w:hAnsi="Book Antiqua"/>
          <w:sz w:val="24"/>
          <w:szCs w:val="24"/>
          <w:lang w:val="en-US"/>
        </w:rPr>
        <w:t>Cell division cycle (Cdc)42 is a small GTPase of the Rho family that acts as a molecular switch by cycling between an active GTP-bound form and an inactive GDP-bound form. It controls various cellular functions including adhesion, migratio</w:t>
      </w:r>
      <w:r w:rsidRPr="006B4BF5">
        <w:rPr>
          <w:rFonts w:ascii="Book Antiqua" w:hAnsi="Book Antiqua"/>
          <w:sz w:val="24"/>
          <w:szCs w:val="24"/>
          <w:lang w:val="en-US"/>
        </w:rPr>
        <w:t>n, transcription and growth</w:t>
      </w:r>
      <w:r w:rsidRPr="006B4BF5">
        <w:rPr>
          <w:rFonts w:ascii="Book Antiqua" w:hAnsi="Book Antiqua"/>
          <w:sz w:val="24"/>
          <w:szCs w:val="24"/>
          <w:vertAlign w:val="superscript"/>
          <w:lang w:val="en-US"/>
        </w:rPr>
        <w:t>[10,</w:t>
      </w:r>
      <w:r w:rsidR="007849A1" w:rsidRPr="006B4BF5">
        <w:rPr>
          <w:rFonts w:ascii="Book Antiqua" w:hAnsi="Book Antiqua"/>
          <w:sz w:val="24"/>
          <w:szCs w:val="24"/>
          <w:vertAlign w:val="superscript"/>
          <w:lang w:val="en-US"/>
        </w:rPr>
        <w:t>11]</w:t>
      </w:r>
      <w:r w:rsidR="007849A1" w:rsidRPr="006B4BF5">
        <w:rPr>
          <w:rFonts w:ascii="Book Antiqua" w:hAnsi="Book Antiqua"/>
          <w:sz w:val="24"/>
          <w:szCs w:val="24"/>
          <w:lang w:val="en-US"/>
        </w:rPr>
        <w:t>. It has a special role in hematop</w:t>
      </w:r>
      <w:r w:rsidRPr="006B4BF5">
        <w:rPr>
          <w:rFonts w:ascii="Book Antiqua" w:hAnsi="Book Antiqua"/>
          <w:sz w:val="24"/>
          <w:szCs w:val="24"/>
          <w:lang w:val="en-US"/>
        </w:rPr>
        <w:t xml:space="preserve">oietic stem </w:t>
      </w:r>
      <w:r w:rsidRPr="006B4BF5">
        <w:rPr>
          <w:rFonts w:ascii="Book Antiqua" w:hAnsi="Book Antiqua"/>
          <w:sz w:val="24"/>
          <w:szCs w:val="24"/>
          <w:lang w:val="en-US"/>
        </w:rPr>
        <w:lastRenderedPageBreak/>
        <w:t>cell regulation</w:t>
      </w:r>
      <w:r w:rsidRPr="006B4BF5">
        <w:rPr>
          <w:rFonts w:ascii="Book Antiqua" w:hAnsi="Book Antiqua"/>
          <w:sz w:val="24"/>
          <w:szCs w:val="24"/>
          <w:vertAlign w:val="superscript"/>
          <w:lang w:val="en-US"/>
        </w:rPr>
        <w:t>[12,</w:t>
      </w:r>
      <w:r w:rsidR="007849A1" w:rsidRPr="006B4BF5">
        <w:rPr>
          <w:rFonts w:ascii="Book Antiqua" w:hAnsi="Book Antiqua"/>
          <w:sz w:val="24"/>
          <w:szCs w:val="24"/>
          <w:vertAlign w:val="superscript"/>
          <w:lang w:val="en-US"/>
        </w:rPr>
        <w:t>13]</w:t>
      </w:r>
      <w:r w:rsidR="007849A1" w:rsidRPr="006B4BF5">
        <w:rPr>
          <w:rFonts w:ascii="Book Antiqua" w:hAnsi="Book Antiqua"/>
          <w:sz w:val="24"/>
          <w:szCs w:val="24"/>
          <w:lang w:val="en-US"/>
        </w:rPr>
        <w:t xml:space="preserve"> and is critical for intestinal stem cell division, survival and differentiation in mice</w:t>
      </w:r>
      <w:r w:rsidR="007849A1" w:rsidRPr="006B4BF5">
        <w:rPr>
          <w:rFonts w:ascii="Book Antiqua" w:hAnsi="Book Antiqua"/>
          <w:sz w:val="24"/>
          <w:szCs w:val="24"/>
          <w:vertAlign w:val="superscript"/>
          <w:lang w:val="en-US"/>
        </w:rPr>
        <w:t>[14]</w:t>
      </w:r>
      <w:r w:rsidR="007849A1" w:rsidRPr="006B4BF5">
        <w:rPr>
          <w:rFonts w:ascii="Book Antiqua" w:hAnsi="Book Antiqua"/>
          <w:sz w:val="24"/>
          <w:szCs w:val="24"/>
          <w:lang w:val="en-US"/>
        </w:rPr>
        <w:t>. Recently it has been reported that Cdc42 is critical for intestinal epithelial stem cell differentiation into a fu</w:t>
      </w:r>
      <w:r w:rsidRPr="006B4BF5">
        <w:rPr>
          <w:rFonts w:ascii="Book Antiqua" w:hAnsi="Book Antiqua"/>
          <w:sz w:val="24"/>
          <w:szCs w:val="24"/>
          <w:lang w:val="en-US"/>
        </w:rPr>
        <w:t>nctional intestinal barrier</w:t>
      </w:r>
      <w:r w:rsidRPr="006B4BF5">
        <w:rPr>
          <w:rFonts w:ascii="Book Antiqua" w:hAnsi="Book Antiqua"/>
          <w:sz w:val="24"/>
          <w:szCs w:val="24"/>
          <w:vertAlign w:val="superscript"/>
          <w:lang w:val="en-US"/>
        </w:rPr>
        <w:t>[15,</w:t>
      </w:r>
      <w:r w:rsidR="007849A1" w:rsidRPr="006B4BF5">
        <w:rPr>
          <w:rFonts w:ascii="Book Antiqua" w:hAnsi="Book Antiqua"/>
          <w:sz w:val="24"/>
          <w:szCs w:val="24"/>
          <w:vertAlign w:val="superscript"/>
          <w:lang w:val="en-US"/>
        </w:rPr>
        <w:t>16]</w:t>
      </w:r>
      <w:r w:rsidR="007849A1" w:rsidRPr="006B4BF5">
        <w:rPr>
          <w:rFonts w:ascii="Book Antiqua" w:hAnsi="Book Antiqua"/>
          <w:sz w:val="24"/>
          <w:szCs w:val="24"/>
          <w:lang w:val="en-US"/>
        </w:rPr>
        <w:t>.</w:t>
      </w:r>
    </w:p>
    <w:p w14:paraId="3F2C6B70" w14:textId="42916C5C" w:rsidR="002A03B0" w:rsidRPr="006B4BF5" w:rsidRDefault="00011595"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7849A1" w:rsidRPr="006B4BF5">
        <w:rPr>
          <w:rFonts w:ascii="Book Antiqua" w:hAnsi="Book Antiqua"/>
          <w:sz w:val="24"/>
          <w:szCs w:val="24"/>
          <w:lang w:val="en-US"/>
        </w:rPr>
        <w:t>The epithelial barrier plays a critical role in maintaining intestinal homeostasis, and is formed by multiple intercellular junctions including the</w:t>
      </w:r>
      <w:r w:rsidRPr="006B4BF5">
        <w:rPr>
          <w:rFonts w:ascii="Book Antiqua" w:hAnsi="Book Antiqua"/>
          <w:sz w:val="24"/>
          <w:szCs w:val="24"/>
          <w:lang w:val="en-US"/>
        </w:rPr>
        <w:t xml:space="preserve"> </w:t>
      </w:r>
      <w:r w:rsidR="007849A1" w:rsidRPr="006B4BF5">
        <w:rPr>
          <w:rFonts w:ascii="Book Antiqua" w:hAnsi="Book Antiqua"/>
          <w:sz w:val="24"/>
          <w:szCs w:val="24"/>
          <w:lang w:val="en-US"/>
        </w:rPr>
        <w:t xml:space="preserve">apical junctional complex (AJC), tight junction (TJ) and </w:t>
      </w:r>
      <w:bookmarkStart w:id="28" w:name="OLE_LINK21"/>
      <w:bookmarkStart w:id="29" w:name="OLE_LINK22"/>
      <w:r w:rsidR="007849A1" w:rsidRPr="006B4BF5">
        <w:rPr>
          <w:rFonts w:ascii="Book Antiqua" w:hAnsi="Book Antiqua"/>
          <w:sz w:val="24"/>
          <w:szCs w:val="24"/>
          <w:lang w:val="en-US"/>
        </w:rPr>
        <w:t>adherent junction</w:t>
      </w:r>
      <w:bookmarkEnd w:id="28"/>
      <w:bookmarkEnd w:id="29"/>
      <w:r w:rsidR="007849A1" w:rsidRPr="006B4BF5">
        <w:rPr>
          <w:rFonts w:ascii="Book Antiqua" w:hAnsi="Book Antiqua"/>
          <w:sz w:val="24"/>
          <w:szCs w:val="24"/>
          <w:lang w:val="en-US"/>
        </w:rPr>
        <w:t xml:space="preserve"> (AJ), which are the major protein complexes of the AJC</w:t>
      </w:r>
      <w:r w:rsidR="007849A1" w:rsidRPr="006B4BF5">
        <w:rPr>
          <w:rFonts w:ascii="Book Antiqua" w:hAnsi="Book Antiqua"/>
          <w:sz w:val="24"/>
          <w:szCs w:val="24"/>
          <w:vertAlign w:val="superscript"/>
          <w:lang w:val="en-US"/>
        </w:rPr>
        <w:t>[17]</w:t>
      </w:r>
      <w:r w:rsidR="007849A1" w:rsidRPr="006B4BF5">
        <w:rPr>
          <w:rFonts w:ascii="Book Antiqua" w:hAnsi="Book Antiqua"/>
          <w:sz w:val="24"/>
          <w:szCs w:val="24"/>
          <w:lang w:val="en-US"/>
        </w:rPr>
        <w:t xml:space="preserve">. TJs comprise occludin, claudins, junctional adhesion molecules (JAMs), and </w:t>
      </w:r>
      <w:bookmarkStart w:id="30" w:name="OLE_LINK23"/>
      <w:r w:rsidR="007849A1" w:rsidRPr="006B4BF5">
        <w:rPr>
          <w:rFonts w:ascii="Book Antiqua" w:hAnsi="Book Antiqua"/>
          <w:sz w:val="24"/>
          <w:szCs w:val="24"/>
          <w:lang w:val="en-US"/>
        </w:rPr>
        <w:t>zona occludens</w:t>
      </w:r>
      <w:bookmarkEnd w:id="30"/>
      <w:r w:rsidR="007849A1" w:rsidRPr="006B4BF5">
        <w:rPr>
          <w:rFonts w:ascii="Book Antiqua" w:hAnsi="Book Antiqua"/>
          <w:sz w:val="24"/>
          <w:szCs w:val="24"/>
          <w:lang w:val="en-US"/>
        </w:rPr>
        <w:t xml:space="preserve"> (ZO) family. AJs are formed by E-cadherin</w:t>
      </w:r>
      <w:r w:rsidR="007849A1" w:rsidRPr="006B4BF5">
        <w:rPr>
          <w:rFonts w:ascii="Book Antiqua" w:hAnsi="Book Antiqua"/>
          <w:sz w:val="24"/>
          <w:szCs w:val="24"/>
          <w:vertAlign w:val="superscript"/>
          <w:lang w:val="en-US"/>
        </w:rPr>
        <w:t>[18]</w:t>
      </w:r>
      <w:r w:rsidR="007849A1" w:rsidRPr="006B4BF5">
        <w:rPr>
          <w:rFonts w:ascii="Book Antiqua" w:hAnsi="Book Antiqua"/>
          <w:sz w:val="24"/>
          <w:szCs w:val="24"/>
          <w:lang w:val="en-US"/>
        </w:rPr>
        <w:t xml:space="preserve">. A number of studies in patients with IBD have demonstrated that intestinal barrier function is disrupted both in active and </w:t>
      </w:r>
      <w:r w:rsidRPr="006B4BF5">
        <w:rPr>
          <w:rFonts w:ascii="Book Antiqua" w:hAnsi="Book Antiqua"/>
          <w:sz w:val="24"/>
          <w:szCs w:val="24"/>
          <w:lang w:val="en-US"/>
        </w:rPr>
        <w:t>in quiescent disease states</w:t>
      </w:r>
      <w:r w:rsidRPr="006B4BF5">
        <w:rPr>
          <w:rFonts w:ascii="Book Antiqua" w:hAnsi="Book Antiqua"/>
          <w:sz w:val="24"/>
          <w:szCs w:val="24"/>
          <w:vertAlign w:val="superscript"/>
          <w:lang w:val="en-US"/>
        </w:rPr>
        <w:t>[16,19,</w:t>
      </w:r>
      <w:r w:rsidR="007849A1" w:rsidRPr="006B4BF5">
        <w:rPr>
          <w:rFonts w:ascii="Book Antiqua" w:hAnsi="Book Antiqua"/>
          <w:sz w:val="24"/>
          <w:szCs w:val="24"/>
          <w:vertAlign w:val="superscript"/>
          <w:lang w:val="en-US"/>
        </w:rPr>
        <w:t>20]</w:t>
      </w:r>
      <w:r w:rsidR="007849A1" w:rsidRPr="006B4BF5">
        <w:rPr>
          <w:rFonts w:ascii="Book Antiqua" w:hAnsi="Book Antiqua"/>
          <w:sz w:val="24"/>
          <w:szCs w:val="24"/>
          <w:lang w:val="en-US"/>
        </w:rPr>
        <w:t>.</w:t>
      </w:r>
    </w:p>
    <w:p w14:paraId="13239CFD" w14:textId="41E64D85" w:rsidR="002A03B0" w:rsidRPr="006B4BF5" w:rsidRDefault="00011595"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7849A1" w:rsidRPr="006B4BF5">
        <w:rPr>
          <w:rFonts w:ascii="Book Antiqua" w:hAnsi="Book Antiqua"/>
          <w:sz w:val="24"/>
          <w:szCs w:val="24"/>
          <w:lang w:val="en-US"/>
        </w:rPr>
        <w:t xml:space="preserve">A number of studies have shown that </w:t>
      </w:r>
      <w:r w:rsidR="004B5A33" w:rsidRPr="006B4BF5">
        <w:rPr>
          <w:rFonts w:ascii="Book Antiqua" w:hAnsi="Book Antiqua"/>
          <w:sz w:val="24"/>
          <w:szCs w:val="24"/>
          <w:lang w:val="en-US"/>
        </w:rPr>
        <w:t>microRNA</w:t>
      </w:r>
      <w:r w:rsidR="007849A1" w:rsidRPr="006B4BF5">
        <w:rPr>
          <w:rFonts w:ascii="Book Antiqua" w:hAnsi="Book Antiqua"/>
          <w:sz w:val="24"/>
          <w:szCs w:val="24"/>
          <w:lang w:val="en-US"/>
        </w:rPr>
        <w:t xml:space="preserve">s participate in the development of IBD, and miR-15 has an altered expression level in IBD patients, but the underlying mechanisms are not fully elucidated. Recently, </w:t>
      </w:r>
      <w:r w:rsidR="004B5A33" w:rsidRPr="006B4BF5">
        <w:rPr>
          <w:rFonts w:ascii="Book Antiqua" w:hAnsi="Book Antiqua"/>
          <w:sz w:val="24"/>
          <w:szCs w:val="24"/>
          <w:lang w:val="en-US"/>
        </w:rPr>
        <w:t>microRNA</w:t>
      </w:r>
      <w:r w:rsidR="00B97935" w:rsidRPr="006B4BF5">
        <w:rPr>
          <w:rFonts w:ascii="Book Antiqua" w:hAnsi="Book Antiqua"/>
          <w:sz w:val="24"/>
          <w:szCs w:val="24"/>
          <w:lang w:val="en-US"/>
        </w:rPr>
        <w:t>-</w:t>
      </w:r>
      <w:r w:rsidR="007849A1" w:rsidRPr="006B4BF5">
        <w:rPr>
          <w:rFonts w:ascii="Book Antiqua" w:hAnsi="Book Antiqua"/>
          <w:sz w:val="24"/>
          <w:szCs w:val="24"/>
          <w:lang w:val="en-US"/>
        </w:rPr>
        <w:t>Cdc42 signaling has been stu</w:t>
      </w:r>
      <w:r w:rsidRPr="006B4BF5">
        <w:rPr>
          <w:rFonts w:ascii="Book Antiqua" w:hAnsi="Book Antiqua"/>
          <w:sz w:val="24"/>
          <w:szCs w:val="24"/>
          <w:lang w:val="en-US"/>
        </w:rPr>
        <w:t>died by some researchers, which</w:t>
      </w:r>
      <w:r w:rsidR="007849A1" w:rsidRPr="006B4BF5">
        <w:rPr>
          <w:rFonts w:ascii="Book Antiqua" w:hAnsi="Book Antiqua"/>
          <w:sz w:val="24"/>
          <w:szCs w:val="24"/>
          <w:lang w:val="en-US"/>
        </w:rPr>
        <w:t xml:space="preserve"> showed that miR-137 negatively regulates H2O2-induced cardiomyocyte apoptosis through Cdc42</w:t>
      </w:r>
      <w:r w:rsidR="007849A1" w:rsidRPr="006B4BF5">
        <w:rPr>
          <w:rFonts w:ascii="Book Antiqua" w:hAnsi="Book Antiqua"/>
          <w:sz w:val="24"/>
          <w:szCs w:val="24"/>
          <w:vertAlign w:val="superscript"/>
          <w:lang w:val="en-US"/>
        </w:rPr>
        <w:t>[21]</w:t>
      </w:r>
      <w:r w:rsidRPr="006B4BF5">
        <w:rPr>
          <w:rFonts w:ascii="Book Antiqua" w:hAnsi="Book Antiqua"/>
          <w:sz w:val="24"/>
          <w:szCs w:val="24"/>
          <w:lang w:val="en-US"/>
        </w:rPr>
        <w:t>. M</w:t>
      </w:r>
      <w:r w:rsidR="007849A1" w:rsidRPr="006B4BF5">
        <w:rPr>
          <w:rFonts w:ascii="Book Antiqua" w:hAnsi="Book Antiqua"/>
          <w:sz w:val="24"/>
          <w:szCs w:val="24"/>
          <w:lang w:val="en-US"/>
        </w:rPr>
        <w:t>iR-17 is involved in Japanese flounder development by targeting Cdc42 mRNA</w:t>
      </w:r>
      <w:r w:rsidR="007849A1" w:rsidRPr="006B4BF5">
        <w:rPr>
          <w:rFonts w:ascii="Book Antiqua" w:hAnsi="Book Antiqua"/>
          <w:sz w:val="24"/>
          <w:szCs w:val="24"/>
          <w:vertAlign w:val="superscript"/>
          <w:lang w:val="en-US"/>
        </w:rPr>
        <w:t>[22]</w:t>
      </w:r>
      <w:r w:rsidR="00BB6FAC" w:rsidRPr="006B4BF5">
        <w:rPr>
          <w:rFonts w:ascii="Book Antiqua" w:hAnsi="Book Antiqua"/>
          <w:sz w:val="24"/>
          <w:szCs w:val="24"/>
          <w:lang w:val="en-US"/>
        </w:rPr>
        <w:t>, and miR-106b negatively</w:t>
      </w:r>
      <w:r w:rsidR="007849A1" w:rsidRPr="006B4BF5">
        <w:rPr>
          <w:rFonts w:ascii="Book Antiqua" w:hAnsi="Book Antiqua"/>
          <w:sz w:val="24"/>
          <w:szCs w:val="24"/>
          <w:lang w:val="en-US"/>
        </w:rPr>
        <w:t xml:space="preserve"> regulates Cdc42 in human colorectal cancer cells</w:t>
      </w:r>
      <w:r w:rsidR="007849A1" w:rsidRPr="006B4BF5">
        <w:rPr>
          <w:rFonts w:ascii="Book Antiqua" w:hAnsi="Book Antiqua"/>
          <w:sz w:val="24"/>
          <w:szCs w:val="24"/>
          <w:vertAlign w:val="superscript"/>
          <w:lang w:val="en-US"/>
        </w:rPr>
        <w:t>[23]</w:t>
      </w:r>
      <w:r w:rsidR="007849A1" w:rsidRPr="006B4BF5">
        <w:rPr>
          <w:rFonts w:ascii="Book Antiqua" w:hAnsi="Book Antiqua"/>
          <w:sz w:val="24"/>
          <w:szCs w:val="24"/>
          <w:lang w:val="en-US"/>
        </w:rPr>
        <w:t>. We used Target Scan an</w:t>
      </w:r>
      <w:r w:rsidRPr="006B4BF5">
        <w:rPr>
          <w:rFonts w:ascii="Book Antiqua" w:hAnsi="Book Antiqua"/>
          <w:sz w:val="24"/>
          <w:szCs w:val="24"/>
          <w:lang w:val="en-US"/>
        </w:rPr>
        <w:t>d found</w:t>
      </w:r>
      <w:r w:rsidR="007849A1" w:rsidRPr="006B4BF5">
        <w:rPr>
          <w:rFonts w:ascii="Book Antiqua" w:hAnsi="Book Antiqua"/>
          <w:sz w:val="24"/>
          <w:szCs w:val="24"/>
          <w:lang w:val="en-US"/>
        </w:rPr>
        <w:t xml:space="preserve"> the putative seed region of miR-15a in th</w:t>
      </w:r>
      <w:r w:rsidRPr="006B4BF5">
        <w:rPr>
          <w:rFonts w:ascii="Book Antiqua" w:hAnsi="Book Antiqua"/>
          <w:sz w:val="24"/>
          <w:szCs w:val="24"/>
          <w:lang w:val="en-US"/>
        </w:rPr>
        <w:t>e wild-type 3'-UTR of Cdc42 (</w:t>
      </w:r>
      <w:r w:rsidR="007849A1" w:rsidRPr="006B4BF5">
        <w:rPr>
          <w:rFonts w:ascii="Book Antiqua" w:hAnsi="Book Antiqua"/>
          <w:sz w:val="24"/>
          <w:szCs w:val="24"/>
          <w:lang w:val="en-US"/>
        </w:rPr>
        <w:t>Figure 1A). As Cdc42 is critical for intestinal barrier function, we hypothesized that miR-15a regulates Cdc42 to disrupt the intestinal barrier in IBD development.</w:t>
      </w:r>
    </w:p>
    <w:p w14:paraId="584A4929"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34E58D07" w14:textId="77777777" w:rsidR="002A03B0" w:rsidRPr="00D36529" w:rsidRDefault="007849A1" w:rsidP="005C3D9B">
      <w:pPr>
        <w:adjustRightInd w:val="0"/>
        <w:snapToGrid w:val="0"/>
        <w:spacing w:line="360" w:lineRule="auto"/>
        <w:jc w:val="both"/>
        <w:outlineLvl w:val="0"/>
        <w:rPr>
          <w:rFonts w:ascii="Book Antiqua" w:hAnsi="Book Antiqua"/>
          <w:b/>
          <w:sz w:val="24"/>
          <w:szCs w:val="24"/>
          <w:lang w:val="en-US"/>
        </w:rPr>
      </w:pPr>
      <w:r w:rsidRPr="00D36529">
        <w:rPr>
          <w:rFonts w:ascii="Book Antiqua" w:hAnsi="Book Antiqua"/>
          <w:b/>
          <w:sz w:val="24"/>
          <w:szCs w:val="24"/>
          <w:lang w:val="en-US"/>
        </w:rPr>
        <w:t>MATERIALS AND METHODS</w:t>
      </w:r>
    </w:p>
    <w:p w14:paraId="2FAA11ED" w14:textId="77777777" w:rsidR="002A03B0" w:rsidRPr="006B4BF5" w:rsidRDefault="007849A1"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Patients</w:t>
      </w:r>
    </w:p>
    <w:p w14:paraId="2FFEB8C2" w14:textId="3C8F1602" w:rsidR="002A03B0" w:rsidRPr="006B4BF5" w:rsidRDefault="007849A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Chinese Han pediatric IBD patients were included in this study. The</w:t>
      </w:r>
      <w:r w:rsidR="00D97B17" w:rsidRPr="006B4BF5">
        <w:rPr>
          <w:rFonts w:ascii="Book Antiqua" w:hAnsi="Book Antiqua"/>
          <w:sz w:val="24"/>
          <w:szCs w:val="24"/>
          <w:lang w:val="en-US"/>
        </w:rPr>
        <w:t xml:space="preserve"> </w:t>
      </w:r>
      <w:r w:rsidRPr="006B4BF5">
        <w:rPr>
          <w:rFonts w:ascii="Book Antiqua" w:hAnsi="Book Antiqua"/>
          <w:sz w:val="24"/>
          <w:szCs w:val="24"/>
          <w:lang w:val="en-US"/>
        </w:rPr>
        <w:t>diagnosis of CD and UC w</w:t>
      </w:r>
      <w:r w:rsidR="00D10BC0" w:rsidRPr="006B4BF5">
        <w:rPr>
          <w:rFonts w:ascii="Book Antiqua" w:hAnsi="Book Antiqua"/>
          <w:sz w:val="24"/>
          <w:szCs w:val="24"/>
          <w:lang w:val="en-US"/>
        </w:rPr>
        <w:t xml:space="preserve">as based on clinical symptoms, </w:t>
      </w:r>
      <w:r w:rsidR="001D2326" w:rsidRPr="006B4BF5">
        <w:rPr>
          <w:rFonts w:ascii="Book Antiqua" w:hAnsi="Book Antiqua"/>
          <w:sz w:val="24"/>
          <w:szCs w:val="24"/>
          <w:lang w:val="en-US"/>
        </w:rPr>
        <w:t xml:space="preserve">endoscopic </w:t>
      </w:r>
      <w:r w:rsidRPr="006B4BF5">
        <w:rPr>
          <w:rFonts w:ascii="Book Antiqua" w:hAnsi="Book Antiqua"/>
          <w:sz w:val="24"/>
          <w:szCs w:val="24"/>
          <w:lang w:val="en-US"/>
        </w:rPr>
        <w:t>findings, and histopathology according to the Porto criteria</w:t>
      </w:r>
      <w:bookmarkStart w:id="31" w:name="OLE_LINK25"/>
      <w:r w:rsidRPr="006B4BF5">
        <w:rPr>
          <w:rFonts w:ascii="Book Antiqua" w:hAnsi="Book Antiqua"/>
          <w:sz w:val="24"/>
          <w:szCs w:val="24"/>
          <w:vertAlign w:val="superscript"/>
          <w:lang w:val="en-US"/>
        </w:rPr>
        <w:t>[24]</w:t>
      </w:r>
      <w:bookmarkEnd w:id="31"/>
      <w:r w:rsidRPr="006B4BF5">
        <w:rPr>
          <w:rFonts w:ascii="Book Antiqua" w:hAnsi="Book Antiqua"/>
          <w:sz w:val="24"/>
          <w:szCs w:val="24"/>
          <w:lang w:val="en-US"/>
        </w:rPr>
        <w:t xml:space="preserve">. Disease activity score was calculated by Pediatric Crohn’s Disease Activity Index (PCDAI) and Pediatric Ulcerative Colitis Activity Index (PUCAI). </w:t>
      </w:r>
      <w:r w:rsidR="00965F21" w:rsidRPr="006B4BF5">
        <w:rPr>
          <w:rFonts w:ascii="Book Antiqua" w:hAnsi="Book Antiqua"/>
          <w:sz w:val="24"/>
          <w:szCs w:val="24"/>
          <w:lang w:val="en-US"/>
        </w:rPr>
        <w:t xml:space="preserve">Age- and sex-matched Chinese Han juvenile polyp patients were </w:t>
      </w:r>
      <w:r w:rsidR="00965F21" w:rsidRPr="006B4BF5">
        <w:rPr>
          <w:rFonts w:ascii="Book Antiqua" w:hAnsi="Book Antiqua"/>
          <w:sz w:val="24"/>
          <w:szCs w:val="24"/>
          <w:lang w:val="en-US"/>
        </w:rPr>
        <w:lastRenderedPageBreak/>
        <w:t>enrolled as a control group. Colonoscopy was used for diagnosis, and the ileocecal mucosa showed normal macroscopic appearance with normal histology in the biopsy specimens.</w:t>
      </w:r>
    </w:p>
    <w:p w14:paraId="5A02C24B" w14:textId="7C03E2B7" w:rsidR="002A03B0" w:rsidRPr="006B4BF5" w:rsidRDefault="00D10BC0"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965F21" w:rsidRPr="006B4BF5">
        <w:rPr>
          <w:rFonts w:ascii="Book Antiqua" w:hAnsi="Book Antiqua"/>
          <w:sz w:val="24"/>
          <w:szCs w:val="24"/>
          <w:lang w:val="en-US"/>
        </w:rPr>
        <w:t xml:space="preserve">Ileocecal tissues of all patients were collected by endoscopy, frozen in </w:t>
      </w:r>
      <w:r w:rsidRPr="006B4BF5">
        <w:rPr>
          <w:rFonts w:ascii="Book Antiqua" w:hAnsi="Book Antiqua"/>
          <w:sz w:val="24"/>
          <w:szCs w:val="24"/>
          <w:lang w:val="en-US"/>
        </w:rPr>
        <w:t>liquid nitrogen, and stored at -</w:t>
      </w:r>
      <w:r w:rsidR="00965F21" w:rsidRPr="006B4BF5">
        <w:rPr>
          <w:rFonts w:ascii="Book Antiqua" w:hAnsi="Book Antiqua"/>
          <w:sz w:val="24"/>
          <w:szCs w:val="24"/>
          <w:lang w:val="en-US"/>
        </w:rPr>
        <w:t>80</w:t>
      </w:r>
      <w:r w:rsidRPr="006B4BF5">
        <w:rPr>
          <w:rFonts w:ascii="Book Antiqua" w:hAnsi="Book Antiqua"/>
          <w:sz w:val="24"/>
          <w:szCs w:val="24"/>
          <w:lang w:val="en-US"/>
        </w:rPr>
        <w:t xml:space="preserve"> </w:t>
      </w:r>
      <w:r w:rsidR="00965F21" w:rsidRPr="006B4BF5">
        <w:rPr>
          <w:rFonts w:ascii="Book Antiqua" w:hAnsi="Book Antiqua"/>
          <w:sz w:val="24"/>
          <w:szCs w:val="24"/>
          <w:lang w:val="en-US"/>
        </w:rPr>
        <w:t>°C until further analysis. All tissues had been histologically confirmed.</w:t>
      </w:r>
    </w:p>
    <w:p w14:paraId="36E48C97"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0350E3B6" w14:textId="77777777" w:rsidR="002A03B0" w:rsidRPr="006B4BF5" w:rsidRDefault="00965F21"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Cell culture</w:t>
      </w:r>
    </w:p>
    <w:p w14:paraId="175F0165" w14:textId="5BFB3A7A" w:rsidR="002A03B0" w:rsidRPr="006B4BF5" w:rsidRDefault="00965F2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293T cells were a generous gift from Dr. Hua</w:t>
      </w:r>
      <w:r w:rsidR="00D10BC0" w:rsidRPr="006B4BF5">
        <w:rPr>
          <w:rFonts w:ascii="Book Antiqua" w:hAnsi="Book Antiqua"/>
          <w:sz w:val="24"/>
          <w:szCs w:val="24"/>
          <w:lang w:val="en-US"/>
        </w:rPr>
        <w:t>-Q</w:t>
      </w:r>
      <w:r w:rsidRPr="006B4BF5">
        <w:rPr>
          <w:rFonts w:ascii="Book Antiqua" w:hAnsi="Book Antiqua"/>
          <w:sz w:val="24"/>
          <w:szCs w:val="24"/>
          <w:lang w:val="en-US"/>
        </w:rPr>
        <w:t xml:space="preserve">ing Zhong (Institute of Pediatrics, Children’s Hospital of Fudan University), and Caco-2 cells were purchased from Genechem (Shanghai, China). They were cultured in </w:t>
      </w:r>
      <w:bookmarkStart w:id="32" w:name="OLE_LINK26"/>
      <w:r w:rsidRPr="006B4BF5">
        <w:rPr>
          <w:rFonts w:ascii="Book Antiqua" w:hAnsi="Book Antiqua"/>
          <w:sz w:val="24"/>
          <w:szCs w:val="24"/>
          <w:lang w:val="en-US"/>
        </w:rPr>
        <w:t>Dulbecco’s modified Eagle’s medium</w:t>
      </w:r>
      <w:bookmarkEnd w:id="32"/>
      <w:r w:rsidRPr="006B4BF5">
        <w:rPr>
          <w:rFonts w:ascii="Book Antiqua" w:hAnsi="Book Antiqua"/>
          <w:sz w:val="24"/>
          <w:szCs w:val="24"/>
          <w:lang w:val="en-US"/>
        </w:rPr>
        <w:t xml:space="preserve"> supplemented with 10% fetal bovine serum, 1% nonessential amino acids, 1% penicillin</w:t>
      </w:r>
      <w:r w:rsidR="00B97935" w:rsidRPr="006B4BF5">
        <w:rPr>
          <w:rFonts w:ascii="Book Antiqua" w:hAnsi="Book Antiqua"/>
          <w:sz w:val="24"/>
          <w:szCs w:val="24"/>
          <w:lang w:val="en-US"/>
        </w:rPr>
        <w:t>-</w:t>
      </w:r>
      <w:r w:rsidRPr="006B4BF5">
        <w:rPr>
          <w:rFonts w:ascii="Book Antiqua" w:hAnsi="Book Antiqua"/>
          <w:sz w:val="24"/>
          <w:szCs w:val="24"/>
          <w:lang w:val="en-US"/>
        </w:rPr>
        <w:t>streotomycin antibiotic solution (Gibco) and 1 m</w:t>
      </w:r>
      <w:r w:rsidR="00D10BC0" w:rsidRPr="006B4BF5">
        <w:rPr>
          <w:rFonts w:ascii="Book Antiqua" w:hAnsi="Book Antiqua"/>
          <w:sz w:val="24"/>
          <w:szCs w:val="24"/>
          <w:lang w:val="en-US"/>
        </w:rPr>
        <w:t>mol/L</w:t>
      </w:r>
      <w:r w:rsidRPr="006B4BF5">
        <w:rPr>
          <w:rFonts w:ascii="Book Antiqua" w:hAnsi="Book Antiqua"/>
          <w:sz w:val="24"/>
          <w:szCs w:val="24"/>
          <w:lang w:val="en-US"/>
        </w:rPr>
        <w:t xml:space="preserve"> L-glutamine at 37</w:t>
      </w:r>
      <w:r w:rsidR="00D10BC0" w:rsidRPr="006B4BF5">
        <w:rPr>
          <w:rFonts w:ascii="Book Antiqua" w:hAnsi="Book Antiqua"/>
          <w:sz w:val="24"/>
          <w:szCs w:val="24"/>
          <w:lang w:val="en-US"/>
        </w:rPr>
        <w:t xml:space="preserve"> </w:t>
      </w:r>
      <w:r w:rsidRPr="006B4BF5">
        <w:rPr>
          <w:rFonts w:ascii="Book Antiqua" w:hAnsi="Book Antiqua"/>
          <w:sz w:val="24"/>
          <w:szCs w:val="24"/>
          <w:lang w:val="en-US"/>
        </w:rPr>
        <w:t>°C in 5% CO2. The cells were passaged at 80% confluence with a 0.25% trypsin</w:t>
      </w:r>
      <w:r w:rsidR="00B97935" w:rsidRPr="006B4BF5">
        <w:rPr>
          <w:rFonts w:ascii="Book Antiqua" w:hAnsi="Book Antiqua"/>
          <w:sz w:val="24"/>
          <w:szCs w:val="24"/>
          <w:lang w:val="en-US"/>
        </w:rPr>
        <w:t>-</w:t>
      </w:r>
      <w:r w:rsidRPr="006B4BF5">
        <w:rPr>
          <w:rFonts w:ascii="Book Antiqua" w:hAnsi="Book Antiqua"/>
          <w:sz w:val="24"/>
          <w:szCs w:val="24"/>
          <w:lang w:val="en-US"/>
        </w:rPr>
        <w:t>EDTA solution for 3</w:t>
      </w:r>
      <w:r w:rsidR="00B97935" w:rsidRPr="006B4BF5">
        <w:rPr>
          <w:rFonts w:ascii="Book Antiqua" w:hAnsi="Book Antiqua"/>
          <w:sz w:val="24"/>
          <w:szCs w:val="24"/>
          <w:lang w:val="en-US"/>
        </w:rPr>
        <w:t>-</w:t>
      </w:r>
      <w:r w:rsidRPr="006B4BF5">
        <w:rPr>
          <w:rFonts w:ascii="Book Antiqua" w:hAnsi="Book Antiqua"/>
          <w:sz w:val="24"/>
          <w:szCs w:val="24"/>
          <w:lang w:val="en-US"/>
        </w:rPr>
        <w:t>5 min.</w:t>
      </w:r>
    </w:p>
    <w:p w14:paraId="56154225" w14:textId="77777777" w:rsidR="00D10BC0" w:rsidRPr="006B4BF5" w:rsidRDefault="00D10BC0" w:rsidP="007B12C8">
      <w:pPr>
        <w:adjustRightInd w:val="0"/>
        <w:snapToGrid w:val="0"/>
        <w:spacing w:line="360" w:lineRule="auto"/>
        <w:jc w:val="both"/>
        <w:rPr>
          <w:rFonts w:ascii="Book Antiqua" w:hAnsi="Book Antiqua"/>
          <w:b/>
          <w:i/>
          <w:sz w:val="24"/>
          <w:szCs w:val="24"/>
          <w:lang w:val="en-US"/>
        </w:rPr>
      </w:pPr>
    </w:p>
    <w:p w14:paraId="5456D2A0" w14:textId="77777777" w:rsidR="002A03B0" w:rsidRPr="006B4BF5" w:rsidRDefault="00965F21" w:rsidP="007B12C8">
      <w:pPr>
        <w:adjustRightInd w:val="0"/>
        <w:snapToGrid w:val="0"/>
        <w:spacing w:line="360" w:lineRule="auto"/>
        <w:jc w:val="both"/>
        <w:rPr>
          <w:rFonts w:ascii="Book Antiqua" w:hAnsi="Book Antiqua"/>
          <w:b/>
          <w:i/>
          <w:sz w:val="24"/>
          <w:szCs w:val="24"/>
          <w:lang w:val="en-US"/>
        </w:rPr>
      </w:pPr>
      <w:r w:rsidRPr="006B4BF5">
        <w:rPr>
          <w:rFonts w:ascii="Book Antiqua" w:hAnsi="Book Antiqua"/>
          <w:b/>
          <w:i/>
          <w:sz w:val="24"/>
          <w:szCs w:val="24"/>
          <w:lang w:val="en-US"/>
        </w:rPr>
        <w:t>Cell transfection</w:t>
      </w:r>
    </w:p>
    <w:p w14:paraId="6FFF288B" w14:textId="0897685A" w:rsidR="002A03B0" w:rsidRPr="006B4BF5" w:rsidRDefault="00965F2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Plasmid transfection. The following plasmids were used: hsa-mir-15a and its negative control, Cdc42[NM-001791-3UTR(mir-15a-5p)] and its negative control, Cdc42[NM-001791-3UTR(mir-15a-5p)]-mut. All the plasmids were purchased from Genechem. Transfection was performed using X-tremegene HP (Roche). At 48 h after transfection, cells were harvested for further experiments.</w:t>
      </w:r>
    </w:p>
    <w:p w14:paraId="2AC35655" w14:textId="50062F93" w:rsidR="002A03B0" w:rsidRPr="006B4BF5" w:rsidRDefault="00D10BC0"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965F21" w:rsidRPr="006B4BF5">
        <w:rPr>
          <w:rFonts w:ascii="Book Antiqua" w:hAnsi="Book Antiqua"/>
          <w:sz w:val="24"/>
          <w:szCs w:val="24"/>
          <w:lang w:val="en-US"/>
        </w:rPr>
        <w:t xml:space="preserve">Lentiviral transfection. </w:t>
      </w:r>
      <w:r w:rsidRPr="006B4BF5">
        <w:rPr>
          <w:rFonts w:ascii="Book Antiqua" w:hAnsi="Book Antiqua"/>
          <w:sz w:val="24"/>
          <w:szCs w:val="24"/>
          <w:lang w:val="en-US"/>
        </w:rPr>
        <w:t>The following lentivirals were</w:t>
      </w:r>
      <w:r w:rsidR="00BB6FAC" w:rsidRPr="006B4BF5">
        <w:rPr>
          <w:rFonts w:ascii="Book Antiqua" w:hAnsi="Book Antiqua"/>
          <w:sz w:val="24"/>
          <w:szCs w:val="24"/>
          <w:lang w:val="en-US"/>
        </w:rPr>
        <w:t xml:space="preserve"> used: </w:t>
      </w:r>
      <w:r w:rsidR="004B5A33" w:rsidRPr="006B4BF5">
        <w:rPr>
          <w:rFonts w:ascii="Book Antiqua" w:hAnsi="Book Antiqua"/>
          <w:sz w:val="24"/>
          <w:szCs w:val="24"/>
          <w:lang w:val="en-US"/>
        </w:rPr>
        <w:t>mi</w:t>
      </w:r>
      <w:r w:rsidR="00BB6FAC" w:rsidRPr="006B4BF5">
        <w:rPr>
          <w:rFonts w:ascii="Book Antiqua" w:hAnsi="Book Antiqua"/>
          <w:sz w:val="24"/>
          <w:szCs w:val="24"/>
          <w:lang w:val="en-US"/>
        </w:rPr>
        <w:t>R</w:t>
      </w:r>
      <w:r w:rsidR="00965F21" w:rsidRPr="006B4BF5">
        <w:rPr>
          <w:rFonts w:ascii="Book Antiqua" w:hAnsi="Book Antiqua"/>
          <w:sz w:val="24"/>
          <w:szCs w:val="24"/>
          <w:lang w:val="en-US"/>
        </w:rPr>
        <w:t>-15a mimic and its negative control (Ubi-MCS-SV40-EGFP-IRES-puromycin LVcon220); miR-115a inhibitor and its negative control (hU6-MCS-ubiquitin-EGFP-IRES-puromycin LVcon137); and Cdc42 and its negative control (Ubi-EGFP-MCS-IRES-puromycin LVcon129). All the lentivirals were purchased from Genechem. At 12 h after transfection, cells were cultured in the regular media, and after 48 h, cells were harvested for further experiments.</w:t>
      </w:r>
    </w:p>
    <w:p w14:paraId="22D3BBD8"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2F301FE0" w14:textId="0CC7E651" w:rsidR="002A03B0" w:rsidRPr="006B4BF5" w:rsidRDefault="00965F21" w:rsidP="00D10BC0">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lastRenderedPageBreak/>
        <w:t>TNF-</w:t>
      </w:r>
      <w:r w:rsidR="007849A1" w:rsidRPr="006B4BF5">
        <w:rPr>
          <w:rFonts w:ascii="Book Antiqua" w:hAnsi="Book Antiqua"/>
          <w:b/>
          <w:i/>
          <w:sz w:val="24"/>
          <w:szCs w:val="24"/>
        </w:rPr>
        <w:t>α</w:t>
      </w:r>
      <w:r w:rsidRPr="006B4BF5">
        <w:rPr>
          <w:rFonts w:ascii="Book Antiqua" w:hAnsi="Book Antiqua"/>
          <w:b/>
          <w:i/>
          <w:sz w:val="24"/>
          <w:szCs w:val="24"/>
          <w:lang w:val="en-US"/>
        </w:rPr>
        <w:t>-stimulated cells</w:t>
      </w:r>
    </w:p>
    <w:p w14:paraId="6443B268" w14:textId="2BC3EF21" w:rsidR="002A03B0" w:rsidRPr="006B4BF5" w:rsidRDefault="00965F2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Caco-2 cells (1</w:t>
      </w:r>
      <w:r w:rsidR="00D10BC0" w:rsidRPr="006B4BF5">
        <w:rPr>
          <w:rFonts w:ascii="Book Antiqua" w:hAnsi="Book Antiqua"/>
          <w:sz w:val="24"/>
          <w:szCs w:val="24"/>
          <w:lang w:val="en-US"/>
        </w:rPr>
        <w:t xml:space="preserve"> </w:t>
      </w:r>
      <w:r w:rsidRPr="006B4BF5">
        <w:rPr>
          <w:rFonts w:ascii="Book Antiqua" w:hAnsi="Book Antiqua"/>
          <w:sz w:val="24"/>
          <w:szCs w:val="24"/>
          <w:lang w:val="en-US"/>
        </w:rPr>
        <w:t>×</w:t>
      </w:r>
      <w:r w:rsidR="00D10BC0" w:rsidRPr="006B4BF5">
        <w:rPr>
          <w:rFonts w:ascii="Book Antiqua" w:hAnsi="Book Antiqua"/>
          <w:sz w:val="24"/>
          <w:szCs w:val="24"/>
          <w:lang w:val="en-US"/>
        </w:rPr>
        <w:t xml:space="preserve"> </w:t>
      </w:r>
      <w:r w:rsidRPr="006B4BF5">
        <w:rPr>
          <w:rFonts w:ascii="Book Antiqua" w:hAnsi="Book Antiqua"/>
          <w:sz w:val="24"/>
          <w:szCs w:val="24"/>
          <w:lang w:val="en-US"/>
        </w:rPr>
        <w:t>10</w:t>
      </w:r>
      <w:r w:rsidRPr="006B4BF5">
        <w:rPr>
          <w:rFonts w:ascii="Book Antiqua" w:hAnsi="Book Antiqua"/>
          <w:sz w:val="24"/>
          <w:szCs w:val="24"/>
          <w:vertAlign w:val="superscript"/>
          <w:lang w:val="en-US"/>
        </w:rPr>
        <w:t>5</w:t>
      </w:r>
      <w:r w:rsidRPr="006B4BF5">
        <w:rPr>
          <w:rFonts w:ascii="Book Antiqua" w:hAnsi="Book Antiqua"/>
          <w:sz w:val="24"/>
          <w:szCs w:val="24"/>
          <w:lang w:val="en-US"/>
        </w:rPr>
        <w:t>) were passaged in 35-mm dishes or 5 × 10</w:t>
      </w:r>
      <w:r w:rsidRPr="006B4BF5">
        <w:rPr>
          <w:rFonts w:ascii="Book Antiqua" w:hAnsi="Book Antiqua"/>
          <w:sz w:val="24"/>
          <w:szCs w:val="24"/>
          <w:vertAlign w:val="superscript"/>
          <w:lang w:val="en-US"/>
        </w:rPr>
        <w:t>4</w:t>
      </w:r>
      <w:r w:rsidRPr="006B4BF5">
        <w:rPr>
          <w:rFonts w:ascii="Book Antiqua" w:hAnsi="Book Antiqua"/>
          <w:sz w:val="24"/>
          <w:szCs w:val="24"/>
          <w:lang w:val="en-US"/>
        </w:rPr>
        <w:t xml:space="preserve"> cells in 35-mm confocal dishes. After 24 h, the medium with 35 ng/mL TNF-</w:t>
      </w:r>
      <w:r w:rsidR="007849A1" w:rsidRPr="006B4BF5">
        <w:rPr>
          <w:rFonts w:ascii="Book Antiqua" w:hAnsi="Book Antiqua"/>
          <w:sz w:val="24"/>
          <w:szCs w:val="24"/>
        </w:rPr>
        <w:t>α</w:t>
      </w:r>
      <w:r w:rsidRPr="006B4BF5">
        <w:rPr>
          <w:rFonts w:ascii="Book Antiqua" w:hAnsi="Book Antiqua"/>
          <w:sz w:val="24"/>
          <w:szCs w:val="24"/>
          <w:lang w:val="en-US"/>
        </w:rPr>
        <w:t xml:space="preserve"> was used to culture the cells for 60 h, and then the cells were harvested.</w:t>
      </w:r>
    </w:p>
    <w:p w14:paraId="34071AF0"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0FA12608" w14:textId="3CB99180" w:rsidR="002A03B0" w:rsidRPr="006B4BF5" w:rsidRDefault="00965F21" w:rsidP="007B12C8">
      <w:pPr>
        <w:adjustRightInd w:val="0"/>
        <w:snapToGrid w:val="0"/>
        <w:spacing w:line="360" w:lineRule="auto"/>
        <w:jc w:val="both"/>
        <w:rPr>
          <w:rFonts w:ascii="Book Antiqua" w:hAnsi="Book Antiqua"/>
          <w:b/>
          <w:i/>
          <w:sz w:val="24"/>
          <w:szCs w:val="24"/>
          <w:lang w:val="en-US"/>
        </w:rPr>
      </w:pPr>
      <w:r w:rsidRPr="006B4BF5">
        <w:rPr>
          <w:rFonts w:ascii="Book Antiqua" w:hAnsi="Book Antiqua"/>
          <w:b/>
          <w:i/>
          <w:sz w:val="24"/>
          <w:szCs w:val="24"/>
          <w:lang w:val="en-US"/>
        </w:rPr>
        <w:t>Quantitative reverse transcription polymerase chain reaction</w:t>
      </w:r>
    </w:p>
    <w:p w14:paraId="1AB544B0" w14:textId="3B7CA64E" w:rsidR="002A03B0" w:rsidRPr="006B4BF5" w:rsidRDefault="00965F2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Total RNA was extracted using TRIzol reagent (Thermo Scientific). For analysis of </w:t>
      </w:r>
      <w:r w:rsidR="004B5A33" w:rsidRPr="006B4BF5">
        <w:rPr>
          <w:rFonts w:ascii="Book Antiqua" w:hAnsi="Book Antiqua"/>
          <w:sz w:val="24"/>
          <w:szCs w:val="24"/>
          <w:lang w:val="en-US"/>
        </w:rPr>
        <w:t>microRNA</w:t>
      </w:r>
      <w:r w:rsidRPr="006B4BF5">
        <w:rPr>
          <w:rFonts w:ascii="Book Antiqua" w:hAnsi="Book Antiqua"/>
          <w:sz w:val="24"/>
          <w:szCs w:val="24"/>
          <w:lang w:val="en-US"/>
        </w:rPr>
        <w:t xml:space="preserve"> expression, the MiScript II RT Kit (Qiagen) was used to convert RNA into cDNA. </w:t>
      </w:r>
      <w:bookmarkStart w:id="33" w:name="OLE_LINK28"/>
      <w:bookmarkStart w:id="34" w:name="OLE_LINK29"/>
      <w:r w:rsidR="00D10BC0" w:rsidRPr="006B4BF5">
        <w:rPr>
          <w:rFonts w:ascii="Book Antiqua" w:hAnsi="Book Antiqua"/>
          <w:sz w:val="24"/>
          <w:szCs w:val="24"/>
          <w:lang w:val="en-US"/>
        </w:rPr>
        <w:t>Quantitative reverse transcription polymerase chain reaction (qRT-PCR)</w:t>
      </w:r>
      <w:bookmarkEnd w:id="33"/>
      <w:bookmarkEnd w:id="34"/>
      <w:r w:rsidRPr="006B4BF5">
        <w:rPr>
          <w:rFonts w:ascii="Book Antiqua" w:hAnsi="Book Antiqua"/>
          <w:sz w:val="24"/>
          <w:szCs w:val="24"/>
          <w:lang w:val="en-US"/>
        </w:rPr>
        <w:t xml:space="preserve"> was performed using the Syber Premix Ex TaqTM II kit (Takara). The PCR conditions were set as follows: 95</w:t>
      </w:r>
      <w:r w:rsidR="00D10BC0" w:rsidRPr="006B4BF5">
        <w:rPr>
          <w:rFonts w:ascii="Book Antiqua" w:hAnsi="Book Antiqua"/>
          <w:sz w:val="24"/>
          <w:szCs w:val="24"/>
          <w:lang w:val="en-US"/>
        </w:rPr>
        <w:t xml:space="preserve"> </w:t>
      </w:r>
      <w:r w:rsidRPr="006B4BF5">
        <w:rPr>
          <w:rFonts w:ascii="Book Antiqua" w:hAnsi="Book Antiqua"/>
          <w:sz w:val="24"/>
          <w:szCs w:val="24"/>
          <w:lang w:val="en-US"/>
        </w:rPr>
        <w:t>°C for 30 s, followed by 40 cycles of 95</w:t>
      </w:r>
      <w:r w:rsidR="00D10BC0" w:rsidRPr="006B4BF5">
        <w:rPr>
          <w:rFonts w:ascii="Book Antiqua" w:hAnsi="Book Antiqua"/>
          <w:sz w:val="24"/>
          <w:szCs w:val="24"/>
          <w:lang w:val="en-US"/>
        </w:rPr>
        <w:t xml:space="preserve"> </w:t>
      </w:r>
      <w:r w:rsidRPr="006B4BF5">
        <w:rPr>
          <w:rFonts w:ascii="Book Antiqua" w:hAnsi="Book Antiqua"/>
          <w:sz w:val="24"/>
          <w:szCs w:val="24"/>
          <w:lang w:val="en-US"/>
        </w:rPr>
        <w:t>°C for 5 s and 60</w:t>
      </w:r>
      <w:r w:rsidR="00D10BC0" w:rsidRPr="006B4BF5">
        <w:rPr>
          <w:rFonts w:ascii="Book Antiqua" w:hAnsi="Book Antiqua"/>
          <w:sz w:val="24"/>
          <w:szCs w:val="24"/>
          <w:lang w:val="en-US"/>
        </w:rPr>
        <w:t xml:space="preserve"> </w:t>
      </w:r>
      <w:r w:rsidRPr="006B4BF5">
        <w:rPr>
          <w:rFonts w:ascii="Book Antiqua" w:hAnsi="Book Antiqua"/>
          <w:sz w:val="24"/>
          <w:szCs w:val="24"/>
          <w:lang w:val="en-US"/>
        </w:rPr>
        <w:t xml:space="preserve">°C for 30 s. U6 was used as a reference gene for </w:t>
      </w:r>
      <w:r w:rsidR="004B5A33" w:rsidRPr="006B4BF5">
        <w:rPr>
          <w:rFonts w:ascii="Book Antiqua" w:hAnsi="Book Antiqua"/>
          <w:sz w:val="24"/>
          <w:szCs w:val="24"/>
          <w:lang w:val="en-US"/>
        </w:rPr>
        <w:t>microRNA</w:t>
      </w:r>
      <w:r w:rsidRPr="006B4BF5">
        <w:rPr>
          <w:rFonts w:ascii="Book Antiqua" w:hAnsi="Book Antiqua"/>
          <w:sz w:val="24"/>
          <w:szCs w:val="24"/>
          <w:lang w:val="en-US"/>
        </w:rPr>
        <w:t>-15a, Gapdh was used as a reference gene for other genes. The relative expression was analyzed by the 2−</w:t>
      </w:r>
      <w:r w:rsidR="007849A1" w:rsidRPr="006B4BF5">
        <w:rPr>
          <w:rFonts w:ascii="Book Antiqua" w:hAnsi="Book Antiqua"/>
          <w:sz w:val="24"/>
          <w:szCs w:val="24"/>
        </w:rPr>
        <w:t>ΔΔ</w:t>
      </w:r>
      <w:r w:rsidR="00BB6FAC" w:rsidRPr="006B4BF5">
        <w:rPr>
          <w:rFonts w:ascii="Book Antiqua" w:hAnsi="Book Antiqua"/>
          <w:sz w:val="24"/>
          <w:szCs w:val="24"/>
          <w:lang w:val="en-US"/>
        </w:rPr>
        <w:t xml:space="preserve">Ct method. The </w:t>
      </w:r>
      <w:r w:rsidRPr="006B4BF5">
        <w:rPr>
          <w:rFonts w:ascii="Book Antiqua" w:hAnsi="Book Antiqua"/>
          <w:sz w:val="24"/>
          <w:szCs w:val="24"/>
          <w:lang w:val="en-US"/>
        </w:rPr>
        <w:t>primers used in this study are listed in Table 1.</w:t>
      </w:r>
    </w:p>
    <w:p w14:paraId="4C2E449C"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260B01B2" w14:textId="77777777" w:rsidR="002A03B0" w:rsidRPr="006B4BF5" w:rsidRDefault="00965F21"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Dual-luciferase reporter assay</w:t>
      </w:r>
    </w:p>
    <w:p w14:paraId="0FA76CBE" w14:textId="5B1D43C6" w:rsidR="002A03B0" w:rsidRPr="006B4BF5" w:rsidRDefault="00965F2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To determine whether Cdc42 was a direct target of miR-15a, a dual luciferase assay was performed using 293T cells. Mutant Cdc42 3′-UTR reporters were created by mutating the seed region of the predicted miR-15a target site. Approximately 1 × 10</w:t>
      </w:r>
      <w:r w:rsidRPr="006B4BF5">
        <w:rPr>
          <w:rFonts w:ascii="Book Antiqua" w:hAnsi="Book Antiqua"/>
          <w:sz w:val="24"/>
          <w:szCs w:val="24"/>
          <w:vertAlign w:val="superscript"/>
          <w:lang w:val="en-US"/>
        </w:rPr>
        <w:t>5</w:t>
      </w:r>
      <w:r w:rsidRPr="006B4BF5">
        <w:rPr>
          <w:rFonts w:ascii="Book Antiqua" w:hAnsi="Book Antiqua"/>
          <w:sz w:val="24"/>
          <w:szCs w:val="24"/>
          <w:lang w:val="en-US"/>
        </w:rPr>
        <w:t xml:space="preserve"> cells were plated in 24-well plates. After 24 h, in these cells, hsa-mir-15a mimic plasmid and its negative control (miR-NC) were cotransfected with either Cdc42-WT or Cdc42-MUT luciferase reporter vector; 48 h after transfection, a Dual Luciferase Reporter Assay System (Promega, Madison, WI, </w:t>
      </w:r>
      <w:r w:rsidR="00D10BC0" w:rsidRPr="006B4BF5">
        <w:rPr>
          <w:rFonts w:ascii="Book Antiqua" w:hAnsi="Book Antiqua"/>
          <w:sz w:val="24"/>
          <w:szCs w:val="24"/>
          <w:lang w:val="en-US"/>
        </w:rPr>
        <w:t>United States</w:t>
      </w:r>
      <w:r w:rsidRPr="006B4BF5">
        <w:rPr>
          <w:rFonts w:ascii="Book Antiqua" w:hAnsi="Book Antiqua"/>
          <w:sz w:val="24"/>
          <w:szCs w:val="24"/>
          <w:lang w:val="en-US"/>
        </w:rPr>
        <w:t>) was used to examine the relative luciferase activities. The relative luciferase activities were normalized to the value with Cdc42-MUT and miR-NC cotransfection.</w:t>
      </w:r>
    </w:p>
    <w:p w14:paraId="0FEF1B1D"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62EFE054" w14:textId="77777777" w:rsidR="002A03B0" w:rsidRPr="006B4BF5" w:rsidRDefault="00965F21"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Immunofluorescence</w:t>
      </w:r>
    </w:p>
    <w:p w14:paraId="249D1778" w14:textId="1C18983E" w:rsidR="002A03B0" w:rsidRPr="006B4BF5" w:rsidRDefault="00965F2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Caco-2 cells (5 × 10</w:t>
      </w:r>
      <w:r w:rsidRPr="006B4BF5">
        <w:rPr>
          <w:rFonts w:ascii="Book Antiqua" w:hAnsi="Book Antiqua"/>
          <w:sz w:val="24"/>
          <w:szCs w:val="24"/>
          <w:vertAlign w:val="superscript"/>
          <w:lang w:val="en-US"/>
        </w:rPr>
        <w:t>4</w:t>
      </w:r>
      <w:r w:rsidRPr="006B4BF5">
        <w:rPr>
          <w:rFonts w:ascii="Book Antiqua" w:hAnsi="Book Antiqua"/>
          <w:sz w:val="24"/>
          <w:szCs w:val="24"/>
          <w:lang w:val="en-US"/>
        </w:rPr>
        <w:t xml:space="preserve">) were passaged in 35-mm confocal dishes, washed in </w:t>
      </w:r>
      <w:r w:rsidR="00D10BC0" w:rsidRPr="006B4BF5">
        <w:rPr>
          <w:rFonts w:ascii="Book Antiqua" w:hAnsi="Book Antiqua"/>
          <w:sz w:val="24"/>
          <w:szCs w:val="24"/>
          <w:lang w:val="en-US"/>
        </w:rPr>
        <w:t>phosphate buffer solution (</w:t>
      </w:r>
      <w:r w:rsidRPr="006B4BF5">
        <w:rPr>
          <w:rFonts w:ascii="Book Antiqua" w:hAnsi="Book Antiqua"/>
          <w:sz w:val="24"/>
          <w:szCs w:val="24"/>
          <w:lang w:val="en-US"/>
        </w:rPr>
        <w:t>PBS</w:t>
      </w:r>
      <w:r w:rsidR="00D10BC0" w:rsidRPr="006B4BF5">
        <w:rPr>
          <w:rFonts w:ascii="Book Antiqua" w:hAnsi="Book Antiqua"/>
          <w:sz w:val="24"/>
          <w:szCs w:val="24"/>
          <w:lang w:val="en-US"/>
        </w:rPr>
        <w:t>)</w:t>
      </w:r>
      <w:r w:rsidRPr="006B4BF5">
        <w:rPr>
          <w:rFonts w:ascii="Book Antiqua" w:hAnsi="Book Antiqua"/>
          <w:sz w:val="24"/>
          <w:szCs w:val="24"/>
          <w:lang w:val="en-US"/>
        </w:rPr>
        <w:t xml:space="preserve">, and fixed with 4% paraformaldehyde for 20 min. Cells were permeabilized with PBS-T for 10 min, blocked with 4% bovine serum albumin at </w:t>
      </w:r>
      <w:r w:rsidRPr="006B4BF5">
        <w:rPr>
          <w:rFonts w:ascii="Book Antiqua" w:hAnsi="Book Antiqua"/>
          <w:sz w:val="24"/>
          <w:szCs w:val="24"/>
          <w:lang w:val="en-US"/>
        </w:rPr>
        <w:lastRenderedPageBreak/>
        <w:t>room temperature for 30 min, incubated with primary antibody solution at 4</w:t>
      </w:r>
      <w:r w:rsidR="00D10BC0" w:rsidRPr="006B4BF5">
        <w:rPr>
          <w:rFonts w:ascii="Book Antiqua" w:hAnsi="Book Antiqua"/>
          <w:sz w:val="24"/>
          <w:szCs w:val="24"/>
          <w:lang w:val="en-US"/>
        </w:rPr>
        <w:t xml:space="preserve"> </w:t>
      </w:r>
      <w:r w:rsidRPr="006B4BF5">
        <w:rPr>
          <w:rFonts w:ascii="Book Antiqua" w:hAnsi="Book Antiqua"/>
          <w:sz w:val="24"/>
          <w:szCs w:val="24"/>
          <w:lang w:val="en-US"/>
        </w:rPr>
        <w:t>°C overnight, and secondary antibody solution at room temperature for 1 h, and DAPI solution for 5 min. Immunofluorescence images were captured using a Leica confocal microscope and analyzed by Photoshop version 7.0.</w:t>
      </w:r>
    </w:p>
    <w:p w14:paraId="399A190E" w14:textId="769552C5" w:rsidR="002A03B0" w:rsidRPr="006B4BF5" w:rsidRDefault="00D10BC0"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965F21" w:rsidRPr="006B4BF5">
        <w:rPr>
          <w:rFonts w:ascii="Book Antiqua" w:hAnsi="Book Antiqua"/>
          <w:sz w:val="24"/>
          <w:szCs w:val="24"/>
          <w:lang w:val="en-US"/>
        </w:rPr>
        <w:t>Antibodies were used as follows: anti-ZO-1 at 1:400 (Cell Signaling Technology, #13663), anti-E-cadherin at 1:200 (Cell Signaling Technology, #3195), and secondary antibody was Dnk pAb To Rb IgG (Alexa Fluor 647, Abcam).</w:t>
      </w:r>
    </w:p>
    <w:p w14:paraId="4DA67924"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06822682" w14:textId="77777777" w:rsidR="002A03B0" w:rsidRPr="006B4BF5" w:rsidRDefault="00965F21"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Statistical analysis</w:t>
      </w:r>
    </w:p>
    <w:p w14:paraId="4A7CC4F5" w14:textId="15997972" w:rsidR="002A03B0" w:rsidRPr="006B4BF5" w:rsidRDefault="00965F2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All experiments were performed in triplicate. All data are expressed as the mean ± </w:t>
      </w:r>
      <w:r w:rsidR="006D4DA3" w:rsidRPr="006B4BF5">
        <w:rPr>
          <w:rFonts w:ascii="Book Antiqua" w:hAnsi="Book Antiqua"/>
          <w:sz w:val="24"/>
          <w:szCs w:val="24"/>
          <w:lang w:val="en-US"/>
        </w:rPr>
        <w:t>SD</w:t>
      </w:r>
      <w:r w:rsidRPr="006B4BF5">
        <w:rPr>
          <w:rFonts w:ascii="Book Antiqua" w:hAnsi="Book Antiqua"/>
          <w:sz w:val="24"/>
          <w:szCs w:val="24"/>
          <w:lang w:val="en-US"/>
        </w:rPr>
        <w:t xml:space="preserve">. The statistical analysis of differences was performed using </w:t>
      </w:r>
      <w:r w:rsidRPr="006B4BF5">
        <w:rPr>
          <w:rFonts w:ascii="Book Antiqua" w:hAnsi="Book Antiqua"/>
          <w:i/>
          <w:sz w:val="24"/>
          <w:szCs w:val="24"/>
          <w:lang w:val="en-US"/>
        </w:rPr>
        <w:t>t</w:t>
      </w:r>
      <w:r w:rsidRPr="006B4BF5">
        <w:rPr>
          <w:rFonts w:ascii="Book Antiqua" w:hAnsi="Book Antiqua"/>
          <w:sz w:val="24"/>
          <w:szCs w:val="24"/>
          <w:lang w:val="en-US"/>
        </w:rPr>
        <w:t xml:space="preserve"> test of variance and Pearson’s r test of correlation using GraphdPrism version 6.0. </w:t>
      </w:r>
      <w:r w:rsidRPr="006B4BF5">
        <w:rPr>
          <w:rFonts w:ascii="Book Antiqua" w:hAnsi="Book Antiqua"/>
          <w:i/>
          <w:sz w:val="24"/>
          <w:szCs w:val="24"/>
          <w:lang w:val="en-US"/>
        </w:rPr>
        <w:t xml:space="preserve">P </w:t>
      </w:r>
      <w:r w:rsidRPr="006B4BF5">
        <w:rPr>
          <w:rFonts w:ascii="Book Antiqua" w:hAnsi="Book Antiqua"/>
          <w:sz w:val="24"/>
          <w:szCs w:val="24"/>
          <w:lang w:val="en-US"/>
        </w:rPr>
        <w:t>&lt; 0.05 was considered statistically significant.</w:t>
      </w:r>
    </w:p>
    <w:p w14:paraId="2BEDA781"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573FD14F" w14:textId="77777777" w:rsidR="002A03B0" w:rsidRPr="006B4BF5" w:rsidRDefault="00965F21" w:rsidP="005C3D9B">
      <w:pPr>
        <w:adjustRightInd w:val="0"/>
        <w:snapToGrid w:val="0"/>
        <w:spacing w:line="360" w:lineRule="auto"/>
        <w:jc w:val="both"/>
        <w:outlineLvl w:val="0"/>
        <w:rPr>
          <w:rFonts w:ascii="Book Antiqua" w:hAnsi="Book Antiqua"/>
          <w:b/>
          <w:sz w:val="24"/>
          <w:szCs w:val="24"/>
          <w:lang w:val="en-US"/>
        </w:rPr>
      </w:pPr>
      <w:r w:rsidRPr="006B4BF5">
        <w:rPr>
          <w:rFonts w:ascii="Book Antiqua" w:hAnsi="Book Antiqua"/>
          <w:b/>
          <w:sz w:val="24"/>
          <w:szCs w:val="24"/>
          <w:lang w:val="en-US"/>
        </w:rPr>
        <w:t>RESULTS</w:t>
      </w:r>
    </w:p>
    <w:p w14:paraId="2D2E0B73" w14:textId="77777777" w:rsidR="002A03B0" w:rsidRPr="006B4BF5" w:rsidRDefault="00965F21"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Cdc42 is a novel target of miR-15a</w:t>
      </w:r>
    </w:p>
    <w:p w14:paraId="43617986" w14:textId="2177D871" w:rsidR="002A03B0" w:rsidRPr="006B4BF5" w:rsidRDefault="00965F2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We searched the online </w:t>
      </w:r>
      <w:r w:rsidR="004B5A33" w:rsidRPr="006B4BF5">
        <w:rPr>
          <w:rFonts w:ascii="Book Antiqua" w:hAnsi="Book Antiqua"/>
          <w:sz w:val="24"/>
          <w:szCs w:val="24"/>
          <w:lang w:val="en-US"/>
        </w:rPr>
        <w:t>microRNA</w:t>
      </w:r>
      <w:r w:rsidRPr="006B4BF5">
        <w:rPr>
          <w:rFonts w:ascii="Book Antiqua" w:hAnsi="Book Antiqua"/>
          <w:sz w:val="24"/>
          <w:szCs w:val="24"/>
          <w:lang w:val="en-US"/>
        </w:rPr>
        <w:t>s target database, Target Scan, and found that Cdc42 was a candidate target gene of miR-15a (Figure 1A). We then</w:t>
      </w:r>
      <w:r w:rsidR="00170930" w:rsidRPr="006B4BF5">
        <w:rPr>
          <w:rFonts w:ascii="Book Antiqua" w:hAnsi="Book Antiqua"/>
          <w:sz w:val="24"/>
          <w:szCs w:val="24"/>
          <w:lang w:val="en-US"/>
        </w:rPr>
        <w:t xml:space="preserve"> </w:t>
      </w:r>
      <w:r w:rsidRPr="006B4BF5">
        <w:rPr>
          <w:rFonts w:ascii="Book Antiqua" w:hAnsi="Book Antiqua"/>
          <w:sz w:val="24"/>
          <w:szCs w:val="24"/>
          <w:lang w:val="en-US"/>
        </w:rPr>
        <w:t>constructed firefly luciferase reporter vectors containing either wild-type Cdc42 3’UTR (Cdc42-</w:t>
      </w:r>
      <w:r w:rsidR="0070059B" w:rsidRPr="006B4BF5">
        <w:rPr>
          <w:rFonts w:ascii="Book Antiqua" w:hAnsi="Book Antiqua"/>
          <w:sz w:val="24"/>
          <w:szCs w:val="24"/>
          <w:lang w:val="en-US"/>
        </w:rPr>
        <w:t>WT</w:t>
      </w:r>
      <w:r w:rsidRPr="006B4BF5">
        <w:rPr>
          <w:rFonts w:ascii="Book Antiqua" w:hAnsi="Book Antiqua"/>
          <w:sz w:val="24"/>
          <w:szCs w:val="24"/>
          <w:lang w:val="en-US"/>
        </w:rPr>
        <w:t>) or mutated Cdc42 3’UTR with a modified miR-15a binding site (Cdc42-</w:t>
      </w:r>
      <w:r w:rsidR="00541D92" w:rsidRPr="006B4BF5">
        <w:rPr>
          <w:rFonts w:ascii="Book Antiqua" w:hAnsi="Book Antiqua"/>
          <w:sz w:val="24"/>
          <w:szCs w:val="24"/>
          <w:lang w:val="en-US"/>
        </w:rPr>
        <w:t>MUT</w:t>
      </w:r>
      <w:r w:rsidRPr="006B4BF5">
        <w:rPr>
          <w:rFonts w:ascii="Book Antiqua" w:hAnsi="Book Antiqua"/>
          <w:sz w:val="24"/>
          <w:szCs w:val="24"/>
          <w:lang w:val="en-US"/>
        </w:rPr>
        <w:t>). We transfected 293T cells with either Cdc42-</w:t>
      </w:r>
      <w:r w:rsidR="0070059B" w:rsidRPr="006B4BF5">
        <w:rPr>
          <w:rFonts w:ascii="Book Antiqua" w:hAnsi="Book Antiqua"/>
          <w:sz w:val="24"/>
          <w:szCs w:val="24"/>
          <w:lang w:val="en-US"/>
        </w:rPr>
        <w:t>WT</w:t>
      </w:r>
      <w:r w:rsidRPr="006B4BF5">
        <w:rPr>
          <w:rFonts w:ascii="Book Antiqua" w:hAnsi="Book Antiqua"/>
          <w:sz w:val="24"/>
          <w:szCs w:val="24"/>
          <w:lang w:val="en-US"/>
        </w:rPr>
        <w:t xml:space="preserve"> or Cdc42-</w:t>
      </w:r>
      <w:r w:rsidR="00541D92" w:rsidRPr="006B4BF5">
        <w:rPr>
          <w:rFonts w:ascii="Book Antiqua" w:hAnsi="Book Antiqua"/>
          <w:sz w:val="24"/>
          <w:szCs w:val="24"/>
          <w:lang w:val="en-US"/>
        </w:rPr>
        <w:t>MUT</w:t>
      </w:r>
      <w:r w:rsidRPr="006B4BF5">
        <w:rPr>
          <w:rFonts w:ascii="Book Antiqua" w:hAnsi="Book Antiqua"/>
          <w:sz w:val="24"/>
          <w:szCs w:val="24"/>
          <w:lang w:val="en-US"/>
        </w:rPr>
        <w:t>, along with plasmid containing miR-15a mimics (miR-15a) or its negative control plasmid (miR-NC). At 48 h after transfection, we used a dual-luciferase reporter assay to examine the relative luciferase activities. The relative luciferase activities were decreased in cells cotransfected with Cdc42-</w:t>
      </w:r>
      <w:r w:rsidR="0070059B" w:rsidRPr="006B4BF5">
        <w:rPr>
          <w:rFonts w:ascii="Book Antiqua" w:hAnsi="Book Antiqua"/>
          <w:sz w:val="24"/>
          <w:szCs w:val="24"/>
          <w:lang w:val="en-US"/>
        </w:rPr>
        <w:t>WT</w:t>
      </w:r>
      <w:r w:rsidRPr="006B4BF5">
        <w:rPr>
          <w:rFonts w:ascii="Book Antiqua" w:hAnsi="Book Antiqua"/>
          <w:sz w:val="24"/>
          <w:szCs w:val="24"/>
          <w:lang w:val="en-US"/>
        </w:rPr>
        <w:t xml:space="preserve"> and miR-15a mimics compared with cells cotransfected with Cdc42-</w:t>
      </w:r>
      <w:r w:rsidR="00541D92" w:rsidRPr="006B4BF5">
        <w:rPr>
          <w:rFonts w:ascii="Book Antiqua" w:hAnsi="Book Antiqua"/>
          <w:sz w:val="24"/>
          <w:szCs w:val="24"/>
          <w:lang w:val="en-US"/>
        </w:rPr>
        <w:t>MUT</w:t>
      </w:r>
      <w:r w:rsidRPr="006B4BF5">
        <w:rPr>
          <w:rFonts w:ascii="Book Antiqua" w:hAnsi="Book Antiqua"/>
          <w:sz w:val="24"/>
          <w:szCs w:val="24"/>
          <w:lang w:val="en-US"/>
        </w:rPr>
        <w:t xml:space="preserve"> and miR-15a mimics (Figure 1B, </w:t>
      </w:r>
      <w:r w:rsidRPr="006B4BF5">
        <w:rPr>
          <w:rFonts w:ascii="Book Antiqua" w:hAnsi="Book Antiqua"/>
          <w:i/>
          <w:sz w:val="24"/>
          <w:szCs w:val="24"/>
          <w:lang w:val="en-US"/>
        </w:rPr>
        <w:t>P</w:t>
      </w:r>
      <w:r w:rsidRPr="006B4BF5">
        <w:rPr>
          <w:rFonts w:ascii="Book Antiqua" w:hAnsi="Book Antiqua"/>
          <w:sz w:val="24"/>
          <w:szCs w:val="24"/>
          <w:lang w:val="en-US"/>
        </w:rPr>
        <w:t xml:space="preserve"> &lt; 0.05), confirming that Cdc42 was a direct target of miR-15a.</w:t>
      </w:r>
    </w:p>
    <w:p w14:paraId="7FD20544"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37210C52" w14:textId="77777777" w:rsidR="002A03B0" w:rsidRPr="006B4BF5" w:rsidRDefault="00965F21"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TNF-</w:t>
      </w:r>
      <w:r w:rsidR="007849A1" w:rsidRPr="006B4BF5">
        <w:rPr>
          <w:rFonts w:ascii="Book Antiqua" w:hAnsi="Book Antiqua"/>
          <w:b/>
          <w:i/>
          <w:sz w:val="24"/>
          <w:szCs w:val="24"/>
        </w:rPr>
        <w:t>α</w:t>
      </w:r>
      <w:r w:rsidRPr="006B4BF5">
        <w:rPr>
          <w:rFonts w:ascii="Book Antiqua" w:hAnsi="Book Antiqua"/>
          <w:b/>
          <w:i/>
          <w:sz w:val="24"/>
          <w:szCs w:val="24"/>
          <w:lang w:val="en-US"/>
        </w:rPr>
        <w:t xml:space="preserve"> induces miR-15a upregulation and Cdc42 downregulation in Caco-2 cells</w:t>
      </w:r>
    </w:p>
    <w:p w14:paraId="09E28121" w14:textId="6E7E620C" w:rsidR="002A03B0" w:rsidRPr="006B4BF5" w:rsidRDefault="00965F2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We cultured Caco-2 cells and passaged 1</w:t>
      </w:r>
      <w:r w:rsidR="00302633" w:rsidRPr="006B4BF5">
        <w:rPr>
          <w:rFonts w:ascii="Book Antiqua" w:hAnsi="Book Antiqua"/>
          <w:sz w:val="24"/>
          <w:szCs w:val="24"/>
          <w:lang w:val="en-US"/>
        </w:rPr>
        <w:t xml:space="preserve"> </w:t>
      </w:r>
      <w:r w:rsidRPr="006B4BF5">
        <w:rPr>
          <w:rFonts w:ascii="Book Antiqua" w:hAnsi="Book Antiqua"/>
          <w:sz w:val="24"/>
          <w:szCs w:val="24"/>
          <w:lang w:val="en-US"/>
        </w:rPr>
        <w:t>×</w:t>
      </w:r>
      <w:r w:rsidR="00302633" w:rsidRPr="006B4BF5">
        <w:rPr>
          <w:rFonts w:ascii="Book Antiqua" w:hAnsi="Book Antiqua"/>
          <w:sz w:val="24"/>
          <w:szCs w:val="24"/>
          <w:lang w:val="en-US"/>
        </w:rPr>
        <w:t xml:space="preserve"> </w:t>
      </w:r>
      <w:r w:rsidRPr="006B4BF5">
        <w:rPr>
          <w:rFonts w:ascii="Book Antiqua" w:hAnsi="Book Antiqua"/>
          <w:sz w:val="24"/>
          <w:szCs w:val="24"/>
          <w:lang w:val="en-US"/>
        </w:rPr>
        <w:t>10</w:t>
      </w:r>
      <w:r w:rsidRPr="006B4BF5">
        <w:rPr>
          <w:rFonts w:ascii="Book Antiqua" w:hAnsi="Book Antiqua"/>
          <w:sz w:val="24"/>
          <w:szCs w:val="24"/>
          <w:vertAlign w:val="superscript"/>
          <w:lang w:val="en-US"/>
        </w:rPr>
        <w:t>5</w:t>
      </w:r>
      <w:r w:rsidRPr="006B4BF5">
        <w:rPr>
          <w:rFonts w:ascii="Book Antiqua" w:hAnsi="Book Antiqua"/>
          <w:sz w:val="24"/>
          <w:szCs w:val="24"/>
          <w:lang w:val="en-US"/>
        </w:rPr>
        <w:t xml:space="preserve"> cells in 35-mm dishes. After 24 h, the </w:t>
      </w:r>
      <w:r w:rsidRPr="006B4BF5">
        <w:rPr>
          <w:rFonts w:ascii="Book Antiqua" w:hAnsi="Book Antiqua"/>
          <w:sz w:val="24"/>
          <w:szCs w:val="24"/>
          <w:lang w:val="en-US"/>
        </w:rPr>
        <w:lastRenderedPageBreak/>
        <w:t>cells were cultur</w:t>
      </w:r>
      <w:r w:rsidR="00302633" w:rsidRPr="006B4BF5">
        <w:rPr>
          <w:rFonts w:ascii="Book Antiqua" w:hAnsi="Book Antiqua"/>
          <w:sz w:val="24"/>
          <w:szCs w:val="24"/>
          <w:lang w:val="en-US"/>
        </w:rPr>
        <w:t>ed with the medium with 35 ng/mL</w:t>
      </w:r>
      <w:r w:rsidRPr="006B4BF5">
        <w:rPr>
          <w:rFonts w:ascii="Book Antiqua" w:hAnsi="Book Antiqua"/>
          <w:sz w:val="24"/>
          <w:szCs w:val="24"/>
          <w:lang w:val="en-US"/>
        </w:rPr>
        <w:t xml:space="preserve"> TNF-</w:t>
      </w:r>
      <w:r w:rsidR="007849A1" w:rsidRPr="006B4BF5">
        <w:rPr>
          <w:rFonts w:ascii="Book Antiqua" w:hAnsi="Book Antiqua"/>
          <w:sz w:val="24"/>
          <w:szCs w:val="24"/>
        </w:rPr>
        <w:t>α</w:t>
      </w:r>
      <w:r w:rsidRPr="006B4BF5">
        <w:rPr>
          <w:rFonts w:ascii="Book Antiqua" w:hAnsi="Book Antiqua"/>
          <w:sz w:val="24"/>
          <w:szCs w:val="24"/>
          <w:lang w:val="en-US"/>
        </w:rPr>
        <w:t xml:space="preserve"> (TNF-</w:t>
      </w:r>
      <w:r w:rsidR="007849A1" w:rsidRPr="006B4BF5">
        <w:rPr>
          <w:rFonts w:ascii="Book Antiqua" w:hAnsi="Book Antiqua"/>
          <w:sz w:val="24"/>
          <w:szCs w:val="24"/>
        </w:rPr>
        <w:t>α</w:t>
      </w:r>
      <w:r w:rsidRPr="006B4BF5">
        <w:rPr>
          <w:rFonts w:ascii="Book Antiqua" w:hAnsi="Book Antiqua"/>
          <w:sz w:val="24"/>
          <w:szCs w:val="24"/>
          <w:lang w:val="en-US"/>
        </w:rPr>
        <w:t xml:space="preserve"> group ) or regular medium (control group) for 60 h, and then harvested. qRT-PCR demonstrated that the level of miR-15a was increased in the TNF-</w:t>
      </w:r>
      <w:r w:rsidR="007849A1" w:rsidRPr="006B4BF5">
        <w:rPr>
          <w:rFonts w:ascii="Book Antiqua" w:hAnsi="Book Antiqua"/>
          <w:sz w:val="24"/>
          <w:szCs w:val="24"/>
        </w:rPr>
        <w:t>α</w:t>
      </w:r>
      <w:r w:rsidRPr="006B4BF5">
        <w:rPr>
          <w:rFonts w:ascii="Book Antiqua" w:hAnsi="Book Antiqua"/>
          <w:sz w:val="24"/>
          <w:szCs w:val="24"/>
          <w:lang w:val="en-US"/>
        </w:rPr>
        <w:t xml:space="preserve"> group compared with the control group (Figure 2A), while the level of Cdc42 was decreased in the TNF-</w:t>
      </w:r>
      <w:r w:rsidR="007849A1" w:rsidRPr="006B4BF5">
        <w:rPr>
          <w:rFonts w:ascii="Book Antiqua" w:hAnsi="Book Antiqua"/>
          <w:sz w:val="24"/>
          <w:szCs w:val="24"/>
        </w:rPr>
        <w:t>α</w:t>
      </w:r>
      <w:r w:rsidRPr="006B4BF5">
        <w:rPr>
          <w:rFonts w:ascii="Book Antiqua" w:hAnsi="Book Antiqua"/>
          <w:sz w:val="24"/>
          <w:szCs w:val="24"/>
          <w:lang w:val="en-US"/>
        </w:rPr>
        <w:t xml:space="preserve"> group compared with the control group (Figure 2B). These results suggested that TNF-</w:t>
      </w:r>
      <w:r w:rsidR="007849A1" w:rsidRPr="006B4BF5">
        <w:rPr>
          <w:rFonts w:ascii="Book Antiqua" w:hAnsi="Book Antiqua"/>
          <w:sz w:val="24"/>
          <w:szCs w:val="24"/>
        </w:rPr>
        <w:t>α</w:t>
      </w:r>
      <w:r w:rsidRPr="006B4BF5">
        <w:rPr>
          <w:rFonts w:ascii="Book Antiqua" w:hAnsi="Book Antiqua"/>
          <w:sz w:val="24"/>
          <w:szCs w:val="24"/>
          <w:lang w:val="en-US"/>
        </w:rPr>
        <w:t xml:space="preserve"> induced miR-15a upregulation and Cdc42 downregulation, and high expression of TNF-</w:t>
      </w:r>
      <w:r w:rsidR="007849A1" w:rsidRPr="006B4BF5">
        <w:rPr>
          <w:rFonts w:ascii="Book Antiqua" w:hAnsi="Book Antiqua"/>
          <w:sz w:val="24"/>
          <w:szCs w:val="24"/>
        </w:rPr>
        <w:t>α</w:t>
      </w:r>
      <w:r w:rsidRPr="006B4BF5">
        <w:rPr>
          <w:rFonts w:ascii="Book Antiqua" w:hAnsi="Book Antiqua"/>
          <w:sz w:val="24"/>
          <w:szCs w:val="24"/>
          <w:lang w:val="en-US"/>
        </w:rPr>
        <w:t xml:space="preserve"> was found in most pediatric patients</w:t>
      </w:r>
      <w:r w:rsidRPr="006B4BF5">
        <w:rPr>
          <w:rFonts w:ascii="Book Antiqua" w:hAnsi="Book Antiqua"/>
          <w:sz w:val="24"/>
          <w:szCs w:val="24"/>
          <w:vertAlign w:val="superscript"/>
          <w:lang w:val="en-US"/>
        </w:rPr>
        <w:t>[25]</w:t>
      </w:r>
      <w:r w:rsidRPr="006B4BF5">
        <w:rPr>
          <w:rFonts w:ascii="Book Antiqua" w:hAnsi="Book Antiqua"/>
          <w:sz w:val="24"/>
          <w:szCs w:val="24"/>
          <w:lang w:val="en-US"/>
        </w:rPr>
        <w:t>.</w:t>
      </w:r>
    </w:p>
    <w:p w14:paraId="01846AC3" w14:textId="77777777" w:rsidR="00302633" w:rsidRPr="006B4BF5" w:rsidRDefault="00302633" w:rsidP="007B12C8">
      <w:pPr>
        <w:adjustRightInd w:val="0"/>
        <w:snapToGrid w:val="0"/>
        <w:spacing w:line="360" w:lineRule="auto"/>
        <w:jc w:val="both"/>
        <w:rPr>
          <w:rFonts w:ascii="Book Antiqua" w:hAnsi="Book Antiqua"/>
          <w:sz w:val="24"/>
          <w:szCs w:val="24"/>
          <w:lang w:val="en-US"/>
        </w:rPr>
      </w:pPr>
    </w:p>
    <w:p w14:paraId="34C91B85" w14:textId="3D8BBD1F" w:rsidR="002A03B0" w:rsidRPr="006B4BF5" w:rsidRDefault="00302633" w:rsidP="007B12C8">
      <w:pPr>
        <w:adjustRightInd w:val="0"/>
        <w:snapToGrid w:val="0"/>
        <w:spacing w:line="360" w:lineRule="auto"/>
        <w:jc w:val="both"/>
        <w:rPr>
          <w:rFonts w:ascii="Book Antiqua" w:hAnsi="Book Antiqua"/>
          <w:b/>
          <w:i/>
          <w:sz w:val="24"/>
          <w:szCs w:val="24"/>
          <w:lang w:val="en-US"/>
        </w:rPr>
      </w:pPr>
      <w:r w:rsidRPr="006B4BF5">
        <w:rPr>
          <w:rFonts w:ascii="Book Antiqua" w:hAnsi="Book Antiqua"/>
          <w:b/>
          <w:i/>
          <w:sz w:val="24"/>
          <w:szCs w:val="24"/>
          <w:lang w:val="en-US"/>
        </w:rPr>
        <w:t>M</w:t>
      </w:r>
      <w:r w:rsidR="00965F21" w:rsidRPr="006B4BF5">
        <w:rPr>
          <w:rFonts w:ascii="Book Antiqua" w:hAnsi="Book Antiqua"/>
          <w:b/>
          <w:i/>
          <w:sz w:val="24"/>
          <w:szCs w:val="24"/>
          <w:lang w:val="en-US"/>
        </w:rPr>
        <w:t>iR-15a negatively regulates expression of Cdc42 in Caco-2 cells</w:t>
      </w:r>
    </w:p>
    <w:p w14:paraId="62EB31ED" w14:textId="61F092BF" w:rsidR="002A03B0" w:rsidRPr="006B4BF5" w:rsidRDefault="00965F2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We transfected Caco-2 cells with miR-15a mimic lentivirus and its negative control (miR15a-NC) or miR-15a inhibitor lentivirus and its negative control (LV-NC), and found no difference in expression of miR-15a and Cdc42 between the two negative control groups. In the miR-15a mimic group, miR-15a was overexpressed comp</w:t>
      </w:r>
      <w:r w:rsidR="00BB6FAC" w:rsidRPr="006B4BF5">
        <w:rPr>
          <w:rFonts w:ascii="Book Antiqua" w:hAnsi="Book Antiqua"/>
          <w:sz w:val="24"/>
          <w:szCs w:val="24"/>
          <w:lang w:val="en-US"/>
        </w:rPr>
        <w:t>ared with the negative control group</w:t>
      </w:r>
      <w:r w:rsidRPr="006B4BF5">
        <w:rPr>
          <w:rFonts w:ascii="Book Antiqua" w:hAnsi="Book Antiqua"/>
          <w:sz w:val="24"/>
          <w:szCs w:val="24"/>
          <w:lang w:val="en-US"/>
        </w:rPr>
        <w:t xml:space="preserve"> (Figure 3A). In the miR-15a inhibitor group, expression of miR-15a was decreased compared with the negative control group (Figure 3A). Cdc42 was downregulated in the miR-15a mimic group and upregulated in the miR-15a inhibitor group (Figure 3B). These results showed that miR-15a negatively regulates Cdc42 in Caco-2 cells.</w:t>
      </w:r>
    </w:p>
    <w:p w14:paraId="73E740F6"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5EF60F2A" w14:textId="4631B79F" w:rsidR="002A03B0" w:rsidRPr="006B4BF5" w:rsidRDefault="00302633" w:rsidP="007B12C8">
      <w:pPr>
        <w:adjustRightInd w:val="0"/>
        <w:snapToGrid w:val="0"/>
        <w:spacing w:line="360" w:lineRule="auto"/>
        <w:jc w:val="both"/>
        <w:rPr>
          <w:rFonts w:ascii="Book Antiqua" w:hAnsi="Book Antiqua"/>
          <w:b/>
          <w:i/>
          <w:sz w:val="24"/>
          <w:szCs w:val="24"/>
          <w:lang w:val="en-US"/>
        </w:rPr>
      </w:pPr>
      <w:r w:rsidRPr="006B4BF5">
        <w:rPr>
          <w:rFonts w:ascii="Book Antiqua" w:hAnsi="Book Antiqua"/>
          <w:b/>
          <w:i/>
          <w:sz w:val="24"/>
          <w:szCs w:val="24"/>
          <w:lang w:val="en-US"/>
        </w:rPr>
        <w:t>M</w:t>
      </w:r>
      <w:r w:rsidR="00965F21" w:rsidRPr="006B4BF5">
        <w:rPr>
          <w:rFonts w:ascii="Book Antiqua" w:hAnsi="Book Antiqua"/>
          <w:b/>
          <w:i/>
          <w:sz w:val="24"/>
          <w:szCs w:val="24"/>
          <w:lang w:val="en-US"/>
        </w:rPr>
        <w:t>iR-15a overexpression downregulates epithelial junctions, while overexpressed Cdc42 reverses low expression in epithelial junctions caused by miR-15a upregulation or high expression of TNF-</w:t>
      </w:r>
      <w:r w:rsidR="007849A1" w:rsidRPr="006B4BF5">
        <w:rPr>
          <w:rFonts w:ascii="Book Antiqua" w:hAnsi="Book Antiqua"/>
          <w:b/>
          <w:i/>
          <w:sz w:val="24"/>
          <w:szCs w:val="24"/>
        </w:rPr>
        <w:t>α</w:t>
      </w:r>
    </w:p>
    <w:p w14:paraId="20B0ADE7" w14:textId="16057F17" w:rsidR="002A03B0" w:rsidRPr="006B4BF5" w:rsidRDefault="00965F2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We found that in the TNF-</w:t>
      </w:r>
      <w:r w:rsidR="007849A1" w:rsidRPr="006B4BF5">
        <w:rPr>
          <w:rFonts w:ascii="Book Antiqua" w:hAnsi="Book Antiqua"/>
          <w:sz w:val="24"/>
          <w:szCs w:val="24"/>
        </w:rPr>
        <w:t>α</w:t>
      </w:r>
      <w:r w:rsidRPr="006B4BF5">
        <w:rPr>
          <w:rFonts w:ascii="Book Antiqua" w:hAnsi="Book Antiqua"/>
          <w:sz w:val="24"/>
          <w:szCs w:val="24"/>
          <w:lang w:val="en-US"/>
        </w:rPr>
        <w:t xml:space="preserve"> group, the epithelial junction proteins E-cadherin and ZO-1 were decreased compared with th</w:t>
      </w:r>
      <w:r w:rsidR="00B97935" w:rsidRPr="006B4BF5">
        <w:rPr>
          <w:rFonts w:ascii="Book Antiqua" w:hAnsi="Book Antiqua"/>
          <w:sz w:val="24"/>
          <w:szCs w:val="24"/>
          <w:lang w:val="en-US"/>
        </w:rPr>
        <w:t>e control (WT) group (Figure 4A-</w:t>
      </w:r>
      <w:r w:rsidRPr="006B4BF5">
        <w:rPr>
          <w:rFonts w:ascii="Book Antiqua" w:hAnsi="Book Antiqua"/>
          <w:sz w:val="24"/>
          <w:szCs w:val="24"/>
          <w:lang w:val="en-US"/>
        </w:rPr>
        <w:t xml:space="preserve">D). In the miR-15a mimic group, E-cadherin and ZO-1 were also decreased compared with the </w:t>
      </w:r>
      <w:r w:rsidR="00541D92" w:rsidRPr="006B4BF5">
        <w:rPr>
          <w:rFonts w:ascii="Book Antiqua" w:hAnsi="Book Antiqua"/>
          <w:sz w:val="24"/>
          <w:szCs w:val="24"/>
          <w:lang w:val="en-US"/>
        </w:rPr>
        <w:t>WT</w:t>
      </w:r>
      <w:r w:rsidRPr="006B4BF5">
        <w:rPr>
          <w:rFonts w:ascii="Book Antiqua" w:hAnsi="Book Antiqua"/>
          <w:sz w:val="24"/>
          <w:szCs w:val="24"/>
          <w:lang w:val="en-US"/>
        </w:rPr>
        <w:t xml:space="preserve"> group (Figure 4A</w:t>
      </w:r>
      <w:r w:rsidR="00B97935" w:rsidRPr="006B4BF5">
        <w:rPr>
          <w:rFonts w:ascii="Book Antiqua" w:hAnsi="Book Antiqua"/>
          <w:sz w:val="24"/>
          <w:szCs w:val="24"/>
          <w:lang w:val="en-US"/>
        </w:rPr>
        <w:t>-</w:t>
      </w:r>
      <w:r w:rsidRPr="006B4BF5">
        <w:rPr>
          <w:rFonts w:ascii="Book Antiqua" w:hAnsi="Book Antiqua"/>
          <w:sz w:val="24"/>
          <w:szCs w:val="24"/>
          <w:lang w:val="en-US"/>
        </w:rPr>
        <w:t xml:space="preserve">D). We found no difference in E-cadherin and ZO-1 expression between the </w:t>
      </w:r>
      <w:r w:rsidR="00541D92" w:rsidRPr="006B4BF5">
        <w:rPr>
          <w:rFonts w:ascii="Book Antiqua" w:hAnsi="Book Antiqua"/>
          <w:sz w:val="24"/>
          <w:szCs w:val="24"/>
          <w:lang w:val="en-US"/>
        </w:rPr>
        <w:t>WT</w:t>
      </w:r>
      <w:r w:rsidRPr="006B4BF5">
        <w:rPr>
          <w:rFonts w:ascii="Book Antiqua" w:hAnsi="Book Antiqua"/>
          <w:sz w:val="24"/>
          <w:szCs w:val="24"/>
          <w:lang w:val="en-US"/>
        </w:rPr>
        <w:t xml:space="preserve"> and miR15a-NC groups.</w:t>
      </w:r>
    </w:p>
    <w:p w14:paraId="3277CBB0" w14:textId="43BC7302" w:rsidR="002A03B0" w:rsidRPr="006B4BF5" w:rsidRDefault="00302633"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965F21" w:rsidRPr="006B4BF5">
        <w:rPr>
          <w:rFonts w:ascii="Book Antiqua" w:hAnsi="Book Antiqua"/>
          <w:sz w:val="24"/>
          <w:szCs w:val="24"/>
          <w:lang w:val="en-US"/>
        </w:rPr>
        <w:t>We transfected Caco-2 cells with miR-15a inhibitor lentivirus or its negative control (LV-NC). After passage, 35 ng/mL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was used to stimulate the cells for 60 h (miR-15a inhibitor +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or LV-NC +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Expression of E-cadherin and ZO-1 </w:t>
      </w:r>
      <w:r w:rsidR="00965F21" w:rsidRPr="006B4BF5">
        <w:rPr>
          <w:rFonts w:ascii="Book Antiqua" w:hAnsi="Book Antiqua"/>
          <w:sz w:val="24"/>
          <w:szCs w:val="24"/>
          <w:lang w:val="en-US"/>
        </w:rPr>
        <w:lastRenderedPageBreak/>
        <w:t>w</w:t>
      </w:r>
      <w:r w:rsidR="00BB6FAC" w:rsidRPr="006B4BF5">
        <w:rPr>
          <w:rFonts w:ascii="Book Antiqua" w:hAnsi="Book Antiqua"/>
          <w:sz w:val="24"/>
          <w:szCs w:val="24"/>
          <w:lang w:val="en-US"/>
        </w:rPr>
        <w:t>as not decreased in the miR-15a</w:t>
      </w:r>
      <w:r w:rsidR="00965F21" w:rsidRPr="006B4BF5">
        <w:rPr>
          <w:rFonts w:ascii="Book Antiqua" w:hAnsi="Book Antiqua"/>
          <w:sz w:val="24"/>
          <w:szCs w:val="24"/>
          <w:lang w:val="en-US"/>
        </w:rPr>
        <w:t xml:space="preserve"> inhibitor +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group cells compared with the </w:t>
      </w:r>
      <w:r w:rsidR="00541D92" w:rsidRPr="006B4BF5">
        <w:rPr>
          <w:rFonts w:ascii="Book Antiqua" w:hAnsi="Book Antiqua"/>
          <w:sz w:val="24"/>
          <w:szCs w:val="24"/>
          <w:lang w:val="en-US"/>
        </w:rPr>
        <w:t>WT</w:t>
      </w:r>
      <w:r w:rsidR="00965F21" w:rsidRPr="006B4BF5">
        <w:rPr>
          <w:rFonts w:ascii="Book Antiqua" w:hAnsi="Book Antiqua"/>
          <w:sz w:val="24"/>
          <w:szCs w:val="24"/>
          <w:lang w:val="en-US"/>
        </w:rPr>
        <w:t xml:space="preserve"> group (Figure 4A</w:t>
      </w:r>
      <w:r w:rsidR="00B97935" w:rsidRPr="006B4BF5">
        <w:rPr>
          <w:rFonts w:ascii="Book Antiqua" w:hAnsi="Book Antiqua"/>
          <w:sz w:val="24"/>
          <w:szCs w:val="24"/>
          <w:lang w:val="en-US"/>
        </w:rPr>
        <w:t>-</w:t>
      </w:r>
      <w:r w:rsidR="00965F21" w:rsidRPr="006B4BF5">
        <w:rPr>
          <w:rFonts w:ascii="Book Antiqua" w:hAnsi="Book Antiqua"/>
          <w:sz w:val="24"/>
          <w:szCs w:val="24"/>
          <w:lang w:val="en-US"/>
        </w:rPr>
        <w:t>D). Expression of E-cadherin and ZO-1 in the LV-NC +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group was similar to that in the </w:t>
      </w:r>
      <w:r w:rsidR="00541D92" w:rsidRPr="006B4BF5">
        <w:rPr>
          <w:rFonts w:ascii="Book Antiqua" w:hAnsi="Book Antiqua"/>
          <w:sz w:val="24"/>
          <w:szCs w:val="24"/>
          <w:lang w:val="en-US"/>
        </w:rPr>
        <w:t>WT</w:t>
      </w:r>
      <w:r w:rsidR="00965F21" w:rsidRPr="006B4BF5">
        <w:rPr>
          <w:rFonts w:ascii="Book Antiqua" w:hAnsi="Book Antiqua"/>
          <w:sz w:val="24"/>
          <w:szCs w:val="24"/>
          <w:lang w:val="en-US"/>
        </w:rPr>
        <w:t xml:space="preserve"> + TNF-</w:t>
      </w:r>
      <w:r w:rsidR="007849A1" w:rsidRPr="006B4BF5">
        <w:rPr>
          <w:rFonts w:ascii="Book Antiqua" w:hAnsi="Book Antiqua"/>
          <w:sz w:val="24"/>
          <w:szCs w:val="24"/>
        </w:rPr>
        <w:t>α</w:t>
      </w:r>
      <w:r w:rsidR="007C6B20" w:rsidRPr="006B4BF5">
        <w:rPr>
          <w:rFonts w:ascii="Book Antiqua" w:hAnsi="Book Antiqua"/>
          <w:sz w:val="24"/>
          <w:szCs w:val="24"/>
          <w:lang w:val="en-US"/>
        </w:rPr>
        <w:t xml:space="preserve"> group</w:t>
      </w:r>
      <w:r w:rsidR="00965F21" w:rsidRPr="006B4BF5">
        <w:rPr>
          <w:rFonts w:ascii="Book Antiqua" w:hAnsi="Book Antiqua"/>
          <w:sz w:val="24"/>
          <w:szCs w:val="24"/>
          <w:lang w:val="en-US"/>
        </w:rPr>
        <w:t>.</w:t>
      </w:r>
    </w:p>
    <w:p w14:paraId="38CDE718" w14:textId="7A75599F" w:rsidR="002A03B0" w:rsidRPr="006B4BF5" w:rsidRDefault="00302633"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965F21" w:rsidRPr="006B4BF5">
        <w:rPr>
          <w:rFonts w:ascii="Book Antiqua" w:hAnsi="Book Antiqua"/>
          <w:sz w:val="24"/>
          <w:szCs w:val="24"/>
          <w:lang w:val="en-US"/>
        </w:rPr>
        <w:t xml:space="preserve">We also transfected Caco-2 cells with Cdc42 lentivirus (Lv-Cdc42) or its negative control (Lv-Cdc42-NC). Cdc42 was overexpressed in the Lv-Cdc42 group compared with the Lv-Cdc42-NC group, but there were no differences between the </w:t>
      </w:r>
      <w:r w:rsidR="00541D92" w:rsidRPr="006B4BF5">
        <w:rPr>
          <w:rFonts w:ascii="Book Antiqua" w:hAnsi="Book Antiqua"/>
          <w:sz w:val="24"/>
          <w:szCs w:val="24"/>
          <w:lang w:val="en-US"/>
        </w:rPr>
        <w:t>WT</w:t>
      </w:r>
      <w:r w:rsidR="00965F21" w:rsidRPr="006B4BF5">
        <w:rPr>
          <w:rFonts w:ascii="Book Antiqua" w:hAnsi="Book Antiqua"/>
          <w:sz w:val="24"/>
          <w:szCs w:val="24"/>
          <w:lang w:val="en-US"/>
        </w:rPr>
        <w:t xml:space="preserve"> and Lv-Cdc42-NC g</w:t>
      </w:r>
      <w:r w:rsidR="00BB6FAC" w:rsidRPr="006B4BF5">
        <w:rPr>
          <w:rFonts w:ascii="Book Antiqua" w:hAnsi="Book Antiqua"/>
          <w:sz w:val="24"/>
          <w:szCs w:val="24"/>
          <w:lang w:val="en-US"/>
        </w:rPr>
        <w:t>roups. Expression of E-cadherin and ZO-1 was not different</w:t>
      </w:r>
      <w:r w:rsidR="00965F21" w:rsidRPr="006B4BF5">
        <w:rPr>
          <w:rFonts w:ascii="Book Antiqua" w:hAnsi="Book Antiqua"/>
          <w:sz w:val="24"/>
          <w:szCs w:val="24"/>
          <w:lang w:val="en-US"/>
        </w:rPr>
        <w:t xml:space="preserve"> in the Lv-Cdc42-NC group compared with the </w:t>
      </w:r>
      <w:r w:rsidR="00541D92" w:rsidRPr="006B4BF5">
        <w:rPr>
          <w:rFonts w:ascii="Book Antiqua" w:hAnsi="Book Antiqua"/>
          <w:sz w:val="24"/>
          <w:szCs w:val="24"/>
          <w:lang w:val="en-US"/>
        </w:rPr>
        <w:t>WT</w:t>
      </w:r>
      <w:r w:rsidR="00BB6FAC" w:rsidRPr="006B4BF5">
        <w:rPr>
          <w:rFonts w:ascii="Book Antiqua" w:hAnsi="Book Antiqua"/>
          <w:sz w:val="24"/>
          <w:szCs w:val="24"/>
          <w:lang w:val="en-US"/>
        </w:rPr>
        <w:t xml:space="preserve"> </w:t>
      </w:r>
      <w:r w:rsidR="00965F21" w:rsidRPr="006B4BF5">
        <w:rPr>
          <w:rFonts w:ascii="Book Antiqua" w:hAnsi="Book Antiqua"/>
          <w:sz w:val="24"/>
          <w:szCs w:val="24"/>
          <w:lang w:val="en-US"/>
        </w:rPr>
        <w:t>cells or miR15a-NC group.</w:t>
      </w:r>
    </w:p>
    <w:p w14:paraId="4E275A7C" w14:textId="3C5881DA" w:rsidR="002A03B0" w:rsidRPr="006B4BF5" w:rsidRDefault="00302633"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965F21" w:rsidRPr="006B4BF5">
        <w:rPr>
          <w:rFonts w:ascii="Book Antiqua" w:hAnsi="Book Antiqua"/>
          <w:sz w:val="24"/>
          <w:szCs w:val="24"/>
          <w:lang w:val="en-US"/>
        </w:rPr>
        <w:t>We then used 35 ng/mL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to stimulate Lv-Cdc42 (Lv-Cdc42 + TNF-</w:t>
      </w:r>
      <w:r w:rsidR="007849A1" w:rsidRPr="006B4BF5">
        <w:rPr>
          <w:rFonts w:ascii="Book Antiqua" w:hAnsi="Book Antiqua"/>
          <w:sz w:val="24"/>
          <w:szCs w:val="24"/>
        </w:rPr>
        <w:t>α</w:t>
      </w:r>
      <w:r w:rsidR="00965F21" w:rsidRPr="006B4BF5">
        <w:rPr>
          <w:rFonts w:ascii="Book Antiqua" w:hAnsi="Book Antiqua"/>
          <w:sz w:val="24"/>
          <w:szCs w:val="24"/>
          <w:lang w:val="en-US"/>
        </w:rPr>
        <w:t>) and Lv-Cdc42-NC cells (Lv-Cdc42-NC + TNF-</w:t>
      </w:r>
      <w:r w:rsidR="007849A1" w:rsidRPr="006B4BF5">
        <w:rPr>
          <w:rFonts w:ascii="Book Antiqua" w:hAnsi="Book Antiqua"/>
          <w:sz w:val="24"/>
          <w:szCs w:val="24"/>
        </w:rPr>
        <w:t>α</w:t>
      </w:r>
      <w:r w:rsidR="00965F21" w:rsidRPr="006B4BF5">
        <w:rPr>
          <w:rFonts w:ascii="Book Antiqua" w:hAnsi="Book Antiqua"/>
          <w:sz w:val="24"/>
          <w:szCs w:val="24"/>
          <w:lang w:val="en-US"/>
        </w:rPr>
        <w:t>) for 60 h, and found that expression of E-cadherin and ZO-1 decreased in the Lv-Cdc42-NC +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group cells compared with the </w:t>
      </w:r>
      <w:r w:rsidR="00541D92" w:rsidRPr="006B4BF5">
        <w:rPr>
          <w:rFonts w:ascii="Book Antiqua" w:hAnsi="Book Antiqua"/>
          <w:sz w:val="24"/>
          <w:szCs w:val="24"/>
          <w:lang w:val="en-US"/>
        </w:rPr>
        <w:t>WT</w:t>
      </w:r>
      <w:r w:rsidR="00965F21" w:rsidRPr="006B4BF5">
        <w:rPr>
          <w:rFonts w:ascii="Book Antiqua" w:hAnsi="Book Antiqua"/>
          <w:sz w:val="24"/>
          <w:szCs w:val="24"/>
          <w:lang w:val="en-US"/>
        </w:rPr>
        <w:t xml:space="preserve"> cells (Figure 4A</w:t>
      </w:r>
      <w:r w:rsidR="00B97935" w:rsidRPr="006B4BF5">
        <w:rPr>
          <w:rFonts w:ascii="Book Antiqua" w:hAnsi="Book Antiqua"/>
          <w:sz w:val="24"/>
          <w:szCs w:val="24"/>
          <w:lang w:val="en-US"/>
        </w:rPr>
        <w:t>-</w:t>
      </w:r>
      <w:r w:rsidR="00965F21" w:rsidRPr="006B4BF5">
        <w:rPr>
          <w:rFonts w:ascii="Book Antiqua" w:hAnsi="Book Antiqua"/>
          <w:sz w:val="24"/>
          <w:szCs w:val="24"/>
          <w:lang w:val="en-US"/>
        </w:rPr>
        <w:t>D), while it increased in the Lv-Cdc42 +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compared with the miR-15a mimic or Lv-Cdc42-NC +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group cells (Figure 4A</w:t>
      </w:r>
      <w:r w:rsidR="00B97935" w:rsidRPr="006B4BF5">
        <w:rPr>
          <w:rFonts w:ascii="Book Antiqua" w:hAnsi="Book Antiqua"/>
          <w:sz w:val="24"/>
          <w:szCs w:val="24"/>
          <w:lang w:val="en-US"/>
        </w:rPr>
        <w:t>-</w:t>
      </w:r>
      <w:r w:rsidR="00965F21" w:rsidRPr="006B4BF5">
        <w:rPr>
          <w:rFonts w:ascii="Book Antiqua" w:hAnsi="Book Antiqua"/>
          <w:sz w:val="24"/>
          <w:szCs w:val="24"/>
          <w:lang w:val="en-US"/>
        </w:rPr>
        <w:t>D).</w:t>
      </w:r>
    </w:p>
    <w:p w14:paraId="67ADEF14" w14:textId="7875B7E5" w:rsidR="002A03B0" w:rsidRPr="006B4BF5" w:rsidRDefault="00302633"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965F21" w:rsidRPr="006B4BF5">
        <w:rPr>
          <w:rFonts w:ascii="Book Antiqua" w:hAnsi="Book Antiqua"/>
          <w:sz w:val="24"/>
          <w:szCs w:val="24"/>
          <w:lang w:val="en-US"/>
        </w:rPr>
        <w:t>All these results demonstrated that highly expressed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can break the intestinal epithelial barrier. miR-15a overexpression can damage the intestinal epithelia similarly to highly expressed TNF-</w:t>
      </w:r>
      <w:r w:rsidR="007849A1" w:rsidRPr="006B4BF5">
        <w:rPr>
          <w:rFonts w:ascii="Book Antiqua" w:hAnsi="Book Antiqua"/>
          <w:sz w:val="24"/>
          <w:szCs w:val="24"/>
        </w:rPr>
        <w:t>α</w:t>
      </w:r>
      <w:r w:rsidR="00965F21" w:rsidRPr="006B4BF5">
        <w:rPr>
          <w:rFonts w:ascii="Book Antiqua" w:hAnsi="Book Antiqua"/>
          <w:sz w:val="24"/>
          <w:szCs w:val="24"/>
          <w:lang w:val="en-US"/>
        </w:rPr>
        <w:t>. Increased Cdc42 expression can</w:t>
      </w:r>
      <w:r w:rsidR="00AE2CDF" w:rsidRPr="006B4BF5">
        <w:rPr>
          <w:rFonts w:ascii="Book Antiqua" w:hAnsi="Book Antiqua"/>
          <w:sz w:val="24"/>
          <w:szCs w:val="24"/>
          <w:lang w:val="en-US"/>
        </w:rPr>
        <w:t xml:space="preserve"> </w:t>
      </w:r>
      <w:r w:rsidR="00965F21" w:rsidRPr="006B4BF5">
        <w:rPr>
          <w:rFonts w:ascii="Book Antiqua" w:hAnsi="Book Antiqua"/>
          <w:sz w:val="24"/>
          <w:szCs w:val="24"/>
          <w:lang w:val="en-US"/>
        </w:rPr>
        <w:t>reverse the damage caused by miR-15a overexpression.</w:t>
      </w:r>
    </w:p>
    <w:p w14:paraId="22A794E1"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1207494B" w14:textId="0A729A36" w:rsidR="002A03B0" w:rsidRPr="006B4BF5" w:rsidRDefault="00302633" w:rsidP="007B12C8">
      <w:pPr>
        <w:adjustRightInd w:val="0"/>
        <w:snapToGrid w:val="0"/>
        <w:spacing w:line="360" w:lineRule="auto"/>
        <w:jc w:val="both"/>
        <w:rPr>
          <w:rFonts w:ascii="Book Antiqua" w:hAnsi="Book Antiqua"/>
          <w:b/>
          <w:i/>
          <w:sz w:val="24"/>
          <w:szCs w:val="24"/>
          <w:lang w:val="en-US"/>
        </w:rPr>
      </w:pPr>
      <w:r w:rsidRPr="006B4BF5">
        <w:rPr>
          <w:rFonts w:ascii="Book Antiqua" w:hAnsi="Book Antiqua"/>
          <w:b/>
          <w:i/>
          <w:sz w:val="24"/>
          <w:szCs w:val="24"/>
          <w:lang w:val="en-US"/>
        </w:rPr>
        <w:t>M</w:t>
      </w:r>
      <w:r w:rsidR="00965F21" w:rsidRPr="006B4BF5">
        <w:rPr>
          <w:rFonts w:ascii="Book Antiqua" w:hAnsi="Book Antiqua"/>
          <w:b/>
          <w:i/>
          <w:sz w:val="24"/>
          <w:szCs w:val="24"/>
          <w:lang w:val="en-US"/>
        </w:rPr>
        <w:t>iR-15a negatively regulates Cdc42 in pediatric IBD patients and is correlated with PCDAI</w:t>
      </w:r>
    </w:p>
    <w:p w14:paraId="3C9375A6" w14:textId="789E972A" w:rsidR="002A03B0" w:rsidRPr="006B4BF5" w:rsidRDefault="00965F2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We investigated the expression of miR-15a and Cdc42 in 33 pediatric IBD patients (26 CD and seven UC) and 21 controls from our hospital (Table 2). PCDAI or P</w:t>
      </w:r>
      <w:r w:rsidR="00BB6FAC" w:rsidRPr="006B4BF5">
        <w:rPr>
          <w:rFonts w:ascii="Book Antiqua" w:hAnsi="Book Antiqua"/>
          <w:sz w:val="24"/>
          <w:szCs w:val="24"/>
          <w:lang w:val="en-US"/>
        </w:rPr>
        <w:t>UCAI was calculated as follows: CD active group (PCDAI ≥ 10,</w:t>
      </w:r>
      <w:r w:rsidRPr="006B4BF5">
        <w:rPr>
          <w:rFonts w:ascii="Book Antiqua" w:hAnsi="Book Antiqua"/>
          <w:sz w:val="24"/>
          <w:szCs w:val="24"/>
          <w:lang w:val="en-US"/>
        </w:rPr>
        <w:t xml:space="preserve"> CD </w:t>
      </w:r>
      <w:bookmarkStart w:id="35" w:name="OLE_LINK27"/>
      <w:r w:rsidRPr="006B4BF5">
        <w:rPr>
          <w:rFonts w:ascii="Book Antiqua" w:hAnsi="Book Antiqua"/>
          <w:sz w:val="24"/>
          <w:szCs w:val="24"/>
          <w:lang w:val="en-US"/>
        </w:rPr>
        <w:t>AC</w:t>
      </w:r>
      <w:bookmarkEnd w:id="35"/>
      <w:r w:rsidRPr="006B4BF5">
        <w:rPr>
          <w:rFonts w:ascii="Book Antiqua" w:hAnsi="Book Antiqua"/>
          <w:sz w:val="24"/>
          <w:szCs w:val="24"/>
          <w:lang w:val="en-US"/>
        </w:rPr>
        <w:t xml:space="preserve"> group), CD remission group (PCDAI &lt; 10, CD RE group), UC active group (PUCAI ≥ 10 group); 19 in CD AC group, seven in CD RE group, and seven in UC group (Table 3). Ileocecal tissues were collected by endoscopy from all patients. qRT-PCR was used to evaluate gene expression of miR-15a and Cdc42 in these tissues, and compared the CD AC group, CD RE group, and UC group with the age- and sex-matched </w:t>
      </w:r>
      <w:r w:rsidRPr="006B4BF5">
        <w:rPr>
          <w:rFonts w:ascii="Book Antiqua" w:hAnsi="Book Antiqua"/>
          <w:sz w:val="24"/>
          <w:szCs w:val="24"/>
          <w:lang w:val="en-US"/>
        </w:rPr>
        <w:lastRenderedPageBreak/>
        <w:t xml:space="preserve">control group (Table 3). qRT-PCR showed that miR-15a was increased in the CD AC group compared with control group (Figure 5A), while it was decreased in the CD RE group compared with CD AC group (Figure 5A). </w:t>
      </w:r>
      <w:r w:rsidR="00BB6FAC" w:rsidRPr="006B4BF5">
        <w:rPr>
          <w:rFonts w:ascii="Book Antiqua" w:hAnsi="Book Antiqua"/>
          <w:sz w:val="24"/>
          <w:szCs w:val="24"/>
          <w:lang w:val="en-US"/>
        </w:rPr>
        <w:t xml:space="preserve">Cdc42 </w:t>
      </w:r>
      <w:r w:rsidRPr="006B4BF5">
        <w:rPr>
          <w:rFonts w:ascii="Book Antiqua" w:hAnsi="Book Antiqua"/>
          <w:sz w:val="24"/>
          <w:szCs w:val="24"/>
          <w:lang w:val="en-US"/>
        </w:rPr>
        <w:t>w</w:t>
      </w:r>
      <w:r w:rsidR="00BB6FAC" w:rsidRPr="006B4BF5">
        <w:rPr>
          <w:rFonts w:ascii="Book Antiqua" w:hAnsi="Book Antiqua"/>
          <w:sz w:val="24"/>
          <w:szCs w:val="24"/>
          <w:lang w:val="en-US"/>
        </w:rPr>
        <w:t>as decreased in the</w:t>
      </w:r>
      <w:r w:rsidRPr="006B4BF5">
        <w:rPr>
          <w:rFonts w:ascii="Book Antiqua" w:hAnsi="Book Antiqua"/>
          <w:sz w:val="24"/>
          <w:szCs w:val="24"/>
          <w:lang w:val="en-US"/>
        </w:rPr>
        <w:t xml:space="preserve"> CD AC group compared with control group (Figure 5B), while it was increased in the CD RE group compared with CD AC group (Figure 5B). Cdc42 was decreased in the UC group compared with control group (Figure 5B).</w:t>
      </w:r>
      <w:r w:rsidR="007C1A73" w:rsidRPr="006B4BF5">
        <w:rPr>
          <w:rFonts w:ascii="Book Antiqua" w:hAnsi="Book Antiqua"/>
          <w:sz w:val="24"/>
          <w:szCs w:val="24"/>
          <w:lang w:val="en-US"/>
        </w:rPr>
        <w:t xml:space="preserve"> </w:t>
      </w:r>
      <w:r w:rsidRPr="006B4BF5">
        <w:rPr>
          <w:rFonts w:ascii="Book Antiqua" w:hAnsi="Book Antiqua"/>
          <w:sz w:val="24"/>
          <w:szCs w:val="24"/>
          <w:lang w:val="en-US"/>
        </w:rPr>
        <w:t>Expression of miR-15a showed no significant difference between the UC and control groups (Figure 5A).</w:t>
      </w:r>
    </w:p>
    <w:p w14:paraId="6935C003" w14:textId="1D4F6190" w:rsidR="002A03B0" w:rsidRPr="006B4BF5" w:rsidRDefault="00302633"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965F21" w:rsidRPr="006B4BF5">
        <w:rPr>
          <w:rFonts w:ascii="Book Antiqua" w:hAnsi="Book Antiqua"/>
          <w:sz w:val="24"/>
          <w:szCs w:val="24"/>
          <w:lang w:val="en-US"/>
        </w:rPr>
        <w:t xml:space="preserve">We also used Pearson’s </w:t>
      </w:r>
      <w:r w:rsidR="00965F21" w:rsidRPr="006B4BF5">
        <w:rPr>
          <w:rFonts w:ascii="Book Antiqua" w:hAnsi="Book Antiqua"/>
          <w:i/>
          <w:sz w:val="24"/>
          <w:szCs w:val="24"/>
          <w:lang w:val="en-US"/>
        </w:rPr>
        <w:t>r</w:t>
      </w:r>
      <w:r w:rsidR="00965F21" w:rsidRPr="006B4BF5">
        <w:rPr>
          <w:rFonts w:ascii="Book Antiqua" w:hAnsi="Book Antiqua"/>
          <w:sz w:val="24"/>
          <w:szCs w:val="24"/>
          <w:lang w:val="en-US"/>
        </w:rPr>
        <w:t xml:space="preserve"> test to analyze the correlation of miR-15a, Cdc42</w:t>
      </w:r>
      <w:r w:rsidRPr="006B4BF5">
        <w:rPr>
          <w:rFonts w:ascii="Book Antiqua" w:hAnsi="Book Antiqua"/>
          <w:sz w:val="24"/>
          <w:szCs w:val="24"/>
          <w:lang w:val="en-US"/>
        </w:rPr>
        <w:t xml:space="preserve"> </w:t>
      </w:r>
      <w:r w:rsidR="00965F21" w:rsidRPr="006B4BF5">
        <w:rPr>
          <w:rFonts w:ascii="Book Antiqua" w:hAnsi="Book Antiqua"/>
          <w:sz w:val="24"/>
          <w:szCs w:val="24"/>
          <w:lang w:val="en-US"/>
        </w:rPr>
        <w:t>and PCDAI. We found that miR-15a was positively correlated with PCDAI (Figure 5C), Cdc42 was negatively correlated with PCDAI (Figure 5D), and miR-15a was negatively correlated with Cdc42 (Figure 5E).</w:t>
      </w:r>
    </w:p>
    <w:p w14:paraId="4E141000" w14:textId="1F5639A2" w:rsidR="002A03B0" w:rsidRPr="006B4BF5" w:rsidRDefault="00302633"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965F21" w:rsidRPr="006B4BF5">
        <w:rPr>
          <w:rFonts w:ascii="Book Antiqua" w:hAnsi="Book Antiqua"/>
          <w:sz w:val="24"/>
          <w:szCs w:val="24"/>
          <w:lang w:val="en-US"/>
        </w:rPr>
        <w:t>All these re</w:t>
      </w:r>
      <w:r w:rsidRPr="006B4BF5">
        <w:rPr>
          <w:rFonts w:ascii="Book Antiqua" w:hAnsi="Book Antiqua"/>
          <w:sz w:val="24"/>
          <w:szCs w:val="24"/>
          <w:lang w:val="en-US"/>
        </w:rPr>
        <w:t>sults demonstrated that miR-15a</w:t>
      </w:r>
      <w:r w:rsidR="00965F21" w:rsidRPr="006B4BF5">
        <w:rPr>
          <w:rFonts w:ascii="Book Antiqua" w:hAnsi="Book Antiqua"/>
          <w:sz w:val="24"/>
          <w:szCs w:val="24"/>
          <w:lang w:val="en-US"/>
        </w:rPr>
        <w:t xml:space="preserve"> negatively regulates Cdc42 in pediatric IBD patients, and both are correlated with PCDAI. PCDAI is one</w:t>
      </w:r>
      <w:r w:rsidR="007C1A73" w:rsidRPr="006B4BF5">
        <w:rPr>
          <w:rFonts w:ascii="Book Antiqua" w:hAnsi="Book Antiqua"/>
          <w:sz w:val="24"/>
          <w:szCs w:val="24"/>
          <w:lang w:val="en-US"/>
        </w:rPr>
        <w:t xml:space="preserve"> </w:t>
      </w:r>
      <w:r w:rsidR="00965F21" w:rsidRPr="006B4BF5">
        <w:rPr>
          <w:rFonts w:ascii="Book Antiqua" w:hAnsi="Book Antiqua"/>
          <w:sz w:val="24"/>
          <w:szCs w:val="24"/>
          <w:lang w:val="en-US"/>
        </w:rPr>
        <w:t>of the indicators of the severity of CD.</w:t>
      </w:r>
    </w:p>
    <w:p w14:paraId="5E0E44B6" w14:textId="77777777" w:rsidR="002A03B0" w:rsidRPr="006B4BF5" w:rsidRDefault="002A03B0" w:rsidP="007B12C8">
      <w:pPr>
        <w:adjustRightInd w:val="0"/>
        <w:snapToGrid w:val="0"/>
        <w:spacing w:line="360" w:lineRule="auto"/>
        <w:jc w:val="both"/>
        <w:rPr>
          <w:rFonts w:ascii="Book Antiqua" w:hAnsi="Book Antiqua"/>
          <w:sz w:val="24"/>
          <w:szCs w:val="24"/>
          <w:lang w:val="en-US"/>
        </w:rPr>
      </w:pPr>
    </w:p>
    <w:p w14:paraId="646EDCDF" w14:textId="77777777" w:rsidR="002A03B0" w:rsidRPr="006B4BF5" w:rsidRDefault="00965F21" w:rsidP="005C3D9B">
      <w:pPr>
        <w:adjustRightInd w:val="0"/>
        <w:snapToGrid w:val="0"/>
        <w:spacing w:line="360" w:lineRule="auto"/>
        <w:jc w:val="both"/>
        <w:outlineLvl w:val="0"/>
        <w:rPr>
          <w:rFonts w:ascii="Book Antiqua" w:hAnsi="Book Antiqua"/>
          <w:b/>
          <w:sz w:val="24"/>
          <w:szCs w:val="24"/>
          <w:lang w:val="en-US"/>
        </w:rPr>
      </w:pPr>
      <w:r w:rsidRPr="006B4BF5">
        <w:rPr>
          <w:rFonts w:ascii="Book Antiqua" w:hAnsi="Book Antiqua"/>
          <w:b/>
          <w:sz w:val="24"/>
          <w:szCs w:val="24"/>
          <w:lang w:val="en-US"/>
        </w:rPr>
        <w:t>DISCUSSION</w:t>
      </w:r>
    </w:p>
    <w:p w14:paraId="3BFB09A1" w14:textId="32BC9434" w:rsidR="002A03B0" w:rsidRPr="006B4BF5" w:rsidRDefault="00965F21"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IBD is a multifactorial disease, characterized by chronic inflammation of the gastrointestinal tract. </w:t>
      </w:r>
      <w:r w:rsidR="004B5A33" w:rsidRPr="006B4BF5">
        <w:rPr>
          <w:rFonts w:ascii="Book Antiqua" w:hAnsi="Book Antiqua"/>
          <w:sz w:val="24"/>
          <w:szCs w:val="24"/>
          <w:lang w:val="en-US"/>
        </w:rPr>
        <w:t>microRNA</w:t>
      </w:r>
      <w:r w:rsidRPr="006B4BF5">
        <w:rPr>
          <w:rFonts w:ascii="Book Antiqua" w:hAnsi="Book Antiqua"/>
          <w:sz w:val="24"/>
          <w:szCs w:val="24"/>
          <w:lang w:val="en-US"/>
        </w:rPr>
        <w:t>s can offer a potential missing link between the genetic, environmental and immunological factors involved</w:t>
      </w:r>
      <w:r w:rsidR="00F452D0" w:rsidRPr="006B4BF5">
        <w:rPr>
          <w:rFonts w:ascii="Book Antiqua" w:hAnsi="Book Antiqua"/>
          <w:sz w:val="24"/>
          <w:szCs w:val="24"/>
          <w:lang w:val="en-US"/>
        </w:rPr>
        <w:t xml:space="preserve"> in the pathogenesis of IBD</w:t>
      </w:r>
      <w:r w:rsidR="00F452D0" w:rsidRPr="006B4BF5">
        <w:rPr>
          <w:rFonts w:ascii="Book Antiqua" w:hAnsi="Book Antiqua"/>
          <w:sz w:val="24"/>
          <w:szCs w:val="24"/>
          <w:vertAlign w:val="superscript"/>
          <w:lang w:val="en-US"/>
        </w:rPr>
        <w:t>[26,</w:t>
      </w:r>
      <w:r w:rsidRPr="006B4BF5">
        <w:rPr>
          <w:rFonts w:ascii="Book Antiqua" w:hAnsi="Book Antiqua"/>
          <w:sz w:val="24"/>
          <w:szCs w:val="24"/>
          <w:vertAlign w:val="superscript"/>
          <w:lang w:val="en-US"/>
        </w:rPr>
        <w:t>27]</w:t>
      </w:r>
      <w:r w:rsidRPr="006B4BF5">
        <w:rPr>
          <w:rFonts w:ascii="Book Antiqua" w:hAnsi="Book Antiqua"/>
          <w:sz w:val="24"/>
          <w:szCs w:val="24"/>
          <w:lang w:val="en-US"/>
        </w:rPr>
        <w:t xml:space="preserve">. They play an important role in the development of IBD. </w:t>
      </w:r>
      <w:r w:rsidR="004B5A33" w:rsidRPr="006B4BF5">
        <w:rPr>
          <w:rFonts w:ascii="Book Antiqua" w:hAnsi="Book Antiqua"/>
          <w:sz w:val="24"/>
          <w:szCs w:val="24"/>
          <w:lang w:val="en-US"/>
        </w:rPr>
        <w:t>microRNA</w:t>
      </w:r>
      <w:r w:rsidRPr="006B4BF5">
        <w:rPr>
          <w:rFonts w:ascii="Book Antiqua" w:hAnsi="Book Antiqua"/>
          <w:sz w:val="24"/>
          <w:szCs w:val="24"/>
          <w:lang w:val="en-US"/>
        </w:rPr>
        <w:t xml:space="preserve">s mediate post-transcriptional gene expression by binding the 3’-UTRs of target genes, thus inhibiting protein translation or inducing gene degradation. Altered expression of </w:t>
      </w:r>
      <w:r w:rsidR="004B5A33" w:rsidRPr="006B4BF5">
        <w:rPr>
          <w:rFonts w:ascii="Book Antiqua" w:hAnsi="Book Antiqua"/>
          <w:sz w:val="24"/>
          <w:szCs w:val="24"/>
          <w:lang w:val="en-US"/>
        </w:rPr>
        <w:t>microRNA</w:t>
      </w:r>
      <w:r w:rsidRPr="006B4BF5">
        <w:rPr>
          <w:rFonts w:ascii="Book Antiqua" w:hAnsi="Book Antiqua"/>
          <w:sz w:val="24"/>
          <w:szCs w:val="24"/>
          <w:lang w:val="en-US"/>
        </w:rPr>
        <w:t>s has been linked to different cell functions including signal transduction, differentiation, proliferation or apoptosis</w:t>
      </w:r>
      <w:r w:rsidRPr="006B4BF5">
        <w:rPr>
          <w:rFonts w:ascii="Book Antiqua" w:hAnsi="Book Antiqua"/>
          <w:sz w:val="24"/>
          <w:szCs w:val="24"/>
          <w:vertAlign w:val="superscript"/>
          <w:lang w:val="en-US"/>
        </w:rPr>
        <w:t>[28-30]</w:t>
      </w:r>
      <w:r w:rsidRPr="006B4BF5">
        <w:rPr>
          <w:rFonts w:ascii="Book Antiqua" w:hAnsi="Book Antiqua"/>
          <w:sz w:val="24"/>
          <w:szCs w:val="24"/>
          <w:lang w:val="en-US"/>
        </w:rPr>
        <w:t>. In this study we focused on miR-15a, and found that miR-15a can bind the 3’-UTRs of Cdc42, so Cdc42 may be the target gene of miR-15a. Dual-luciferase reporter assay confirmed that Cdc42 is the target gene of miR-15a. Our result</w:t>
      </w:r>
      <w:r w:rsidR="00F452D0" w:rsidRPr="006B4BF5">
        <w:rPr>
          <w:rFonts w:ascii="Book Antiqua" w:hAnsi="Book Antiqua"/>
          <w:sz w:val="24"/>
          <w:szCs w:val="24"/>
          <w:lang w:val="en-US"/>
        </w:rPr>
        <w:t>s were similar to other studies</w:t>
      </w:r>
      <w:r w:rsidRPr="006B4BF5">
        <w:rPr>
          <w:rFonts w:ascii="Book Antiqua" w:hAnsi="Book Antiqua"/>
          <w:sz w:val="24"/>
          <w:szCs w:val="24"/>
          <w:vertAlign w:val="superscript"/>
          <w:lang w:val="en-US"/>
        </w:rPr>
        <w:t>[21-23]</w:t>
      </w:r>
      <w:r w:rsidRPr="006B4BF5">
        <w:rPr>
          <w:rFonts w:ascii="Book Antiqua" w:hAnsi="Book Antiqua"/>
          <w:sz w:val="24"/>
          <w:szCs w:val="24"/>
          <w:lang w:val="en-US"/>
        </w:rPr>
        <w:t>. Cdc42 is a small GTPase of the Rho family that is known to control various cellular functions including adhesion, migratio</w:t>
      </w:r>
      <w:r w:rsidR="00F452D0" w:rsidRPr="006B4BF5">
        <w:rPr>
          <w:rFonts w:ascii="Book Antiqua" w:hAnsi="Book Antiqua"/>
          <w:sz w:val="24"/>
          <w:szCs w:val="24"/>
          <w:lang w:val="en-US"/>
        </w:rPr>
        <w:t>n, transcription and gro</w:t>
      </w:r>
      <w:r w:rsidR="00541D92" w:rsidRPr="006B4BF5">
        <w:rPr>
          <w:rFonts w:ascii="Book Antiqua" w:hAnsi="Book Antiqua"/>
          <w:sz w:val="24"/>
          <w:szCs w:val="24"/>
          <w:lang w:val="en-US"/>
        </w:rPr>
        <w:t>WT</w:t>
      </w:r>
      <w:r w:rsidR="00F452D0" w:rsidRPr="006B4BF5">
        <w:rPr>
          <w:rFonts w:ascii="Book Antiqua" w:hAnsi="Book Antiqua"/>
          <w:sz w:val="24"/>
          <w:szCs w:val="24"/>
          <w:lang w:val="en-US"/>
        </w:rPr>
        <w:t>h</w:t>
      </w:r>
      <w:r w:rsidR="00F452D0" w:rsidRPr="006B4BF5">
        <w:rPr>
          <w:rFonts w:ascii="Book Antiqua" w:hAnsi="Book Antiqua"/>
          <w:sz w:val="24"/>
          <w:szCs w:val="24"/>
          <w:vertAlign w:val="superscript"/>
          <w:lang w:val="en-US"/>
        </w:rPr>
        <w:t>[10,</w:t>
      </w:r>
      <w:r w:rsidRPr="006B4BF5">
        <w:rPr>
          <w:rFonts w:ascii="Book Antiqua" w:hAnsi="Book Antiqua"/>
          <w:sz w:val="24"/>
          <w:szCs w:val="24"/>
          <w:vertAlign w:val="superscript"/>
          <w:lang w:val="en-US"/>
        </w:rPr>
        <w:t>11]</w:t>
      </w:r>
      <w:r w:rsidRPr="006B4BF5">
        <w:rPr>
          <w:rFonts w:ascii="Book Antiqua" w:hAnsi="Book Antiqua"/>
          <w:sz w:val="24"/>
          <w:szCs w:val="24"/>
          <w:lang w:val="en-US"/>
        </w:rPr>
        <w:t>. It has a special</w:t>
      </w:r>
      <w:r w:rsidR="00F452D0" w:rsidRPr="006B4BF5">
        <w:rPr>
          <w:rFonts w:ascii="Book Antiqua" w:hAnsi="Book Antiqua"/>
          <w:sz w:val="24"/>
          <w:szCs w:val="24"/>
          <w:lang w:val="en-US"/>
        </w:rPr>
        <w:t xml:space="preserve"> </w:t>
      </w:r>
      <w:r w:rsidRPr="006B4BF5">
        <w:rPr>
          <w:rFonts w:ascii="Book Antiqua" w:hAnsi="Book Antiqua"/>
          <w:sz w:val="24"/>
          <w:szCs w:val="24"/>
          <w:lang w:val="en-US"/>
        </w:rPr>
        <w:t xml:space="preserve">role in </w:t>
      </w:r>
      <w:r w:rsidRPr="006B4BF5">
        <w:rPr>
          <w:rFonts w:ascii="Book Antiqua" w:hAnsi="Book Antiqua"/>
          <w:sz w:val="24"/>
          <w:szCs w:val="24"/>
          <w:lang w:val="en-US"/>
        </w:rPr>
        <w:lastRenderedPageBreak/>
        <w:t xml:space="preserve">intestinal stem cell division, survival </w:t>
      </w:r>
      <w:r w:rsidR="00F452D0" w:rsidRPr="006B4BF5">
        <w:rPr>
          <w:rFonts w:ascii="Book Antiqua" w:hAnsi="Book Antiqua"/>
          <w:sz w:val="24"/>
          <w:szCs w:val="24"/>
          <w:lang w:val="en-US"/>
        </w:rPr>
        <w:t>and differentiation in mice</w:t>
      </w:r>
      <w:r w:rsidR="00F452D0" w:rsidRPr="006B4BF5">
        <w:rPr>
          <w:rFonts w:ascii="Book Antiqua" w:hAnsi="Book Antiqua"/>
          <w:sz w:val="24"/>
          <w:szCs w:val="24"/>
          <w:vertAlign w:val="superscript"/>
          <w:lang w:val="en-US"/>
        </w:rPr>
        <w:t>[10,</w:t>
      </w:r>
      <w:r w:rsidRPr="006B4BF5">
        <w:rPr>
          <w:rFonts w:ascii="Book Antiqua" w:hAnsi="Book Antiqua"/>
          <w:sz w:val="24"/>
          <w:szCs w:val="24"/>
          <w:vertAlign w:val="superscript"/>
          <w:lang w:val="en-US"/>
        </w:rPr>
        <w:t>14]</w:t>
      </w:r>
      <w:r w:rsidRPr="006B4BF5">
        <w:rPr>
          <w:rFonts w:ascii="Book Antiqua" w:hAnsi="Book Antiqua"/>
          <w:sz w:val="24"/>
          <w:szCs w:val="24"/>
          <w:lang w:val="en-US"/>
        </w:rPr>
        <w:t>. Recently it was reported that Cdc42 is critical for intestinal epithelial stem cell differentiation into a fu</w:t>
      </w:r>
      <w:r w:rsidR="00F452D0" w:rsidRPr="006B4BF5">
        <w:rPr>
          <w:rFonts w:ascii="Book Antiqua" w:hAnsi="Book Antiqua"/>
          <w:sz w:val="24"/>
          <w:szCs w:val="24"/>
          <w:lang w:val="en-US"/>
        </w:rPr>
        <w:t>nctional intestinal barrier</w:t>
      </w:r>
      <w:r w:rsidR="00F452D0" w:rsidRPr="006B4BF5">
        <w:rPr>
          <w:rFonts w:ascii="Book Antiqua" w:hAnsi="Book Antiqua"/>
          <w:sz w:val="24"/>
          <w:szCs w:val="24"/>
          <w:vertAlign w:val="superscript"/>
          <w:lang w:val="en-US"/>
        </w:rPr>
        <w:t>[10,</w:t>
      </w:r>
      <w:r w:rsidRPr="006B4BF5">
        <w:rPr>
          <w:rFonts w:ascii="Book Antiqua" w:hAnsi="Book Antiqua"/>
          <w:sz w:val="24"/>
          <w:szCs w:val="24"/>
          <w:vertAlign w:val="superscript"/>
          <w:lang w:val="en-US"/>
        </w:rPr>
        <w:t>14]</w:t>
      </w:r>
      <w:r w:rsidRPr="006B4BF5">
        <w:rPr>
          <w:rFonts w:ascii="Book Antiqua" w:hAnsi="Book Antiqua"/>
          <w:sz w:val="24"/>
          <w:szCs w:val="24"/>
          <w:lang w:val="en-US"/>
        </w:rPr>
        <w:t>. A number of studies in patients with IBD have identified that intestinal barrier function is disrupted in active and quiescent disease states.</w:t>
      </w:r>
    </w:p>
    <w:p w14:paraId="28AD34B0" w14:textId="1B23C66F" w:rsidR="002A03B0" w:rsidRPr="006B4BF5" w:rsidRDefault="00F452D0"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965F21" w:rsidRPr="006B4BF5">
        <w:rPr>
          <w:rFonts w:ascii="Book Antiqua" w:hAnsi="Book Antiqua"/>
          <w:sz w:val="24"/>
          <w:szCs w:val="24"/>
          <w:lang w:val="en-US"/>
        </w:rPr>
        <w:t>High expression of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is f</w:t>
      </w:r>
      <w:r w:rsidRPr="006B4BF5">
        <w:rPr>
          <w:rFonts w:ascii="Book Antiqua" w:hAnsi="Book Antiqua"/>
          <w:sz w:val="24"/>
          <w:szCs w:val="24"/>
          <w:lang w:val="en-US"/>
        </w:rPr>
        <w:t>ound in most pediatric patients</w:t>
      </w:r>
      <w:r w:rsidR="00965F21" w:rsidRPr="006B4BF5">
        <w:rPr>
          <w:rFonts w:ascii="Book Antiqua" w:hAnsi="Book Antiqua"/>
          <w:sz w:val="24"/>
          <w:szCs w:val="24"/>
          <w:vertAlign w:val="superscript"/>
          <w:lang w:val="en-US"/>
        </w:rPr>
        <w:t>[25]</w:t>
      </w:r>
      <w:r w:rsidR="00965F21" w:rsidRPr="006B4BF5">
        <w:rPr>
          <w:rFonts w:ascii="Book Antiqua" w:hAnsi="Book Antiqua"/>
          <w:sz w:val="24"/>
          <w:szCs w:val="24"/>
          <w:lang w:val="en-US"/>
        </w:rPr>
        <w:t>.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has an important role in the expression of </w:t>
      </w:r>
      <w:r w:rsidR="004B5A33" w:rsidRPr="006B4BF5">
        <w:rPr>
          <w:rFonts w:ascii="Book Antiqua" w:hAnsi="Book Antiqua"/>
          <w:sz w:val="24"/>
          <w:szCs w:val="24"/>
          <w:lang w:val="en-US"/>
        </w:rPr>
        <w:t>microRNA</w:t>
      </w:r>
      <w:r w:rsidR="00965F21" w:rsidRPr="006B4BF5">
        <w:rPr>
          <w:rFonts w:ascii="Book Antiqua" w:hAnsi="Book Antiqua"/>
          <w:sz w:val="24"/>
          <w:szCs w:val="24"/>
          <w:lang w:val="en-US"/>
        </w:rPr>
        <w:t>s. So, we used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to stimulate Caco-2 cells and found that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upregulated miR-15a and downregulated Cdc42 in Caco-2 cells. This result demonstrated that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has an important role in the expression of miR-15a, and that miR-15a</w:t>
      </w:r>
      <w:r w:rsidR="00B97935" w:rsidRPr="006B4BF5">
        <w:rPr>
          <w:rFonts w:ascii="Book Antiqua" w:hAnsi="Book Antiqua"/>
          <w:sz w:val="24"/>
          <w:szCs w:val="24"/>
          <w:lang w:val="en-US"/>
        </w:rPr>
        <w:t>-</w:t>
      </w:r>
      <w:r w:rsidR="00965F21" w:rsidRPr="006B4BF5">
        <w:rPr>
          <w:rFonts w:ascii="Book Antiqua" w:hAnsi="Book Antiqua"/>
          <w:sz w:val="24"/>
          <w:szCs w:val="24"/>
          <w:lang w:val="en-US"/>
        </w:rPr>
        <w:t>Cdc42 signaling participated i</w:t>
      </w:r>
      <w:r w:rsidR="00BB6FAC" w:rsidRPr="006B4BF5">
        <w:rPr>
          <w:rFonts w:ascii="Book Antiqua" w:hAnsi="Book Antiqua"/>
          <w:sz w:val="24"/>
          <w:szCs w:val="24"/>
          <w:lang w:val="en-US"/>
        </w:rPr>
        <w:t>n the development of IBD, so we used lentivirals to</w:t>
      </w:r>
      <w:r w:rsidR="00965F21" w:rsidRPr="006B4BF5">
        <w:rPr>
          <w:rFonts w:ascii="Book Antiqua" w:hAnsi="Book Antiqua"/>
          <w:sz w:val="24"/>
          <w:szCs w:val="24"/>
          <w:lang w:val="en-US"/>
        </w:rPr>
        <w:t xml:space="preserve"> up- or downregulate expression of miR-15a in Caco-2 cells. We found that Cdc42 in the miR-15a mimic group cells was downregulated, but upregulated in the miR-15a inhibitor cells. These results show that miR-15a negatively regulates Cdc42.</w:t>
      </w:r>
    </w:p>
    <w:p w14:paraId="518857E1" w14:textId="7B6635D9" w:rsidR="002A03B0" w:rsidRPr="006B4BF5" w:rsidRDefault="00F452D0"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965F21" w:rsidRPr="006B4BF5">
        <w:rPr>
          <w:rFonts w:ascii="Book Antiqua" w:hAnsi="Book Antiqua"/>
          <w:sz w:val="24"/>
          <w:szCs w:val="24"/>
          <w:lang w:val="en-US"/>
        </w:rPr>
        <w:t>We also found that after stimulation by TNF-</w:t>
      </w:r>
      <w:r w:rsidR="007849A1" w:rsidRPr="006B4BF5">
        <w:rPr>
          <w:rFonts w:ascii="Book Antiqua" w:hAnsi="Book Antiqua"/>
          <w:sz w:val="24"/>
          <w:szCs w:val="24"/>
        </w:rPr>
        <w:t>α</w:t>
      </w:r>
      <w:r w:rsidR="00965F21" w:rsidRPr="006B4BF5">
        <w:rPr>
          <w:rFonts w:ascii="Book Antiqua" w:hAnsi="Book Antiqua"/>
          <w:sz w:val="24"/>
          <w:szCs w:val="24"/>
          <w:lang w:val="en-US"/>
        </w:rPr>
        <w:t>, expression of E-cadherin and ZO-1 decreased in Caco-2 cells. These belong to the intestinal epithelial junction proteins. The change in epithelial junction proteins can break the epithelial barrier. A number of studies in patients with IBD have identified that intestinal barrier function is disrupted. We also found in the miR-15a mimic Caco-2 cells, that expression of E-cadherin and ZO-1 also decreased, similar to that in the cells with high expression of TNF-</w:t>
      </w:r>
      <w:r w:rsidR="007849A1" w:rsidRPr="006B4BF5">
        <w:rPr>
          <w:rFonts w:ascii="Book Antiqua" w:hAnsi="Book Antiqua"/>
          <w:sz w:val="24"/>
          <w:szCs w:val="24"/>
        </w:rPr>
        <w:t>α</w:t>
      </w:r>
      <w:r w:rsidR="00965F21" w:rsidRPr="006B4BF5">
        <w:rPr>
          <w:rFonts w:ascii="Book Antiqua" w:hAnsi="Book Antiqua"/>
          <w:sz w:val="24"/>
          <w:szCs w:val="24"/>
          <w:lang w:val="en-US"/>
        </w:rPr>
        <w:t>. However,</w:t>
      </w:r>
      <w:r w:rsidR="00AE2CDF" w:rsidRPr="006B4BF5">
        <w:rPr>
          <w:rFonts w:ascii="Book Antiqua" w:hAnsi="Book Antiqua"/>
          <w:sz w:val="24"/>
          <w:szCs w:val="24"/>
          <w:lang w:val="en-US"/>
        </w:rPr>
        <w:t xml:space="preserve"> </w:t>
      </w:r>
      <w:r w:rsidR="00965F21" w:rsidRPr="006B4BF5">
        <w:rPr>
          <w:rFonts w:ascii="Book Antiqua" w:hAnsi="Book Antiqua"/>
          <w:sz w:val="24"/>
          <w:szCs w:val="24"/>
          <w:lang w:val="en-US"/>
        </w:rPr>
        <w:t>expression of E-cadherin and ZO-1 was not decreased in the miR-15a inhibitor</w:t>
      </w:r>
      <w:r w:rsidRPr="006B4BF5">
        <w:rPr>
          <w:rFonts w:ascii="Book Antiqua" w:hAnsi="Book Antiqua"/>
          <w:sz w:val="24"/>
          <w:szCs w:val="24"/>
          <w:lang w:val="en-US"/>
        </w:rPr>
        <w:t xml:space="preserve"> </w:t>
      </w:r>
      <w:r w:rsidR="00965F21" w:rsidRPr="006B4BF5">
        <w:rPr>
          <w:rFonts w:ascii="Book Antiqua" w:hAnsi="Book Antiqua"/>
          <w:sz w:val="24"/>
          <w:szCs w:val="24"/>
          <w:lang w:val="en-US"/>
        </w:rPr>
        <w:t>+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group compared with the </w:t>
      </w:r>
      <w:r w:rsidR="00541D92" w:rsidRPr="006B4BF5">
        <w:rPr>
          <w:rFonts w:ascii="Book Antiqua" w:hAnsi="Book Antiqua"/>
          <w:sz w:val="24"/>
          <w:szCs w:val="24"/>
          <w:lang w:val="en-US"/>
        </w:rPr>
        <w:t>WT</w:t>
      </w:r>
      <w:r w:rsidR="00965F21" w:rsidRPr="006B4BF5">
        <w:rPr>
          <w:rFonts w:ascii="Book Antiqua" w:hAnsi="Book Antiqua"/>
          <w:sz w:val="24"/>
          <w:szCs w:val="24"/>
          <w:lang w:val="en-US"/>
        </w:rPr>
        <w:t xml:space="preserve"> group.</w:t>
      </w:r>
    </w:p>
    <w:p w14:paraId="76A0290D" w14:textId="5EC21CC2" w:rsidR="002A03B0" w:rsidRPr="006B4BF5" w:rsidRDefault="00F452D0"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965F21" w:rsidRPr="006B4BF5">
        <w:rPr>
          <w:rFonts w:ascii="Book Antiqua" w:hAnsi="Book Antiqua"/>
          <w:sz w:val="24"/>
          <w:szCs w:val="24"/>
          <w:lang w:val="en-US"/>
        </w:rPr>
        <w:t>We transfected Caco-2 cells with Cdc42 lentivirus (Lv-Cdc42) or its negative control (Lv-Cdc42-NC), and then both were stimulated by TNF-</w:t>
      </w:r>
      <w:r w:rsidR="007849A1" w:rsidRPr="006B4BF5">
        <w:rPr>
          <w:rFonts w:ascii="Book Antiqua" w:hAnsi="Book Antiqua"/>
          <w:sz w:val="24"/>
          <w:szCs w:val="24"/>
        </w:rPr>
        <w:t>α</w:t>
      </w:r>
      <w:r w:rsidR="00BB6FAC" w:rsidRPr="006B4BF5">
        <w:rPr>
          <w:rFonts w:ascii="Book Antiqua" w:hAnsi="Book Antiqua"/>
          <w:sz w:val="24"/>
          <w:szCs w:val="24"/>
          <w:lang w:val="en-US"/>
        </w:rPr>
        <w:t xml:space="preserve">. </w:t>
      </w:r>
      <w:r w:rsidR="00965F21" w:rsidRPr="006B4BF5">
        <w:rPr>
          <w:rFonts w:ascii="Book Antiqua" w:hAnsi="Book Antiqua"/>
          <w:sz w:val="24"/>
          <w:szCs w:val="24"/>
          <w:lang w:val="en-US"/>
        </w:rPr>
        <w:t>We found that in Lv-Cdc42 cells, the expression of E-cadherin and ZO-1 was increased compared with that in the Lv-Cdc42-NC + TNF-</w:t>
      </w:r>
      <w:r w:rsidR="007849A1" w:rsidRPr="006B4BF5">
        <w:rPr>
          <w:rFonts w:ascii="Book Antiqua" w:hAnsi="Book Antiqua"/>
          <w:sz w:val="24"/>
          <w:szCs w:val="24"/>
        </w:rPr>
        <w:t>α</w:t>
      </w:r>
      <w:r w:rsidR="00965F21" w:rsidRPr="006B4BF5">
        <w:rPr>
          <w:rFonts w:ascii="Book Antiqua" w:hAnsi="Book Antiqua"/>
          <w:sz w:val="24"/>
          <w:szCs w:val="24"/>
          <w:lang w:val="en-US"/>
        </w:rPr>
        <w:t xml:space="preserve"> or miR-15a mimic cells, suggesting that overexpressed Cdc42 can reverse epithelial junction expression caused by miR-15a upregulation. These results demonstrated that miR15a negatively regulates intestinal epithelial junctions through Cdc42 in Caco-2 cells. The miR-15a</w:t>
      </w:r>
      <w:r w:rsidR="00B97935" w:rsidRPr="006B4BF5">
        <w:rPr>
          <w:rFonts w:ascii="Book Antiqua" w:hAnsi="Book Antiqua"/>
          <w:sz w:val="24"/>
          <w:szCs w:val="24"/>
          <w:lang w:val="en-US"/>
        </w:rPr>
        <w:t>-</w:t>
      </w:r>
      <w:r w:rsidR="00965F21" w:rsidRPr="006B4BF5">
        <w:rPr>
          <w:rFonts w:ascii="Book Antiqua" w:hAnsi="Book Antiqua"/>
          <w:sz w:val="24"/>
          <w:szCs w:val="24"/>
          <w:lang w:val="en-US"/>
        </w:rPr>
        <w:t>Cdc42 signali</w:t>
      </w:r>
      <w:r w:rsidR="00BB6FAC" w:rsidRPr="006B4BF5">
        <w:rPr>
          <w:rFonts w:ascii="Book Antiqua" w:hAnsi="Book Antiqua"/>
          <w:sz w:val="24"/>
          <w:szCs w:val="24"/>
          <w:lang w:val="en-US"/>
        </w:rPr>
        <w:t xml:space="preserve">ng </w:t>
      </w:r>
      <w:r w:rsidR="00BB6FAC" w:rsidRPr="006B4BF5">
        <w:rPr>
          <w:rFonts w:ascii="Book Antiqua" w:hAnsi="Book Antiqua"/>
          <w:sz w:val="24"/>
          <w:szCs w:val="24"/>
          <w:lang w:val="en-US"/>
        </w:rPr>
        <w:lastRenderedPageBreak/>
        <w:t xml:space="preserve">pathway is involved in many </w:t>
      </w:r>
      <w:r w:rsidR="00965F21" w:rsidRPr="006B4BF5">
        <w:rPr>
          <w:rFonts w:ascii="Book Antiqua" w:hAnsi="Book Antiqua"/>
          <w:sz w:val="24"/>
          <w:szCs w:val="24"/>
          <w:lang w:val="en-US"/>
        </w:rPr>
        <w:t>other biological processes, and our study confirmed it to be important in development of gastrointestinal inflammation.</w:t>
      </w:r>
    </w:p>
    <w:p w14:paraId="7953E183" w14:textId="06D06EC2" w:rsidR="002A03B0" w:rsidRPr="006B4BF5" w:rsidRDefault="00F452D0"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965F21" w:rsidRPr="006B4BF5">
        <w:rPr>
          <w:rFonts w:ascii="Book Antiqua" w:hAnsi="Book Antiqua"/>
          <w:sz w:val="24"/>
          <w:szCs w:val="24"/>
          <w:lang w:val="en-US"/>
        </w:rPr>
        <w:t>We investigated the expression of miR-15a and Cdc42 in pediatric IBD patients, and found that miR-15a was increased and Cdc42 was decreased in the CD AC group compared with t</w:t>
      </w:r>
      <w:r w:rsidR="00B97935" w:rsidRPr="006B4BF5">
        <w:rPr>
          <w:rFonts w:ascii="Book Antiqua" w:hAnsi="Book Antiqua"/>
          <w:sz w:val="24"/>
          <w:szCs w:val="24"/>
          <w:lang w:val="en-US"/>
        </w:rPr>
        <w:t xml:space="preserve">he control group, while in the </w:t>
      </w:r>
      <w:r w:rsidR="001D2326" w:rsidRPr="006B4BF5">
        <w:rPr>
          <w:rFonts w:ascii="Book Antiqua" w:hAnsi="Book Antiqua"/>
          <w:sz w:val="24"/>
          <w:szCs w:val="24"/>
          <w:lang w:val="en-US"/>
        </w:rPr>
        <w:t>CD</w:t>
      </w:r>
      <w:r w:rsidR="00BB6FAC" w:rsidRPr="006B4BF5">
        <w:rPr>
          <w:rFonts w:ascii="Book Antiqua" w:hAnsi="Book Antiqua"/>
          <w:sz w:val="24"/>
          <w:szCs w:val="24"/>
          <w:lang w:val="en-US"/>
        </w:rPr>
        <w:t xml:space="preserve"> RE</w:t>
      </w:r>
      <w:r w:rsidR="00965F21" w:rsidRPr="006B4BF5">
        <w:rPr>
          <w:rFonts w:ascii="Book Antiqua" w:hAnsi="Book Antiqua"/>
          <w:sz w:val="24"/>
          <w:szCs w:val="24"/>
          <w:lang w:val="en-US"/>
        </w:rPr>
        <w:t xml:space="preserve"> group, miR-15a was decreased an</w:t>
      </w:r>
      <w:r w:rsidR="00BB6FAC" w:rsidRPr="006B4BF5">
        <w:rPr>
          <w:rFonts w:ascii="Book Antiqua" w:hAnsi="Book Antiqua"/>
          <w:sz w:val="24"/>
          <w:szCs w:val="24"/>
          <w:lang w:val="en-US"/>
        </w:rPr>
        <w:t>d Cdc42 increased compared with</w:t>
      </w:r>
      <w:r w:rsidR="00965F21" w:rsidRPr="006B4BF5">
        <w:rPr>
          <w:rFonts w:ascii="Book Antiqua" w:hAnsi="Book Antiqua"/>
          <w:sz w:val="24"/>
          <w:szCs w:val="24"/>
          <w:lang w:val="en-US"/>
        </w:rPr>
        <w:t xml:space="preserve"> the CD AC group. The correlation between miR-15a, Cdc42 and PCDAI was analyzed, and showed that miR-15a was positively correlated with PCDAI, Cdc42 negatively correlated with PCDAI, and miR-15a negatively correlated with Cdc42. These results demonstrated that miR</w:t>
      </w:r>
      <w:r w:rsidR="00BB6FAC" w:rsidRPr="006B4BF5">
        <w:rPr>
          <w:rFonts w:ascii="Book Antiqua" w:hAnsi="Book Antiqua"/>
          <w:sz w:val="24"/>
          <w:szCs w:val="24"/>
          <w:lang w:val="en-US"/>
        </w:rPr>
        <w:t>-15a negatively regulates Cdc42</w:t>
      </w:r>
      <w:r w:rsidR="00965F21" w:rsidRPr="006B4BF5">
        <w:rPr>
          <w:rFonts w:ascii="Book Antiqua" w:hAnsi="Book Antiqua"/>
          <w:sz w:val="24"/>
          <w:szCs w:val="24"/>
          <w:lang w:val="en-US"/>
        </w:rPr>
        <w:t xml:space="preserve"> in children with IBD, and both are correlated with PCDAI.</w:t>
      </w:r>
    </w:p>
    <w:p w14:paraId="5E49FEF1" w14:textId="177ED105" w:rsidR="002A03B0" w:rsidRPr="006B4BF5" w:rsidRDefault="00F452D0"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965F21" w:rsidRPr="006B4BF5">
        <w:rPr>
          <w:rFonts w:ascii="Book Antiqua" w:hAnsi="Book Antiqua"/>
          <w:sz w:val="24"/>
          <w:szCs w:val="24"/>
          <w:lang w:val="en-US"/>
        </w:rPr>
        <w:t>This study had some limitations. First, we found a correlation between</w:t>
      </w:r>
      <w:r w:rsidR="00AE2CDF" w:rsidRPr="006B4BF5">
        <w:rPr>
          <w:rFonts w:ascii="Book Antiqua" w:hAnsi="Book Antiqua"/>
          <w:sz w:val="24"/>
          <w:szCs w:val="24"/>
          <w:lang w:val="en-US"/>
        </w:rPr>
        <w:t xml:space="preserve"> </w:t>
      </w:r>
      <w:r w:rsidR="00965F21" w:rsidRPr="006B4BF5">
        <w:rPr>
          <w:rFonts w:ascii="Book Antiqua" w:hAnsi="Book Antiqua"/>
          <w:sz w:val="24"/>
          <w:szCs w:val="24"/>
          <w:lang w:val="en-US"/>
        </w:rPr>
        <w:t>miR-15a, Cdc42 and PCDAI, but the R values were not high; possibly due to the small number of patients. Second, we only included seven UC patients, which may be one of the reasons why we did not find altered expression of miR-15a in UC patients.</w:t>
      </w:r>
    </w:p>
    <w:p w14:paraId="57C65B83" w14:textId="01174377" w:rsidR="002A03B0" w:rsidRPr="006B4BF5" w:rsidRDefault="00F452D0"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965F21" w:rsidRPr="006B4BF5">
        <w:rPr>
          <w:rFonts w:ascii="Book Antiqua" w:hAnsi="Book Antiqua"/>
          <w:sz w:val="24"/>
          <w:szCs w:val="24"/>
          <w:lang w:val="en-US"/>
        </w:rPr>
        <w:t>This study shows that miR-15a negatively regulates intestinal epi</w:t>
      </w:r>
      <w:r w:rsidR="00B97935" w:rsidRPr="006B4BF5">
        <w:rPr>
          <w:rFonts w:ascii="Book Antiqua" w:hAnsi="Book Antiqua"/>
          <w:sz w:val="24"/>
          <w:szCs w:val="24"/>
          <w:lang w:val="en-US"/>
        </w:rPr>
        <w:t>thelial junctions through Cdc42</w:t>
      </w:r>
      <w:r w:rsidR="00965F21" w:rsidRPr="006B4BF5">
        <w:rPr>
          <w:rFonts w:ascii="Book Antiqua" w:hAnsi="Book Antiqua"/>
          <w:sz w:val="24"/>
          <w:szCs w:val="24"/>
          <w:lang w:val="en-US"/>
        </w:rPr>
        <w:t>,</w:t>
      </w:r>
      <w:r w:rsidR="00B97935" w:rsidRPr="006B4BF5">
        <w:rPr>
          <w:rFonts w:ascii="Book Antiqua" w:hAnsi="Book Antiqua"/>
          <w:sz w:val="24"/>
          <w:szCs w:val="24"/>
          <w:lang w:val="en-US"/>
        </w:rPr>
        <w:t xml:space="preserve"> </w:t>
      </w:r>
      <w:r w:rsidR="00965F21" w:rsidRPr="006B4BF5">
        <w:rPr>
          <w:rFonts w:ascii="Book Antiqua" w:hAnsi="Book Antiqua"/>
          <w:sz w:val="24"/>
          <w:szCs w:val="24"/>
          <w:lang w:val="en-US"/>
        </w:rPr>
        <w:t>but we did not study how Cdc42 regulates intestinal epithelial junctions. This will be studied in our future research.</w:t>
      </w:r>
    </w:p>
    <w:p w14:paraId="71CBB4DC" w14:textId="3C09BF5D" w:rsidR="00AF28CE" w:rsidRPr="006B4BF5" w:rsidRDefault="00F452D0"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965F21" w:rsidRPr="006B4BF5">
        <w:rPr>
          <w:rFonts w:ascii="Book Antiqua" w:hAnsi="Book Antiqua"/>
          <w:sz w:val="24"/>
          <w:szCs w:val="24"/>
          <w:lang w:val="en-US"/>
        </w:rPr>
        <w:t xml:space="preserve">In conclusion, miR-15a negatively regulates intestinal epithelial junctions through Cdc42 in Caco-2 cells </w:t>
      </w:r>
      <w:r w:rsidR="00F60C27" w:rsidRPr="006B4BF5">
        <w:rPr>
          <w:rFonts w:ascii="Book Antiqua" w:hAnsi="Book Antiqua"/>
          <w:sz w:val="24"/>
          <w:szCs w:val="24"/>
          <w:lang w:val="en-US"/>
        </w:rPr>
        <w:t xml:space="preserve">and </w:t>
      </w:r>
      <w:r w:rsidR="00965F21" w:rsidRPr="006B4BF5">
        <w:rPr>
          <w:rFonts w:ascii="Book Antiqua" w:hAnsi="Book Antiqua"/>
          <w:sz w:val="24"/>
          <w:szCs w:val="24"/>
          <w:lang w:val="en-US"/>
        </w:rPr>
        <w:t>pediatric IBD. This is believed to be the first study of the miR-15a</w:t>
      </w:r>
      <w:r w:rsidR="00B97935" w:rsidRPr="006B4BF5">
        <w:rPr>
          <w:rFonts w:ascii="Book Antiqua" w:hAnsi="Book Antiqua"/>
          <w:sz w:val="24"/>
          <w:szCs w:val="24"/>
          <w:lang w:val="en-US"/>
        </w:rPr>
        <w:t>-</w:t>
      </w:r>
      <w:r w:rsidR="00965F21" w:rsidRPr="006B4BF5">
        <w:rPr>
          <w:rFonts w:ascii="Book Antiqua" w:hAnsi="Book Antiqua"/>
          <w:sz w:val="24"/>
          <w:szCs w:val="24"/>
          <w:lang w:val="en-US"/>
        </w:rPr>
        <w:t>Cdc42 signaling pathway in pediatric IBD patients. Additionally, this study provides evidence that Cdc42 is the target gene of miR-15a, and this will provide a critical clue for the understanding of IBD development.</w:t>
      </w:r>
    </w:p>
    <w:p w14:paraId="2EE6554F" w14:textId="77777777" w:rsidR="00AF28CE" w:rsidRPr="006B4BF5" w:rsidRDefault="00AF28CE" w:rsidP="007B12C8">
      <w:pPr>
        <w:adjustRightInd w:val="0"/>
        <w:snapToGrid w:val="0"/>
        <w:spacing w:line="360" w:lineRule="auto"/>
        <w:jc w:val="both"/>
        <w:rPr>
          <w:rFonts w:ascii="Book Antiqua" w:hAnsi="Book Antiqua"/>
          <w:sz w:val="24"/>
          <w:szCs w:val="24"/>
          <w:lang w:val="en-US"/>
        </w:rPr>
      </w:pPr>
    </w:p>
    <w:p w14:paraId="55637511" w14:textId="0903F496" w:rsidR="00AF28CE" w:rsidRPr="006B4BF5" w:rsidRDefault="00F452D0" w:rsidP="005C3D9B">
      <w:pPr>
        <w:adjustRightInd w:val="0"/>
        <w:snapToGrid w:val="0"/>
        <w:spacing w:line="360" w:lineRule="auto"/>
        <w:jc w:val="both"/>
        <w:outlineLvl w:val="0"/>
        <w:rPr>
          <w:rFonts w:ascii="Book Antiqua" w:hAnsi="Book Antiqua"/>
          <w:b/>
          <w:sz w:val="24"/>
          <w:szCs w:val="24"/>
          <w:lang w:val="en-US"/>
        </w:rPr>
      </w:pPr>
      <w:r w:rsidRPr="006B4BF5">
        <w:rPr>
          <w:rFonts w:ascii="Book Antiqua" w:hAnsi="Book Antiqua"/>
          <w:b/>
          <w:sz w:val="24"/>
          <w:szCs w:val="24"/>
          <w:lang w:val="en-US"/>
        </w:rPr>
        <w:t>ARTICLE HIGHLIGHTS</w:t>
      </w:r>
    </w:p>
    <w:p w14:paraId="638EDDF2" w14:textId="77CAC2E7" w:rsidR="00E13693" w:rsidRPr="006B4BF5" w:rsidRDefault="00D90624" w:rsidP="007B12C8">
      <w:pPr>
        <w:adjustRightInd w:val="0"/>
        <w:snapToGrid w:val="0"/>
        <w:spacing w:line="360" w:lineRule="auto"/>
        <w:jc w:val="both"/>
        <w:rPr>
          <w:rFonts w:ascii="Book Antiqua" w:hAnsi="Book Antiqua"/>
          <w:b/>
          <w:i/>
          <w:sz w:val="24"/>
          <w:szCs w:val="24"/>
          <w:lang w:val="en-US"/>
        </w:rPr>
      </w:pPr>
      <w:r w:rsidRPr="006B4BF5">
        <w:rPr>
          <w:rFonts w:ascii="Book Antiqua" w:hAnsi="Book Antiqua"/>
          <w:b/>
          <w:i/>
          <w:sz w:val="24"/>
          <w:szCs w:val="24"/>
          <w:lang w:val="en-US"/>
        </w:rPr>
        <w:t>Research background</w:t>
      </w:r>
    </w:p>
    <w:p w14:paraId="7AE585C5" w14:textId="44B3240C" w:rsidR="00E35C90" w:rsidRPr="006B4BF5" w:rsidRDefault="00D90624"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Inflammatory bowel disease (IBD) is a chronic inflammatory disorder with an increasing prevalence. Pediatric IBD has severe phenotypes, the etiology of IBD remains unknown, A number of studies have shown that </w:t>
      </w:r>
      <w:r w:rsidR="004B5A33" w:rsidRPr="006B4BF5">
        <w:rPr>
          <w:rFonts w:ascii="Book Antiqua" w:hAnsi="Book Antiqua"/>
          <w:sz w:val="24"/>
          <w:szCs w:val="24"/>
          <w:lang w:val="en-US"/>
        </w:rPr>
        <w:t>microRNA</w:t>
      </w:r>
      <w:r w:rsidRPr="006B4BF5">
        <w:rPr>
          <w:rFonts w:ascii="Book Antiqua" w:hAnsi="Book Antiqua"/>
          <w:sz w:val="24"/>
          <w:szCs w:val="24"/>
          <w:lang w:val="en-US"/>
        </w:rPr>
        <w:t xml:space="preserve">s participate in </w:t>
      </w:r>
      <w:r w:rsidRPr="006B4BF5">
        <w:rPr>
          <w:rFonts w:ascii="Book Antiqua" w:hAnsi="Book Antiqua"/>
          <w:sz w:val="24"/>
          <w:szCs w:val="24"/>
          <w:lang w:val="en-US"/>
        </w:rPr>
        <w:lastRenderedPageBreak/>
        <w:t xml:space="preserve">the development of IBD, and miR-15 has an altered expression level in IBD patients, but the underlying mechanisms are not fully elucidated. Cell division cycle (Cdc)42 is a small GTPase of the Rho family, it has been reported that Cdc42 is critical for intestinal epithelial stem cell differentiation into a functional intestinal barrier. </w:t>
      </w:r>
      <w:r w:rsidR="00F452D0" w:rsidRPr="006B4BF5">
        <w:rPr>
          <w:rFonts w:ascii="Book Antiqua" w:hAnsi="Book Antiqua"/>
          <w:sz w:val="24"/>
          <w:szCs w:val="24"/>
          <w:lang w:val="en-US"/>
        </w:rPr>
        <w:t>M</w:t>
      </w:r>
      <w:r w:rsidR="004B5A33" w:rsidRPr="006B4BF5">
        <w:rPr>
          <w:rFonts w:ascii="Book Antiqua" w:hAnsi="Book Antiqua"/>
          <w:sz w:val="24"/>
          <w:szCs w:val="24"/>
          <w:lang w:val="en-US"/>
        </w:rPr>
        <w:t>icroRNA</w:t>
      </w:r>
      <w:r w:rsidR="00B97935" w:rsidRPr="006B4BF5">
        <w:rPr>
          <w:rFonts w:ascii="Book Antiqua" w:hAnsi="Book Antiqua"/>
          <w:sz w:val="24"/>
          <w:szCs w:val="24"/>
          <w:lang w:val="en-US"/>
        </w:rPr>
        <w:t>-</w:t>
      </w:r>
      <w:r w:rsidRPr="006B4BF5">
        <w:rPr>
          <w:rFonts w:ascii="Book Antiqua" w:hAnsi="Book Antiqua"/>
          <w:sz w:val="24"/>
          <w:szCs w:val="24"/>
          <w:lang w:val="en-US"/>
        </w:rPr>
        <w:t>Cdc</w:t>
      </w:r>
      <w:r w:rsidR="00F452D0" w:rsidRPr="006B4BF5">
        <w:rPr>
          <w:rFonts w:ascii="Book Antiqua" w:hAnsi="Book Antiqua"/>
          <w:sz w:val="24"/>
          <w:szCs w:val="24"/>
          <w:lang w:val="en-US"/>
        </w:rPr>
        <w:t>42 signaling play role in some biology</w:t>
      </w:r>
      <w:r w:rsidRPr="006B4BF5">
        <w:rPr>
          <w:rFonts w:ascii="Book Antiqua" w:hAnsi="Book Antiqua"/>
          <w:sz w:val="24"/>
          <w:szCs w:val="24"/>
          <w:lang w:val="en-US"/>
        </w:rPr>
        <w:t xml:space="preserve"> </w:t>
      </w:r>
      <w:r w:rsidR="00F452D0" w:rsidRPr="006B4BF5">
        <w:rPr>
          <w:rFonts w:ascii="Book Antiqua" w:hAnsi="Book Antiqua"/>
          <w:sz w:val="24"/>
          <w:szCs w:val="24"/>
          <w:lang w:val="en-US"/>
        </w:rPr>
        <w:t>process, the Target Scan showed</w:t>
      </w:r>
      <w:r w:rsidRPr="006B4BF5">
        <w:rPr>
          <w:rFonts w:ascii="Book Antiqua" w:hAnsi="Book Antiqua"/>
          <w:sz w:val="24"/>
          <w:szCs w:val="24"/>
          <w:lang w:val="en-US"/>
        </w:rPr>
        <w:t xml:space="preserve"> the putative seed region of </w:t>
      </w:r>
      <w:r w:rsidR="00F452D0" w:rsidRPr="006B4BF5">
        <w:rPr>
          <w:rFonts w:ascii="Book Antiqua" w:hAnsi="Book Antiqua"/>
          <w:sz w:val="24"/>
          <w:szCs w:val="24"/>
          <w:lang w:val="en-US"/>
        </w:rPr>
        <w:t>microRNA (</w:t>
      </w:r>
      <w:r w:rsidRPr="006B4BF5">
        <w:rPr>
          <w:rFonts w:ascii="Book Antiqua" w:hAnsi="Book Antiqua"/>
          <w:sz w:val="24"/>
          <w:szCs w:val="24"/>
          <w:lang w:val="en-US"/>
        </w:rPr>
        <w:t>miR</w:t>
      </w:r>
      <w:r w:rsidR="00F452D0" w:rsidRPr="006B4BF5">
        <w:rPr>
          <w:rFonts w:ascii="Book Antiqua" w:hAnsi="Book Antiqua"/>
          <w:sz w:val="24"/>
          <w:szCs w:val="24"/>
          <w:lang w:val="en-US"/>
        </w:rPr>
        <w:t>)</w:t>
      </w:r>
      <w:r w:rsidRPr="006B4BF5">
        <w:rPr>
          <w:rFonts w:ascii="Book Antiqua" w:hAnsi="Book Antiqua"/>
          <w:sz w:val="24"/>
          <w:szCs w:val="24"/>
          <w:lang w:val="en-US"/>
        </w:rPr>
        <w:t>-15a in the wild-type 3'-UTR of Cdc42, we hypothesized that miR-15a regulates Cdc42 to disrupt the intestinal barrier in IBD development.</w:t>
      </w:r>
    </w:p>
    <w:p w14:paraId="5249D63E" w14:textId="77777777" w:rsidR="00E35C90" w:rsidRPr="006B4BF5" w:rsidRDefault="00E35C90" w:rsidP="007B12C8">
      <w:pPr>
        <w:adjustRightInd w:val="0"/>
        <w:snapToGrid w:val="0"/>
        <w:spacing w:line="360" w:lineRule="auto"/>
        <w:jc w:val="both"/>
        <w:rPr>
          <w:rFonts w:ascii="Book Antiqua" w:hAnsi="Book Antiqua"/>
          <w:sz w:val="24"/>
          <w:szCs w:val="24"/>
          <w:lang w:val="en-US"/>
        </w:rPr>
      </w:pPr>
    </w:p>
    <w:p w14:paraId="076BB952" w14:textId="77777777" w:rsidR="00AF28CE" w:rsidRPr="006B4BF5" w:rsidRDefault="00D90624"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Research motivation</w:t>
      </w:r>
    </w:p>
    <w:p w14:paraId="08C5C4B1" w14:textId="298B309B" w:rsidR="00E35C90" w:rsidRPr="006B4BF5" w:rsidRDefault="00D90624"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The main topics of this study is to find the role of </w:t>
      </w:r>
      <w:r w:rsidR="004B5A33" w:rsidRPr="006B4BF5">
        <w:rPr>
          <w:rFonts w:ascii="Book Antiqua" w:hAnsi="Book Antiqua"/>
          <w:sz w:val="24"/>
          <w:szCs w:val="24"/>
          <w:lang w:val="en-US"/>
        </w:rPr>
        <w:t>microRNA</w:t>
      </w:r>
      <w:r w:rsidR="00B97935" w:rsidRPr="006B4BF5">
        <w:rPr>
          <w:rFonts w:ascii="Book Antiqua" w:hAnsi="Book Antiqua"/>
          <w:sz w:val="24"/>
          <w:szCs w:val="24"/>
          <w:lang w:val="en-US"/>
        </w:rPr>
        <w:t>-</w:t>
      </w:r>
      <w:r w:rsidRPr="006B4BF5">
        <w:rPr>
          <w:rFonts w:ascii="Book Antiqua" w:hAnsi="Book Antiqua"/>
          <w:sz w:val="24"/>
          <w:szCs w:val="24"/>
          <w:lang w:val="en-US"/>
        </w:rPr>
        <w:t>C</w:t>
      </w:r>
      <w:r w:rsidR="00F452D0" w:rsidRPr="006B4BF5">
        <w:rPr>
          <w:rFonts w:ascii="Book Antiqua" w:hAnsi="Book Antiqua"/>
          <w:sz w:val="24"/>
          <w:szCs w:val="24"/>
          <w:lang w:val="en-US"/>
        </w:rPr>
        <w:t>dc42 signaling in the pediatric</w:t>
      </w:r>
      <w:r w:rsidRPr="006B4BF5">
        <w:rPr>
          <w:rFonts w:ascii="Book Antiqua" w:hAnsi="Book Antiqua"/>
          <w:sz w:val="24"/>
          <w:szCs w:val="24"/>
          <w:lang w:val="en-US"/>
        </w:rPr>
        <w:t xml:space="preserve"> IBD development.</w:t>
      </w:r>
      <w:r w:rsidR="00F452D0" w:rsidRPr="006B4BF5">
        <w:rPr>
          <w:rFonts w:ascii="Book Antiqua" w:hAnsi="Book Antiqua"/>
          <w:sz w:val="24"/>
          <w:szCs w:val="24"/>
          <w:lang w:val="en-US"/>
        </w:rPr>
        <w:t xml:space="preserve"> The key problems to be solved</w:t>
      </w:r>
      <w:r w:rsidRPr="006B4BF5">
        <w:rPr>
          <w:rFonts w:ascii="Book Antiqua" w:hAnsi="Book Antiqua"/>
          <w:sz w:val="24"/>
          <w:szCs w:val="24"/>
          <w:lang w:val="en-US"/>
        </w:rPr>
        <w:t>: Our study found miR-15a negatively regulates intestinal epithelial junctions through Cdc42 in Caco-2 cells in pediatric IBD, this will provide a critical clue for the u</w:t>
      </w:r>
      <w:r w:rsidR="00F452D0" w:rsidRPr="006B4BF5">
        <w:rPr>
          <w:rFonts w:ascii="Book Antiqua" w:hAnsi="Book Antiqua"/>
          <w:sz w:val="24"/>
          <w:szCs w:val="24"/>
          <w:lang w:val="en-US"/>
        </w:rPr>
        <w:t>nderstanding of IBD development</w:t>
      </w:r>
      <w:r w:rsidRPr="006B4BF5">
        <w:rPr>
          <w:rFonts w:ascii="Book Antiqua" w:hAnsi="Book Antiqua"/>
          <w:sz w:val="24"/>
          <w:szCs w:val="24"/>
          <w:lang w:val="en-US"/>
        </w:rPr>
        <w:t xml:space="preserve"> in future. </w:t>
      </w:r>
    </w:p>
    <w:p w14:paraId="3D98395D" w14:textId="77777777" w:rsidR="00F452D0" w:rsidRPr="006B4BF5" w:rsidRDefault="00F452D0" w:rsidP="005C3D9B">
      <w:pPr>
        <w:adjustRightInd w:val="0"/>
        <w:snapToGrid w:val="0"/>
        <w:spacing w:line="360" w:lineRule="auto"/>
        <w:jc w:val="both"/>
        <w:outlineLvl w:val="0"/>
        <w:rPr>
          <w:rFonts w:ascii="Book Antiqua" w:hAnsi="Book Antiqua"/>
          <w:sz w:val="24"/>
          <w:szCs w:val="24"/>
          <w:lang w:val="en-US"/>
        </w:rPr>
      </w:pPr>
    </w:p>
    <w:p w14:paraId="261774D2" w14:textId="5007280C" w:rsidR="005510EF" w:rsidRPr="006B4BF5" w:rsidRDefault="00D90624"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Research objectives</w:t>
      </w:r>
    </w:p>
    <w:p w14:paraId="6CE970CE" w14:textId="0037DE5B" w:rsidR="003E7990" w:rsidRPr="006B4BF5" w:rsidRDefault="00F452D0"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The </w:t>
      </w:r>
      <w:r w:rsidR="00D90624" w:rsidRPr="006B4BF5">
        <w:rPr>
          <w:rFonts w:ascii="Book Antiqua" w:hAnsi="Book Antiqua"/>
          <w:sz w:val="24"/>
          <w:szCs w:val="24"/>
          <w:lang w:val="en-US"/>
        </w:rPr>
        <w:t xml:space="preserve">objectives of this study is to determine whether Cdc42 is regulated by </w:t>
      </w:r>
      <w:r w:rsidRPr="006B4BF5">
        <w:rPr>
          <w:rFonts w:ascii="Book Antiqua" w:hAnsi="Book Antiqua"/>
          <w:sz w:val="24"/>
          <w:szCs w:val="24"/>
          <w:lang w:val="en-US"/>
        </w:rPr>
        <w:t>miR</w:t>
      </w:r>
      <w:r w:rsidR="00D90624" w:rsidRPr="006B4BF5">
        <w:rPr>
          <w:rFonts w:ascii="Book Antiqua" w:hAnsi="Book Antiqua"/>
          <w:sz w:val="24"/>
          <w:szCs w:val="24"/>
          <w:lang w:val="en-US"/>
        </w:rPr>
        <w:t>-15a in</w:t>
      </w:r>
      <w:r w:rsidRPr="006B4BF5">
        <w:rPr>
          <w:rFonts w:ascii="Book Antiqua" w:hAnsi="Book Antiqua"/>
          <w:sz w:val="24"/>
          <w:szCs w:val="24"/>
          <w:lang w:val="en-US"/>
        </w:rPr>
        <w:t xml:space="preserve"> development of pediatric IBD. T</w:t>
      </w:r>
      <w:r w:rsidR="00D90624" w:rsidRPr="006B4BF5">
        <w:rPr>
          <w:rFonts w:ascii="Book Antiqua" w:hAnsi="Book Antiqua"/>
          <w:sz w:val="24"/>
          <w:szCs w:val="24"/>
          <w:lang w:val="en-US"/>
        </w:rPr>
        <w:t>hrough our study</w:t>
      </w:r>
      <w:r w:rsidRPr="006B4BF5">
        <w:rPr>
          <w:rFonts w:ascii="Book Antiqua" w:hAnsi="Book Antiqua"/>
          <w:sz w:val="24"/>
          <w:szCs w:val="24"/>
          <w:lang w:val="en-US"/>
        </w:rPr>
        <w:t>,</w:t>
      </w:r>
      <w:r w:rsidR="00D90624" w:rsidRPr="006B4BF5">
        <w:rPr>
          <w:rFonts w:ascii="Book Antiqua" w:hAnsi="Book Antiqua"/>
          <w:sz w:val="24"/>
          <w:szCs w:val="24"/>
          <w:lang w:val="en-US"/>
        </w:rPr>
        <w:t xml:space="preserve"> we found miR-15a negatively regulates intestinal epithelial junctions through Cdc42 in Caco-2 cells in pediatric IBD. this provide a new clue for the understanding of IBD development and help resea</w:t>
      </w:r>
      <w:r w:rsidRPr="006B4BF5">
        <w:rPr>
          <w:rFonts w:ascii="Book Antiqua" w:hAnsi="Book Antiqua"/>
          <w:sz w:val="24"/>
          <w:szCs w:val="24"/>
          <w:lang w:val="en-US"/>
        </w:rPr>
        <w:t>rchers to study the etiology of IBD</w:t>
      </w:r>
      <w:r w:rsidR="00D90624" w:rsidRPr="006B4BF5">
        <w:rPr>
          <w:rFonts w:ascii="Book Antiqua" w:hAnsi="Book Antiqua"/>
          <w:sz w:val="24"/>
          <w:szCs w:val="24"/>
          <w:lang w:val="en-US"/>
        </w:rPr>
        <w:t>, may Provide new methods for IBD treatment in future.</w:t>
      </w:r>
    </w:p>
    <w:p w14:paraId="3486D4B1" w14:textId="77777777" w:rsidR="00F452D0" w:rsidRPr="006B4BF5" w:rsidRDefault="00F452D0" w:rsidP="005C3D9B">
      <w:pPr>
        <w:adjustRightInd w:val="0"/>
        <w:snapToGrid w:val="0"/>
        <w:spacing w:line="360" w:lineRule="auto"/>
        <w:jc w:val="both"/>
        <w:outlineLvl w:val="0"/>
        <w:rPr>
          <w:rFonts w:ascii="Book Antiqua" w:hAnsi="Book Antiqua"/>
          <w:sz w:val="24"/>
          <w:szCs w:val="24"/>
          <w:lang w:val="en-US"/>
        </w:rPr>
      </w:pPr>
    </w:p>
    <w:p w14:paraId="52998AD7" w14:textId="66430795" w:rsidR="003E7990" w:rsidRPr="006B4BF5" w:rsidRDefault="00D90624"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Research methods</w:t>
      </w:r>
    </w:p>
    <w:p w14:paraId="67704B9F" w14:textId="7A418842" w:rsidR="00BF529C" w:rsidRPr="006B4BF5" w:rsidRDefault="00D90624"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We cultured cells, used </w:t>
      </w:r>
      <w:r w:rsidR="00F452D0" w:rsidRPr="006B4BF5">
        <w:rPr>
          <w:rFonts w:ascii="Book Antiqua" w:hAnsi="Book Antiqua"/>
          <w:sz w:val="24"/>
          <w:szCs w:val="24"/>
          <w:lang w:val="en-US"/>
        </w:rPr>
        <w:t>tumor necrosis factor (</w:t>
      </w:r>
      <w:r w:rsidRPr="006B4BF5">
        <w:rPr>
          <w:rFonts w:ascii="Book Antiqua" w:hAnsi="Book Antiqua"/>
          <w:sz w:val="24"/>
          <w:szCs w:val="24"/>
          <w:lang w:val="en-US"/>
        </w:rPr>
        <w:t>TNF</w:t>
      </w:r>
      <w:r w:rsidR="00F452D0" w:rsidRPr="006B4BF5">
        <w:rPr>
          <w:rFonts w:ascii="Book Antiqua" w:hAnsi="Book Antiqua"/>
          <w:sz w:val="24"/>
          <w:szCs w:val="24"/>
          <w:lang w:val="en-US"/>
        </w:rPr>
        <w:t>)</w:t>
      </w:r>
      <w:r w:rsidRPr="006B4BF5">
        <w:rPr>
          <w:rFonts w:ascii="Book Antiqua" w:hAnsi="Book Antiqua"/>
          <w:sz w:val="24"/>
          <w:szCs w:val="24"/>
          <w:lang w:val="en-US"/>
        </w:rPr>
        <w:t>-</w:t>
      </w:r>
      <w:r w:rsidRPr="006B4BF5">
        <w:rPr>
          <w:rFonts w:ascii="Book Antiqua" w:hAnsi="Book Antiqua"/>
          <w:sz w:val="24"/>
          <w:szCs w:val="24"/>
        </w:rPr>
        <w:t>α</w:t>
      </w:r>
      <w:r w:rsidRPr="006B4BF5">
        <w:rPr>
          <w:rFonts w:ascii="Book Antiqua" w:hAnsi="Book Antiqua"/>
          <w:sz w:val="24"/>
          <w:szCs w:val="24"/>
          <w:lang w:val="en-US"/>
        </w:rPr>
        <w:t xml:space="preserve"> to stimulate cells, employed plasmids and lentiviruses o change the expression of miR-15a and Cdc42, p</w:t>
      </w:r>
      <w:r w:rsidR="00BB6FAC" w:rsidRPr="006B4BF5">
        <w:rPr>
          <w:rFonts w:ascii="Book Antiqua" w:hAnsi="Book Antiqua"/>
          <w:sz w:val="24"/>
          <w:szCs w:val="24"/>
          <w:lang w:val="en-US"/>
        </w:rPr>
        <w:t>erformed dual-luciferase assay,</w:t>
      </w:r>
      <w:r w:rsidRPr="006B4BF5">
        <w:rPr>
          <w:rFonts w:ascii="Book Antiqua" w:hAnsi="Book Antiqua"/>
          <w:sz w:val="24"/>
          <w:szCs w:val="24"/>
          <w:lang w:val="en-US"/>
        </w:rPr>
        <w:t xml:space="preserve"> </w:t>
      </w:r>
      <w:r w:rsidR="00F452D0" w:rsidRPr="006B4BF5">
        <w:rPr>
          <w:rFonts w:ascii="Book Antiqua" w:hAnsi="Book Antiqua"/>
          <w:sz w:val="24"/>
          <w:szCs w:val="24"/>
          <w:lang w:val="en-US"/>
        </w:rPr>
        <w:t>quantitative reverse transcription polymerase chain reaction (qRT-PCR) and i</w:t>
      </w:r>
      <w:r w:rsidRPr="006B4BF5">
        <w:rPr>
          <w:rFonts w:ascii="Book Antiqua" w:hAnsi="Book Antiqua"/>
          <w:sz w:val="24"/>
          <w:szCs w:val="24"/>
          <w:lang w:val="en-US"/>
        </w:rPr>
        <w:t xml:space="preserve">mmunofluorescence. The statistical analysis of differences was performed using </w:t>
      </w:r>
      <w:r w:rsidRPr="006B4BF5">
        <w:rPr>
          <w:rFonts w:ascii="Book Antiqua" w:hAnsi="Book Antiqua"/>
          <w:i/>
          <w:sz w:val="24"/>
          <w:szCs w:val="24"/>
          <w:lang w:val="en-US"/>
        </w:rPr>
        <w:t>t</w:t>
      </w:r>
      <w:r w:rsidRPr="006B4BF5">
        <w:rPr>
          <w:rFonts w:ascii="Book Antiqua" w:hAnsi="Book Antiqua"/>
          <w:sz w:val="24"/>
          <w:szCs w:val="24"/>
          <w:lang w:val="en-US"/>
        </w:rPr>
        <w:t xml:space="preserve"> test of variance and Pearson’s </w:t>
      </w:r>
      <w:r w:rsidRPr="006B4BF5">
        <w:rPr>
          <w:rFonts w:ascii="Book Antiqua" w:hAnsi="Book Antiqua"/>
          <w:i/>
          <w:sz w:val="24"/>
          <w:szCs w:val="24"/>
          <w:lang w:val="en-US"/>
        </w:rPr>
        <w:t>r</w:t>
      </w:r>
      <w:r w:rsidRPr="006B4BF5">
        <w:rPr>
          <w:rFonts w:ascii="Book Antiqua" w:hAnsi="Book Antiqua"/>
          <w:sz w:val="24"/>
          <w:szCs w:val="24"/>
          <w:lang w:val="en-US"/>
        </w:rPr>
        <w:t xml:space="preserve"> test of correlation using </w:t>
      </w:r>
      <w:r w:rsidRPr="006B4BF5">
        <w:rPr>
          <w:rFonts w:ascii="Book Antiqua" w:hAnsi="Book Antiqua"/>
          <w:sz w:val="24"/>
          <w:szCs w:val="24"/>
          <w:lang w:val="en-US"/>
        </w:rPr>
        <w:lastRenderedPageBreak/>
        <w:t xml:space="preserve">GraphdPrism version 6.0. </w:t>
      </w:r>
    </w:p>
    <w:p w14:paraId="338FF7E6" w14:textId="77777777" w:rsidR="00D47219" w:rsidRPr="006B4BF5" w:rsidRDefault="00D47219" w:rsidP="005C3D9B">
      <w:pPr>
        <w:adjustRightInd w:val="0"/>
        <w:snapToGrid w:val="0"/>
        <w:spacing w:line="360" w:lineRule="auto"/>
        <w:jc w:val="both"/>
        <w:outlineLvl w:val="0"/>
        <w:rPr>
          <w:rFonts w:ascii="Book Antiqua" w:hAnsi="Book Antiqua"/>
          <w:sz w:val="24"/>
          <w:szCs w:val="24"/>
          <w:lang w:val="en-US"/>
        </w:rPr>
      </w:pPr>
    </w:p>
    <w:p w14:paraId="5A11F3B8" w14:textId="380504A5" w:rsidR="00BF529C" w:rsidRPr="006B4BF5" w:rsidRDefault="00D90624"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Research results</w:t>
      </w:r>
    </w:p>
    <w:p w14:paraId="7DBFB554" w14:textId="02B3596C" w:rsidR="00BF529C" w:rsidRPr="006B4BF5" w:rsidRDefault="00D90624"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We demonstrated that miR-15a negatively regulates intestinal epithelial junctions through Cdc42 in Caco-2 cells and pediatric IBD. This is believed to be the first study of the miR-15a</w:t>
      </w:r>
      <w:r w:rsidR="00B97935" w:rsidRPr="006B4BF5">
        <w:rPr>
          <w:rFonts w:ascii="Book Antiqua" w:hAnsi="Book Antiqua"/>
          <w:sz w:val="24"/>
          <w:szCs w:val="24"/>
          <w:lang w:val="en-US"/>
        </w:rPr>
        <w:t>-</w:t>
      </w:r>
      <w:r w:rsidRPr="006B4BF5">
        <w:rPr>
          <w:rFonts w:ascii="Book Antiqua" w:hAnsi="Book Antiqua"/>
          <w:sz w:val="24"/>
          <w:szCs w:val="24"/>
          <w:lang w:val="en-US"/>
        </w:rPr>
        <w:t>Cdc42 signaling pathway in pediatric IBD patients.</w:t>
      </w:r>
    </w:p>
    <w:p w14:paraId="25185A7B" w14:textId="7AB62996" w:rsidR="00AF28CE" w:rsidRPr="006B4BF5" w:rsidRDefault="00D47219"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  </w:t>
      </w:r>
      <w:r w:rsidR="00D90624" w:rsidRPr="006B4BF5">
        <w:rPr>
          <w:rFonts w:ascii="Book Antiqua" w:hAnsi="Book Antiqua"/>
          <w:sz w:val="24"/>
          <w:szCs w:val="24"/>
          <w:lang w:val="en-US"/>
        </w:rPr>
        <w:t>But this study had some limitations. First, we found a correlation between</w:t>
      </w:r>
      <w:r w:rsidR="00AE2CDF" w:rsidRPr="006B4BF5">
        <w:rPr>
          <w:rFonts w:ascii="Book Antiqua" w:hAnsi="Book Antiqua"/>
          <w:sz w:val="24"/>
          <w:szCs w:val="24"/>
          <w:lang w:val="en-US"/>
        </w:rPr>
        <w:t xml:space="preserve"> </w:t>
      </w:r>
      <w:r w:rsidR="00D90624" w:rsidRPr="006B4BF5">
        <w:rPr>
          <w:rFonts w:ascii="Book Antiqua" w:hAnsi="Book Antiqua"/>
          <w:sz w:val="24"/>
          <w:szCs w:val="24"/>
          <w:lang w:val="en-US"/>
        </w:rPr>
        <w:t xml:space="preserve">miR-15a, Cdc42 and </w:t>
      </w:r>
      <w:r w:rsidRPr="006B4BF5">
        <w:rPr>
          <w:rFonts w:ascii="Book Antiqua" w:hAnsi="Book Antiqua"/>
          <w:sz w:val="24"/>
          <w:szCs w:val="24"/>
          <w:lang w:val="en-US"/>
        </w:rPr>
        <w:t>Pediatric Crohn’s Disease Activity Index (PCDAI)</w:t>
      </w:r>
      <w:r w:rsidR="00D90624" w:rsidRPr="006B4BF5">
        <w:rPr>
          <w:rFonts w:ascii="Book Antiqua" w:hAnsi="Book Antiqua"/>
          <w:sz w:val="24"/>
          <w:szCs w:val="24"/>
          <w:lang w:val="en-US"/>
        </w:rPr>
        <w:t xml:space="preserve">, but the R values were not high; possibly due to the small number of patients. Second, we only included seven </w:t>
      </w:r>
      <w:r w:rsidRPr="006B4BF5">
        <w:rPr>
          <w:rFonts w:ascii="Book Antiqua" w:hAnsi="Book Antiqua"/>
          <w:sz w:val="24"/>
          <w:szCs w:val="24"/>
          <w:lang w:val="en-US"/>
        </w:rPr>
        <w:t>ulcerative colitis (UC)</w:t>
      </w:r>
      <w:r w:rsidR="00D90624" w:rsidRPr="006B4BF5">
        <w:rPr>
          <w:rFonts w:ascii="Book Antiqua" w:hAnsi="Book Antiqua"/>
          <w:sz w:val="24"/>
          <w:szCs w:val="24"/>
          <w:lang w:val="en-US"/>
        </w:rPr>
        <w:t xml:space="preserve"> patients, which may be one of the reasons why we did not find altered expression of miR-15a in UC patients. Last</w:t>
      </w:r>
      <w:r w:rsidR="007C6B20" w:rsidRPr="006B4BF5">
        <w:rPr>
          <w:rFonts w:ascii="Book Antiqua" w:hAnsi="Book Antiqua"/>
          <w:sz w:val="24"/>
          <w:szCs w:val="24"/>
          <w:lang w:val="en-US"/>
        </w:rPr>
        <w:t>,</w:t>
      </w:r>
      <w:r w:rsidR="00D90624" w:rsidRPr="006B4BF5">
        <w:rPr>
          <w:rFonts w:ascii="Book Antiqua" w:hAnsi="Book Antiqua"/>
          <w:sz w:val="24"/>
          <w:szCs w:val="24"/>
          <w:lang w:val="en-US"/>
        </w:rPr>
        <w:t xml:space="preserve"> we showed that miR-15a negatively regulates intestinal epi</w:t>
      </w:r>
      <w:r w:rsidR="007C6B20" w:rsidRPr="006B4BF5">
        <w:rPr>
          <w:rFonts w:ascii="Book Antiqua" w:hAnsi="Book Antiqua"/>
          <w:sz w:val="24"/>
          <w:szCs w:val="24"/>
          <w:lang w:val="en-US"/>
        </w:rPr>
        <w:t>thelial junctions through Cdc42</w:t>
      </w:r>
      <w:r w:rsidR="00D90624" w:rsidRPr="006B4BF5">
        <w:rPr>
          <w:rFonts w:ascii="Book Antiqua" w:hAnsi="Book Antiqua"/>
          <w:sz w:val="24"/>
          <w:szCs w:val="24"/>
          <w:lang w:val="en-US"/>
        </w:rPr>
        <w:t>,</w:t>
      </w:r>
      <w:r w:rsidR="007C6B20" w:rsidRPr="006B4BF5">
        <w:rPr>
          <w:rFonts w:ascii="Book Antiqua" w:hAnsi="Book Antiqua"/>
          <w:sz w:val="24"/>
          <w:szCs w:val="24"/>
          <w:lang w:val="en-US"/>
        </w:rPr>
        <w:t xml:space="preserve"> </w:t>
      </w:r>
      <w:r w:rsidR="00D90624" w:rsidRPr="006B4BF5">
        <w:rPr>
          <w:rFonts w:ascii="Book Antiqua" w:hAnsi="Book Antiqua"/>
          <w:sz w:val="24"/>
          <w:szCs w:val="24"/>
          <w:lang w:val="en-US"/>
        </w:rPr>
        <w:t xml:space="preserve">but we did not study how Cdc42 regulates intestinal epithelial junctions. This will be studied in our future research. </w:t>
      </w:r>
    </w:p>
    <w:p w14:paraId="16FF88C3" w14:textId="77777777" w:rsidR="00D47219" w:rsidRPr="006B4BF5" w:rsidRDefault="00D47219" w:rsidP="005C3D9B">
      <w:pPr>
        <w:adjustRightInd w:val="0"/>
        <w:snapToGrid w:val="0"/>
        <w:spacing w:line="360" w:lineRule="auto"/>
        <w:jc w:val="both"/>
        <w:outlineLvl w:val="0"/>
        <w:rPr>
          <w:rFonts w:ascii="Book Antiqua" w:hAnsi="Book Antiqua"/>
          <w:sz w:val="24"/>
          <w:szCs w:val="24"/>
          <w:lang w:val="en-US"/>
        </w:rPr>
      </w:pPr>
    </w:p>
    <w:p w14:paraId="3253EBB0" w14:textId="4339AF1B" w:rsidR="00BF529C" w:rsidRPr="006B4BF5" w:rsidRDefault="00D90624"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Research conclusions</w:t>
      </w:r>
    </w:p>
    <w:p w14:paraId="588591F5" w14:textId="46F474ED" w:rsidR="00AF28CE" w:rsidRPr="006B4BF5" w:rsidRDefault="00D90624"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MiR-15a negatively regulates intestinal epithelial junctions through Cdc42 in pediatric IBD. This is believed to be the first study of the miR-15a</w:t>
      </w:r>
      <w:r w:rsidR="00D47219" w:rsidRPr="006B4BF5">
        <w:rPr>
          <w:rFonts w:ascii="Book Antiqua" w:hAnsi="Book Antiqua"/>
          <w:sz w:val="24"/>
          <w:szCs w:val="24"/>
          <w:lang w:val="en-US"/>
        </w:rPr>
        <w:t xml:space="preserve"> - </w:t>
      </w:r>
      <w:r w:rsidRPr="006B4BF5">
        <w:rPr>
          <w:rFonts w:ascii="Book Antiqua" w:hAnsi="Book Antiqua"/>
          <w:sz w:val="24"/>
          <w:szCs w:val="24"/>
          <w:lang w:val="en-US"/>
        </w:rPr>
        <w:t>Cdc42 signaling pathway in pediatric IBD patients. Additionally, this study provides evidence that Cdc42 is the target gene of miR-15a, and this will provide a critical clue for the understanding of IBD development, also may Provide new methods for IBD treatment in future.</w:t>
      </w:r>
    </w:p>
    <w:p w14:paraId="5D55A270" w14:textId="77777777" w:rsidR="00D47219" w:rsidRPr="006B4BF5" w:rsidRDefault="00D47219" w:rsidP="005C3D9B">
      <w:pPr>
        <w:adjustRightInd w:val="0"/>
        <w:snapToGrid w:val="0"/>
        <w:spacing w:line="360" w:lineRule="auto"/>
        <w:jc w:val="both"/>
        <w:outlineLvl w:val="0"/>
        <w:rPr>
          <w:rFonts w:ascii="Book Antiqua" w:hAnsi="Book Antiqua"/>
          <w:sz w:val="24"/>
          <w:szCs w:val="24"/>
          <w:lang w:val="en-US"/>
        </w:rPr>
      </w:pPr>
    </w:p>
    <w:p w14:paraId="173D47BC" w14:textId="5F79C3B3" w:rsidR="00F60C27" w:rsidRPr="006B4BF5" w:rsidRDefault="00D90624" w:rsidP="005C3D9B">
      <w:pPr>
        <w:adjustRightInd w:val="0"/>
        <w:snapToGrid w:val="0"/>
        <w:spacing w:line="360" w:lineRule="auto"/>
        <w:jc w:val="both"/>
        <w:outlineLvl w:val="0"/>
        <w:rPr>
          <w:rFonts w:ascii="Book Antiqua" w:hAnsi="Book Antiqua"/>
          <w:b/>
          <w:i/>
          <w:sz w:val="24"/>
          <w:szCs w:val="24"/>
          <w:lang w:val="en-US"/>
        </w:rPr>
      </w:pPr>
      <w:r w:rsidRPr="006B4BF5">
        <w:rPr>
          <w:rFonts w:ascii="Book Antiqua" w:hAnsi="Book Antiqua"/>
          <w:b/>
          <w:i/>
          <w:sz w:val="24"/>
          <w:szCs w:val="24"/>
          <w:lang w:val="en-US"/>
        </w:rPr>
        <w:t>Research perspectives</w:t>
      </w:r>
    </w:p>
    <w:p w14:paraId="24F5C812" w14:textId="01828D7D" w:rsidR="00AF28CE" w:rsidRPr="006B4BF5" w:rsidRDefault="00D90624"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It is better get more p</w:t>
      </w:r>
      <w:r w:rsidR="00D47219" w:rsidRPr="006B4BF5">
        <w:rPr>
          <w:rFonts w:ascii="Book Antiqua" w:hAnsi="Book Antiqua"/>
          <w:sz w:val="24"/>
          <w:szCs w:val="24"/>
          <w:lang w:val="en-US"/>
        </w:rPr>
        <w:t>atients, especially UC patients</w:t>
      </w:r>
      <w:r w:rsidRPr="006B4BF5">
        <w:rPr>
          <w:rFonts w:ascii="Book Antiqua" w:hAnsi="Book Antiqua"/>
          <w:sz w:val="24"/>
          <w:szCs w:val="24"/>
          <w:lang w:val="en-US"/>
        </w:rPr>
        <w:t xml:space="preserve">. We will study how Cdc42 regulates intestinal epithelial junctions in our future research. </w:t>
      </w:r>
    </w:p>
    <w:p w14:paraId="60E6ABF9" w14:textId="77777777" w:rsidR="00F452D0" w:rsidRPr="006B4BF5" w:rsidRDefault="00F452D0" w:rsidP="00F452D0">
      <w:pPr>
        <w:adjustRightInd w:val="0"/>
        <w:snapToGrid w:val="0"/>
        <w:spacing w:line="360" w:lineRule="auto"/>
        <w:jc w:val="both"/>
        <w:outlineLvl w:val="0"/>
        <w:rPr>
          <w:rFonts w:ascii="Book Antiqua" w:hAnsi="Book Antiqua"/>
          <w:sz w:val="24"/>
          <w:szCs w:val="24"/>
          <w:lang w:val="en-US"/>
        </w:rPr>
      </w:pPr>
    </w:p>
    <w:p w14:paraId="3EDDCDC8" w14:textId="77777777" w:rsidR="00F452D0" w:rsidRPr="006B4BF5" w:rsidRDefault="00F452D0" w:rsidP="00F452D0">
      <w:pPr>
        <w:adjustRightInd w:val="0"/>
        <w:snapToGrid w:val="0"/>
        <w:spacing w:line="360" w:lineRule="auto"/>
        <w:jc w:val="both"/>
        <w:outlineLvl w:val="0"/>
        <w:rPr>
          <w:rFonts w:ascii="Book Antiqua" w:hAnsi="Book Antiqua"/>
          <w:b/>
          <w:sz w:val="24"/>
          <w:szCs w:val="24"/>
          <w:lang w:val="en-US"/>
        </w:rPr>
      </w:pPr>
      <w:r w:rsidRPr="006B4BF5">
        <w:rPr>
          <w:rFonts w:ascii="Book Antiqua" w:hAnsi="Book Antiqua"/>
          <w:b/>
          <w:sz w:val="24"/>
          <w:szCs w:val="24"/>
          <w:lang w:val="en-US"/>
        </w:rPr>
        <w:t>ACKNOWLEDGMENTS</w:t>
      </w:r>
    </w:p>
    <w:p w14:paraId="6AFB8699" w14:textId="6B270AE3" w:rsidR="007849A1" w:rsidRPr="006B4BF5" w:rsidRDefault="00F452D0" w:rsidP="00F452D0">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The authors are grateful to Xiao-Long Dong for his skillful technical assistance and Hua-Qing Zhong for the bioinformatics support.</w:t>
      </w:r>
      <w:bookmarkStart w:id="36" w:name="_GoBack"/>
      <w:bookmarkEnd w:id="36"/>
    </w:p>
    <w:p w14:paraId="7307B6DB" w14:textId="5BE7ED64" w:rsidR="002A03B0" w:rsidRPr="006B4BF5" w:rsidRDefault="00CB7049" w:rsidP="00D47219">
      <w:pPr>
        <w:adjustRightInd w:val="0"/>
        <w:snapToGrid w:val="0"/>
        <w:spacing w:line="360" w:lineRule="auto"/>
        <w:jc w:val="both"/>
        <w:outlineLvl w:val="0"/>
        <w:rPr>
          <w:rFonts w:ascii="Book Antiqua" w:hAnsi="Book Antiqua"/>
          <w:b/>
          <w:sz w:val="24"/>
          <w:szCs w:val="24"/>
          <w:lang w:val="en-US"/>
        </w:rPr>
      </w:pPr>
      <w:r w:rsidRPr="006B4BF5">
        <w:rPr>
          <w:rFonts w:ascii="Book Antiqua" w:hAnsi="Book Antiqua"/>
          <w:b/>
          <w:sz w:val="24"/>
          <w:szCs w:val="24"/>
          <w:lang w:val="en-US"/>
        </w:rPr>
        <w:lastRenderedPageBreak/>
        <w:t>REFERENCES</w:t>
      </w:r>
    </w:p>
    <w:p w14:paraId="7D3F69B6" w14:textId="17C94126"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1 </w:t>
      </w:r>
      <w:r w:rsidRPr="006B4BF5">
        <w:rPr>
          <w:rFonts w:ascii="Book Antiqua" w:hAnsi="Book Antiqua"/>
          <w:b/>
          <w:bCs/>
          <w:sz w:val="24"/>
          <w:szCs w:val="24"/>
          <w:lang w:val="en-US"/>
        </w:rPr>
        <w:t>Wang XQ</w:t>
      </w:r>
      <w:r w:rsidRPr="006B4BF5">
        <w:rPr>
          <w:rFonts w:ascii="Book Antiqua" w:hAnsi="Book Antiqua"/>
          <w:sz w:val="24"/>
          <w:szCs w:val="24"/>
          <w:lang w:val="en-US"/>
        </w:rPr>
        <w:t>, Zhang Y, Xu CD, Jiang LR, Huang Y, Du HM, Wang XJ. Inflammatory bowel disease in Chinese children: a multicenter analysis over a decade from Shanghai. </w:t>
      </w:r>
      <w:r w:rsidRPr="006B4BF5">
        <w:rPr>
          <w:rFonts w:ascii="Book Antiqua" w:hAnsi="Book Antiqua"/>
          <w:i/>
          <w:iCs/>
          <w:sz w:val="24"/>
          <w:szCs w:val="24"/>
          <w:lang w:val="en-US"/>
        </w:rPr>
        <w:t xml:space="preserve">Inflamm Bowel Dis </w:t>
      </w:r>
      <w:r w:rsidRPr="006B4BF5">
        <w:rPr>
          <w:rFonts w:ascii="Book Antiqua" w:hAnsi="Book Antiqua"/>
          <w:sz w:val="24"/>
          <w:szCs w:val="24"/>
          <w:lang w:val="en-US"/>
        </w:rPr>
        <w:t>2013; </w:t>
      </w:r>
      <w:r w:rsidRPr="006B4BF5">
        <w:rPr>
          <w:rFonts w:ascii="Book Antiqua" w:hAnsi="Book Antiqua"/>
          <w:b/>
          <w:bCs/>
          <w:sz w:val="24"/>
          <w:szCs w:val="24"/>
          <w:lang w:val="en-US"/>
        </w:rPr>
        <w:t>19</w:t>
      </w:r>
      <w:r w:rsidRPr="006B4BF5">
        <w:rPr>
          <w:rFonts w:ascii="Book Antiqua" w:hAnsi="Book Antiqua"/>
          <w:sz w:val="24"/>
          <w:szCs w:val="24"/>
          <w:lang w:val="en-US"/>
        </w:rPr>
        <w:t>: 423-428 [PMID: 23340680 DOI: 10.1097/MIB.0b013e318286f9f2]</w:t>
      </w:r>
    </w:p>
    <w:p w14:paraId="04C76FBF"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2 </w:t>
      </w:r>
      <w:r w:rsidRPr="006B4BF5">
        <w:rPr>
          <w:rFonts w:ascii="Book Antiqua" w:hAnsi="Book Antiqua"/>
          <w:b/>
          <w:bCs/>
          <w:sz w:val="24"/>
          <w:szCs w:val="24"/>
          <w:lang w:val="en-US"/>
        </w:rPr>
        <w:t>Chandel S</w:t>
      </w:r>
      <w:r w:rsidRPr="006B4BF5">
        <w:rPr>
          <w:rFonts w:ascii="Book Antiqua" w:hAnsi="Book Antiqua"/>
          <w:sz w:val="24"/>
          <w:szCs w:val="24"/>
          <w:lang w:val="en-US"/>
        </w:rPr>
        <w:t>, Prakash A, Medhi B. Current scenario in inflammatory bowel disease: drug development prospects. </w:t>
      </w:r>
      <w:r w:rsidRPr="006B4BF5">
        <w:rPr>
          <w:rFonts w:ascii="Book Antiqua" w:hAnsi="Book Antiqua"/>
          <w:i/>
          <w:iCs/>
          <w:sz w:val="24"/>
          <w:szCs w:val="24"/>
          <w:lang w:val="en-US"/>
        </w:rPr>
        <w:t>Pharmacol Rep</w:t>
      </w:r>
      <w:r w:rsidRPr="006B4BF5">
        <w:rPr>
          <w:rFonts w:ascii="Book Antiqua" w:hAnsi="Book Antiqua"/>
          <w:sz w:val="24"/>
          <w:szCs w:val="24"/>
          <w:lang w:val="en-US"/>
        </w:rPr>
        <w:t> 2015; </w:t>
      </w:r>
      <w:r w:rsidRPr="006B4BF5">
        <w:rPr>
          <w:rFonts w:ascii="Book Antiqua" w:hAnsi="Book Antiqua"/>
          <w:b/>
          <w:bCs/>
          <w:sz w:val="24"/>
          <w:szCs w:val="24"/>
          <w:lang w:val="en-US"/>
        </w:rPr>
        <w:t>67</w:t>
      </w:r>
      <w:r w:rsidRPr="006B4BF5">
        <w:rPr>
          <w:rFonts w:ascii="Book Antiqua" w:hAnsi="Book Antiqua"/>
          <w:sz w:val="24"/>
          <w:szCs w:val="24"/>
          <w:lang w:val="en-US"/>
        </w:rPr>
        <w:t>: 224-229 [PMID: 25712643 DOI: 10.1016/j.pharep.2014.09.005]</w:t>
      </w:r>
    </w:p>
    <w:p w14:paraId="721692FA"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3 </w:t>
      </w:r>
      <w:r w:rsidRPr="006B4BF5">
        <w:rPr>
          <w:rFonts w:ascii="Book Antiqua" w:hAnsi="Book Antiqua"/>
          <w:b/>
          <w:bCs/>
          <w:sz w:val="24"/>
          <w:szCs w:val="24"/>
          <w:lang w:val="en-US"/>
        </w:rPr>
        <w:t>Yang L</w:t>
      </w:r>
      <w:r w:rsidRPr="006B4BF5">
        <w:rPr>
          <w:rFonts w:ascii="Book Antiqua" w:hAnsi="Book Antiqua"/>
          <w:sz w:val="24"/>
          <w:szCs w:val="24"/>
          <w:lang w:val="en-US"/>
        </w:rPr>
        <w:t>, Yan Y. Protein kinases are potential targets to treat inflammatory bowel disease. </w:t>
      </w:r>
      <w:r w:rsidRPr="006B4BF5">
        <w:rPr>
          <w:rFonts w:ascii="Book Antiqua" w:hAnsi="Book Antiqua"/>
          <w:i/>
          <w:iCs/>
          <w:sz w:val="24"/>
          <w:szCs w:val="24"/>
          <w:lang w:val="en-US"/>
        </w:rPr>
        <w:t>World J Gastrointest Pharmacol Ther</w:t>
      </w:r>
      <w:r w:rsidRPr="006B4BF5">
        <w:rPr>
          <w:rFonts w:ascii="Book Antiqua" w:hAnsi="Book Antiqua"/>
          <w:sz w:val="24"/>
          <w:szCs w:val="24"/>
          <w:lang w:val="en-US"/>
        </w:rPr>
        <w:t> 2014; </w:t>
      </w:r>
      <w:r w:rsidRPr="006B4BF5">
        <w:rPr>
          <w:rFonts w:ascii="Book Antiqua" w:hAnsi="Book Antiqua"/>
          <w:b/>
          <w:bCs/>
          <w:sz w:val="24"/>
          <w:szCs w:val="24"/>
          <w:lang w:val="en-US"/>
        </w:rPr>
        <w:t>5</w:t>
      </w:r>
      <w:r w:rsidRPr="006B4BF5">
        <w:rPr>
          <w:rFonts w:ascii="Book Antiqua" w:hAnsi="Book Antiqua"/>
          <w:sz w:val="24"/>
          <w:szCs w:val="24"/>
          <w:lang w:val="en-US"/>
        </w:rPr>
        <w:t>: 209-217 [PMID: 25374761 DOI: 10.4292/wjgpt.v5.i4.209]</w:t>
      </w:r>
    </w:p>
    <w:p w14:paraId="6711818C"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4 </w:t>
      </w:r>
      <w:r w:rsidRPr="006B4BF5">
        <w:rPr>
          <w:rFonts w:ascii="Book Antiqua" w:hAnsi="Book Antiqua"/>
          <w:b/>
          <w:bCs/>
          <w:sz w:val="24"/>
          <w:szCs w:val="24"/>
          <w:lang w:val="en-US"/>
        </w:rPr>
        <w:t>Raisch J</w:t>
      </w:r>
      <w:r w:rsidRPr="006B4BF5">
        <w:rPr>
          <w:rFonts w:ascii="Book Antiqua" w:hAnsi="Book Antiqua"/>
          <w:sz w:val="24"/>
          <w:szCs w:val="24"/>
          <w:lang w:val="en-US"/>
        </w:rPr>
        <w:t>, Darfeuille-Michaud A, Nguyen HT. Role of microRNAs in the immune system, inflammation and cancer. </w:t>
      </w:r>
      <w:r w:rsidRPr="006B4BF5">
        <w:rPr>
          <w:rFonts w:ascii="Book Antiqua" w:hAnsi="Book Antiqua"/>
          <w:i/>
          <w:iCs/>
          <w:sz w:val="24"/>
          <w:szCs w:val="24"/>
          <w:lang w:val="en-US"/>
        </w:rPr>
        <w:t>World J Gastroenterol</w:t>
      </w:r>
      <w:r w:rsidRPr="006B4BF5">
        <w:rPr>
          <w:rFonts w:ascii="Book Antiqua" w:hAnsi="Book Antiqua"/>
          <w:sz w:val="24"/>
          <w:szCs w:val="24"/>
          <w:lang w:val="en-US"/>
        </w:rPr>
        <w:t> 2013; </w:t>
      </w:r>
      <w:r w:rsidRPr="006B4BF5">
        <w:rPr>
          <w:rFonts w:ascii="Book Antiqua" w:hAnsi="Book Antiqua"/>
          <w:b/>
          <w:bCs/>
          <w:sz w:val="24"/>
          <w:szCs w:val="24"/>
          <w:lang w:val="en-US"/>
        </w:rPr>
        <w:t>19</w:t>
      </w:r>
      <w:r w:rsidRPr="006B4BF5">
        <w:rPr>
          <w:rFonts w:ascii="Book Antiqua" w:hAnsi="Book Antiqua"/>
          <w:sz w:val="24"/>
          <w:szCs w:val="24"/>
          <w:lang w:val="en-US"/>
        </w:rPr>
        <w:t>: 2985-2996 [PMID: 23716978 DOI: 10.3748/wjg.v19.i20.2985]</w:t>
      </w:r>
    </w:p>
    <w:p w14:paraId="25A3B419"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5 </w:t>
      </w:r>
      <w:r w:rsidRPr="006B4BF5">
        <w:rPr>
          <w:rFonts w:ascii="Book Antiqua" w:hAnsi="Book Antiqua"/>
          <w:b/>
          <w:bCs/>
          <w:sz w:val="24"/>
          <w:szCs w:val="24"/>
          <w:lang w:val="en-US"/>
        </w:rPr>
        <w:t>Rebane A</w:t>
      </w:r>
      <w:r w:rsidRPr="006B4BF5">
        <w:rPr>
          <w:rFonts w:ascii="Book Antiqua" w:hAnsi="Book Antiqua"/>
          <w:sz w:val="24"/>
          <w:szCs w:val="24"/>
          <w:lang w:val="en-US"/>
        </w:rPr>
        <w:t>, Akdis CA. MicroRNAs: Essential players in the regulation of inflammation. </w:t>
      </w:r>
      <w:r w:rsidRPr="006B4BF5">
        <w:rPr>
          <w:rFonts w:ascii="Book Antiqua" w:hAnsi="Book Antiqua"/>
          <w:i/>
          <w:iCs/>
          <w:sz w:val="24"/>
          <w:szCs w:val="24"/>
          <w:lang w:val="en-US"/>
        </w:rPr>
        <w:t>J Allergy Clin Immunol</w:t>
      </w:r>
      <w:r w:rsidRPr="006B4BF5">
        <w:rPr>
          <w:rFonts w:ascii="Book Antiqua" w:hAnsi="Book Antiqua"/>
          <w:sz w:val="24"/>
          <w:szCs w:val="24"/>
          <w:lang w:val="en-US"/>
        </w:rPr>
        <w:t> 2013; </w:t>
      </w:r>
      <w:r w:rsidRPr="006B4BF5">
        <w:rPr>
          <w:rFonts w:ascii="Book Antiqua" w:hAnsi="Book Antiqua"/>
          <w:b/>
          <w:bCs/>
          <w:sz w:val="24"/>
          <w:szCs w:val="24"/>
          <w:lang w:val="en-US"/>
        </w:rPr>
        <w:t>132</w:t>
      </w:r>
      <w:r w:rsidRPr="006B4BF5">
        <w:rPr>
          <w:rFonts w:ascii="Book Antiqua" w:hAnsi="Book Antiqua"/>
          <w:sz w:val="24"/>
          <w:szCs w:val="24"/>
          <w:lang w:val="en-US"/>
        </w:rPr>
        <w:t>: 15-26 [PMID: 23726263 DOI: 10.1016/j.jaci.2013.04.011]</w:t>
      </w:r>
    </w:p>
    <w:p w14:paraId="1440ED90"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6 </w:t>
      </w:r>
      <w:r w:rsidRPr="006B4BF5">
        <w:rPr>
          <w:rFonts w:ascii="Book Antiqua" w:hAnsi="Book Antiqua"/>
          <w:b/>
          <w:bCs/>
          <w:sz w:val="24"/>
          <w:szCs w:val="24"/>
          <w:lang w:val="en-US"/>
        </w:rPr>
        <w:t>Wu F</w:t>
      </w:r>
      <w:r w:rsidRPr="006B4BF5">
        <w:rPr>
          <w:rFonts w:ascii="Book Antiqua" w:hAnsi="Book Antiqua"/>
          <w:sz w:val="24"/>
          <w:szCs w:val="24"/>
          <w:lang w:val="en-US"/>
        </w:rPr>
        <w:t>, Zikusoka M, Trindade A, Dassopoulos T, Harris ML, Bayless TM, Brant SR, Chakravarti S, Kwon JH. MicroRNAs are differentially expressed in ulcerative colitis and alter expression of macrophage inflammatory peptide-2 alpha. </w:t>
      </w:r>
      <w:r w:rsidRPr="006B4BF5">
        <w:rPr>
          <w:rFonts w:ascii="Book Antiqua" w:hAnsi="Book Antiqua"/>
          <w:i/>
          <w:iCs/>
          <w:sz w:val="24"/>
          <w:szCs w:val="24"/>
          <w:lang w:val="en-US"/>
        </w:rPr>
        <w:t>Gastroenterology</w:t>
      </w:r>
      <w:r w:rsidRPr="006B4BF5">
        <w:rPr>
          <w:rFonts w:ascii="Book Antiqua" w:hAnsi="Book Antiqua"/>
          <w:sz w:val="24"/>
          <w:szCs w:val="24"/>
          <w:lang w:val="en-US"/>
        </w:rPr>
        <w:t> 2008; </w:t>
      </w:r>
      <w:r w:rsidRPr="006B4BF5">
        <w:rPr>
          <w:rFonts w:ascii="Book Antiqua" w:hAnsi="Book Antiqua"/>
          <w:b/>
          <w:bCs/>
          <w:sz w:val="24"/>
          <w:szCs w:val="24"/>
          <w:lang w:val="en-US"/>
        </w:rPr>
        <w:t>135</w:t>
      </w:r>
      <w:r w:rsidRPr="006B4BF5">
        <w:rPr>
          <w:rFonts w:ascii="Book Antiqua" w:hAnsi="Book Antiqua"/>
          <w:sz w:val="24"/>
          <w:szCs w:val="24"/>
          <w:lang w:val="en-US"/>
        </w:rPr>
        <w:t>: 1624-1635.e24 [PMID: 18835392 DOI: 10.1053/j.gastro.2008.07.068]</w:t>
      </w:r>
    </w:p>
    <w:p w14:paraId="19E675EC"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7 </w:t>
      </w:r>
      <w:r w:rsidRPr="006B4BF5">
        <w:rPr>
          <w:rFonts w:ascii="Book Antiqua" w:hAnsi="Book Antiqua"/>
          <w:b/>
          <w:bCs/>
          <w:sz w:val="24"/>
          <w:szCs w:val="24"/>
          <w:lang w:val="en-US"/>
        </w:rPr>
        <w:t>Iborra M</w:t>
      </w:r>
      <w:r w:rsidRPr="006B4BF5">
        <w:rPr>
          <w:rFonts w:ascii="Book Antiqua" w:hAnsi="Book Antiqua"/>
          <w:sz w:val="24"/>
          <w:szCs w:val="24"/>
          <w:lang w:val="en-US"/>
        </w:rPr>
        <w:t>, Bernuzzi F, Invernizzi P, Danese S. MicroRNAs in autoimmunity and inflammatory bowel disease: crucial regulators in immune response. </w:t>
      </w:r>
      <w:r w:rsidRPr="006B4BF5">
        <w:rPr>
          <w:rFonts w:ascii="Book Antiqua" w:hAnsi="Book Antiqua"/>
          <w:i/>
          <w:iCs/>
          <w:sz w:val="24"/>
          <w:szCs w:val="24"/>
          <w:lang w:val="en-US"/>
        </w:rPr>
        <w:t>Autoimmun Rev</w:t>
      </w:r>
      <w:r w:rsidRPr="006B4BF5">
        <w:rPr>
          <w:rFonts w:ascii="Book Antiqua" w:hAnsi="Book Antiqua"/>
          <w:sz w:val="24"/>
          <w:szCs w:val="24"/>
          <w:lang w:val="en-US"/>
        </w:rPr>
        <w:t> 2012; </w:t>
      </w:r>
      <w:r w:rsidRPr="006B4BF5">
        <w:rPr>
          <w:rFonts w:ascii="Book Antiqua" w:hAnsi="Book Antiqua"/>
          <w:b/>
          <w:bCs/>
          <w:sz w:val="24"/>
          <w:szCs w:val="24"/>
          <w:lang w:val="en-US"/>
        </w:rPr>
        <w:t>11</w:t>
      </w:r>
      <w:r w:rsidRPr="006B4BF5">
        <w:rPr>
          <w:rFonts w:ascii="Book Antiqua" w:hAnsi="Book Antiqua"/>
          <w:sz w:val="24"/>
          <w:szCs w:val="24"/>
          <w:lang w:val="en-US"/>
        </w:rPr>
        <w:t>: 305-314 [PMID: 20627134 DOI: 10.1016/j.autrev.2010.07.002]</w:t>
      </w:r>
    </w:p>
    <w:p w14:paraId="39469296"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8 </w:t>
      </w:r>
      <w:r w:rsidRPr="006B4BF5">
        <w:rPr>
          <w:rFonts w:ascii="Book Antiqua" w:hAnsi="Book Antiqua"/>
          <w:b/>
          <w:bCs/>
          <w:sz w:val="24"/>
          <w:szCs w:val="24"/>
          <w:lang w:val="en-US"/>
        </w:rPr>
        <w:t>Takagi T</w:t>
      </w:r>
      <w:r w:rsidRPr="006B4BF5">
        <w:rPr>
          <w:rFonts w:ascii="Book Antiqua" w:hAnsi="Book Antiqua"/>
          <w:sz w:val="24"/>
          <w:szCs w:val="24"/>
          <w:lang w:val="en-US"/>
        </w:rPr>
        <w:t>, Naito Y, Mizushima K, Hirata I, Yagi N, Tomatsuri N, Ando T, Oyamada Y, Isozaki Y, Hongo H, Uchiyama K, Handa O, Kokura S, Ichikawa H, Yoshikawa T. Increased expression of microRNA in the inflamed colonic mucosa of patients with active ulcerative colitis. </w:t>
      </w:r>
      <w:r w:rsidRPr="006B4BF5">
        <w:rPr>
          <w:rFonts w:ascii="Book Antiqua" w:hAnsi="Book Antiqua"/>
          <w:i/>
          <w:iCs/>
          <w:sz w:val="24"/>
          <w:szCs w:val="24"/>
          <w:lang w:val="en-US"/>
        </w:rPr>
        <w:t>J Gastroenterol Hepatol</w:t>
      </w:r>
      <w:r w:rsidRPr="006B4BF5">
        <w:rPr>
          <w:rFonts w:ascii="Book Antiqua" w:hAnsi="Book Antiqua"/>
          <w:sz w:val="24"/>
          <w:szCs w:val="24"/>
          <w:lang w:val="en-US"/>
        </w:rPr>
        <w:t> 2010; </w:t>
      </w:r>
      <w:r w:rsidRPr="006B4BF5">
        <w:rPr>
          <w:rFonts w:ascii="Book Antiqua" w:hAnsi="Book Antiqua"/>
          <w:b/>
          <w:bCs/>
          <w:sz w:val="24"/>
          <w:szCs w:val="24"/>
          <w:lang w:val="en-US"/>
        </w:rPr>
        <w:t xml:space="preserve">25 </w:t>
      </w:r>
      <w:r w:rsidRPr="006B4BF5">
        <w:rPr>
          <w:rFonts w:ascii="Book Antiqua" w:hAnsi="Book Antiqua"/>
          <w:bCs/>
          <w:sz w:val="24"/>
          <w:szCs w:val="24"/>
          <w:lang w:val="en-US"/>
        </w:rPr>
        <w:t>Suppl 1</w:t>
      </w:r>
      <w:r w:rsidRPr="006B4BF5">
        <w:rPr>
          <w:rFonts w:ascii="Book Antiqua" w:hAnsi="Book Antiqua"/>
          <w:sz w:val="24"/>
          <w:szCs w:val="24"/>
          <w:lang w:val="en-US"/>
        </w:rPr>
        <w:t>: S129-</w:t>
      </w:r>
      <w:r w:rsidRPr="006B4BF5">
        <w:rPr>
          <w:rFonts w:ascii="Book Antiqua" w:hAnsi="Book Antiqua"/>
          <w:sz w:val="24"/>
          <w:szCs w:val="24"/>
          <w:lang w:val="en-US"/>
        </w:rPr>
        <w:lastRenderedPageBreak/>
        <w:t>S133 [PMID: 20586854 DOI: 10.1111/j.1440-1746.2009.06216.x]</w:t>
      </w:r>
    </w:p>
    <w:p w14:paraId="637252A4"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9 </w:t>
      </w:r>
      <w:r w:rsidRPr="006B4BF5">
        <w:rPr>
          <w:rFonts w:ascii="Book Antiqua" w:hAnsi="Book Antiqua"/>
          <w:b/>
          <w:bCs/>
          <w:sz w:val="24"/>
          <w:szCs w:val="24"/>
          <w:lang w:val="en-US"/>
        </w:rPr>
        <w:t>Béres NJ</w:t>
      </w:r>
      <w:r w:rsidRPr="006B4BF5">
        <w:rPr>
          <w:rFonts w:ascii="Book Antiqua" w:hAnsi="Book Antiqua"/>
          <w:sz w:val="24"/>
          <w:szCs w:val="24"/>
          <w:lang w:val="en-US"/>
        </w:rPr>
        <w:t>, Szabó D, Kocsis D, Szűcs D, Kiss Z, Müller KE, Lendvai G, Kiss A, Arató A, Sziksz E, Vannay Á, Szabó AJ, Veres G. Role of Altered Expression of miR-146a, miR-155, and miR-122 in Pediatric Patients with Inflammatory Bowel Disease. </w:t>
      </w:r>
      <w:r w:rsidRPr="006B4BF5">
        <w:rPr>
          <w:rFonts w:ascii="Book Antiqua" w:hAnsi="Book Antiqua"/>
          <w:i/>
          <w:iCs/>
          <w:sz w:val="24"/>
          <w:szCs w:val="24"/>
          <w:lang w:val="en-US"/>
        </w:rPr>
        <w:t>Inflamm Bowel Dis</w:t>
      </w:r>
      <w:r w:rsidRPr="006B4BF5">
        <w:rPr>
          <w:rFonts w:ascii="Book Antiqua" w:hAnsi="Book Antiqua"/>
          <w:sz w:val="24"/>
          <w:szCs w:val="24"/>
          <w:lang w:val="en-US"/>
        </w:rPr>
        <w:t> 2016; </w:t>
      </w:r>
      <w:r w:rsidRPr="006B4BF5">
        <w:rPr>
          <w:rFonts w:ascii="Book Antiqua" w:hAnsi="Book Antiqua"/>
          <w:b/>
          <w:bCs/>
          <w:sz w:val="24"/>
          <w:szCs w:val="24"/>
          <w:lang w:val="en-US"/>
        </w:rPr>
        <w:t>22</w:t>
      </w:r>
      <w:r w:rsidRPr="006B4BF5">
        <w:rPr>
          <w:rFonts w:ascii="Book Antiqua" w:hAnsi="Book Antiqua"/>
          <w:sz w:val="24"/>
          <w:szCs w:val="24"/>
          <w:lang w:val="en-US"/>
        </w:rPr>
        <w:t>: 327-335 [PMID: 26752469 DOI: 10.1097/MIB.0000000000000687]</w:t>
      </w:r>
    </w:p>
    <w:p w14:paraId="33D948BA"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10 </w:t>
      </w:r>
      <w:r w:rsidRPr="006B4BF5">
        <w:rPr>
          <w:rFonts w:ascii="Book Antiqua" w:hAnsi="Book Antiqua"/>
          <w:b/>
          <w:bCs/>
          <w:sz w:val="24"/>
          <w:szCs w:val="24"/>
          <w:lang w:val="en-US"/>
        </w:rPr>
        <w:t>Jaffe AB</w:t>
      </w:r>
      <w:r w:rsidRPr="006B4BF5">
        <w:rPr>
          <w:rFonts w:ascii="Book Antiqua" w:hAnsi="Book Antiqua"/>
          <w:sz w:val="24"/>
          <w:szCs w:val="24"/>
          <w:lang w:val="en-US"/>
        </w:rPr>
        <w:t>, Kaji N, Durgan J, Hall A. Cdc42 controls spindle orientation to position the apical surface during epithelial morphogenesis. </w:t>
      </w:r>
      <w:r w:rsidRPr="006B4BF5">
        <w:rPr>
          <w:rFonts w:ascii="Book Antiqua" w:hAnsi="Book Antiqua"/>
          <w:i/>
          <w:iCs/>
          <w:sz w:val="24"/>
          <w:szCs w:val="24"/>
          <w:lang w:val="en-US"/>
        </w:rPr>
        <w:t>J Cell Biol</w:t>
      </w:r>
      <w:r w:rsidRPr="006B4BF5">
        <w:rPr>
          <w:rFonts w:ascii="Book Antiqua" w:hAnsi="Book Antiqua"/>
          <w:sz w:val="24"/>
          <w:szCs w:val="24"/>
          <w:lang w:val="en-US"/>
        </w:rPr>
        <w:t> 2008; </w:t>
      </w:r>
      <w:r w:rsidRPr="006B4BF5">
        <w:rPr>
          <w:rFonts w:ascii="Book Antiqua" w:hAnsi="Book Antiqua"/>
          <w:b/>
          <w:bCs/>
          <w:sz w:val="24"/>
          <w:szCs w:val="24"/>
          <w:lang w:val="en-US"/>
        </w:rPr>
        <w:t>183</w:t>
      </w:r>
      <w:r w:rsidRPr="006B4BF5">
        <w:rPr>
          <w:rFonts w:ascii="Book Antiqua" w:hAnsi="Book Antiqua"/>
          <w:sz w:val="24"/>
          <w:szCs w:val="24"/>
          <w:lang w:val="en-US"/>
        </w:rPr>
        <w:t>: 625-633 [PMID: 19001128 DOI: 10.1083/jcb.200807121]</w:t>
      </w:r>
    </w:p>
    <w:p w14:paraId="31C7D7AB"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11 </w:t>
      </w:r>
      <w:r w:rsidRPr="006B4BF5">
        <w:rPr>
          <w:rFonts w:ascii="Book Antiqua" w:hAnsi="Book Antiqua"/>
          <w:b/>
          <w:bCs/>
          <w:sz w:val="24"/>
          <w:szCs w:val="24"/>
          <w:lang w:val="en-US"/>
        </w:rPr>
        <w:t>Jin D</w:t>
      </w:r>
      <w:r w:rsidRPr="006B4BF5">
        <w:rPr>
          <w:rFonts w:ascii="Book Antiqua" w:hAnsi="Book Antiqua"/>
          <w:sz w:val="24"/>
          <w:szCs w:val="24"/>
          <w:lang w:val="en-US"/>
        </w:rPr>
        <w:t>, Durgan J, Hall A. Functional cross-talk between Cdc42 and two downstream targets, Par6B and PAK4. </w:t>
      </w:r>
      <w:r w:rsidRPr="006B4BF5">
        <w:rPr>
          <w:rFonts w:ascii="Book Antiqua" w:hAnsi="Book Antiqua"/>
          <w:i/>
          <w:iCs/>
          <w:sz w:val="24"/>
          <w:szCs w:val="24"/>
          <w:lang w:val="en-US"/>
        </w:rPr>
        <w:t>Biochem J</w:t>
      </w:r>
      <w:r w:rsidRPr="006B4BF5">
        <w:rPr>
          <w:rFonts w:ascii="Book Antiqua" w:hAnsi="Book Antiqua"/>
          <w:sz w:val="24"/>
          <w:szCs w:val="24"/>
          <w:lang w:val="en-US"/>
        </w:rPr>
        <w:t> 2015; </w:t>
      </w:r>
      <w:r w:rsidRPr="006B4BF5">
        <w:rPr>
          <w:rFonts w:ascii="Book Antiqua" w:hAnsi="Book Antiqua"/>
          <w:b/>
          <w:bCs/>
          <w:sz w:val="24"/>
          <w:szCs w:val="24"/>
          <w:lang w:val="en-US"/>
        </w:rPr>
        <w:t>467</w:t>
      </w:r>
      <w:r w:rsidRPr="006B4BF5">
        <w:rPr>
          <w:rFonts w:ascii="Book Antiqua" w:hAnsi="Book Antiqua"/>
          <w:sz w:val="24"/>
          <w:szCs w:val="24"/>
          <w:lang w:val="en-US"/>
        </w:rPr>
        <w:t>: 293-302 [PMID: 25662318 DOI: 10.1042/BJ20141352]</w:t>
      </w:r>
    </w:p>
    <w:p w14:paraId="5AA99BA1"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12 </w:t>
      </w:r>
      <w:r w:rsidRPr="006B4BF5">
        <w:rPr>
          <w:rFonts w:ascii="Book Antiqua" w:hAnsi="Book Antiqua"/>
          <w:b/>
          <w:bCs/>
          <w:sz w:val="24"/>
          <w:szCs w:val="24"/>
          <w:lang w:val="en-US"/>
        </w:rPr>
        <w:t>Elvers M</w:t>
      </w:r>
      <w:r w:rsidRPr="006B4BF5">
        <w:rPr>
          <w:rFonts w:ascii="Book Antiqua" w:hAnsi="Book Antiqua"/>
          <w:sz w:val="24"/>
          <w:szCs w:val="24"/>
          <w:lang w:val="en-US"/>
        </w:rPr>
        <w:t>. RhoGAPs and Rho GTPases in platelets. </w:t>
      </w:r>
      <w:r w:rsidRPr="006B4BF5">
        <w:rPr>
          <w:rFonts w:ascii="Book Antiqua" w:hAnsi="Book Antiqua"/>
          <w:i/>
          <w:iCs/>
          <w:sz w:val="24"/>
          <w:szCs w:val="24"/>
          <w:lang w:val="en-US"/>
        </w:rPr>
        <w:t>Hamostaseologie</w:t>
      </w:r>
      <w:r w:rsidRPr="006B4BF5">
        <w:rPr>
          <w:rFonts w:ascii="Book Antiqua" w:hAnsi="Book Antiqua"/>
          <w:sz w:val="24"/>
          <w:szCs w:val="24"/>
          <w:lang w:val="en-US"/>
        </w:rPr>
        <w:t> 2016; </w:t>
      </w:r>
      <w:r w:rsidRPr="006B4BF5">
        <w:rPr>
          <w:rFonts w:ascii="Book Antiqua" w:hAnsi="Book Antiqua"/>
          <w:b/>
          <w:bCs/>
          <w:sz w:val="24"/>
          <w:szCs w:val="24"/>
          <w:lang w:val="en-US"/>
        </w:rPr>
        <w:t>36</w:t>
      </w:r>
      <w:r w:rsidRPr="006B4BF5">
        <w:rPr>
          <w:rFonts w:ascii="Book Antiqua" w:hAnsi="Book Antiqua"/>
          <w:sz w:val="24"/>
          <w:szCs w:val="24"/>
          <w:lang w:val="en-US"/>
        </w:rPr>
        <w:t>: 168-177 [PMID: 25639730 DOI: 10.5482/HAMO-14-09-0046]</w:t>
      </w:r>
    </w:p>
    <w:p w14:paraId="37C44788"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13 </w:t>
      </w:r>
      <w:r w:rsidRPr="006B4BF5">
        <w:rPr>
          <w:rFonts w:ascii="Book Antiqua" w:hAnsi="Book Antiqua"/>
          <w:b/>
          <w:bCs/>
          <w:sz w:val="24"/>
          <w:szCs w:val="24"/>
          <w:lang w:val="en-US"/>
        </w:rPr>
        <w:t>Yang L</w:t>
      </w:r>
      <w:r w:rsidRPr="006B4BF5">
        <w:rPr>
          <w:rFonts w:ascii="Book Antiqua" w:hAnsi="Book Antiqua"/>
          <w:sz w:val="24"/>
          <w:szCs w:val="24"/>
          <w:lang w:val="en-US"/>
        </w:rPr>
        <w:t>, Zheng Y. Cdc42: a signal coordinator in hematopoietic stem cell maintenance. </w:t>
      </w:r>
      <w:r w:rsidRPr="006B4BF5">
        <w:rPr>
          <w:rFonts w:ascii="Book Antiqua" w:hAnsi="Book Antiqua"/>
          <w:i/>
          <w:iCs/>
          <w:sz w:val="24"/>
          <w:szCs w:val="24"/>
          <w:lang w:val="en-US"/>
        </w:rPr>
        <w:t>Cell Cycle</w:t>
      </w:r>
      <w:r w:rsidRPr="006B4BF5">
        <w:rPr>
          <w:rFonts w:ascii="Book Antiqua" w:hAnsi="Book Antiqua"/>
          <w:sz w:val="24"/>
          <w:szCs w:val="24"/>
          <w:lang w:val="en-US"/>
        </w:rPr>
        <w:t> 2007; </w:t>
      </w:r>
      <w:r w:rsidRPr="006B4BF5">
        <w:rPr>
          <w:rFonts w:ascii="Book Antiqua" w:hAnsi="Book Antiqua"/>
          <w:b/>
          <w:bCs/>
          <w:sz w:val="24"/>
          <w:szCs w:val="24"/>
          <w:lang w:val="en-US"/>
        </w:rPr>
        <w:t>6</w:t>
      </w:r>
      <w:r w:rsidRPr="006B4BF5">
        <w:rPr>
          <w:rFonts w:ascii="Book Antiqua" w:hAnsi="Book Antiqua"/>
          <w:sz w:val="24"/>
          <w:szCs w:val="24"/>
          <w:lang w:val="en-US"/>
        </w:rPr>
        <w:t>: 1445-1450 [PMID: 17581280]</w:t>
      </w:r>
    </w:p>
    <w:p w14:paraId="7FF8F04A"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14 </w:t>
      </w:r>
      <w:r w:rsidRPr="006B4BF5">
        <w:rPr>
          <w:rFonts w:ascii="Book Antiqua" w:hAnsi="Book Antiqua"/>
          <w:b/>
          <w:bCs/>
          <w:sz w:val="24"/>
          <w:szCs w:val="24"/>
          <w:lang w:val="en-US"/>
        </w:rPr>
        <w:t>Sakamori R</w:t>
      </w:r>
      <w:r w:rsidRPr="006B4BF5">
        <w:rPr>
          <w:rFonts w:ascii="Book Antiqua" w:hAnsi="Book Antiqua"/>
          <w:sz w:val="24"/>
          <w:szCs w:val="24"/>
          <w:lang w:val="en-US"/>
        </w:rPr>
        <w:t>, Das S, Yu S, Feng S, Stypulkowski E, Guan Y, Douard V, Tang W, Ferraris RP, Harada A, Brakebusch C, Guo W, Gao N. Cdc42 and Rab8a are critical for intestinal stem cell division, survival, and differentiation in mice. </w:t>
      </w:r>
      <w:r w:rsidRPr="006B4BF5">
        <w:rPr>
          <w:rFonts w:ascii="Book Antiqua" w:hAnsi="Book Antiqua"/>
          <w:i/>
          <w:iCs/>
          <w:sz w:val="24"/>
          <w:szCs w:val="24"/>
          <w:lang w:val="en-US"/>
        </w:rPr>
        <w:t>J Clin Invest</w:t>
      </w:r>
      <w:r w:rsidRPr="006B4BF5">
        <w:rPr>
          <w:rFonts w:ascii="Book Antiqua" w:hAnsi="Book Antiqua"/>
          <w:sz w:val="24"/>
          <w:szCs w:val="24"/>
          <w:lang w:val="en-US"/>
        </w:rPr>
        <w:t> 2012; </w:t>
      </w:r>
      <w:r w:rsidRPr="006B4BF5">
        <w:rPr>
          <w:rFonts w:ascii="Book Antiqua" w:hAnsi="Book Antiqua"/>
          <w:b/>
          <w:bCs/>
          <w:sz w:val="24"/>
          <w:szCs w:val="24"/>
          <w:lang w:val="en-US"/>
        </w:rPr>
        <w:t>122</w:t>
      </w:r>
      <w:r w:rsidRPr="006B4BF5">
        <w:rPr>
          <w:rFonts w:ascii="Book Antiqua" w:hAnsi="Book Antiqua"/>
          <w:sz w:val="24"/>
          <w:szCs w:val="24"/>
          <w:lang w:val="en-US"/>
        </w:rPr>
        <w:t>: 1052-1065 [PMID: 22354172 DOI: 10.1172/JCI60282]</w:t>
      </w:r>
    </w:p>
    <w:p w14:paraId="0C273674"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15 </w:t>
      </w:r>
      <w:r w:rsidRPr="006B4BF5">
        <w:rPr>
          <w:rFonts w:ascii="Book Antiqua" w:hAnsi="Book Antiqua"/>
          <w:b/>
          <w:bCs/>
          <w:sz w:val="24"/>
          <w:szCs w:val="24"/>
          <w:lang w:val="en-US"/>
        </w:rPr>
        <w:t>Schlegel N</w:t>
      </w:r>
      <w:r w:rsidRPr="006B4BF5">
        <w:rPr>
          <w:rFonts w:ascii="Book Antiqua" w:hAnsi="Book Antiqua"/>
          <w:sz w:val="24"/>
          <w:szCs w:val="24"/>
          <w:lang w:val="en-US"/>
        </w:rPr>
        <w:t>, Meir M, Spindler V, Germer CT, Waschke J. Differential role of Rho GTPases in intestinal epithelial barrier regulation in vitro. </w:t>
      </w:r>
      <w:r w:rsidRPr="006B4BF5">
        <w:rPr>
          <w:rFonts w:ascii="Book Antiqua" w:hAnsi="Book Antiqua"/>
          <w:i/>
          <w:iCs/>
          <w:sz w:val="24"/>
          <w:szCs w:val="24"/>
          <w:lang w:val="en-US"/>
        </w:rPr>
        <w:t>J Cell Physiol</w:t>
      </w:r>
      <w:r w:rsidRPr="006B4BF5">
        <w:rPr>
          <w:rFonts w:ascii="Book Antiqua" w:hAnsi="Book Antiqua"/>
          <w:sz w:val="24"/>
          <w:szCs w:val="24"/>
          <w:lang w:val="en-US"/>
        </w:rPr>
        <w:t> 2011; </w:t>
      </w:r>
      <w:r w:rsidRPr="006B4BF5">
        <w:rPr>
          <w:rFonts w:ascii="Book Antiqua" w:hAnsi="Book Antiqua"/>
          <w:b/>
          <w:bCs/>
          <w:sz w:val="24"/>
          <w:szCs w:val="24"/>
          <w:lang w:val="en-US"/>
        </w:rPr>
        <w:t>226</w:t>
      </w:r>
      <w:r w:rsidRPr="006B4BF5">
        <w:rPr>
          <w:rFonts w:ascii="Book Antiqua" w:hAnsi="Book Antiqua"/>
          <w:sz w:val="24"/>
          <w:szCs w:val="24"/>
          <w:lang w:val="en-US"/>
        </w:rPr>
        <w:t>: 1196-1203 [PMID: 20945370 DOI: 10.1002/jcp.22446]</w:t>
      </w:r>
    </w:p>
    <w:p w14:paraId="5760C573"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16 </w:t>
      </w:r>
      <w:r w:rsidRPr="006B4BF5">
        <w:rPr>
          <w:rFonts w:ascii="Book Antiqua" w:hAnsi="Book Antiqua"/>
          <w:b/>
          <w:bCs/>
          <w:sz w:val="24"/>
          <w:szCs w:val="24"/>
          <w:lang w:val="en-US"/>
        </w:rPr>
        <w:t>Mehta S</w:t>
      </w:r>
      <w:r w:rsidRPr="006B4BF5">
        <w:rPr>
          <w:rFonts w:ascii="Book Antiqua" w:hAnsi="Book Antiqua"/>
          <w:sz w:val="24"/>
          <w:szCs w:val="24"/>
          <w:lang w:val="en-US"/>
        </w:rPr>
        <w:t>, Nijhuis A, Kumagai T, Lindsay J, Silver A. Defects in the adherens junction complex (E-cadherin/ β-catenin) in inflammatory bowel disease. </w:t>
      </w:r>
      <w:r w:rsidRPr="006B4BF5">
        <w:rPr>
          <w:rFonts w:ascii="Book Antiqua" w:hAnsi="Book Antiqua"/>
          <w:i/>
          <w:iCs/>
          <w:sz w:val="24"/>
          <w:szCs w:val="24"/>
          <w:lang w:val="en-US"/>
        </w:rPr>
        <w:t>Cell Tissue Res</w:t>
      </w:r>
      <w:r w:rsidRPr="006B4BF5">
        <w:rPr>
          <w:rFonts w:ascii="Book Antiqua" w:hAnsi="Book Antiqua"/>
          <w:sz w:val="24"/>
          <w:szCs w:val="24"/>
          <w:lang w:val="en-US"/>
        </w:rPr>
        <w:t> 2015; </w:t>
      </w:r>
      <w:r w:rsidRPr="006B4BF5">
        <w:rPr>
          <w:rFonts w:ascii="Book Antiqua" w:hAnsi="Book Antiqua"/>
          <w:b/>
          <w:bCs/>
          <w:sz w:val="24"/>
          <w:szCs w:val="24"/>
          <w:lang w:val="en-US"/>
        </w:rPr>
        <w:t>360</w:t>
      </w:r>
      <w:r w:rsidRPr="006B4BF5">
        <w:rPr>
          <w:rFonts w:ascii="Book Antiqua" w:hAnsi="Book Antiqua"/>
          <w:sz w:val="24"/>
          <w:szCs w:val="24"/>
          <w:lang w:val="en-US"/>
        </w:rPr>
        <w:t>: 749-760 [PMID: 25238996 DOI: 10.1007/s00441-014-1994-6]</w:t>
      </w:r>
    </w:p>
    <w:p w14:paraId="3683A74B" w14:textId="624CBEB8"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17 </w:t>
      </w:r>
      <w:r w:rsidRPr="006B4BF5">
        <w:rPr>
          <w:rFonts w:ascii="Book Antiqua" w:hAnsi="Book Antiqua"/>
          <w:b/>
          <w:bCs/>
          <w:sz w:val="24"/>
          <w:szCs w:val="24"/>
          <w:lang w:val="en-US"/>
        </w:rPr>
        <w:t>Groschwitz KR</w:t>
      </w:r>
      <w:r w:rsidRPr="006B4BF5">
        <w:rPr>
          <w:rFonts w:ascii="Book Antiqua" w:hAnsi="Book Antiqua"/>
          <w:sz w:val="24"/>
          <w:szCs w:val="24"/>
          <w:lang w:val="en-US"/>
        </w:rPr>
        <w:t>, Hogan SP. Intestinal barrier function: molecular regulation and disease pathogenesis. </w:t>
      </w:r>
      <w:r w:rsidRPr="006B4BF5">
        <w:rPr>
          <w:rFonts w:ascii="Book Antiqua" w:hAnsi="Book Antiqua"/>
          <w:i/>
          <w:iCs/>
          <w:sz w:val="24"/>
          <w:szCs w:val="24"/>
          <w:lang w:val="en-US"/>
        </w:rPr>
        <w:t>J Allergy Clin Immunol</w:t>
      </w:r>
      <w:r w:rsidRPr="006B4BF5">
        <w:rPr>
          <w:rFonts w:ascii="Book Antiqua" w:hAnsi="Book Antiqua"/>
          <w:sz w:val="24"/>
          <w:szCs w:val="24"/>
          <w:lang w:val="en-US"/>
        </w:rPr>
        <w:t> 2009; </w:t>
      </w:r>
      <w:r w:rsidRPr="006B4BF5">
        <w:rPr>
          <w:rFonts w:ascii="Book Antiqua" w:hAnsi="Book Antiqua"/>
          <w:b/>
          <w:bCs/>
          <w:sz w:val="24"/>
          <w:szCs w:val="24"/>
          <w:lang w:val="en-US"/>
        </w:rPr>
        <w:t>124</w:t>
      </w:r>
      <w:r w:rsidRPr="006B4BF5">
        <w:rPr>
          <w:rFonts w:ascii="Book Antiqua" w:hAnsi="Book Antiqua"/>
          <w:sz w:val="24"/>
          <w:szCs w:val="24"/>
          <w:lang w:val="en-US"/>
        </w:rPr>
        <w:t>: 3-20; quiz 21-22 [PMID: 19560575 DOI: 10.1016/j.jaci.2009.05.038]</w:t>
      </w:r>
    </w:p>
    <w:p w14:paraId="73B5ABE7"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lastRenderedPageBreak/>
        <w:t>18 </w:t>
      </w:r>
      <w:r w:rsidRPr="006B4BF5">
        <w:rPr>
          <w:rFonts w:ascii="Book Antiqua" w:hAnsi="Book Antiqua"/>
          <w:b/>
          <w:bCs/>
          <w:sz w:val="24"/>
          <w:szCs w:val="24"/>
          <w:lang w:val="en-US"/>
        </w:rPr>
        <w:t>McCole DF</w:t>
      </w:r>
      <w:r w:rsidRPr="006B4BF5">
        <w:rPr>
          <w:rFonts w:ascii="Book Antiqua" w:hAnsi="Book Antiqua"/>
          <w:sz w:val="24"/>
          <w:szCs w:val="24"/>
          <w:lang w:val="en-US"/>
        </w:rPr>
        <w:t>. IBD candidate genes and intestinal barrier regulation. </w:t>
      </w:r>
      <w:r w:rsidRPr="006B4BF5">
        <w:rPr>
          <w:rFonts w:ascii="Book Antiqua" w:hAnsi="Book Antiqua"/>
          <w:i/>
          <w:iCs/>
          <w:sz w:val="24"/>
          <w:szCs w:val="24"/>
          <w:lang w:val="en-US"/>
        </w:rPr>
        <w:t>Inflamm Bowel Dis</w:t>
      </w:r>
      <w:r w:rsidRPr="006B4BF5">
        <w:rPr>
          <w:rFonts w:ascii="Book Antiqua" w:hAnsi="Book Antiqua"/>
          <w:sz w:val="24"/>
          <w:szCs w:val="24"/>
          <w:lang w:val="en-US"/>
        </w:rPr>
        <w:t> 2014; </w:t>
      </w:r>
      <w:r w:rsidRPr="006B4BF5">
        <w:rPr>
          <w:rFonts w:ascii="Book Antiqua" w:hAnsi="Book Antiqua"/>
          <w:b/>
          <w:bCs/>
          <w:sz w:val="24"/>
          <w:szCs w:val="24"/>
          <w:lang w:val="en-US"/>
        </w:rPr>
        <w:t>20</w:t>
      </w:r>
      <w:r w:rsidRPr="006B4BF5">
        <w:rPr>
          <w:rFonts w:ascii="Book Antiqua" w:hAnsi="Book Antiqua"/>
          <w:sz w:val="24"/>
          <w:szCs w:val="24"/>
          <w:lang w:val="en-US"/>
        </w:rPr>
        <w:t>: 1829-1849 [PMID: 25215613 DOI: 10.1097/MIB.0000000000000090]</w:t>
      </w:r>
    </w:p>
    <w:p w14:paraId="1B90BDF2"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19 </w:t>
      </w:r>
      <w:r w:rsidRPr="006B4BF5">
        <w:rPr>
          <w:rFonts w:ascii="Book Antiqua" w:hAnsi="Book Antiqua"/>
          <w:b/>
          <w:bCs/>
          <w:sz w:val="24"/>
          <w:szCs w:val="24"/>
          <w:lang w:val="en-US"/>
        </w:rPr>
        <w:t>Landy J</w:t>
      </w:r>
      <w:r w:rsidRPr="006B4BF5">
        <w:rPr>
          <w:rFonts w:ascii="Book Antiqua" w:hAnsi="Book Antiqua"/>
          <w:sz w:val="24"/>
          <w:szCs w:val="24"/>
          <w:lang w:val="en-US"/>
        </w:rPr>
        <w:t>, Ronde E, English N, Clark SK, Hart AL, Knight SC, Ciclitira PJ, Al-Hassi HO. Tight junctions in inflammatory bowel diseases and inflammatory bowel disease associated colorectal cancer. </w:t>
      </w:r>
      <w:r w:rsidRPr="006B4BF5">
        <w:rPr>
          <w:rFonts w:ascii="Book Antiqua" w:hAnsi="Book Antiqua"/>
          <w:i/>
          <w:iCs/>
          <w:sz w:val="24"/>
          <w:szCs w:val="24"/>
          <w:lang w:val="en-US"/>
        </w:rPr>
        <w:t>World J Gastroenterol</w:t>
      </w:r>
      <w:r w:rsidRPr="006B4BF5">
        <w:rPr>
          <w:rFonts w:ascii="Book Antiqua" w:hAnsi="Book Antiqua"/>
          <w:sz w:val="24"/>
          <w:szCs w:val="24"/>
          <w:lang w:val="en-US"/>
        </w:rPr>
        <w:t> 2016; </w:t>
      </w:r>
      <w:r w:rsidRPr="006B4BF5">
        <w:rPr>
          <w:rFonts w:ascii="Book Antiqua" w:hAnsi="Book Antiqua"/>
          <w:b/>
          <w:bCs/>
          <w:sz w:val="24"/>
          <w:szCs w:val="24"/>
          <w:lang w:val="en-US"/>
        </w:rPr>
        <w:t>22</w:t>
      </w:r>
      <w:r w:rsidRPr="006B4BF5">
        <w:rPr>
          <w:rFonts w:ascii="Book Antiqua" w:hAnsi="Book Antiqua"/>
          <w:sz w:val="24"/>
          <w:szCs w:val="24"/>
          <w:lang w:val="en-US"/>
        </w:rPr>
        <w:t>: 3117-3126 [PMID: 27003989 DOI: 10.3748/wjg.v22.i11.3117]</w:t>
      </w:r>
    </w:p>
    <w:p w14:paraId="1AD3BEAA"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20 </w:t>
      </w:r>
      <w:r w:rsidRPr="006B4BF5">
        <w:rPr>
          <w:rFonts w:ascii="Book Antiqua" w:hAnsi="Book Antiqua"/>
          <w:b/>
          <w:bCs/>
          <w:sz w:val="24"/>
          <w:szCs w:val="24"/>
          <w:lang w:val="en-US"/>
        </w:rPr>
        <w:t>Förster C</w:t>
      </w:r>
      <w:r w:rsidRPr="006B4BF5">
        <w:rPr>
          <w:rFonts w:ascii="Book Antiqua" w:hAnsi="Book Antiqua"/>
          <w:sz w:val="24"/>
          <w:szCs w:val="24"/>
          <w:lang w:val="en-US"/>
        </w:rPr>
        <w:t>. Tight junctions and the modulation of barrier function in disease. </w:t>
      </w:r>
      <w:r w:rsidRPr="006B4BF5">
        <w:rPr>
          <w:rFonts w:ascii="Book Antiqua" w:hAnsi="Book Antiqua"/>
          <w:i/>
          <w:iCs/>
          <w:sz w:val="24"/>
          <w:szCs w:val="24"/>
          <w:lang w:val="en-US"/>
        </w:rPr>
        <w:t>Histochem Cell Biol</w:t>
      </w:r>
      <w:r w:rsidRPr="006B4BF5">
        <w:rPr>
          <w:rFonts w:ascii="Book Antiqua" w:hAnsi="Book Antiqua"/>
          <w:sz w:val="24"/>
          <w:szCs w:val="24"/>
          <w:lang w:val="en-US"/>
        </w:rPr>
        <w:t> 2008; </w:t>
      </w:r>
      <w:r w:rsidRPr="006B4BF5">
        <w:rPr>
          <w:rFonts w:ascii="Book Antiqua" w:hAnsi="Book Antiqua"/>
          <w:b/>
          <w:bCs/>
          <w:sz w:val="24"/>
          <w:szCs w:val="24"/>
          <w:lang w:val="en-US"/>
        </w:rPr>
        <w:t>130</w:t>
      </w:r>
      <w:r w:rsidRPr="006B4BF5">
        <w:rPr>
          <w:rFonts w:ascii="Book Antiqua" w:hAnsi="Book Antiqua"/>
          <w:sz w:val="24"/>
          <w:szCs w:val="24"/>
          <w:lang w:val="en-US"/>
        </w:rPr>
        <w:t>: 55-70 [PMID: 18415116 DOI: 10.1007/s00418-008-0424-9]</w:t>
      </w:r>
    </w:p>
    <w:p w14:paraId="484639C1"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21 </w:t>
      </w:r>
      <w:r w:rsidRPr="006B4BF5">
        <w:rPr>
          <w:rFonts w:ascii="Book Antiqua" w:hAnsi="Book Antiqua"/>
          <w:b/>
          <w:bCs/>
          <w:sz w:val="24"/>
          <w:szCs w:val="24"/>
          <w:lang w:val="en-US"/>
        </w:rPr>
        <w:t>Wang J</w:t>
      </w:r>
      <w:r w:rsidRPr="006B4BF5">
        <w:rPr>
          <w:rFonts w:ascii="Book Antiqua" w:hAnsi="Book Antiqua"/>
          <w:sz w:val="24"/>
          <w:szCs w:val="24"/>
          <w:lang w:val="en-US"/>
        </w:rPr>
        <w:t>, Xu R, Wu J, Li Z. MicroRNA-137 Negatively Regulates H</w:t>
      </w:r>
      <w:r w:rsidRPr="006B4BF5">
        <w:rPr>
          <w:rFonts w:ascii="Calibri" w:eastAsia="Calibri" w:hAnsi="Calibri" w:cs="Calibri"/>
          <w:sz w:val="24"/>
          <w:szCs w:val="24"/>
          <w:lang w:val="en-US"/>
        </w:rPr>
        <w:t>₂</w:t>
      </w:r>
      <w:r w:rsidRPr="006B4BF5">
        <w:rPr>
          <w:rFonts w:ascii="Book Antiqua" w:hAnsi="Book Antiqua"/>
          <w:sz w:val="24"/>
          <w:szCs w:val="24"/>
          <w:lang w:val="en-US"/>
        </w:rPr>
        <w:t>O</w:t>
      </w:r>
      <w:r w:rsidRPr="006B4BF5">
        <w:rPr>
          <w:rFonts w:ascii="Calibri" w:eastAsia="Calibri" w:hAnsi="Calibri" w:cs="Calibri"/>
          <w:sz w:val="24"/>
          <w:szCs w:val="24"/>
          <w:lang w:val="en-US"/>
        </w:rPr>
        <w:t>₂</w:t>
      </w:r>
      <w:r w:rsidRPr="006B4BF5">
        <w:rPr>
          <w:rFonts w:ascii="Book Antiqua" w:hAnsi="Book Antiqua"/>
          <w:sz w:val="24"/>
          <w:szCs w:val="24"/>
          <w:lang w:val="en-US"/>
        </w:rPr>
        <w:t>-Induced Cardiomyocyte Apoptosis Through CDC42. </w:t>
      </w:r>
      <w:r w:rsidRPr="006B4BF5">
        <w:rPr>
          <w:rFonts w:ascii="Book Antiqua" w:hAnsi="Book Antiqua"/>
          <w:i/>
          <w:iCs/>
          <w:sz w:val="24"/>
          <w:szCs w:val="24"/>
          <w:lang w:val="en-US"/>
        </w:rPr>
        <w:t>Med Sci Monit</w:t>
      </w:r>
      <w:r w:rsidRPr="006B4BF5">
        <w:rPr>
          <w:rFonts w:ascii="Book Antiqua" w:hAnsi="Book Antiqua"/>
          <w:sz w:val="24"/>
          <w:szCs w:val="24"/>
          <w:lang w:val="en-US"/>
        </w:rPr>
        <w:t> 2015; </w:t>
      </w:r>
      <w:r w:rsidRPr="006B4BF5">
        <w:rPr>
          <w:rFonts w:ascii="Book Antiqua" w:hAnsi="Book Antiqua"/>
          <w:b/>
          <w:bCs/>
          <w:sz w:val="24"/>
          <w:szCs w:val="24"/>
          <w:lang w:val="en-US"/>
        </w:rPr>
        <w:t>21</w:t>
      </w:r>
      <w:r w:rsidRPr="006B4BF5">
        <w:rPr>
          <w:rFonts w:ascii="Book Antiqua" w:hAnsi="Book Antiqua"/>
          <w:sz w:val="24"/>
          <w:szCs w:val="24"/>
          <w:lang w:val="en-US"/>
        </w:rPr>
        <w:t>: 3498-3504 [PMID: 26566162]</w:t>
      </w:r>
    </w:p>
    <w:p w14:paraId="49226B38"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22 </w:t>
      </w:r>
      <w:r w:rsidRPr="006B4BF5">
        <w:rPr>
          <w:rFonts w:ascii="Book Antiqua" w:hAnsi="Book Antiqua"/>
          <w:b/>
          <w:bCs/>
          <w:sz w:val="24"/>
          <w:szCs w:val="24"/>
          <w:lang w:val="en-US"/>
        </w:rPr>
        <w:t>Zhang H</w:t>
      </w:r>
      <w:r w:rsidRPr="006B4BF5">
        <w:rPr>
          <w:rFonts w:ascii="Book Antiqua" w:hAnsi="Book Antiqua"/>
          <w:sz w:val="24"/>
          <w:szCs w:val="24"/>
          <w:lang w:val="en-US"/>
        </w:rPr>
        <w:t>, Fu Y, Shi Z, Su Y, Zhang J. miR-17 is involved in Japanese Flounder (Paralichthys olivaceus) development by targeting the Cdc42 mRNA. </w:t>
      </w:r>
      <w:r w:rsidRPr="006B4BF5">
        <w:rPr>
          <w:rFonts w:ascii="Book Antiqua" w:hAnsi="Book Antiqua"/>
          <w:i/>
          <w:iCs/>
          <w:sz w:val="24"/>
          <w:szCs w:val="24"/>
          <w:lang w:val="en-US"/>
        </w:rPr>
        <w:t>Comp Biochem Physiol B Biochem Mol Biol</w:t>
      </w:r>
      <w:r w:rsidRPr="006B4BF5">
        <w:rPr>
          <w:rFonts w:ascii="Book Antiqua" w:hAnsi="Book Antiqua"/>
          <w:sz w:val="24"/>
          <w:szCs w:val="24"/>
          <w:lang w:val="en-US"/>
        </w:rPr>
        <w:t> 2016; </w:t>
      </w:r>
      <w:r w:rsidRPr="006B4BF5">
        <w:rPr>
          <w:rFonts w:ascii="Book Antiqua" w:hAnsi="Book Antiqua"/>
          <w:b/>
          <w:bCs/>
          <w:sz w:val="24"/>
          <w:szCs w:val="24"/>
          <w:lang w:val="en-US"/>
        </w:rPr>
        <w:t>191</w:t>
      </w:r>
      <w:r w:rsidRPr="006B4BF5">
        <w:rPr>
          <w:rFonts w:ascii="Book Antiqua" w:hAnsi="Book Antiqua"/>
          <w:sz w:val="24"/>
          <w:szCs w:val="24"/>
          <w:lang w:val="en-US"/>
        </w:rPr>
        <w:t>: 163-170 [PMID: 26546744 DOI: 10.1016/j.cbpb.2015.10.005]</w:t>
      </w:r>
    </w:p>
    <w:p w14:paraId="48780F79"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23 </w:t>
      </w:r>
      <w:r w:rsidRPr="006B4BF5">
        <w:rPr>
          <w:rFonts w:ascii="Book Antiqua" w:hAnsi="Book Antiqua"/>
          <w:b/>
          <w:bCs/>
          <w:sz w:val="24"/>
          <w:szCs w:val="24"/>
          <w:lang w:val="en-US"/>
        </w:rPr>
        <w:t>Zheng L</w:t>
      </w:r>
      <w:r w:rsidRPr="006B4BF5">
        <w:rPr>
          <w:rFonts w:ascii="Book Antiqua" w:hAnsi="Book Antiqua"/>
          <w:sz w:val="24"/>
          <w:szCs w:val="24"/>
          <w:lang w:val="en-US"/>
        </w:rPr>
        <w:t>, Zhang Y, Lin S, Sun A, Chen R, Ding Y, Ding Y. Down-regualtion of miR-106b induces epithelial-mesenchymal transition but suppresses metastatic colonization by targeting Prrx1 in colorectal cancer. </w:t>
      </w:r>
      <w:r w:rsidRPr="006B4BF5">
        <w:rPr>
          <w:rFonts w:ascii="Book Antiqua" w:hAnsi="Book Antiqua"/>
          <w:i/>
          <w:iCs/>
          <w:sz w:val="24"/>
          <w:szCs w:val="24"/>
          <w:lang w:val="en-US"/>
        </w:rPr>
        <w:t>Int J Clin Exp Pathol</w:t>
      </w:r>
      <w:r w:rsidRPr="006B4BF5">
        <w:rPr>
          <w:rFonts w:ascii="Book Antiqua" w:hAnsi="Book Antiqua"/>
          <w:sz w:val="24"/>
          <w:szCs w:val="24"/>
          <w:lang w:val="en-US"/>
        </w:rPr>
        <w:t> 2015; </w:t>
      </w:r>
      <w:r w:rsidRPr="006B4BF5">
        <w:rPr>
          <w:rFonts w:ascii="Book Antiqua" w:hAnsi="Book Antiqua"/>
          <w:b/>
          <w:bCs/>
          <w:sz w:val="24"/>
          <w:szCs w:val="24"/>
          <w:lang w:val="en-US"/>
        </w:rPr>
        <w:t>8</w:t>
      </w:r>
      <w:r w:rsidRPr="006B4BF5">
        <w:rPr>
          <w:rFonts w:ascii="Book Antiqua" w:hAnsi="Book Antiqua"/>
          <w:sz w:val="24"/>
          <w:szCs w:val="24"/>
          <w:lang w:val="en-US"/>
        </w:rPr>
        <w:t>: 10534-10544 [PMID: 26617763]</w:t>
      </w:r>
    </w:p>
    <w:p w14:paraId="40F65D6A"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24 </w:t>
      </w:r>
      <w:r w:rsidRPr="006B4BF5">
        <w:rPr>
          <w:rFonts w:ascii="Book Antiqua" w:hAnsi="Book Antiqua"/>
          <w:b/>
          <w:bCs/>
          <w:sz w:val="24"/>
          <w:szCs w:val="24"/>
          <w:lang w:val="en-US"/>
        </w:rPr>
        <w:t>Levine YY</w:t>
      </w:r>
      <w:r w:rsidRPr="006B4BF5">
        <w:rPr>
          <w:rFonts w:ascii="Book Antiqua" w:hAnsi="Book Antiqua"/>
          <w:sz w:val="24"/>
          <w:szCs w:val="24"/>
          <w:lang w:val="en-US"/>
        </w:rPr>
        <w:t>, Koletzko J, Turner D. [ESPGHAN revised Porto criteria for the diagnosis of inflammatory bowel disease in children and adolescents]. </w:t>
      </w:r>
      <w:r w:rsidRPr="006B4BF5">
        <w:rPr>
          <w:rFonts w:ascii="Book Antiqua" w:hAnsi="Book Antiqua"/>
          <w:i/>
          <w:iCs/>
          <w:sz w:val="24"/>
          <w:szCs w:val="24"/>
          <w:lang w:val="en-US"/>
        </w:rPr>
        <w:t>Zhonghua Er Ke Za Zhi</w:t>
      </w:r>
      <w:r w:rsidRPr="006B4BF5">
        <w:rPr>
          <w:rFonts w:ascii="Book Antiqua" w:hAnsi="Book Antiqua"/>
          <w:sz w:val="24"/>
          <w:szCs w:val="24"/>
          <w:lang w:val="en-US"/>
        </w:rPr>
        <w:t> 2016; </w:t>
      </w:r>
      <w:r w:rsidRPr="006B4BF5">
        <w:rPr>
          <w:rFonts w:ascii="Book Antiqua" w:hAnsi="Book Antiqua"/>
          <w:b/>
          <w:bCs/>
          <w:sz w:val="24"/>
          <w:szCs w:val="24"/>
          <w:lang w:val="en-US"/>
        </w:rPr>
        <w:t>54</w:t>
      </w:r>
      <w:r w:rsidRPr="006B4BF5">
        <w:rPr>
          <w:rFonts w:ascii="Book Antiqua" w:hAnsi="Book Antiqua"/>
          <w:sz w:val="24"/>
          <w:szCs w:val="24"/>
          <w:lang w:val="en-US"/>
        </w:rPr>
        <w:t>: 728-732 [PMID: 27784472 DOI: 10.3760/cma.j.issn.0578-1310.2016.10.003]</w:t>
      </w:r>
    </w:p>
    <w:p w14:paraId="466A77C9"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25 </w:t>
      </w:r>
      <w:r w:rsidRPr="006B4BF5">
        <w:rPr>
          <w:rFonts w:ascii="Book Antiqua" w:hAnsi="Book Antiqua"/>
          <w:b/>
          <w:bCs/>
          <w:sz w:val="24"/>
          <w:szCs w:val="24"/>
          <w:lang w:val="en-US"/>
        </w:rPr>
        <w:t>Mouzaoui S</w:t>
      </w:r>
      <w:r w:rsidRPr="006B4BF5">
        <w:rPr>
          <w:rFonts w:ascii="Book Antiqua" w:hAnsi="Book Antiqua"/>
          <w:sz w:val="24"/>
          <w:szCs w:val="24"/>
          <w:lang w:val="en-US"/>
        </w:rPr>
        <w:t>, Djerdjouri B, Makhezer N, Kroviarski Y, El-Benna J, Dang PM. Tumor necrosis factor-α-induced colitis increases NADPH oxidase 1 expression, oxidative stress, and neutrophil recruitment in the colon: preventive effect of apocynin. </w:t>
      </w:r>
      <w:r w:rsidRPr="006B4BF5">
        <w:rPr>
          <w:rFonts w:ascii="Book Antiqua" w:hAnsi="Book Antiqua"/>
          <w:i/>
          <w:iCs/>
          <w:sz w:val="24"/>
          <w:szCs w:val="24"/>
          <w:lang w:val="en-US"/>
        </w:rPr>
        <w:t>Mediators Inflamm</w:t>
      </w:r>
      <w:r w:rsidRPr="006B4BF5">
        <w:rPr>
          <w:rFonts w:ascii="Book Antiqua" w:hAnsi="Book Antiqua"/>
          <w:sz w:val="24"/>
          <w:szCs w:val="24"/>
          <w:lang w:val="en-US"/>
        </w:rPr>
        <w:t> 2014; </w:t>
      </w:r>
      <w:r w:rsidRPr="006B4BF5">
        <w:rPr>
          <w:rFonts w:ascii="Book Antiqua" w:hAnsi="Book Antiqua"/>
          <w:b/>
          <w:bCs/>
          <w:sz w:val="24"/>
          <w:szCs w:val="24"/>
          <w:lang w:val="en-US"/>
        </w:rPr>
        <w:t>2014</w:t>
      </w:r>
      <w:r w:rsidRPr="006B4BF5">
        <w:rPr>
          <w:rFonts w:ascii="Book Antiqua" w:hAnsi="Book Antiqua"/>
          <w:sz w:val="24"/>
          <w:szCs w:val="24"/>
          <w:lang w:val="en-US"/>
        </w:rPr>
        <w:t>: 312484 [PMID: 25276054 DOI: 10.1155/2014/312484]</w:t>
      </w:r>
    </w:p>
    <w:p w14:paraId="7D823069"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lastRenderedPageBreak/>
        <w:t>26 </w:t>
      </w:r>
      <w:r w:rsidRPr="006B4BF5">
        <w:rPr>
          <w:rFonts w:ascii="Book Antiqua" w:hAnsi="Book Antiqua"/>
          <w:b/>
          <w:bCs/>
          <w:sz w:val="24"/>
          <w:szCs w:val="24"/>
          <w:lang w:val="en-US"/>
        </w:rPr>
        <w:t>Ventham NT</w:t>
      </w:r>
      <w:r w:rsidRPr="006B4BF5">
        <w:rPr>
          <w:rFonts w:ascii="Book Antiqua" w:hAnsi="Book Antiqua"/>
          <w:sz w:val="24"/>
          <w:szCs w:val="24"/>
          <w:lang w:val="en-US"/>
        </w:rPr>
        <w:t>, Kennedy NA, Nimmo ER, Satsangi J. Beyond gene discovery in inflammatory bowel disease: the emerging role of epigenetics. </w:t>
      </w:r>
      <w:r w:rsidRPr="006B4BF5">
        <w:rPr>
          <w:rFonts w:ascii="Book Antiqua" w:hAnsi="Book Antiqua"/>
          <w:i/>
          <w:iCs/>
          <w:sz w:val="24"/>
          <w:szCs w:val="24"/>
          <w:lang w:val="en-US"/>
        </w:rPr>
        <w:t>Gastroenterology</w:t>
      </w:r>
      <w:r w:rsidRPr="006B4BF5">
        <w:rPr>
          <w:rFonts w:ascii="Book Antiqua" w:hAnsi="Book Antiqua"/>
          <w:sz w:val="24"/>
          <w:szCs w:val="24"/>
          <w:lang w:val="en-US"/>
        </w:rPr>
        <w:t> 2013; </w:t>
      </w:r>
      <w:r w:rsidRPr="006B4BF5">
        <w:rPr>
          <w:rFonts w:ascii="Book Antiqua" w:hAnsi="Book Antiqua"/>
          <w:b/>
          <w:bCs/>
          <w:sz w:val="24"/>
          <w:szCs w:val="24"/>
          <w:lang w:val="en-US"/>
        </w:rPr>
        <w:t>145</w:t>
      </w:r>
      <w:r w:rsidRPr="006B4BF5">
        <w:rPr>
          <w:rFonts w:ascii="Book Antiqua" w:hAnsi="Book Antiqua"/>
          <w:sz w:val="24"/>
          <w:szCs w:val="24"/>
          <w:lang w:val="en-US"/>
        </w:rPr>
        <w:t>: 293-308 [PMID: 23751777 DOI: 10.1053/j.gastro.2013.05.050]</w:t>
      </w:r>
    </w:p>
    <w:p w14:paraId="0688168C"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27 </w:t>
      </w:r>
      <w:r w:rsidRPr="006B4BF5">
        <w:rPr>
          <w:rFonts w:ascii="Book Antiqua" w:hAnsi="Book Antiqua"/>
          <w:b/>
          <w:bCs/>
          <w:sz w:val="24"/>
          <w:szCs w:val="24"/>
          <w:lang w:val="en-US"/>
        </w:rPr>
        <w:t>Lin J</w:t>
      </w:r>
      <w:r w:rsidRPr="006B4BF5">
        <w:rPr>
          <w:rFonts w:ascii="Book Antiqua" w:hAnsi="Book Antiqua"/>
          <w:sz w:val="24"/>
          <w:szCs w:val="24"/>
          <w:lang w:val="en-US"/>
        </w:rPr>
        <w:t>, Welker NC, Zhao Z, Li Y, Zhang J, Reuss SA, Zhang X, Lee H, Liu Y, Bronner MP. Novel specific microRNA biomarkers in idiopathic inflammatory bowel disease unrelated to disease activity. </w:t>
      </w:r>
      <w:r w:rsidRPr="006B4BF5">
        <w:rPr>
          <w:rFonts w:ascii="Book Antiqua" w:hAnsi="Book Antiqua"/>
          <w:i/>
          <w:iCs/>
          <w:sz w:val="24"/>
          <w:szCs w:val="24"/>
          <w:lang w:val="en-US"/>
        </w:rPr>
        <w:t>Mod Pathol</w:t>
      </w:r>
      <w:r w:rsidRPr="006B4BF5">
        <w:rPr>
          <w:rFonts w:ascii="Book Antiqua" w:hAnsi="Book Antiqua"/>
          <w:sz w:val="24"/>
          <w:szCs w:val="24"/>
          <w:lang w:val="en-US"/>
        </w:rPr>
        <w:t> 2014; </w:t>
      </w:r>
      <w:r w:rsidRPr="006B4BF5">
        <w:rPr>
          <w:rFonts w:ascii="Book Antiqua" w:hAnsi="Book Antiqua"/>
          <w:b/>
          <w:bCs/>
          <w:sz w:val="24"/>
          <w:szCs w:val="24"/>
          <w:lang w:val="en-US"/>
        </w:rPr>
        <w:t>27</w:t>
      </w:r>
      <w:r w:rsidRPr="006B4BF5">
        <w:rPr>
          <w:rFonts w:ascii="Book Antiqua" w:hAnsi="Book Antiqua"/>
          <w:sz w:val="24"/>
          <w:szCs w:val="24"/>
          <w:lang w:val="en-US"/>
        </w:rPr>
        <w:t>: 602-608 [PMID: 24051693 DOI: 10.1038/modpathol.2013.152]</w:t>
      </w:r>
    </w:p>
    <w:p w14:paraId="2DD5A9A4"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28 </w:t>
      </w:r>
      <w:r w:rsidRPr="006B4BF5">
        <w:rPr>
          <w:rFonts w:ascii="Book Antiqua" w:hAnsi="Book Antiqua"/>
          <w:b/>
          <w:bCs/>
          <w:sz w:val="24"/>
          <w:szCs w:val="24"/>
          <w:lang w:val="en-US"/>
        </w:rPr>
        <w:t>Chen WX</w:t>
      </w:r>
      <w:r w:rsidRPr="006B4BF5">
        <w:rPr>
          <w:rFonts w:ascii="Book Antiqua" w:hAnsi="Book Antiqua"/>
          <w:sz w:val="24"/>
          <w:szCs w:val="24"/>
          <w:lang w:val="en-US"/>
        </w:rPr>
        <w:t>, Ren LH, Shi RH. Implication of miRNAs for inflammatory bowel disease treatment: Systematic review. </w:t>
      </w:r>
      <w:r w:rsidRPr="006B4BF5">
        <w:rPr>
          <w:rFonts w:ascii="Book Antiqua" w:hAnsi="Book Antiqua"/>
          <w:i/>
          <w:iCs/>
          <w:sz w:val="24"/>
          <w:szCs w:val="24"/>
          <w:lang w:val="en-US"/>
        </w:rPr>
        <w:t>World J Gastrointest Pathophysiol</w:t>
      </w:r>
      <w:r w:rsidRPr="006B4BF5">
        <w:rPr>
          <w:rFonts w:ascii="Book Antiqua" w:hAnsi="Book Antiqua"/>
          <w:sz w:val="24"/>
          <w:szCs w:val="24"/>
          <w:lang w:val="en-US"/>
        </w:rPr>
        <w:t> 2014; </w:t>
      </w:r>
      <w:r w:rsidRPr="006B4BF5">
        <w:rPr>
          <w:rFonts w:ascii="Book Antiqua" w:hAnsi="Book Antiqua"/>
          <w:b/>
          <w:bCs/>
          <w:sz w:val="24"/>
          <w:szCs w:val="24"/>
          <w:lang w:val="en-US"/>
        </w:rPr>
        <w:t>5</w:t>
      </w:r>
      <w:r w:rsidRPr="006B4BF5">
        <w:rPr>
          <w:rFonts w:ascii="Book Antiqua" w:hAnsi="Book Antiqua"/>
          <w:sz w:val="24"/>
          <w:szCs w:val="24"/>
          <w:lang w:val="en-US"/>
        </w:rPr>
        <w:t>: 63-70 [PMID: 24891977 DOI: 10.4291/wjgp.v5.i2.63]</w:t>
      </w:r>
    </w:p>
    <w:p w14:paraId="78D9B591"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29 </w:t>
      </w:r>
      <w:r w:rsidRPr="006B4BF5">
        <w:rPr>
          <w:rFonts w:ascii="Book Antiqua" w:hAnsi="Book Antiqua"/>
          <w:b/>
          <w:bCs/>
          <w:sz w:val="24"/>
          <w:szCs w:val="24"/>
          <w:lang w:val="en-US"/>
        </w:rPr>
        <w:t>Papaconstantinou I</w:t>
      </w:r>
      <w:r w:rsidRPr="006B4BF5">
        <w:rPr>
          <w:rFonts w:ascii="Book Antiqua" w:hAnsi="Book Antiqua"/>
          <w:sz w:val="24"/>
          <w:szCs w:val="24"/>
          <w:lang w:val="en-US"/>
        </w:rPr>
        <w:t>, Stamatis K, Tzathas C, Vassiliou I, Giokas G, Gazouli M. The role of variations within microRNA in inflammatory bowel disease. </w:t>
      </w:r>
      <w:r w:rsidRPr="006B4BF5">
        <w:rPr>
          <w:rFonts w:ascii="Book Antiqua" w:hAnsi="Book Antiqua"/>
          <w:i/>
          <w:iCs/>
          <w:sz w:val="24"/>
          <w:szCs w:val="24"/>
          <w:lang w:val="en-US"/>
        </w:rPr>
        <w:t>Eur J Gastroenterol Hepatol</w:t>
      </w:r>
      <w:r w:rsidRPr="006B4BF5">
        <w:rPr>
          <w:rFonts w:ascii="Book Antiqua" w:hAnsi="Book Antiqua"/>
          <w:sz w:val="24"/>
          <w:szCs w:val="24"/>
          <w:lang w:val="en-US"/>
        </w:rPr>
        <w:t> 2013; </w:t>
      </w:r>
      <w:r w:rsidRPr="006B4BF5">
        <w:rPr>
          <w:rFonts w:ascii="Book Antiqua" w:hAnsi="Book Antiqua"/>
          <w:b/>
          <w:bCs/>
          <w:sz w:val="24"/>
          <w:szCs w:val="24"/>
          <w:lang w:val="en-US"/>
        </w:rPr>
        <w:t>25</w:t>
      </w:r>
      <w:r w:rsidRPr="006B4BF5">
        <w:rPr>
          <w:rFonts w:ascii="Book Antiqua" w:hAnsi="Book Antiqua"/>
          <w:sz w:val="24"/>
          <w:szCs w:val="24"/>
          <w:lang w:val="en-US"/>
        </w:rPr>
        <w:t>: 399-403 [PMID: 23466513 DOI: 10.1097/MEG.0b013e32835c34ea]</w:t>
      </w:r>
    </w:p>
    <w:p w14:paraId="53177655" w14:textId="77777777" w:rsidR="0098676B" w:rsidRPr="006B4BF5" w:rsidRDefault="0098676B" w:rsidP="0098676B">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30 </w:t>
      </w:r>
      <w:r w:rsidRPr="006B4BF5">
        <w:rPr>
          <w:rFonts w:ascii="Book Antiqua" w:hAnsi="Book Antiqua"/>
          <w:b/>
          <w:bCs/>
          <w:sz w:val="24"/>
          <w:szCs w:val="24"/>
          <w:lang w:val="en-US"/>
        </w:rPr>
        <w:t>Whiteoak SR</w:t>
      </w:r>
      <w:r w:rsidRPr="006B4BF5">
        <w:rPr>
          <w:rFonts w:ascii="Book Antiqua" w:hAnsi="Book Antiqua"/>
          <w:sz w:val="24"/>
          <w:szCs w:val="24"/>
          <w:lang w:val="en-US"/>
        </w:rPr>
        <w:t>, Felwick R, Sanchez-Elsner T, Fraser Cummings JR. MicroRNAs in inflammatory bowel diseases: paradoxes and possibilities. </w:t>
      </w:r>
      <w:r w:rsidRPr="006B4BF5">
        <w:rPr>
          <w:rFonts w:ascii="Book Antiqua" w:hAnsi="Book Antiqua"/>
          <w:i/>
          <w:iCs/>
          <w:sz w:val="24"/>
          <w:szCs w:val="24"/>
          <w:lang w:val="en-US"/>
        </w:rPr>
        <w:t>Inflamm Bowel Dis</w:t>
      </w:r>
      <w:r w:rsidRPr="006B4BF5">
        <w:rPr>
          <w:rFonts w:ascii="Book Antiqua" w:hAnsi="Book Antiqua"/>
          <w:sz w:val="24"/>
          <w:szCs w:val="24"/>
          <w:lang w:val="en-US"/>
        </w:rPr>
        <w:t> 2015; </w:t>
      </w:r>
      <w:r w:rsidRPr="006B4BF5">
        <w:rPr>
          <w:rFonts w:ascii="Book Antiqua" w:hAnsi="Book Antiqua"/>
          <w:b/>
          <w:bCs/>
          <w:sz w:val="24"/>
          <w:szCs w:val="24"/>
          <w:lang w:val="en-US"/>
        </w:rPr>
        <w:t>21</w:t>
      </w:r>
      <w:r w:rsidRPr="006B4BF5">
        <w:rPr>
          <w:rFonts w:ascii="Book Antiqua" w:hAnsi="Book Antiqua"/>
          <w:sz w:val="24"/>
          <w:szCs w:val="24"/>
          <w:lang w:val="en-US"/>
        </w:rPr>
        <w:t>: 1160-1165 [PMID: 25844960 DOI: 10.1097/MIB.0000000000000288]</w:t>
      </w:r>
    </w:p>
    <w:p w14:paraId="324616F4" w14:textId="4712EC40" w:rsidR="0098676B" w:rsidRPr="006B4BF5" w:rsidRDefault="0098676B" w:rsidP="00945C4E">
      <w:pPr>
        <w:wordWrap w:val="0"/>
        <w:adjustRightInd w:val="0"/>
        <w:snapToGrid w:val="0"/>
        <w:spacing w:line="360" w:lineRule="auto"/>
        <w:jc w:val="right"/>
        <w:rPr>
          <w:rFonts w:ascii="Book Antiqua" w:hAnsi="Book Antiqua"/>
          <w:b/>
          <w:bCs/>
          <w:sz w:val="24"/>
          <w:szCs w:val="24"/>
          <w:lang w:val="en-US"/>
        </w:rPr>
      </w:pPr>
      <w:bookmarkStart w:id="37" w:name="OLE_LINK148"/>
      <w:bookmarkStart w:id="38" w:name="OLE_LINK320"/>
      <w:bookmarkStart w:id="39" w:name="OLE_LINK387"/>
      <w:bookmarkStart w:id="40" w:name="OLE_LINK254"/>
      <w:bookmarkStart w:id="41" w:name="OLE_LINK149"/>
      <w:bookmarkStart w:id="42" w:name="OLE_LINK225"/>
      <w:bookmarkStart w:id="43" w:name="OLE_LINK207"/>
      <w:bookmarkStart w:id="44" w:name="OLE_LINK226"/>
      <w:bookmarkStart w:id="45" w:name="OLE_LINK212"/>
      <w:bookmarkStart w:id="46" w:name="OLE_LINK250"/>
      <w:bookmarkStart w:id="47" w:name="OLE_LINK281"/>
      <w:bookmarkStart w:id="48" w:name="OLE_LINK282"/>
      <w:bookmarkStart w:id="49" w:name="OLE_LINK313"/>
      <w:bookmarkStart w:id="50" w:name="OLE_LINK304"/>
      <w:bookmarkStart w:id="51" w:name="OLE_LINK321"/>
      <w:bookmarkStart w:id="52" w:name="OLE_LINK385"/>
      <w:bookmarkStart w:id="53" w:name="OLE_LINK400"/>
      <w:bookmarkStart w:id="54" w:name="OLE_LINK346"/>
      <w:bookmarkStart w:id="55" w:name="OLE_LINK371"/>
      <w:bookmarkStart w:id="56" w:name="OLE_LINK334"/>
      <w:bookmarkStart w:id="57" w:name="OLE_LINK1830"/>
      <w:bookmarkStart w:id="58" w:name="OLE_LINK457"/>
      <w:bookmarkStart w:id="59" w:name="OLE_LINK288"/>
      <w:bookmarkStart w:id="60" w:name="OLE_LINK384"/>
      <w:bookmarkStart w:id="61" w:name="OLE_LINK379"/>
      <w:bookmarkStart w:id="62" w:name="OLE_LINK303"/>
      <w:bookmarkStart w:id="63" w:name="OLE_LINK450"/>
      <w:bookmarkStart w:id="64" w:name="OLE_LINK489"/>
      <w:bookmarkStart w:id="65" w:name="OLE_LINK535"/>
      <w:bookmarkStart w:id="66" w:name="OLE_LINK648"/>
      <w:bookmarkStart w:id="67" w:name="OLE_LINK686"/>
      <w:bookmarkStart w:id="68" w:name="OLE_LINK471"/>
      <w:bookmarkStart w:id="69" w:name="OLE_LINK462"/>
      <w:bookmarkStart w:id="70" w:name="OLE_LINK519"/>
      <w:bookmarkStart w:id="71" w:name="OLE_LINK575"/>
      <w:bookmarkStart w:id="72" w:name="OLE_LINK491"/>
      <w:bookmarkStart w:id="73" w:name="OLE_LINK532"/>
      <w:bookmarkStart w:id="74" w:name="OLE_LINK572"/>
      <w:bookmarkStart w:id="75" w:name="OLE_LINK574"/>
      <w:bookmarkStart w:id="76" w:name="OLE_LINK480"/>
      <w:bookmarkStart w:id="77" w:name="OLE_LINK567"/>
      <w:bookmarkStart w:id="78" w:name="OLE_LINK2700"/>
      <w:bookmarkStart w:id="79" w:name="OLE_LINK581"/>
      <w:bookmarkStart w:id="80" w:name="OLE_LINK639"/>
      <w:bookmarkStart w:id="81" w:name="OLE_LINK688"/>
      <w:bookmarkStart w:id="82" w:name="OLE_LINK722"/>
      <w:bookmarkStart w:id="83" w:name="OLE_LINK542"/>
      <w:bookmarkStart w:id="84" w:name="OLE_LINK589"/>
      <w:bookmarkStart w:id="85" w:name="OLE_LINK582"/>
      <w:bookmarkStart w:id="86" w:name="OLE_LINK640"/>
      <w:bookmarkStart w:id="87" w:name="OLE_LINK714"/>
      <w:bookmarkStart w:id="88" w:name="OLE_LINK593"/>
      <w:bookmarkStart w:id="89" w:name="OLE_LINK716"/>
      <w:bookmarkStart w:id="90" w:name="OLE_LINK770"/>
      <w:bookmarkStart w:id="91" w:name="OLE_LINK801"/>
      <w:bookmarkStart w:id="92" w:name="OLE_LINK660"/>
      <w:bookmarkStart w:id="93" w:name="OLE_LINK781"/>
      <w:bookmarkStart w:id="94" w:name="OLE_LINK833"/>
      <w:bookmarkStart w:id="95" w:name="OLE_LINK642"/>
      <w:bookmarkStart w:id="96" w:name="OLE_LINK700"/>
      <w:bookmarkStart w:id="97" w:name="OLE_LINK792"/>
      <w:bookmarkStart w:id="98" w:name="OLE_LINK2882"/>
      <w:bookmarkStart w:id="99" w:name="OLE_LINK836"/>
      <w:bookmarkStart w:id="100" w:name="OLE_LINK889"/>
      <w:bookmarkStart w:id="101" w:name="OLE_LINK782"/>
      <w:bookmarkStart w:id="102" w:name="OLE_LINK826"/>
      <w:bookmarkStart w:id="103" w:name="OLE_LINK865"/>
      <w:bookmarkStart w:id="104" w:name="OLE_LINK856"/>
      <w:bookmarkStart w:id="105" w:name="OLE_LINK908"/>
      <w:bookmarkStart w:id="106" w:name="OLE_LINK980"/>
      <w:bookmarkStart w:id="107" w:name="OLE_LINK1018"/>
      <w:bookmarkStart w:id="108" w:name="OLE_LINK1049"/>
      <w:bookmarkStart w:id="109" w:name="OLE_LINK1076"/>
      <w:bookmarkStart w:id="110" w:name="OLE_LINK1106"/>
      <w:bookmarkStart w:id="111" w:name="OLE_LINK891"/>
      <w:bookmarkStart w:id="112" w:name="OLE_LINK943"/>
      <w:bookmarkStart w:id="113" w:name="OLE_LINK981"/>
      <w:bookmarkStart w:id="114" w:name="OLE_LINK1030"/>
      <w:bookmarkStart w:id="115" w:name="OLE_LINK847"/>
      <w:bookmarkStart w:id="116" w:name="OLE_LINK909"/>
      <w:bookmarkStart w:id="117" w:name="OLE_LINK906"/>
      <w:bookmarkStart w:id="118" w:name="OLE_LINK992"/>
      <w:bookmarkStart w:id="119" w:name="OLE_LINK993"/>
      <w:bookmarkStart w:id="120" w:name="OLE_LINK1052"/>
      <w:bookmarkStart w:id="121" w:name="OLE_LINK946"/>
      <w:bookmarkStart w:id="122" w:name="OLE_LINK911"/>
      <w:bookmarkStart w:id="123" w:name="OLE_LINK930"/>
      <w:bookmarkStart w:id="124" w:name="OLE_LINK1059"/>
      <w:bookmarkStart w:id="125" w:name="OLE_LINK1174"/>
      <w:bookmarkStart w:id="126" w:name="OLE_LINK1137"/>
      <w:bookmarkStart w:id="127" w:name="OLE_LINK1167"/>
      <w:bookmarkStart w:id="128" w:name="OLE_LINK1200"/>
      <w:bookmarkStart w:id="129" w:name="OLE_LINK1241"/>
      <w:bookmarkStart w:id="130" w:name="OLE_LINK1288"/>
      <w:bookmarkStart w:id="131" w:name="OLE_LINK1056"/>
      <w:bookmarkStart w:id="132" w:name="OLE_LINK1158"/>
      <w:bookmarkStart w:id="133" w:name="OLE_LINK1175"/>
      <w:bookmarkStart w:id="134" w:name="OLE_LINK1074"/>
      <w:bookmarkStart w:id="135" w:name="OLE_LINK1169"/>
      <w:bookmarkStart w:id="136" w:name="OLE_LINK33"/>
      <w:bookmarkStart w:id="137" w:name="OLE_LINK34"/>
      <w:r w:rsidRPr="006B4BF5">
        <w:rPr>
          <w:rFonts w:ascii="Book Antiqua" w:hAnsi="Book Antiqua"/>
          <w:b/>
          <w:bCs/>
          <w:sz w:val="24"/>
          <w:szCs w:val="24"/>
          <w:lang w:val="en-US"/>
        </w:rPr>
        <w:t xml:space="preserve">P-Reviewer: </w:t>
      </w:r>
      <w:r w:rsidR="00945C4E" w:rsidRPr="006B4BF5">
        <w:rPr>
          <w:rFonts w:ascii="Book Antiqua" w:hAnsi="Book Antiqua"/>
          <w:bCs/>
          <w:sz w:val="24"/>
          <w:szCs w:val="24"/>
          <w:lang w:val="en-US"/>
        </w:rPr>
        <w:t>de Souza HSP, Sebastian S</w:t>
      </w:r>
    </w:p>
    <w:p w14:paraId="45EB64A9" w14:textId="77777777" w:rsidR="0098676B" w:rsidRPr="006B4BF5" w:rsidRDefault="0098676B" w:rsidP="0098676B">
      <w:pPr>
        <w:adjustRightInd w:val="0"/>
        <w:snapToGrid w:val="0"/>
        <w:spacing w:line="360" w:lineRule="auto"/>
        <w:jc w:val="right"/>
        <w:rPr>
          <w:rFonts w:ascii="Book Antiqua" w:hAnsi="Book Antiqua"/>
          <w:sz w:val="24"/>
          <w:szCs w:val="24"/>
          <w:lang w:val="en-US"/>
        </w:rPr>
      </w:pPr>
      <w:r w:rsidRPr="006B4BF5">
        <w:rPr>
          <w:rFonts w:ascii="Book Antiqua" w:hAnsi="Book Antiqua"/>
          <w:b/>
          <w:bCs/>
          <w:sz w:val="24"/>
          <w:szCs w:val="24"/>
          <w:lang w:val="en-US"/>
        </w:rPr>
        <w:t>S-Editor:</w:t>
      </w:r>
      <w:r w:rsidRPr="006B4BF5">
        <w:rPr>
          <w:rFonts w:ascii="Book Antiqua" w:hAnsi="Book Antiqua"/>
          <w:sz w:val="24"/>
          <w:szCs w:val="24"/>
          <w:lang w:val="en-US"/>
        </w:rPr>
        <w:t xml:space="preserve"> Ma RY </w:t>
      </w:r>
      <w:r w:rsidRPr="006B4BF5">
        <w:rPr>
          <w:rFonts w:ascii="Book Antiqua" w:hAnsi="Book Antiqua"/>
          <w:b/>
          <w:bCs/>
          <w:sz w:val="24"/>
          <w:szCs w:val="24"/>
          <w:lang w:val="en-US"/>
        </w:rPr>
        <w:t>L-Editor:</w:t>
      </w:r>
      <w:r w:rsidRPr="006B4BF5">
        <w:rPr>
          <w:rFonts w:ascii="Book Antiqua" w:hAnsi="Book Antiqua"/>
          <w:sz w:val="24"/>
          <w:szCs w:val="24"/>
          <w:lang w:val="en-US"/>
        </w:rPr>
        <w:t xml:space="preserve"> </w:t>
      </w:r>
      <w:r w:rsidRPr="006B4BF5">
        <w:rPr>
          <w:rFonts w:ascii="Book Antiqua" w:hAnsi="Book Antiqua"/>
          <w:b/>
          <w:bCs/>
          <w:sz w:val="24"/>
          <w:szCs w:val="24"/>
          <w:lang w:val="en-US"/>
        </w:rPr>
        <w:t>E-Editor:</w:t>
      </w:r>
    </w:p>
    <w:p w14:paraId="72816EF3" w14:textId="77777777" w:rsidR="0098676B" w:rsidRPr="006B4BF5" w:rsidRDefault="0098676B" w:rsidP="0098676B">
      <w:pPr>
        <w:shd w:val="clear" w:color="auto" w:fill="FFFFFF"/>
        <w:adjustRightInd w:val="0"/>
        <w:snapToGrid w:val="0"/>
        <w:spacing w:line="360" w:lineRule="auto"/>
        <w:jc w:val="both"/>
        <w:rPr>
          <w:rFonts w:ascii="Book Antiqua" w:hAnsi="Book Antiqua" w:cs="Helvetica"/>
          <w:b/>
          <w:sz w:val="24"/>
          <w:szCs w:val="24"/>
          <w:lang w:val="en-US"/>
        </w:rPr>
      </w:pPr>
      <w:bookmarkStart w:id="138" w:name="OLE_LINK880"/>
      <w:bookmarkStart w:id="139" w:name="OLE_LINK881"/>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r w:rsidRPr="006B4BF5">
        <w:rPr>
          <w:rFonts w:ascii="Book Antiqua" w:hAnsi="Book Antiqua" w:cs="Helvetica"/>
          <w:b/>
          <w:sz w:val="24"/>
          <w:szCs w:val="24"/>
          <w:lang w:val="en-US"/>
        </w:rPr>
        <w:t xml:space="preserve">Specialty type: </w:t>
      </w:r>
      <w:r w:rsidRPr="006B4BF5">
        <w:rPr>
          <w:rFonts w:ascii="Book Antiqua" w:hAnsi="Book Antiqua" w:cs="Helvetica"/>
          <w:sz w:val="24"/>
          <w:szCs w:val="24"/>
          <w:lang w:val="en-US"/>
        </w:rPr>
        <w:t>Gastroenterology and hepatology</w:t>
      </w:r>
    </w:p>
    <w:p w14:paraId="6A8A4C06" w14:textId="77777777" w:rsidR="0098676B" w:rsidRPr="006B4BF5" w:rsidRDefault="0098676B" w:rsidP="0098676B">
      <w:pPr>
        <w:shd w:val="clear" w:color="auto" w:fill="FFFFFF"/>
        <w:adjustRightInd w:val="0"/>
        <w:snapToGrid w:val="0"/>
        <w:spacing w:line="360" w:lineRule="auto"/>
        <w:jc w:val="both"/>
        <w:rPr>
          <w:rFonts w:ascii="Book Antiqua" w:hAnsi="Book Antiqua" w:cs="Helvetica"/>
          <w:b/>
          <w:sz w:val="24"/>
          <w:szCs w:val="24"/>
          <w:lang w:val="en-US"/>
        </w:rPr>
      </w:pPr>
      <w:r w:rsidRPr="006B4BF5">
        <w:rPr>
          <w:rFonts w:ascii="Book Antiqua" w:hAnsi="Book Antiqua" w:cs="Helvetica"/>
          <w:b/>
          <w:sz w:val="24"/>
          <w:szCs w:val="24"/>
          <w:lang w:val="en-US"/>
        </w:rPr>
        <w:t xml:space="preserve">Country of origin: </w:t>
      </w:r>
      <w:r w:rsidRPr="006B4BF5">
        <w:rPr>
          <w:rFonts w:ascii="Book Antiqua" w:hAnsi="Book Antiqua" w:cs="Helvetica"/>
          <w:sz w:val="24"/>
          <w:szCs w:val="24"/>
          <w:lang w:val="en-CA"/>
        </w:rPr>
        <w:t>China</w:t>
      </w:r>
    </w:p>
    <w:p w14:paraId="569363CF" w14:textId="77777777" w:rsidR="0098676B" w:rsidRPr="006B4BF5" w:rsidRDefault="0098676B" w:rsidP="0098676B">
      <w:pPr>
        <w:shd w:val="clear" w:color="auto" w:fill="FFFFFF"/>
        <w:adjustRightInd w:val="0"/>
        <w:snapToGrid w:val="0"/>
        <w:spacing w:line="360" w:lineRule="auto"/>
        <w:jc w:val="both"/>
        <w:rPr>
          <w:rFonts w:ascii="Book Antiqua" w:hAnsi="Book Antiqua" w:cs="Helvetica"/>
          <w:b/>
          <w:sz w:val="24"/>
          <w:szCs w:val="24"/>
          <w:lang w:val="en-US"/>
        </w:rPr>
      </w:pPr>
      <w:r w:rsidRPr="006B4BF5">
        <w:rPr>
          <w:rFonts w:ascii="Book Antiqua" w:hAnsi="Book Antiqua" w:cs="Helvetica"/>
          <w:b/>
          <w:sz w:val="24"/>
          <w:szCs w:val="24"/>
          <w:lang w:val="en-US"/>
        </w:rPr>
        <w:t>Peer-review report classification</w:t>
      </w:r>
    </w:p>
    <w:p w14:paraId="6F68F009" w14:textId="77777777" w:rsidR="0098676B" w:rsidRPr="006B4BF5" w:rsidRDefault="0098676B" w:rsidP="0098676B">
      <w:pPr>
        <w:shd w:val="clear" w:color="auto" w:fill="FFFFFF"/>
        <w:adjustRightInd w:val="0"/>
        <w:snapToGrid w:val="0"/>
        <w:spacing w:line="360" w:lineRule="auto"/>
        <w:jc w:val="both"/>
        <w:rPr>
          <w:rFonts w:ascii="Book Antiqua" w:hAnsi="Book Antiqua" w:cs="Helvetica"/>
          <w:sz w:val="24"/>
          <w:szCs w:val="24"/>
          <w:lang w:val="en-US"/>
        </w:rPr>
      </w:pPr>
      <w:r w:rsidRPr="006B4BF5">
        <w:rPr>
          <w:rFonts w:ascii="Book Antiqua" w:hAnsi="Book Antiqua" w:cs="Helvetica"/>
          <w:sz w:val="24"/>
          <w:szCs w:val="24"/>
          <w:lang w:val="en-US"/>
        </w:rPr>
        <w:t>Grade A (Excellent): 0</w:t>
      </w:r>
    </w:p>
    <w:p w14:paraId="27CD826E" w14:textId="67762211" w:rsidR="0098676B" w:rsidRPr="006B4BF5" w:rsidRDefault="0098676B" w:rsidP="0098676B">
      <w:pPr>
        <w:shd w:val="clear" w:color="auto" w:fill="FFFFFF"/>
        <w:adjustRightInd w:val="0"/>
        <w:snapToGrid w:val="0"/>
        <w:spacing w:line="360" w:lineRule="auto"/>
        <w:jc w:val="both"/>
        <w:rPr>
          <w:rFonts w:ascii="Book Antiqua" w:hAnsi="Book Antiqua" w:cs="Helvetica"/>
          <w:sz w:val="24"/>
          <w:szCs w:val="24"/>
          <w:lang w:val="en-US"/>
        </w:rPr>
      </w:pPr>
      <w:r w:rsidRPr="006B4BF5">
        <w:rPr>
          <w:rFonts w:ascii="Book Antiqua" w:hAnsi="Book Antiqua" w:cs="Helvetica"/>
          <w:sz w:val="24"/>
          <w:szCs w:val="24"/>
          <w:lang w:val="en-US"/>
        </w:rPr>
        <w:t>Grade B (Very good): B</w:t>
      </w:r>
      <w:r w:rsidR="00945C4E" w:rsidRPr="006B4BF5">
        <w:rPr>
          <w:rFonts w:ascii="Book Antiqua" w:hAnsi="Book Antiqua" w:cs="Helvetica"/>
          <w:sz w:val="24"/>
          <w:szCs w:val="24"/>
          <w:lang w:val="en-US"/>
        </w:rPr>
        <w:t>, B</w:t>
      </w:r>
    </w:p>
    <w:p w14:paraId="121184DD" w14:textId="240B7AE3" w:rsidR="0098676B" w:rsidRPr="006B4BF5" w:rsidRDefault="0098676B" w:rsidP="0098676B">
      <w:pPr>
        <w:shd w:val="clear" w:color="auto" w:fill="FFFFFF"/>
        <w:adjustRightInd w:val="0"/>
        <w:snapToGrid w:val="0"/>
        <w:spacing w:line="360" w:lineRule="auto"/>
        <w:jc w:val="both"/>
        <w:rPr>
          <w:rFonts w:ascii="Book Antiqua" w:hAnsi="Book Antiqua" w:cs="Helvetica"/>
          <w:sz w:val="24"/>
          <w:szCs w:val="24"/>
          <w:lang w:val="en-US"/>
        </w:rPr>
      </w:pPr>
      <w:r w:rsidRPr="006B4BF5">
        <w:rPr>
          <w:rFonts w:ascii="Book Antiqua" w:hAnsi="Book Antiqua" w:cs="Helvetica"/>
          <w:sz w:val="24"/>
          <w:szCs w:val="24"/>
          <w:lang w:val="en-US"/>
        </w:rPr>
        <w:t xml:space="preserve">Grade C (Good): </w:t>
      </w:r>
      <w:r w:rsidR="00945C4E" w:rsidRPr="006B4BF5">
        <w:rPr>
          <w:rFonts w:ascii="Book Antiqua" w:hAnsi="Book Antiqua" w:cs="Helvetica"/>
          <w:sz w:val="24"/>
          <w:szCs w:val="24"/>
          <w:lang w:val="en-US"/>
        </w:rPr>
        <w:t>0</w:t>
      </w:r>
    </w:p>
    <w:p w14:paraId="4522D007" w14:textId="77777777" w:rsidR="0098676B" w:rsidRPr="006B4BF5" w:rsidRDefault="0098676B" w:rsidP="0098676B">
      <w:pPr>
        <w:shd w:val="clear" w:color="auto" w:fill="FFFFFF"/>
        <w:adjustRightInd w:val="0"/>
        <w:snapToGrid w:val="0"/>
        <w:spacing w:line="360" w:lineRule="auto"/>
        <w:jc w:val="both"/>
        <w:rPr>
          <w:rFonts w:ascii="Book Antiqua" w:hAnsi="Book Antiqua" w:cs="Helvetica"/>
          <w:sz w:val="24"/>
          <w:szCs w:val="24"/>
          <w:lang w:val="en-US"/>
        </w:rPr>
      </w:pPr>
      <w:r w:rsidRPr="006B4BF5">
        <w:rPr>
          <w:rFonts w:ascii="Book Antiqua" w:hAnsi="Book Antiqua" w:cs="Helvetica"/>
          <w:sz w:val="24"/>
          <w:szCs w:val="24"/>
          <w:lang w:val="en-US"/>
        </w:rPr>
        <w:t>Grade D (Fair): 0</w:t>
      </w:r>
    </w:p>
    <w:p w14:paraId="21F7B6A4" w14:textId="3BFE96EF" w:rsidR="00847867" w:rsidRPr="006B4BF5" w:rsidRDefault="0098676B" w:rsidP="0098676B">
      <w:pPr>
        <w:adjustRightInd w:val="0"/>
        <w:snapToGrid w:val="0"/>
        <w:spacing w:line="360" w:lineRule="auto"/>
        <w:jc w:val="both"/>
        <w:rPr>
          <w:rFonts w:ascii="Book Antiqua" w:hAnsi="Book Antiqua"/>
          <w:b/>
          <w:iCs/>
          <w:sz w:val="24"/>
          <w:szCs w:val="24"/>
          <w:lang w:val="en-US"/>
        </w:rPr>
      </w:pPr>
      <w:r w:rsidRPr="006B4BF5">
        <w:rPr>
          <w:rFonts w:ascii="Book Antiqua" w:hAnsi="Book Antiqua" w:cs="Helvetica"/>
          <w:sz w:val="24"/>
          <w:szCs w:val="24"/>
          <w:lang w:val="en-US"/>
        </w:rPr>
        <w:t>Grade E (Poor): 0</w:t>
      </w:r>
      <w:bookmarkEnd w:id="136"/>
      <w:bookmarkEnd w:id="137"/>
      <w:bookmarkEnd w:id="138"/>
      <w:bookmarkEnd w:id="139"/>
      <w:r w:rsidR="00847867" w:rsidRPr="006B4BF5">
        <w:rPr>
          <w:rFonts w:ascii="Book Antiqua" w:hAnsi="Book Antiqua"/>
          <w:sz w:val="24"/>
          <w:szCs w:val="24"/>
          <w:lang w:val="en-US"/>
        </w:rPr>
        <w:br w:type="page"/>
      </w:r>
    </w:p>
    <w:p w14:paraId="257886C4" w14:textId="2E6CE0C5" w:rsidR="00847867" w:rsidRPr="006B4BF5" w:rsidRDefault="00847867" w:rsidP="007B12C8">
      <w:pPr>
        <w:adjustRightInd w:val="0"/>
        <w:snapToGrid w:val="0"/>
        <w:spacing w:line="360" w:lineRule="auto"/>
        <w:jc w:val="both"/>
        <w:rPr>
          <w:rFonts w:ascii="Book Antiqua" w:hAnsi="Book Antiqua"/>
          <w:sz w:val="24"/>
          <w:szCs w:val="24"/>
        </w:rPr>
      </w:pPr>
      <w:r w:rsidRPr="006B4BF5">
        <w:rPr>
          <w:rFonts w:ascii="Book Antiqua" w:hAnsi="Book Antiqua"/>
          <w:noProof/>
          <w:sz w:val="24"/>
          <w:szCs w:val="24"/>
          <w:lang w:val="en-US" w:bidi="ar-SA"/>
        </w:rPr>
        <w:lastRenderedPageBreak/>
        <w:drawing>
          <wp:inline distT="0" distB="0" distL="0" distR="0" wp14:anchorId="6AEB5ECC" wp14:editId="53C89EED">
            <wp:extent cx="4547235" cy="348747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55860" cy="3494090"/>
                    </a:xfrm>
                    <a:prstGeom prst="rect">
                      <a:avLst/>
                    </a:prstGeom>
                  </pic:spPr>
                </pic:pic>
              </a:graphicData>
            </a:graphic>
          </wp:inline>
        </w:drawing>
      </w:r>
    </w:p>
    <w:p w14:paraId="6595A8DD" w14:textId="229A4F68" w:rsidR="007C1A73" w:rsidRPr="006B4BF5" w:rsidRDefault="00132A50" w:rsidP="007B12C8">
      <w:pPr>
        <w:adjustRightInd w:val="0"/>
        <w:snapToGrid w:val="0"/>
        <w:spacing w:line="360" w:lineRule="auto"/>
        <w:jc w:val="both"/>
        <w:rPr>
          <w:rFonts w:ascii="Book Antiqua" w:hAnsi="Book Antiqua"/>
          <w:sz w:val="24"/>
          <w:szCs w:val="24"/>
          <w:lang w:val="en-US"/>
        </w:rPr>
      </w:pPr>
      <w:r w:rsidRPr="006B4BF5">
        <w:rPr>
          <w:rFonts w:ascii="Book Antiqua" w:hAnsi="Book Antiqua"/>
          <w:b/>
          <w:sz w:val="24"/>
          <w:szCs w:val="24"/>
          <w:lang w:val="en-US"/>
        </w:rPr>
        <w:t xml:space="preserve">Figure 1 </w:t>
      </w:r>
      <w:r w:rsidR="001E71D7" w:rsidRPr="006B4BF5">
        <w:rPr>
          <w:rFonts w:ascii="Book Antiqua" w:hAnsi="Book Antiqua"/>
          <w:b/>
          <w:sz w:val="24"/>
          <w:szCs w:val="24"/>
          <w:lang w:val="en-US"/>
        </w:rPr>
        <w:t>C</w:t>
      </w:r>
      <w:r w:rsidR="001D0597" w:rsidRPr="006B4BF5">
        <w:rPr>
          <w:rFonts w:ascii="Book Antiqua" w:hAnsi="Book Antiqua"/>
          <w:b/>
          <w:sz w:val="24"/>
          <w:szCs w:val="24"/>
          <w:lang w:val="en-US"/>
        </w:rPr>
        <w:t xml:space="preserve">ell division cycle 42 </w:t>
      </w:r>
      <w:r w:rsidR="001E71D7" w:rsidRPr="006B4BF5">
        <w:rPr>
          <w:rFonts w:ascii="Book Antiqua" w:hAnsi="Book Antiqua"/>
          <w:b/>
          <w:sz w:val="24"/>
          <w:szCs w:val="24"/>
          <w:lang w:val="en-US"/>
        </w:rPr>
        <w:t>is the target gene of microRNA</w:t>
      </w:r>
      <w:r w:rsidRPr="006B4BF5">
        <w:rPr>
          <w:rFonts w:ascii="Book Antiqua" w:hAnsi="Book Antiqua"/>
          <w:b/>
          <w:sz w:val="24"/>
          <w:szCs w:val="24"/>
          <w:lang w:val="en-US"/>
        </w:rPr>
        <w:t>-15a in 293T cells.</w:t>
      </w:r>
      <w:r w:rsidRPr="006B4BF5">
        <w:rPr>
          <w:rFonts w:ascii="Book Antiqua" w:hAnsi="Book Antiqua"/>
          <w:sz w:val="24"/>
          <w:szCs w:val="24"/>
          <w:lang w:val="en-US"/>
        </w:rPr>
        <w:t xml:space="preserve"> A: Bioinformatics analysis using Target Scan (</w:t>
      </w:r>
      <w:hyperlink r:id="rId11">
        <w:r w:rsidRPr="006B4BF5">
          <w:rPr>
            <w:rFonts w:ascii="Book Antiqua" w:hAnsi="Book Antiqua"/>
            <w:sz w:val="24"/>
            <w:szCs w:val="24"/>
            <w:lang w:val="en-US"/>
          </w:rPr>
          <w:t>http://www.targetscan.org/)</w:t>
        </w:r>
      </w:hyperlink>
      <w:r w:rsidRPr="006B4BF5">
        <w:rPr>
          <w:rFonts w:ascii="Book Antiqua" w:hAnsi="Book Antiqua"/>
          <w:sz w:val="24"/>
          <w:szCs w:val="24"/>
          <w:lang w:val="en-US"/>
        </w:rPr>
        <w:t xml:space="preserve"> revealed the putative seed region of </w:t>
      </w:r>
      <w:r w:rsidR="0070059B" w:rsidRPr="006B4BF5">
        <w:rPr>
          <w:rFonts w:ascii="Book Antiqua" w:hAnsi="Book Antiqua"/>
          <w:sz w:val="24"/>
          <w:szCs w:val="24"/>
          <w:lang w:val="en-US"/>
        </w:rPr>
        <w:t>microRNA (</w:t>
      </w:r>
      <w:r w:rsidR="00965F21" w:rsidRPr="006B4BF5">
        <w:rPr>
          <w:rFonts w:ascii="Book Antiqua" w:hAnsi="Book Antiqua"/>
          <w:sz w:val="24"/>
          <w:szCs w:val="24"/>
          <w:lang w:val="en-US"/>
        </w:rPr>
        <w:t>miR</w:t>
      </w:r>
      <w:r w:rsidR="0070059B" w:rsidRPr="006B4BF5">
        <w:rPr>
          <w:rFonts w:ascii="Book Antiqua" w:hAnsi="Book Antiqua"/>
          <w:sz w:val="24"/>
          <w:szCs w:val="24"/>
          <w:lang w:val="en-US"/>
        </w:rPr>
        <w:t>)</w:t>
      </w:r>
      <w:r w:rsidR="00965F21" w:rsidRPr="006B4BF5">
        <w:rPr>
          <w:rFonts w:ascii="Book Antiqua" w:hAnsi="Book Antiqua"/>
          <w:sz w:val="24"/>
          <w:szCs w:val="24"/>
          <w:lang w:val="en-US"/>
        </w:rPr>
        <w:t>-15a in the wild-type (</w:t>
      </w:r>
      <w:r w:rsidR="00541D92" w:rsidRPr="006B4BF5">
        <w:rPr>
          <w:rFonts w:ascii="Book Antiqua" w:hAnsi="Book Antiqua"/>
          <w:sz w:val="24"/>
          <w:szCs w:val="24"/>
          <w:lang w:val="en-US"/>
        </w:rPr>
        <w:t>WT</w:t>
      </w:r>
      <w:r w:rsidR="00965F21" w:rsidRPr="006B4BF5">
        <w:rPr>
          <w:rFonts w:ascii="Book Antiqua" w:hAnsi="Book Antiqua"/>
          <w:sz w:val="24"/>
          <w:szCs w:val="24"/>
          <w:lang w:val="en-US"/>
        </w:rPr>
        <w:t xml:space="preserve">) 3'-UTR of </w:t>
      </w:r>
      <w:r w:rsidR="00117652" w:rsidRPr="006B4BF5">
        <w:rPr>
          <w:rFonts w:ascii="Book Antiqua" w:hAnsi="Book Antiqua"/>
          <w:sz w:val="24"/>
          <w:szCs w:val="24"/>
          <w:lang w:val="en-US"/>
        </w:rPr>
        <w:t>cell division cycle (</w:t>
      </w:r>
      <w:r w:rsidR="00965F21" w:rsidRPr="006B4BF5">
        <w:rPr>
          <w:rFonts w:ascii="Book Antiqua" w:hAnsi="Book Antiqua"/>
          <w:sz w:val="24"/>
          <w:szCs w:val="24"/>
          <w:lang w:val="en-US"/>
        </w:rPr>
        <w:t>Cdc</w:t>
      </w:r>
      <w:r w:rsidR="00117652" w:rsidRPr="006B4BF5">
        <w:rPr>
          <w:rFonts w:ascii="Book Antiqua" w:hAnsi="Book Antiqua"/>
          <w:sz w:val="24"/>
          <w:szCs w:val="24"/>
          <w:lang w:val="en-US"/>
        </w:rPr>
        <w:t>)</w:t>
      </w:r>
      <w:r w:rsidR="00541D92" w:rsidRPr="006B4BF5">
        <w:rPr>
          <w:rFonts w:ascii="Book Antiqua" w:hAnsi="Book Antiqua"/>
          <w:sz w:val="24"/>
          <w:szCs w:val="24"/>
          <w:lang w:val="en-US"/>
        </w:rPr>
        <w:t>42.</w:t>
      </w:r>
      <w:r w:rsidR="00965F21" w:rsidRPr="006B4BF5">
        <w:rPr>
          <w:rFonts w:ascii="Book Antiqua" w:hAnsi="Book Antiqua"/>
          <w:sz w:val="24"/>
          <w:szCs w:val="24"/>
          <w:lang w:val="en-US"/>
        </w:rPr>
        <w:t xml:space="preserve"> The putative binding sites of miR-15a on </w:t>
      </w:r>
      <w:r w:rsidR="00541D92" w:rsidRPr="006B4BF5">
        <w:rPr>
          <w:rFonts w:ascii="Book Antiqua" w:hAnsi="Book Antiqua"/>
          <w:sz w:val="24"/>
          <w:szCs w:val="24"/>
          <w:lang w:val="en-US"/>
        </w:rPr>
        <w:t>WT</w:t>
      </w:r>
      <w:r w:rsidR="00965F21" w:rsidRPr="006B4BF5">
        <w:rPr>
          <w:rFonts w:ascii="Book Antiqua" w:hAnsi="Book Antiqua"/>
          <w:sz w:val="24"/>
          <w:szCs w:val="24"/>
          <w:lang w:val="en-US"/>
        </w:rPr>
        <w:t xml:space="preserve"> Cdc42 3’-UTR was highlighted. A mutated (</w:t>
      </w:r>
      <w:r w:rsidR="00541D92" w:rsidRPr="006B4BF5">
        <w:rPr>
          <w:rFonts w:ascii="Book Antiqua" w:hAnsi="Book Antiqua"/>
          <w:sz w:val="24"/>
          <w:szCs w:val="24"/>
          <w:lang w:val="en-US"/>
        </w:rPr>
        <w:t>MUT</w:t>
      </w:r>
      <w:r w:rsidR="00965F21" w:rsidRPr="006B4BF5">
        <w:rPr>
          <w:rFonts w:ascii="Book Antiqua" w:hAnsi="Book Antiqua"/>
          <w:sz w:val="24"/>
          <w:szCs w:val="24"/>
          <w:lang w:val="en-US"/>
        </w:rPr>
        <w:t xml:space="preserve">) Cdc42 3’-UTR sequence was generated for the application of luciferase assay. B: In a dual-luciferase reporter assay, 293T cells were transfected with firefly luciferase reporter inserted with </w:t>
      </w:r>
      <w:r w:rsidR="00541D92" w:rsidRPr="006B4BF5">
        <w:rPr>
          <w:rFonts w:ascii="Book Antiqua" w:hAnsi="Book Antiqua"/>
          <w:sz w:val="24"/>
          <w:szCs w:val="24"/>
          <w:lang w:val="en-US"/>
        </w:rPr>
        <w:t>WT</w:t>
      </w:r>
      <w:r w:rsidR="00965F21" w:rsidRPr="006B4BF5">
        <w:rPr>
          <w:rFonts w:ascii="Book Antiqua" w:hAnsi="Book Antiqua"/>
          <w:sz w:val="24"/>
          <w:szCs w:val="24"/>
          <w:lang w:val="en-US"/>
        </w:rPr>
        <w:t xml:space="preserve"> Cdc42 3’-UTR Plasmid (Cdc42-</w:t>
      </w:r>
      <w:r w:rsidR="00541D92" w:rsidRPr="006B4BF5">
        <w:rPr>
          <w:rFonts w:ascii="Book Antiqua" w:hAnsi="Book Antiqua"/>
          <w:sz w:val="24"/>
          <w:szCs w:val="24"/>
          <w:lang w:val="en-US"/>
        </w:rPr>
        <w:t>WT</w:t>
      </w:r>
      <w:r w:rsidR="00965F21" w:rsidRPr="006B4BF5">
        <w:rPr>
          <w:rFonts w:ascii="Book Antiqua" w:hAnsi="Book Antiqua"/>
          <w:sz w:val="24"/>
          <w:szCs w:val="24"/>
          <w:lang w:val="en-US"/>
        </w:rPr>
        <w:t xml:space="preserve">), or the reporter inserted with </w:t>
      </w:r>
      <w:r w:rsidR="00541D92" w:rsidRPr="006B4BF5">
        <w:rPr>
          <w:rFonts w:ascii="Book Antiqua" w:hAnsi="Book Antiqua"/>
          <w:sz w:val="24"/>
          <w:szCs w:val="24"/>
          <w:lang w:val="en-US"/>
        </w:rPr>
        <w:t>MUT</w:t>
      </w:r>
      <w:r w:rsidR="00965F21" w:rsidRPr="006B4BF5">
        <w:rPr>
          <w:rFonts w:ascii="Book Antiqua" w:hAnsi="Book Antiqua"/>
          <w:sz w:val="24"/>
          <w:szCs w:val="24"/>
          <w:lang w:val="en-US"/>
        </w:rPr>
        <w:t xml:space="preserve"> Cdc42 3’-UTR Plasmid (Cdc42-</w:t>
      </w:r>
      <w:r w:rsidR="00541D92" w:rsidRPr="006B4BF5">
        <w:rPr>
          <w:rFonts w:ascii="Book Antiqua" w:hAnsi="Book Antiqua"/>
          <w:sz w:val="24"/>
          <w:szCs w:val="24"/>
          <w:lang w:val="en-US"/>
        </w:rPr>
        <w:t>MUT), also, cells were co-transfected with either miR-15a</w:t>
      </w:r>
      <w:r w:rsidR="00965F21" w:rsidRPr="006B4BF5">
        <w:rPr>
          <w:rFonts w:ascii="Book Antiqua" w:hAnsi="Book Antiqua"/>
          <w:sz w:val="24"/>
          <w:szCs w:val="24"/>
          <w:lang w:val="en-US"/>
        </w:rPr>
        <w:t xml:space="preserve"> mimics Plasmid</w:t>
      </w:r>
      <w:r w:rsidR="001D0597" w:rsidRPr="006B4BF5">
        <w:rPr>
          <w:rFonts w:ascii="Book Antiqua" w:hAnsi="Book Antiqua"/>
          <w:sz w:val="24"/>
          <w:szCs w:val="24"/>
          <w:lang w:val="en-US"/>
        </w:rPr>
        <w:t xml:space="preserve"> </w:t>
      </w:r>
      <w:r w:rsidR="00965F21" w:rsidRPr="006B4BF5">
        <w:rPr>
          <w:rFonts w:ascii="Book Antiqua" w:hAnsi="Book Antiqua"/>
          <w:sz w:val="24"/>
          <w:szCs w:val="24"/>
          <w:lang w:val="en-US"/>
        </w:rPr>
        <w:t>(miR-15a</w:t>
      </w:r>
      <w:r w:rsidR="00541D92" w:rsidRPr="006B4BF5">
        <w:rPr>
          <w:rFonts w:ascii="Book Antiqua" w:hAnsi="Book Antiqua"/>
          <w:sz w:val="24"/>
          <w:szCs w:val="24"/>
          <w:lang w:val="en-US"/>
        </w:rPr>
        <w:t xml:space="preserve">) </w:t>
      </w:r>
      <w:r w:rsidR="00BB6FAC" w:rsidRPr="006B4BF5">
        <w:rPr>
          <w:rFonts w:ascii="Book Antiqua" w:hAnsi="Book Antiqua"/>
          <w:sz w:val="24"/>
          <w:szCs w:val="24"/>
          <w:lang w:val="en-US"/>
        </w:rPr>
        <w:t>or its negative control</w:t>
      </w:r>
      <w:r w:rsidR="00541D92" w:rsidRPr="006B4BF5">
        <w:rPr>
          <w:rFonts w:ascii="Book Antiqua" w:hAnsi="Book Antiqua"/>
          <w:sz w:val="24"/>
          <w:szCs w:val="24"/>
          <w:lang w:val="en-US"/>
        </w:rPr>
        <w:t xml:space="preserve"> p</w:t>
      </w:r>
      <w:r w:rsidR="00BB6FAC" w:rsidRPr="006B4BF5">
        <w:rPr>
          <w:rFonts w:ascii="Book Antiqua" w:hAnsi="Book Antiqua"/>
          <w:sz w:val="24"/>
          <w:szCs w:val="24"/>
          <w:lang w:val="en-US"/>
        </w:rPr>
        <w:t>lasmid</w:t>
      </w:r>
      <w:r w:rsidR="00965F21" w:rsidRPr="006B4BF5">
        <w:rPr>
          <w:rFonts w:ascii="Book Antiqua" w:hAnsi="Book Antiqua"/>
          <w:sz w:val="24"/>
          <w:szCs w:val="24"/>
          <w:lang w:val="en-US"/>
        </w:rPr>
        <w:t xml:space="preserve"> (miR-NC</w:t>
      </w:r>
      <w:r w:rsidR="00541D92" w:rsidRPr="006B4BF5">
        <w:rPr>
          <w:rFonts w:ascii="Book Antiqua" w:hAnsi="Book Antiqua"/>
          <w:sz w:val="24"/>
          <w:szCs w:val="24"/>
          <w:lang w:val="en-US"/>
        </w:rPr>
        <w:t>)</w:t>
      </w:r>
      <w:r w:rsidR="00965F21" w:rsidRPr="006B4BF5">
        <w:rPr>
          <w:rFonts w:ascii="Book Antiqua" w:hAnsi="Book Antiqua"/>
          <w:sz w:val="24"/>
          <w:szCs w:val="24"/>
          <w:lang w:val="en-US"/>
        </w:rPr>
        <w:t>.</w:t>
      </w:r>
      <w:r w:rsidR="00541D92" w:rsidRPr="006B4BF5">
        <w:rPr>
          <w:rFonts w:ascii="Book Antiqua" w:hAnsi="Book Antiqua"/>
          <w:sz w:val="24"/>
          <w:szCs w:val="24"/>
          <w:lang w:val="en-US"/>
        </w:rPr>
        <w:t xml:space="preserve"> At 48 </w:t>
      </w:r>
      <w:r w:rsidR="00965F21" w:rsidRPr="006B4BF5">
        <w:rPr>
          <w:rFonts w:ascii="Book Antiqua" w:hAnsi="Book Antiqua"/>
          <w:sz w:val="24"/>
          <w:szCs w:val="24"/>
          <w:lang w:val="en-US"/>
        </w:rPr>
        <w:t>h after transfection,</w:t>
      </w:r>
      <w:r w:rsidR="00541D92" w:rsidRPr="006B4BF5">
        <w:rPr>
          <w:rFonts w:ascii="Book Antiqua" w:hAnsi="Book Antiqua"/>
          <w:sz w:val="24"/>
          <w:szCs w:val="24"/>
          <w:lang w:val="en-US"/>
        </w:rPr>
        <w:t xml:space="preserve"> </w:t>
      </w:r>
      <w:r w:rsidR="00965F21" w:rsidRPr="006B4BF5">
        <w:rPr>
          <w:rFonts w:ascii="Book Antiqua" w:hAnsi="Book Antiqua"/>
          <w:sz w:val="24"/>
          <w:szCs w:val="24"/>
          <w:lang w:val="en-US"/>
        </w:rPr>
        <w:t>relative luciferase activities were evaluated and normalized to the values in cells transfected with Cdc42-</w:t>
      </w:r>
      <w:r w:rsidR="00541D92" w:rsidRPr="006B4BF5">
        <w:rPr>
          <w:rFonts w:ascii="Book Antiqua" w:hAnsi="Book Antiqua"/>
          <w:sz w:val="24"/>
          <w:szCs w:val="24"/>
          <w:lang w:val="en-US"/>
        </w:rPr>
        <w:t>MUT</w:t>
      </w:r>
      <w:r w:rsidR="00965F21" w:rsidRPr="006B4BF5">
        <w:rPr>
          <w:rFonts w:ascii="Book Antiqua" w:hAnsi="Book Antiqua"/>
          <w:sz w:val="24"/>
          <w:szCs w:val="24"/>
          <w:lang w:val="en-US"/>
        </w:rPr>
        <w:t xml:space="preserve"> (</w:t>
      </w:r>
      <w:r w:rsidR="0053118D" w:rsidRPr="006B4BF5">
        <w:rPr>
          <w:rFonts w:ascii="Book Antiqua" w:hAnsi="Book Antiqua"/>
          <w:sz w:val="24"/>
          <w:szCs w:val="24"/>
          <w:vertAlign w:val="superscript"/>
          <w:lang w:val="en-US"/>
        </w:rPr>
        <w:t>b</w:t>
      </w:r>
      <w:r w:rsidR="0053118D" w:rsidRPr="006B4BF5">
        <w:rPr>
          <w:rFonts w:ascii="Book Antiqua" w:hAnsi="Book Antiqua"/>
          <w:i/>
          <w:sz w:val="24"/>
          <w:szCs w:val="24"/>
          <w:lang w:val="en-US"/>
        </w:rPr>
        <w:t>P</w:t>
      </w:r>
      <w:r w:rsidR="00541D92" w:rsidRPr="006B4BF5">
        <w:rPr>
          <w:rFonts w:ascii="Book Antiqua" w:hAnsi="Book Antiqua"/>
          <w:i/>
          <w:sz w:val="24"/>
          <w:szCs w:val="24"/>
          <w:lang w:val="en-US"/>
        </w:rPr>
        <w:t xml:space="preserve"> </w:t>
      </w:r>
      <w:r w:rsidR="00965F21" w:rsidRPr="006B4BF5">
        <w:rPr>
          <w:rFonts w:ascii="Book Antiqua" w:hAnsi="Book Antiqua"/>
          <w:sz w:val="24"/>
          <w:szCs w:val="24"/>
          <w:lang w:val="en-US"/>
        </w:rPr>
        <w:t>&lt;</w:t>
      </w:r>
      <w:r w:rsidR="00541D92" w:rsidRPr="006B4BF5">
        <w:rPr>
          <w:rFonts w:ascii="Book Antiqua" w:hAnsi="Book Antiqua"/>
          <w:sz w:val="24"/>
          <w:szCs w:val="24"/>
          <w:lang w:val="en-US"/>
        </w:rPr>
        <w:t xml:space="preserve"> </w:t>
      </w:r>
      <w:r w:rsidR="00965F21" w:rsidRPr="006B4BF5">
        <w:rPr>
          <w:rFonts w:ascii="Book Antiqua" w:hAnsi="Book Antiqua"/>
          <w:sz w:val="24"/>
          <w:szCs w:val="24"/>
          <w:lang w:val="en-US"/>
        </w:rPr>
        <w:t xml:space="preserve">0.01 </w:t>
      </w:r>
      <w:r w:rsidR="00541D92" w:rsidRPr="006B4BF5">
        <w:rPr>
          <w:rFonts w:ascii="Book Antiqua" w:hAnsi="Book Antiqua"/>
          <w:i/>
          <w:sz w:val="24"/>
          <w:szCs w:val="24"/>
          <w:lang w:val="en-US"/>
        </w:rPr>
        <w:t>vs</w:t>
      </w:r>
      <w:r w:rsidR="00965F21" w:rsidRPr="006B4BF5">
        <w:rPr>
          <w:rFonts w:ascii="Book Antiqua" w:hAnsi="Book Antiqua"/>
          <w:sz w:val="24"/>
          <w:szCs w:val="24"/>
          <w:lang w:val="en-US"/>
        </w:rPr>
        <w:t xml:space="preserve"> Cdc42-</w:t>
      </w:r>
      <w:r w:rsidR="00541D92" w:rsidRPr="006B4BF5">
        <w:rPr>
          <w:rFonts w:ascii="Book Antiqua" w:hAnsi="Book Antiqua"/>
          <w:sz w:val="24"/>
          <w:szCs w:val="24"/>
          <w:lang w:val="en-US"/>
        </w:rPr>
        <w:t>MUT)</w:t>
      </w:r>
      <w:r w:rsidR="00965F21" w:rsidRPr="006B4BF5">
        <w:rPr>
          <w:rFonts w:ascii="Book Antiqua" w:hAnsi="Book Antiqua"/>
          <w:sz w:val="24"/>
          <w:szCs w:val="24"/>
          <w:lang w:val="en-US"/>
        </w:rPr>
        <w:t>.</w:t>
      </w:r>
      <w:r w:rsidR="00654BB3" w:rsidRPr="006B4BF5">
        <w:rPr>
          <w:rFonts w:ascii="Book Antiqua" w:hAnsi="Book Antiqua"/>
          <w:sz w:val="24"/>
          <w:szCs w:val="24"/>
          <w:lang w:val="en-US"/>
        </w:rPr>
        <w:t xml:space="preserve"> </w:t>
      </w:r>
      <w:r w:rsidR="00541D92" w:rsidRPr="006B4BF5">
        <w:rPr>
          <w:rFonts w:ascii="Book Antiqua" w:hAnsi="Book Antiqua"/>
          <w:sz w:val="24"/>
          <w:szCs w:val="24"/>
          <w:lang w:val="en-US"/>
        </w:rPr>
        <w:t>Cdc42:</w:t>
      </w:r>
      <w:r w:rsidR="00654BB3" w:rsidRPr="006B4BF5">
        <w:rPr>
          <w:rFonts w:ascii="Book Antiqua" w:hAnsi="Book Antiqua"/>
          <w:sz w:val="24"/>
          <w:szCs w:val="24"/>
          <w:lang w:val="en-US"/>
        </w:rPr>
        <w:t xml:space="preserve"> </w:t>
      </w:r>
      <w:r w:rsidR="00541D92" w:rsidRPr="006B4BF5">
        <w:rPr>
          <w:rFonts w:ascii="Book Antiqua" w:hAnsi="Book Antiqua"/>
          <w:sz w:val="24"/>
          <w:szCs w:val="24"/>
          <w:lang w:val="en-US"/>
        </w:rPr>
        <w:t>C</w:t>
      </w:r>
      <w:r w:rsidR="00440FE3" w:rsidRPr="006B4BF5">
        <w:rPr>
          <w:rFonts w:ascii="Book Antiqua" w:hAnsi="Book Antiqua"/>
          <w:sz w:val="24"/>
          <w:szCs w:val="24"/>
          <w:lang w:val="en-US"/>
        </w:rPr>
        <w:t>ell division cycle</w:t>
      </w:r>
      <w:r w:rsidR="00541D92" w:rsidRPr="006B4BF5">
        <w:rPr>
          <w:rFonts w:ascii="Book Antiqua" w:hAnsi="Book Antiqua"/>
          <w:sz w:val="24"/>
          <w:szCs w:val="24"/>
          <w:lang w:val="en-US"/>
        </w:rPr>
        <w:t xml:space="preserve"> 42;</w:t>
      </w:r>
      <w:r w:rsidR="00440FE3" w:rsidRPr="006B4BF5">
        <w:rPr>
          <w:rFonts w:ascii="Book Antiqua" w:hAnsi="Book Antiqua"/>
          <w:sz w:val="24"/>
          <w:szCs w:val="24"/>
          <w:lang w:val="en-US"/>
        </w:rPr>
        <w:t xml:space="preserve"> </w:t>
      </w:r>
      <w:r w:rsidR="00541D92" w:rsidRPr="006B4BF5">
        <w:rPr>
          <w:rFonts w:ascii="Book Antiqua" w:hAnsi="Book Antiqua"/>
          <w:sz w:val="24"/>
          <w:szCs w:val="24"/>
          <w:lang w:val="en-US"/>
        </w:rPr>
        <w:t>MUT: M</w:t>
      </w:r>
      <w:r w:rsidR="00440FE3" w:rsidRPr="006B4BF5">
        <w:rPr>
          <w:rFonts w:ascii="Book Antiqua" w:hAnsi="Book Antiqua"/>
          <w:sz w:val="24"/>
          <w:szCs w:val="24"/>
          <w:lang w:val="en-US"/>
        </w:rPr>
        <w:t>utat</w:t>
      </w:r>
      <w:r w:rsidR="00541D92" w:rsidRPr="006B4BF5">
        <w:rPr>
          <w:rFonts w:ascii="Book Antiqua" w:hAnsi="Book Antiqua"/>
          <w:sz w:val="24"/>
          <w:szCs w:val="24"/>
          <w:lang w:val="en-US"/>
        </w:rPr>
        <w:t>ion;</w:t>
      </w:r>
      <w:r w:rsidR="00440FE3" w:rsidRPr="006B4BF5">
        <w:rPr>
          <w:rFonts w:ascii="Book Antiqua" w:hAnsi="Book Antiqua"/>
          <w:sz w:val="24"/>
          <w:szCs w:val="24"/>
          <w:lang w:val="en-US"/>
        </w:rPr>
        <w:t xml:space="preserve"> </w:t>
      </w:r>
      <w:r w:rsidR="00541D92" w:rsidRPr="006B4BF5">
        <w:rPr>
          <w:rFonts w:ascii="Book Antiqua" w:hAnsi="Book Antiqua"/>
          <w:sz w:val="24"/>
          <w:szCs w:val="24"/>
          <w:lang w:val="en-US"/>
        </w:rPr>
        <w:t>WT: Wildtype;</w:t>
      </w:r>
      <w:r w:rsidR="00654BB3" w:rsidRPr="006B4BF5">
        <w:rPr>
          <w:rFonts w:ascii="Book Antiqua" w:hAnsi="Book Antiqua"/>
          <w:sz w:val="24"/>
          <w:szCs w:val="24"/>
          <w:lang w:val="en-US"/>
        </w:rPr>
        <w:t xml:space="preserve"> miR</w:t>
      </w:r>
      <w:r w:rsidR="00541D92" w:rsidRPr="006B4BF5">
        <w:rPr>
          <w:rFonts w:ascii="Book Antiqua" w:hAnsi="Book Antiqua"/>
          <w:sz w:val="24"/>
          <w:szCs w:val="24"/>
          <w:lang w:val="en-US"/>
        </w:rPr>
        <w:t>: M</w:t>
      </w:r>
      <w:r w:rsidR="00440FE3" w:rsidRPr="006B4BF5">
        <w:rPr>
          <w:rFonts w:ascii="Book Antiqua" w:hAnsi="Book Antiqua"/>
          <w:sz w:val="24"/>
          <w:szCs w:val="24"/>
          <w:lang w:val="en-US"/>
        </w:rPr>
        <w:t>i</w:t>
      </w:r>
      <w:r w:rsidR="00541D92" w:rsidRPr="006B4BF5">
        <w:rPr>
          <w:rFonts w:ascii="Book Antiqua" w:hAnsi="Book Antiqua"/>
          <w:sz w:val="24"/>
          <w:szCs w:val="24"/>
          <w:lang w:val="en-US"/>
        </w:rPr>
        <w:t>cro</w:t>
      </w:r>
      <w:r w:rsidR="00440FE3" w:rsidRPr="006B4BF5">
        <w:rPr>
          <w:rFonts w:ascii="Book Antiqua" w:hAnsi="Book Antiqua"/>
          <w:sz w:val="24"/>
          <w:szCs w:val="24"/>
          <w:lang w:val="en-US"/>
        </w:rPr>
        <w:t>RNA</w:t>
      </w:r>
      <w:r w:rsidR="00541D92" w:rsidRPr="006B4BF5">
        <w:rPr>
          <w:rFonts w:ascii="Book Antiqua" w:hAnsi="Book Antiqua"/>
          <w:sz w:val="24"/>
          <w:szCs w:val="24"/>
          <w:lang w:val="en-US"/>
        </w:rPr>
        <w:t>; NC: N</w:t>
      </w:r>
      <w:r w:rsidR="00BA066A" w:rsidRPr="006B4BF5">
        <w:rPr>
          <w:rFonts w:ascii="Book Antiqua" w:hAnsi="Book Antiqua"/>
          <w:sz w:val="24"/>
          <w:szCs w:val="24"/>
          <w:lang w:val="en-US"/>
        </w:rPr>
        <w:t>egative control</w:t>
      </w:r>
      <w:r w:rsidR="00541D92" w:rsidRPr="006B4BF5">
        <w:rPr>
          <w:rFonts w:ascii="Book Antiqua" w:hAnsi="Book Antiqua"/>
          <w:sz w:val="24"/>
          <w:szCs w:val="24"/>
          <w:lang w:val="en-US"/>
        </w:rPr>
        <w:t>.</w:t>
      </w:r>
      <w:r w:rsidR="00F35463" w:rsidRPr="006B4BF5">
        <w:rPr>
          <w:rFonts w:ascii="Book Antiqua" w:hAnsi="Book Antiqua"/>
          <w:sz w:val="24"/>
          <w:szCs w:val="24"/>
          <w:lang w:val="en-US"/>
        </w:rPr>
        <w:t xml:space="preserve"> </w:t>
      </w:r>
    </w:p>
    <w:p w14:paraId="5A133852" w14:textId="77777777" w:rsidR="00847867" w:rsidRPr="006B4BF5" w:rsidRDefault="00847867"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br w:type="page"/>
      </w:r>
    </w:p>
    <w:p w14:paraId="2E6490E9" w14:textId="7BDFCDB2" w:rsidR="00847867" w:rsidRPr="006B4BF5" w:rsidRDefault="00847867" w:rsidP="007B12C8">
      <w:pPr>
        <w:adjustRightInd w:val="0"/>
        <w:snapToGrid w:val="0"/>
        <w:spacing w:line="360" w:lineRule="auto"/>
        <w:jc w:val="both"/>
        <w:rPr>
          <w:rFonts w:ascii="Book Antiqua" w:hAnsi="Book Antiqua"/>
          <w:sz w:val="24"/>
          <w:szCs w:val="24"/>
        </w:rPr>
      </w:pPr>
      <w:r w:rsidRPr="006B4BF5">
        <w:rPr>
          <w:rFonts w:ascii="Book Antiqua" w:hAnsi="Book Antiqua"/>
          <w:noProof/>
          <w:sz w:val="24"/>
          <w:szCs w:val="24"/>
          <w:lang w:val="en-US" w:bidi="ar-SA"/>
        </w:rPr>
        <w:lastRenderedPageBreak/>
        <w:drawing>
          <wp:inline distT="0" distB="0" distL="0" distR="0" wp14:anchorId="53E31B60" wp14:editId="600D4BFE">
            <wp:extent cx="5734050" cy="221996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4050" cy="2219960"/>
                    </a:xfrm>
                    <a:prstGeom prst="rect">
                      <a:avLst/>
                    </a:prstGeom>
                  </pic:spPr>
                </pic:pic>
              </a:graphicData>
            </a:graphic>
          </wp:inline>
        </w:drawing>
      </w:r>
    </w:p>
    <w:p w14:paraId="28ED087F" w14:textId="209E3127" w:rsidR="00847867" w:rsidRPr="006B4BF5" w:rsidRDefault="002E32C2" w:rsidP="007B12C8">
      <w:pPr>
        <w:adjustRightInd w:val="0"/>
        <w:snapToGrid w:val="0"/>
        <w:spacing w:line="360" w:lineRule="auto"/>
        <w:jc w:val="both"/>
        <w:rPr>
          <w:rFonts w:ascii="Book Antiqua" w:hAnsi="Book Antiqua"/>
          <w:sz w:val="24"/>
          <w:szCs w:val="24"/>
          <w:lang w:val="en-US"/>
        </w:rPr>
      </w:pPr>
      <w:r w:rsidRPr="006B4BF5">
        <w:rPr>
          <w:rFonts w:ascii="Book Antiqua" w:hAnsi="Book Antiqua"/>
          <w:b/>
          <w:sz w:val="24"/>
          <w:szCs w:val="24"/>
          <w:lang w:val="en-US"/>
        </w:rPr>
        <w:t xml:space="preserve">Figure 2 </w:t>
      </w:r>
      <w:r w:rsidR="001D0597" w:rsidRPr="006B4BF5">
        <w:rPr>
          <w:rFonts w:ascii="Book Antiqua" w:hAnsi="Book Antiqua"/>
          <w:b/>
          <w:sz w:val="24"/>
          <w:szCs w:val="24"/>
          <w:lang w:val="en-US"/>
        </w:rPr>
        <w:t>Tumor necrosis factor-</w:t>
      </w:r>
      <w:r w:rsidR="001D0597" w:rsidRPr="006B4BF5">
        <w:rPr>
          <w:rFonts w:ascii="Book Antiqua" w:hAnsi="Book Antiqua"/>
          <w:b/>
          <w:sz w:val="24"/>
          <w:szCs w:val="24"/>
        </w:rPr>
        <w:t>α</w:t>
      </w:r>
      <w:r w:rsidR="001D0597" w:rsidRPr="006B4BF5">
        <w:rPr>
          <w:rFonts w:ascii="Book Antiqua" w:hAnsi="Book Antiqua"/>
          <w:b/>
          <w:sz w:val="24"/>
          <w:szCs w:val="24"/>
          <w:lang w:val="en-US"/>
        </w:rPr>
        <w:t xml:space="preserve"> </w:t>
      </w:r>
      <w:r w:rsidRPr="006B4BF5">
        <w:rPr>
          <w:rFonts w:ascii="Book Antiqua" w:hAnsi="Book Antiqua"/>
          <w:b/>
          <w:sz w:val="24"/>
          <w:szCs w:val="24"/>
          <w:lang w:val="en-US"/>
        </w:rPr>
        <w:t xml:space="preserve">induced </w:t>
      </w:r>
      <w:r w:rsidR="00607F67" w:rsidRPr="006B4BF5">
        <w:rPr>
          <w:rFonts w:ascii="Book Antiqua" w:hAnsi="Book Antiqua"/>
          <w:b/>
          <w:sz w:val="24"/>
          <w:szCs w:val="24"/>
          <w:lang w:val="en-US"/>
        </w:rPr>
        <w:t xml:space="preserve">microRNA-15a upregulation </w:t>
      </w:r>
      <w:r w:rsidRPr="006B4BF5">
        <w:rPr>
          <w:rFonts w:ascii="Book Antiqua" w:hAnsi="Book Antiqua"/>
          <w:b/>
          <w:sz w:val="24"/>
          <w:szCs w:val="24"/>
          <w:lang w:val="en-US"/>
        </w:rPr>
        <w:t xml:space="preserve">and </w:t>
      </w:r>
      <w:bookmarkStart w:id="140" w:name="OLE_LINK32"/>
      <w:r w:rsidR="001D0597" w:rsidRPr="006B4BF5">
        <w:rPr>
          <w:rFonts w:ascii="Book Antiqua" w:hAnsi="Book Antiqua"/>
          <w:b/>
          <w:sz w:val="24"/>
          <w:szCs w:val="24"/>
          <w:lang w:val="en-US"/>
        </w:rPr>
        <w:t>cell division cycle</w:t>
      </w:r>
      <w:bookmarkEnd w:id="140"/>
      <w:r w:rsidR="001D0597" w:rsidRPr="006B4BF5">
        <w:rPr>
          <w:rFonts w:ascii="Book Antiqua" w:hAnsi="Book Antiqua"/>
          <w:b/>
          <w:sz w:val="24"/>
          <w:szCs w:val="24"/>
          <w:lang w:val="en-US"/>
        </w:rPr>
        <w:t xml:space="preserve"> 42</w:t>
      </w:r>
      <w:r w:rsidR="00BB6FAC" w:rsidRPr="006B4BF5">
        <w:rPr>
          <w:rFonts w:ascii="Book Antiqua" w:hAnsi="Book Antiqua"/>
          <w:b/>
          <w:sz w:val="24"/>
          <w:szCs w:val="24"/>
          <w:lang w:val="en-US"/>
        </w:rPr>
        <w:t xml:space="preserve"> downregulation</w:t>
      </w:r>
      <w:r w:rsidRPr="006B4BF5">
        <w:rPr>
          <w:rFonts w:ascii="Book Antiqua" w:hAnsi="Book Antiqua"/>
          <w:b/>
          <w:sz w:val="24"/>
          <w:szCs w:val="24"/>
          <w:lang w:val="en-US"/>
        </w:rPr>
        <w:t xml:space="preserve"> in Caco-2 cells.</w:t>
      </w:r>
      <w:r w:rsidRPr="006B4BF5">
        <w:rPr>
          <w:rFonts w:ascii="Book Antiqua" w:hAnsi="Book Antiqua"/>
          <w:sz w:val="24"/>
          <w:szCs w:val="24"/>
          <w:lang w:val="en-US"/>
        </w:rPr>
        <w:t xml:space="preserve"> Caco-2 cells were stimulated by </w:t>
      </w:r>
      <w:r w:rsidR="00607F67" w:rsidRPr="006B4BF5">
        <w:rPr>
          <w:rFonts w:ascii="Book Antiqua" w:hAnsi="Book Antiqua"/>
          <w:sz w:val="24"/>
          <w:szCs w:val="24"/>
          <w:lang w:val="en-US"/>
        </w:rPr>
        <w:t>tumor necrosis factor-</w:t>
      </w:r>
      <w:r w:rsidR="00607F67" w:rsidRPr="006B4BF5">
        <w:rPr>
          <w:rFonts w:ascii="Book Antiqua" w:hAnsi="Book Antiqua"/>
          <w:sz w:val="24"/>
          <w:szCs w:val="24"/>
        </w:rPr>
        <w:t>α</w:t>
      </w:r>
      <w:r w:rsidR="00607F67" w:rsidRPr="006B4BF5">
        <w:rPr>
          <w:rFonts w:ascii="Book Antiqua" w:hAnsi="Book Antiqua"/>
          <w:sz w:val="24"/>
          <w:szCs w:val="24"/>
          <w:lang w:val="en-US"/>
        </w:rPr>
        <w:t xml:space="preserve"> (</w:t>
      </w:r>
      <w:r w:rsidRPr="006B4BF5">
        <w:rPr>
          <w:rFonts w:ascii="Book Antiqua" w:hAnsi="Book Antiqua"/>
          <w:sz w:val="24"/>
          <w:szCs w:val="24"/>
          <w:lang w:val="en-US"/>
        </w:rPr>
        <w:t>TNF-</w:t>
      </w:r>
      <w:r w:rsidRPr="006B4BF5">
        <w:rPr>
          <w:rFonts w:ascii="Book Antiqua" w:hAnsi="Book Antiqua"/>
          <w:sz w:val="24"/>
          <w:szCs w:val="24"/>
        </w:rPr>
        <w:t>α</w:t>
      </w:r>
      <w:r w:rsidR="00607F67" w:rsidRPr="006B4BF5">
        <w:rPr>
          <w:rFonts w:ascii="Book Antiqua" w:hAnsi="Book Antiqua"/>
          <w:sz w:val="24"/>
          <w:szCs w:val="24"/>
          <w:lang w:val="en-US"/>
        </w:rPr>
        <w:t>)</w:t>
      </w:r>
      <w:r w:rsidRPr="006B4BF5">
        <w:rPr>
          <w:rFonts w:ascii="Book Antiqua" w:hAnsi="Book Antiqua"/>
          <w:sz w:val="24"/>
          <w:szCs w:val="24"/>
          <w:lang w:val="en-US"/>
        </w:rPr>
        <w:t xml:space="preserve"> (35 ng/mL) (TNF-</w:t>
      </w:r>
      <w:r w:rsidRPr="006B4BF5">
        <w:rPr>
          <w:rFonts w:ascii="Book Antiqua" w:hAnsi="Book Antiqua"/>
          <w:sz w:val="24"/>
          <w:szCs w:val="24"/>
        </w:rPr>
        <w:t>α</w:t>
      </w:r>
      <w:r w:rsidRPr="006B4BF5">
        <w:rPr>
          <w:rFonts w:ascii="Book Antiqua" w:hAnsi="Book Antiqua"/>
          <w:sz w:val="24"/>
          <w:szCs w:val="24"/>
          <w:lang w:val="en-US"/>
        </w:rPr>
        <w:t xml:space="preserve"> group) or medium with no TNF-</w:t>
      </w:r>
      <w:r w:rsidRPr="006B4BF5">
        <w:rPr>
          <w:rFonts w:ascii="Book Antiqua" w:hAnsi="Book Antiqua"/>
          <w:sz w:val="24"/>
          <w:szCs w:val="24"/>
        </w:rPr>
        <w:t>α</w:t>
      </w:r>
      <w:r w:rsidRPr="006B4BF5">
        <w:rPr>
          <w:rFonts w:ascii="Book Antiqua" w:hAnsi="Book Antiqua"/>
          <w:sz w:val="24"/>
          <w:szCs w:val="24"/>
          <w:lang w:val="en-US"/>
        </w:rPr>
        <w:t xml:space="preserve"> (control) for 60 h. A: </w:t>
      </w:r>
      <w:r w:rsidR="00607F67" w:rsidRPr="006B4BF5">
        <w:rPr>
          <w:rFonts w:ascii="Book Antiqua" w:hAnsi="Book Antiqua"/>
          <w:sz w:val="24"/>
          <w:szCs w:val="24"/>
          <w:lang w:val="en-US"/>
        </w:rPr>
        <w:t>Quantitative reverse transcription polymerase chain reaction (qRT-PCR)</w:t>
      </w:r>
      <w:r w:rsidRPr="006B4BF5">
        <w:rPr>
          <w:rFonts w:ascii="Book Antiqua" w:hAnsi="Book Antiqua"/>
          <w:sz w:val="24"/>
          <w:szCs w:val="24"/>
          <w:lang w:val="en-US"/>
        </w:rPr>
        <w:t xml:space="preserve"> was used to evaluate the relative mRNA expression of </w:t>
      </w:r>
      <w:r w:rsidR="00607F67" w:rsidRPr="006B4BF5">
        <w:rPr>
          <w:rFonts w:ascii="Book Antiqua" w:hAnsi="Book Antiqua"/>
          <w:sz w:val="24"/>
          <w:szCs w:val="24"/>
          <w:lang w:val="en-US"/>
        </w:rPr>
        <w:t>microRNA (</w:t>
      </w:r>
      <w:r w:rsidRPr="006B4BF5">
        <w:rPr>
          <w:rFonts w:ascii="Book Antiqua" w:hAnsi="Book Antiqua"/>
          <w:sz w:val="24"/>
          <w:szCs w:val="24"/>
          <w:lang w:val="en-US"/>
        </w:rPr>
        <w:t>miR</w:t>
      </w:r>
      <w:r w:rsidR="00607F67" w:rsidRPr="006B4BF5">
        <w:rPr>
          <w:rFonts w:ascii="Book Antiqua" w:hAnsi="Book Antiqua"/>
          <w:sz w:val="24"/>
          <w:szCs w:val="24"/>
          <w:lang w:val="en-US"/>
        </w:rPr>
        <w:t>)</w:t>
      </w:r>
      <w:r w:rsidRPr="006B4BF5">
        <w:rPr>
          <w:rFonts w:ascii="Book Antiqua" w:hAnsi="Book Antiqua"/>
          <w:sz w:val="24"/>
          <w:szCs w:val="24"/>
          <w:lang w:val="en-US"/>
        </w:rPr>
        <w:t>-15a in the control and TNF-</w:t>
      </w:r>
      <w:r w:rsidRPr="006B4BF5">
        <w:rPr>
          <w:rFonts w:ascii="Book Antiqua" w:hAnsi="Book Antiqua"/>
          <w:sz w:val="24"/>
          <w:szCs w:val="24"/>
        </w:rPr>
        <w:t>α</w:t>
      </w:r>
      <w:r w:rsidRPr="006B4BF5">
        <w:rPr>
          <w:rFonts w:ascii="Book Antiqua" w:hAnsi="Book Antiqua"/>
          <w:sz w:val="24"/>
          <w:szCs w:val="24"/>
          <w:lang w:val="en-US"/>
        </w:rPr>
        <w:t xml:space="preserve"> groups. B: qRT-PCR was used to evaluate the relative mRNA expression of </w:t>
      </w:r>
      <w:bookmarkStart w:id="141" w:name="OLE_LINK35"/>
      <w:r w:rsidR="00607F67" w:rsidRPr="006B4BF5">
        <w:rPr>
          <w:rFonts w:ascii="Book Antiqua" w:hAnsi="Book Antiqua"/>
          <w:sz w:val="24"/>
          <w:szCs w:val="24"/>
          <w:lang w:val="en-US"/>
        </w:rPr>
        <w:t>cell division cycle (</w:t>
      </w:r>
      <w:r w:rsidRPr="006B4BF5">
        <w:rPr>
          <w:rFonts w:ascii="Book Antiqua" w:hAnsi="Book Antiqua"/>
          <w:sz w:val="24"/>
          <w:szCs w:val="24"/>
          <w:lang w:val="en-US"/>
        </w:rPr>
        <w:t>Cdc</w:t>
      </w:r>
      <w:r w:rsidR="00607F67" w:rsidRPr="006B4BF5">
        <w:rPr>
          <w:rFonts w:ascii="Book Antiqua" w:hAnsi="Book Antiqua"/>
          <w:sz w:val="24"/>
          <w:szCs w:val="24"/>
          <w:lang w:val="en-US"/>
        </w:rPr>
        <w:t>)</w:t>
      </w:r>
      <w:r w:rsidRPr="006B4BF5">
        <w:rPr>
          <w:rFonts w:ascii="Book Antiqua" w:hAnsi="Book Antiqua"/>
          <w:sz w:val="24"/>
          <w:szCs w:val="24"/>
          <w:lang w:val="en-US"/>
        </w:rPr>
        <w:t>42</w:t>
      </w:r>
      <w:bookmarkEnd w:id="141"/>
      <w:r w:rsidR="00BB6FAC" w:rsidRPr="006B4BF5">
        <w:rPr>
          <w:rFonts w:ascii="Book Antiqua" w:hAnsi="Book Antiqua"/>
          <w:sz w:val="24"/>
          <w:szCs w:val="24"/>
          <w:lang w:val="en-US"/>
        </w:rPr>
        <w:t xml:space="preserve"> in the control </w:t>
      </w:r>
      <w:r w:rsidRPr="006B4BF5">
        <w:rPr>
          <w:rFonts w:ascii="Book Antiqua" w:hAnsi="Book Antiqua"/>
          <w:sz w:val="24"/>
          <w:szCs w:val="24"/>
          <w:lang w:val="en-US"/>
        </w:rPr>
        <w:t>and TNF-</w:t>
      </w:r>
      <w:r w:rsidRPr="006B4BF5">
        <w:rPr>
          <w:rFonts w:ascii="Book Antiqua" w:hAnsi="Book Antiqua"/>
          <w:sz w:val="24"/>
          <w:szCs w:val="24"/>
        </w:rPr>
        <w:t>α</w:t>
      </w:r>
      <w:r w:rsidRPr="006B4BF5">
        <w:rPr>
          <w:rFonts w:ascii="Book Antiqua" w:hAnsi="Book Antiqua"/>
          <w:sz w:val="24"/>
          <w:szCs w:val="24"/>
          <w:lang w:val="en-US"/>
        </w:rPr>
        <w:t xml:space="preserve"> groups (</w:t>
      </w:r>
      <w:r w:rsidR="0053118D" w:rsidRPr="006B4BF5">
        <w:rPr>
          <w:rFonts w:ascii="Book Antiqua" w:hAnsi="Book Antiqua"/>
          <w:sz w:val="24"/>
          <w:szCs w:val="24"/>
          <w:vertAlign w:val="superscript"/>
          <w:lang w:val="en-US"/>
        </w:rPr>
        <w:t>a</w:t>
      </w:r>
      <w:r w:rsidRPr="006B4BF5">
        <w:rPr>
          <w:rFonts w:ascii="Book Antiqua" w:hAnsi="Book Antiqua"/>
          <w:i/>
          <w:sz w:val="24"/>
          <w:szCs w:val="24"/>
          <w:lang w:val="en-US"/>
        </w:rPr>
        <w:t>P</w:t>
      </w:r>
      <w:r w:rsidRPr="006B4BF5">
        <w:rPr>
          <w:rFonts w:ascii="Book Antiqua" w:hAnsi="Book Antiqua"/>
          <w:sz w:val="24"/>
          <w:szCs w:val="24"/>
          <w:lang w:val="en-US"/>
        </w:rPr>
        <w:t xml:space="preserve"> &lt; 0.05 </w:t>
      </w:r>
      <w:r w:rsidR="00607F67" w:rsidRPr="006B4BF5">
        <w:rPr>
          <w:rFonts w:ascii="Book Antiqua" w:hAnsi="Book Antiqua"/>
          <w:i/>
          <w:sz w:val="24"/>
          <w:szCs w:val="24"/>
          <w:lang w:val="en-US"/>
        </w:rPr>
        <w:t>vs</w:t>
      </w:r>
      <w:r w:rsidR="00151C69" w:rsidRPr="006B4BF5">
        <w:rPr>
          <w:rFonts w:ascii="Book Antiqua" w:hAnsi="Book Antiqua"/>
          <w:sz w:val="24"/>
          <w:szCs w:val="24"/>
          <w:lang w:val="en-US"/>
        </w:rPr>
        <w:t xml:space="preserve"> control</w:t>
      </w:r>
      <w:r w:rsidRPr="006B4BF5">
        <w:rPr>
          <w:rFonts w:ascii="Book Antiqua" w:hAnsi="Book Antiqua"/>
          <w:sz w:val="24"/>
          <w:szCs w:val="24"/>
          <w:lang w:val="en-US"/>
        </w:rPr>
        <w:t xml:space="preserve">). </w:t>
      </w:r>
      <w:r w:rsidR="00607F67" w:rsidRPr="006B4BF5">
        <w:rPr>
          <w:rFonts w:ascii="Book Antiqua" w:hAnsi="Book Antiqua"/>
          <w:sz w:val="24"/>
          <w:szCs w:val="24"/>
          <w:lang w:val="en-US"/>
        </w:rPr>
        <w:t>Cdc42: Cell division cycle 42;</w:t>
      </w:r>
      <w:r w:rsidRPr="006B4BF5">
        <w:rPr>
          <w:rFonts w:ascii="Book Antiqua" w:hAnsi="Book Antiqua"/>
          <w:sz w:val="24"/>
          <w:szCs w:val="24"/>
          <w:lang w:val="en-US"/>
        </w:rPr>
        <w:t xml:space="preserve"> TNF-</w:t>
      </w:r>
      <w:r w:rsidRPr="006B4BF5">
        <w:rPr>
          <w:rFonts w:ascii="Book Antiqua" w:hAnsi="Book Antiqua"/>
          <w:sz w:val="24"/>
          <w:szCs w:val="24"/>
        </w:rPr>
        <w:t>α</w:t>
      </w:r>
      <w:r w:rsidR="00607F67" w:rsidRPr="006B4BF5">
        <w:rPr>
          <w:rFonts w:ascii="Book Antiqua" w:hAnsi="Book Antiqua"/>
          <w:sz w:val="24"/>
          <w:szCs w:val="24"/>
          <w:lang w:val="en-US"/>
        </w:rPr>
        <w:t>: T</w:t>
      </w:r>
      <w:r w:rsidRPr="006B4BF5">
        <w:rPr>
          <w:rFonts w:ascii="Book Antiqua" w:hAnsi="Book Antiqua"/>
          <w:sz w:val="24"/>
          <w:szCs w:val="24"/>
          <w:lang w:val="en-US"/>
        </w:rPr>
        <w:t>umor necrosis factor-</w:t>
      </w:r>
      <w:r w:rsidRPr="006B4BF5">
        <w:rPr>
          <w:rFonts w:ascii="Book Antiqua" w:hAnsi="Book Antiqua"/>
          <w:sz w:val="24"/>
          <w:szCs w:val="24"/>
        </w:rPr>
        <w:t>α</w:t>
      </w:r>
      <w:r w:rsidR="00654BB3" w:rsidRPr="006B4BF5">
        <w:rPr>
          <w:rFonts w:ascii="Book Antiqua" w:hAnsi="Book Antiqua"/>
          <w:sz w:val="24"/>
          <w:szCs w:val="24"/>
          <w:lang w:val="en-US"/>
        </w:rPr>
        <w:t>.</w:t>
      </w:r>
      <w:r w:rsidR="00847867" w:rsidRPr="006B4BF5">
        <w:rPr>
          <w:rFonts w:ascii="Book Antiqua" w:hAnsi="Book Antiqua"/>
          <w:sz w:val="24"/>
          <w:szCs w:val="24"/>
          <w:lang w:val="en-US"/>
        </w:rPr>
        <w:t xml:space="preserve"> </w:t>
      </w:r>
    </w:p>
    <w:p w14:paraId="1D78E3EE" w14:textId="77777777" w:rsidR="00847867" w:rsidRPr="006B4BF5" w:rsidRDefault="00847867"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br w:type="page"/>
      </w:r>
    </w:p>
    <w:p w14:paraId="41CCE7D2" w14:textId="7ECFA751" w:rsidR="00847867" w:rsidRPr="006B4BF5" w:rsidRDefault="00847867" w:rsidP="007B12C8">
      <w:pPr>
        <w:adjustRightInd w:val="0"/>
        <w:snapToGrid w:val="0"/>
        <w:spacing w:line="360" w:lineRule="auto"/>
        <w:jc w:val="both"/>
        <w:rPr>
          <w:rFonts w:ascii="Book Antiqua" w:hAnsi="Book Antiqua"/>
          <w:sz w:val="24"/>
          <w:szCs w:val="24"/>
        </w:rPr>
      </w:pPr>
      <w:r w:rsidRPr="006B4BF5">
        <w:rPr>
          <w:rFonts w:ascii="Book Antiqua" w:hAnsi="Book Antiqua"/>
          <w:noProof/>
          <w:sz w:val="24"/>
          <w:szCs w:val="24"/>
          <w:lang w:val="en-US" w:bidi="ar-SA"/>
        </w:rPr>
        <w:lastRenderedPageBreak/>
        <w:drawing>
          <wp:inline distT="0" distB="0" distL="0" distR="0" wp14:anchorId="7F52D5D1" wp14:editId="0F77BAA6">
            <wp:extent cx="5734050" cy="246443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4050" cy="2464435"/>
                    </a:xfrm>
                    <a:prstGeom prst="rect">
                      <a:avLst/>
                    </a:prstGeom>
                  </pic:spPr>
                </pic:pic>
              </a:graphicData>
            </a:graphic>
          </wp:inline>
        </w:drawing>
      </w:r>
    </w:p>
    <w:p w14:paraId="5878022E" w14:textId="3718A0FE" w:rsidR="002A03B0" w:rsidRPr="006B4BF5" w:rsidRDefault="00965F21" w:rsidP="007B12C8">
      <w:pPr>
        <w:adjustRightInd w:val="0"/>
        <w:snapToGrid w:val="0"/>
        <w:spacing w:line="360" w:lineRule="auto"/>
        <w:jc w:val="both"/>
        <w:rPr>
          <w:rFonts w:ascii="Book Antiqua" w:hAnsi="Book Antiqua"/>
          <w:sz w:val="24"/>
          <w:szCs w:val="24"/>
          <w:lang w:val="en-US"/>
        </w:rPr>
      </w:pPr>
      <w:r w:rsidRPr="006B4BF5">
        <w:rPr>
          <w:rFonts w:ascii="Book Antiqua" w:hAnsi="Book Antiqua"/>
          <w:b/>
          <w:sz w:val="24"/>
          <w:szCs w:val="24"/>
          <w:lang w:val="en-US"/>
        </w:rPr>
        <w:t xml:space="preserve">Figure 3 </w:t>
      </w:r>
      <w:r w:rsidR="00151C69" w:rsidRPr="006B4BF5">
        <w:rPr>
          <w:rFonts w:ascii="Book Antiqua" w:hAnsi="Book Antiqua"/>
          <w:b/>
          <w:sz w:val="24"/>
          <w:szCs w:val="24"/>
          <w:lang w:val="en-US"/>
        </w:rPr>
        <w:t>MicroRNA-15a</w:t>
      </w:r>
      <w:r w:rsidRPr="006B4BF5">
        <w:rPr>
          <w:rFonts w:ascii="Book Antiqua" w:hAnsi="Book Antiqua"/>
          <w:b/>
          <w:sz w:val="24"/>
          <w:szCs w:val="24"/>
          <w:lang w:val="en-US"/>
        </w:rPr>
        <w:t xml:space="preserve"> negatively regulated expression of </w:t>
      </w:r>
      <w:r w:rsidR="001D0597" w:rsidRPr="006B4BF5">
        <w:rPr>
          <w:rFonts w:ascii="Book Antiqua" w:hAnsi="Book Antiqua"/>
          <w:b/>
          <w:sz w:val="24"/>
          <w:szCs w:val="24"/>
          <w:lang w:val="en-US"/>
        </w:rPr>
        <w:t xml:space="preserve">cell division cycle 42 </w:t>
      </w:r>
      <w:r w:rsidRPr="006B4BF5">
        <w:rPr>
          <w:rFonts w:ascii="Book Antiqua" w:hAnsi="Book Antiqua"/>
          <w:b/>
          <w:sz w:val="24"/>
          <w:szCs w:val="24"/>
          <w:lang w:val="en-US"/>
        </w:rPr>
        <w:t xml:space="preserve">in Caco-2 cells. </w:t>
      </w:r>
      <w:r w:rsidRPr="006B4BF5">
        <w:rPr>
          <w:rFonts w:ascii="Book Antiqua" w:hAnsi="Book Antiqua"/>
          <w:sz w:val="24"/>
          <w:szCs w:val="24"/>
          <w:lang w:val="en-US"/>
        </w:rPr>
        <w:t xml:space="preserve">Caco-2 cells were transfected with </w:t>
      </w:r>
      <w:r w:rsidR="00826652" w:rsidRPr="006B4BF5">
        <w:rPr>
          <w:rFonts w:ascii="Book Antiqua" w:hAnsi="Book Antiqua"/>
          <w:sz w:val="24"/>
          <w:szCs w:val="24"/>
          <w:lang w:val="en-US"/>
        </w:rPr>
        <w:t>microRNA (miR)-15a</w:t>
      </w:r>
      <w:r w:rsidRPr="006B4BF5">
        <w:rPr>
          <w:rFonts w:ascii="Book Antiqua" w:hAnsi="Book Antiqua"/>
          <w:sz w:val="24"/>
          <w:szCs w:val="24"/>
          <w:lang w:val="en-US"/>
        </w:rPr>
        <w:t xml:space="preserve"> mimic lentivirals and their negative controls, or miR-15a inhibitor lentivirals and their negative controls. A: </w:t>
      </w:r>
      <w:r w:rsidR="00826652" w:rsidRPr="006B4BF5">
        <w:rPr>
          <w:rFonts w:ascii="Book Antiqua" w:hAnsi="Book Antiqua"/>
          <w:sz w:val="24"/>
          <w:szCs w:val="24"/>
          <w:lang w:val="en-US"/>
        </w:rPr>
        <w:t>Quantitative reverse transcription polymerase chain reaction (qRT-PCR)</w:t>
      </w:r>
      <w:r w:rsidRPr="006B4BF5">
        <w:rPr>
          <w:rFonts w:ascii="Book Antiqua" w:hAnsi="Book Antiqua"/>
          <w:sz w:val="24"/>
          <w:szCs w:val="24"/>
          <w:lang w:val="en-US"/>
        </w:rPr>
        <w:t xml:space="preserve"> was used to evaluate the relative mRNA expression of miR-15a in different groups. B: qRT-PCR was used to evaluate the relative mRNA expression of </w:t>
      </w:r>
      <w:r w:rsidR="00826652" w:rsidRPr="006B4BF5">
        <w:rPr>
          <w:rFonts w:ascii="Book Antiqua" w:hAnsi="Book Antiqua"/>
          <w:sz w:val="24"/>
          <w:szCs w:val="24"/>
          <w:lang w:val="en-US"/>
        </w:rPr>
        <w:t>cell division cycle 42</w:t>
      </w:r>
      <w:r w:rsidRPr="006B4BF5">
        <w:rPr>
          <w:rFonts w:ascii="Book Antiqua" w:hAnsi="Book Antiqua"/>
          <w:sz w:val="24"/>
          <w:szCs w:val="24"/>
          <w:lang w:val="en-US"/>
        </w:rPr>
        <w:t xml:space="preserve"> in different groups (</w:t>
      </w:r>
      <w:r w:rsidR="0053118D" w:rsidRPr="006B4BF5">
        <w:rPr>
          <w:rFonts w:ascii="Book Antiqua" w:hAnsi="Book Antiqua"/>
          <w:sz w:val="24"/>
          <w:szCs w:val="24"/>
          <w:vertAlign w:val="superscript"/>
          <w:lang w:val="en-US"/>
        </w:rPr>
        <w:t>a</w:t>
      </w:r>
      <w:r w:rsidR="0053118D" w:rsidRPr="006B4BF5">
        <w:rPr>
          <w:rFonts w:ascii="Book Antiqua" w:hAnsi="Book Antiqua"/>
          <w:i/>
          <w:sz w:val="24"/>
          <w:szCs w:val="24"/>
          <w:lang w:val="en-US"/>
        </w:rPr>
        <w:t>P</w:t>
      </w:r>
      <w:r w:rsidR="00826652" w:rsidRPr="006B4BF5">
        <w:rPr>
          <w:rFonts w:ascii="Book Antiqua" w:hAnsi="Book Antiqua"/>
          <w:sz w:val="24"/>
          <w:szCs w:val="24"/>
          <w:lang w:val="en-US"/>
        </w:rPr>
        <w:t xml:space="preserve"> </w:t>
      </w:r>
      <w:r w:rsidRPr="006B4BF5">
        <w:rPr>
          <w:rFonts w:ascii="Book Antiqua" w:hAnsi="Book Antiqua"/>
          <w:sz w:val="24"/>
          <w:szCs w:val="24"/>
          <w:lang w:val="en-US"/>
        </w:rPr>
        <w:t>&lt;</w:t>
      </w:r>
      <w:r w:rsidR="00826652" w:rsidRPr="006B4BF5">
        <w:rPr>
          <w:rFonts w:ascii="Book Antiqua" w:hAnsi="Book Antiqua"/>
          <w:sz w:val="24"/>
          <w:szCs w:val="24"/>
          <w:lang w:val="en-US"/>
        </w:rPr>
        <w:t xml:space="preserve"> </w:t>
      </w:r>
      <w:r w:rsidRPr="006B4BF5">
        <w:rPr>
          <w:rFonts w:ascii="Book Antiqua" w:hAnsi="Book Antiqua"/>
          <w:sz w:val="24"/>
          <w:szCs w:val="24"/>
          <w:lang w:val="en-US"/>
        </w:rPr>
        <w:t>0.05,</w:t>
      </w:r>
      <w:r w:rsidR="00BD634A" w:rsidRPr="006B4BF5">
        <w:rPr>
          <w:rFonts w:ascii="Book Antiqua" w:hAnsi="Book Antiqua"/>
          <w:sz w:val="24"/>
          <w:szCs w:val="24"/>
          <w:lang w:val="en-US"/>
        </w:rPr>
        <w:t xml:space="preserve"> </w:t>
      </w:r>
      <w:r w:rsidR="0053118D" w:rsidRPr="006B4BF5">
        <w:rPr>
          <w:rFonts w:ascii="Book Antiqua" w:hAnsi="Book Antiqua"/>
          <w:sz w:val="24"/>
          <w:szCs w:val="24"/>
          <w:vertAlign w:val="superscript"/>
          <w:lang w:val="en-US"/>
        </w:rPr>
        <w:t>b</w:t>
      </w:r>
      <w:r w:rsidRPr="006B4BF5">
        <w:rPr>
          <w:rFonts w:ascii="Book Antiqua" w:hAnsi="Book Antiqua"/>
          <w:i/>
          <w:sz w:val="24"/>
          <w:szCs w:val="24"/>
          <w:lang w:val="en-US"/>
        </w:rPr>
        <w:t>P</w:t>
      </w:r>
      <w:r w:rsidRPr="006B4BF5">
        <w:rPr>
          <w:rFonts w:ascii="Book Antiqua" w:hAnsi="Book Antiqua"/>
          <w:sz w:val="24"/>
          <w:szCs w:val="24"/>
          <w:lang w:val="en-US"/>
        </w:rPr>
        <w:t xml:space="preserve"> &lt;</w:t>
      </w:r>
      <w:r w:rsidR="00826652" w:rsidRPr="006B4BF5">
        <w:rPr>
          <w:rFonts w:ascii="Book Antiqua" w:hAnsi="Book Antiqua"/>
          <w:sz w:val="24"/>
          <w:szCs w:val="24"/>
          <w:lang w:val="en-US"/>
        </w:rPr>
        <w:t xml:space="preserve"> </w:t>
      </w:r>
      <w:r w:rsidRPr="006B4BF5">
        <w:rPr>
          <w:rFonts w:ascii="Book Antiqua" w:hAnsi="Book Antiqua"/>
          <w:sz w:val="24"/>
          <w:szCs w:val="24"/>
          <w:lang w:val="en-US"/>
        </w:rPr>
        <w:t xml:space="preserve">0.01 </w:t>
      </w:r>
      <w:r w:rsidR="00826652" w:rsidRPr="006B4BF5">
        <w:rPr>
          <w:rFonts w:ascii="Book Antiqua" w:hAnsi="Book Antiqua"/>
          <w:i/>
          <w:sz w:val="24"/>
          <w:szCs w:val="24"/>
          <w:lang w:val="en-US"/>
        </w:rPr>
        <w:t>vs</w:t>
      </w:r>
      <w:r w:rsidRPr="006B4BF5">
        <w:rPr>
          <w:rFonts w:ascii="Book Antiqua" w:hAnsi="Book Antiqua"/>
          <w:sz w:val="24"/>
          <w:szCs w:val="24"/>
          <w:lang w:val="en-US"/>
        </w:rPr>
        <w:t xml:space="preserve"> negative control cells).</w:t>
      </w:r>
      <w:r w:rsidR="00BA066A" w:rsidRPr="006B4BF5">
        <w:rPr>
          <w:rFonts w:ascii="Book Antiqua" w:hAnsi="Book Antiqua"/>
          <w:sz w:val="24"/>
          <w:szCs w:val="24"/>
          <w:lang w:val="en-US"/>
        </w:rPr>
        <w:t xml:space="preserve"> </w:t>
      </w:r>
      <w:r w:rsidR="00826652" w:rsidRPr="006B4BF5">
        <w:rPr>
          <w:rFonts w:ascii="Book Antiqua" w:hAnsi="Book Antiqua"/>
          <w:sz w:val="24"/>
          <w:szCs w:val="24"/>
          <w:lang w:val="en-US"/>
        </w:rPr>
        <w:t>Cdc42: Cell division cycle 42;</w:t>
      </w:r>
      <w:r w:rsidR="00BA066A" w:rsidRPr="006B4BF5">
        <w:rPr>
          <w:rFonts w:ascii="Book Antiqua" w:hAnsi="Book Antiqua"/>
          <w:sz w:val="24"/>
          <w:szCs w:val="24"/>
          <w:lang w:val="en-US"/>
        </w:rPr>
        <w:t xml:space="preserve"> miR</w:t>
      </w:r>
      <w:r w:rsidR="00826652" w:rsidRPr="006B4BF5">
        <w:rPr>
          <w:rFonts w:ascii="Book Antiqua" w:hAnsi="Book Antiqua"/>
          <w:sz w:val="24"/>
          <w:szCs w:val="24"/>
          <w:lang w:val="en-US"/>
        </w:rPr>
        <w:t>: M</w:t>
      </w:r>
      <w:r w:rsidR="00BA066A" w:rsidRPr="006B4BF5">
        <w:rPr>
          <w:rFonts w:ascii="Book Antiqua" w:hAnsi="Book Antiqua"/>
          <w:sz w:val="24"/>
          <w:szCs w:val="24"/>
          <w:lang w:val="en-US"/>
        </w:rPr>
        <w:t>i</w:t>
      </w:r>
      <w:r w:rsidR="00826652" w:rsidRPr="006B4BF5">
        <w:rPr>
          <w:rFonts w:ascii="Book Antiqua" w:hAnsi="Book Antiqua"/>
          <w:sz w:val="24"/>
          <w:szCs w:val="24"/>
          <w:lang w:val="en-US"/>
        </w:rPr>
        <w:t>croRNA; LV: Lentiviral; NC: N</w:t>
      </w:r>
      <w:r w:rsidR="00BA066A" w:rsidRPr="006B4BF5">
        <w:rPr>
          <w:rFonts w:ascii="Book Antiqua" w:hAnsi="Book Antiqua"/>
          <w:sz w:val="24"/>
          <w:szCs w:val="24"/>
          <w:lang w:val="en-US"/>
        </w:rPr>
        <w:t>egative control</w:t>
      </w:r>
      <w:r w:rsidR="00F5731E" w:rsidRPr="006B4BF5">
        <w:rPr>
          <w:rFonts w:ascii="Book Antiqua" w:hAnsi="Book Antiqua"/>
          <w:sz w:val="24"/>
          <w:szCs w:val="24"/>
          <w:lang w:val="en-US"/>
        </w:rPr>
        <w:t>.</w:t>
      </w:r>
    </w:p>
    <w:p w14:paraId="1E1E4F30" w14:textId="590DEC34" w:rsidR="00847867" w:rsidRPr="006B4BF5" w:rsidRDefault="00847867"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br w:type="page"/>
      </w:r>
    </w:p>
    <w:p w14:paraId="062B6A19" w14:textId="77C610EF" w:rsidR="002A03B0" w:rsidRPr="006B4BF5" w:rsidRDefault="00847867" w:rsidP="007B12C8">
      <w:pPr>
        <w:adjustRightInd w:val="0"/>
        <w:snapToGrid w:val="0"/>
        <w:spacing w:line="360" w:lineRule="auto"/>
        <w:jc w:val="both"/>
        <w:rPr>
          <w:rFonts w:ascii="Book Antiqua" w:hAnsi="Book Antiqua"/>
          <w:sz w:val="24"/>
          <w:szCs w:val="24"/>
        </w:rPr>
      </w:pPr>
      <w:r w:rsidRPr="006B4BF5">
        <w:rPr>
          <w:rFonts w:ascii="Book Antiqua" w:hAnsi="Book Antiqua"/>
          <w:noProof/>
          <w:sz w:val="24"/>
          <w:szCs w:val="24"/>
          <w:lang w:val="en-US" w:bidi="ar-SA"/>
        </w:rPr>
        <w:lastRenderedPageBreak/>
        <w:drawing>
          <wp:inline distT="0" distB="0" distL="0" distR="0" wp14:anchorId="0484A65A" wp14:editId="2A533D5D">
            <wp:extent cx="5734050" cy="24066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4050" cy="2406650"/>
                    </a:xfrm>
                    <a:prstGeom prst="rect">
                      <a:avLst/>
                    </a:prstGeom>
                  </pic:spPr>
                </pic:pic>
              </a:graphicData>
            </a:graphic>
          </wp:inline>
        </w:drawing>
      </w:r>
    </w:p>
    <w:p w14:paraId="5665E31D" w14:textId="6F6C8655" w:rsidR="00847867" w:rsidRPr="006B4BF5" w:rsidRDefault="00847867" w:rsidP="007B12C8">
      <w:pPr>
        <w:adjustRightInd w:val="0"/>
        <w:snapToGrid w:val="0"/>
        <w:spacing w:line="360" w:lineRule="auto"/>
        <w:jc w:val="both"/>
        <w:rPr>
          <w:rFonts w:ascii="Book Antiqua" w:hAnsi="Book Antiqua"/>
          <w:sz w:val="24"/>
          <w:szCs w:val="24"/>
        </w:rPr>
      </w:pPr>
      <w:r w:rsidRPr="006B4BF5">
        <w:rPr>
          <w:rFonts w:ascii="Book Antiqua" w:hAnsi="Book Antiqua"/>
          <w:noProof/>
          <w:sz w:val="24"/>
          <w:szCs w:val="24"/>
          <w:lang w:val="en-US" w:bidi="ar-SA"/>
        </w:rPr>
        <w:drawing>
          <wp:inline distT="0" distB="0" distL="0" distR="0" wp14:anchorId="316A6157" wp14:editId="237D6C85">
            <wp:extent cx="5734050" cy="459295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4050" cy="4592955"/>
                    </a:xfrm>
                    <a:prstGeom prst="rect">
                      <a:avLst/>
                    </a:prstGeom>
                  </pic:spPr>
                </pic:pic>
              </a:graphicData>
            </a:graphic>
          </wp:inline>
        </w:drawing>
      </w:r>
    </w:p>
    <w:p w14:paraId="1DB8E836" w14:textId="4AFCA840" w:rsidR="00847867" w:rsidRPr="006B4BF5" w:rsidRDefault="00847867" w:rsidP="007B12C8">
      <w:pPr>
        <w:adjustRightInd w:val="0"/>
        <w:snapToGrid w:val="0"/>
        <w:spacing w:line="360" w:lineRule="auto"/>
        <w:jc w:val="both"/>
        <w:rPr>
          <w:rFonts w:ascii="Book Antiqua" w:hAnsi="Book Antiqua"/>
          <w:sz w:val="24"/>
          <w:szCs w:val="24"/>
        </w:rPr>
      </w:pPr>
      <w:r w:rsidRPr="006B4BF5">
        <w:rPr>
          <w:rFonts w:ascii="Book Antiqua" w:hAnsi="Book Antiqua"/>
          <w:noProof/>
          <w:sz w:val="24"/>
          <w:szCs w:val="24"/>
          <w:lang w:val="en-US" w:bidi="ar-SA"/>
        </w:rPr>
        <w:lastRenderedPageBreak/>
        <w:drawing>
          <wp:inline distT="0" distB="0" distL="0" distR="0" wp14:anchorId="59CF84C7" wp14:editId="224EB8B4">
            <wp:extent cx="5734050" cy="290512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4050" cy="2905125"/>
                    </a:xfrm>
                    <a:prstGeom prst="rect">
                      <a:avLst/>
                    </a:prstGeom>
                  </pic:spPr>
                </pic:pic>
              </a:graphicData>
            </a:graphic>
          </wp:inline>
        </w:drawing>
      </w:r>
    </w:p>
    <w:p w14:paraId="4110A396" w14:textId="7A81C400" w:rsidR="00847867" w:rsidRPr="006B4BF5" w:rsidRDefault="00847867" w:rsidP="007B12C8">
      <w:pPr>
        <w:adjustRightInd w:val="0"/>
        <w:snapToGrid w:val="0"/>
        <w:spacing w:line="360" w:lineRule="auto"/>
        <w:jc w:val="both"/>
        <w:rPr>
          <w:rFonts w:ascii="Book Antiqua" w:hAnsi="Book Antiqua"/>
          <w:sz w:val="24"/>
          <w:szCs w:val="24"/>
        </w:rPr>
      </w:pPr>
      <w:r w:rsidRPr="006B4BF5">
        <w:rPr>
          <w:rFonts w:ascii="Book Antiqua" w:hAnsi="Book Antiqua"/>
          <w:noProof/>
          <w:sz w:val="24"/>
          <w:szCs w:val="24"/>
          <w:lang w:val="en-US" w:bidi="ar-SA"/>
        </w:rPr>
        <w:drawing>
          <wp:inline distT="0" distB="0" distL="0" distR="0" wp14:anchorId="5F492836" wp14:editId="4C867F7C">
            <wp:extent cx="5734050" cy="460248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4050" cy="4602480"/>
                    </a:xfrm>
                    <a:prstGeom prst="rect">
                      <a:avLst/>
                    </a:prstGeom>
                  </pic:spPr>
                </pic:pic>
              </a:graphicData>
            </a:graphic>
          </wp:inline>
        </w:drawing>
      </w:r>
    </w:p>
    <w:p w14:paraId="0BD09884" w14:textId="4A68669F" w:rsidR="002A03B0" w:rsidRPr="006B4BF5" w:rsidRDefault="00965F21" w:rsidP="007B12C8">
      <w:pPr>
        <w:adjustRightInd w:val="0"/>
        <w:snapToGrid w:val="0"/>
        <w:spacing w:line="360" w:lineRule="auto"/>
        <w:jc w:val="both"/>
        <w:rPr>
          <w:rFonts w:ascii="Book Antiqua" w:hAnsi="Book Antiqua"/>
          <w:sz w:val="24"/>
          <w:szCs w:val="24"/>
          <w:lang w:val="en-US"/>
        </w:rPr>
      </w:pPr>
      <w:r w:rsidRPr="006B4BF5">
        <w:rPr>
          <w:rFonts w:ascii="Book Antiqua" w:hAnsi="Book Antiqua"/>
          <w:b/>
          <w:sz w:val="24"/>
          <w:szCs w:val="24"/>
          <w:lang w:val="en-US"/>
        </w:rPr>
        <w:t>Figure 4</w:t>
      </w:r>
      <w:r w:rsidR="00826652" w:rsidRPr="006B4BF5">
        <w:rPr>
          <w:rFonts w:ascii="Book Antiqua" w:hAnsi="Book Antiqua"/>
          <w:b/>
          <w:sz w:val="24"/>
          <w:szCs w:val="24"/>
          <w:lang w:val="en-US"/>
        </w:rPr>
        <w:t xml:space="preserve"> </w:t>
      </w:r>
      <w:bookmarkStart w:id="142" w:name="OLE_LINK38"/>
      <w:r w:rsidR="00826652" w:rsidRPr="006B4BF5">
        <w:rPr>
          <w:rFonts w:ascii="Book Antiqua" w:hAnsi="Book Antiqua"/>
          <w:b/>
          <w:sz w:val="24"/>
          <w:szCs w:val="24"/>
          <w:lang w:val="en-US"/>
        </w:rPr>
        <w:t>MicroRNA-15a</w:t>
      </w:r>
      <w:bookmarkEnd w:id="142"/>
      <w:r w:rsidRPr="006B4BF5">
        <w:rPr>
          <w:rFonts w:ascii="Book Antiqua" w:hAnsi="Book Antiqua"/>
          <w:b/>
          <w:sz w:val="24"/>
          <w:szCs w:val="24"/>
          <w:lang w:val="en-US"/>
        </w:rPr>
        <w:t xml:space="preserve"> negatively regulated epithelial junctions through </w:t>
      </w:r>
      <w:r w:rsidR="001D0597" w:rsidRPr="006B4BF5">
        <w:rPr>
          <w:rFonts w:ascii="Book Antiqua" w:hAnsi="Book Antiqua"/>
          <w:b/>
          <w:sz w:val="24"/>
          <w:szCs w:val="24"/>
          <w:lang w:val="en-US"/>
        </w:rPr>
        <w:t xml:space="preserve">cell division cycle 42 </w:t>
      </w:r>
      <w:r w:rsidRPr="006B4BF5">
        <w:rPr>
          <w:rFonts w:ascii="Book Antiqua" w:hAnsi="Book Antiqua"/>
          <w:b/>
          <w:sz w:val="24"/>
          <w:szCs w:val="24"/>
          <w:lang w:val="en-US"/>
        </w:rPr>
        <w:t xml:space="preserve">in Caco-2 cells. </w:t>
      </w:r>
      <w:r w:rsidRPr="006B4BF5">
        <w:rPr>
          <w:rFonts w:ascii="Book Antiqua" w:hAnsi="Book Antiqua"/>
          <w:sz w:val="24"/>
          <w:szCs w:val="24"/>
          <w:lang w:val="en-US"/>
        </w:rPr>
        <w:t xml:space="preserve">Caco-2 cells were stimulated by </w:t>
      </w:r>
      <w:r w:rsidR="00F07537" w:rsidRPr="006B4BF5">
        <w:rPr>
          <w:rFonts w:ascii="Book Antiqua" w:hAnsi="Book Antiqua"/>
          <w:sz w:val="24"/>
          <w:szCs w:val="24"/>
          <w:lang w:val="en-US"/>
        </w:rPr>
        <w:t xml:space="preserve">tumor necrosis </w:t>
      </w:r>
      <w:r w:rsidR="00F07537" w:rsidRPr="006B4BF5">
        <w:rPr>
          <w:rFonts w:ascii="Book Antiqua" w:hAnsi="Book Antiqua"/>
          <w:sz w:val="24"/>
          <w:szCs w:val="24"/>
          <w:lang w:val="en-US"/>
        </w:rPr>
        <w:lastRenderedPageBreak/>
        <w:t>factor-</w:t>
      </w:r>
      <w:r w:rsidR="00F07537" w:rsidRPr="006B4BF5">
        <w:rPr>
          <w:rFonts w:ascii="Book Antiqua" w:hAnsi="Book Antiqua"/>
          <w:sz w:val="24"/>
          <w:szCs w:val="24"/>
        </w:rPr>
        <w:t>α</w:t>
      </w:r>
      <w:r w:rsidR="00F07537" w:rsidRPr="006B4BF5">
        <w:rPr>
          <w:rFonts w:ascii="Book Antiqua" w:hAnsi="Book Antiqua"/>
          <w:sz w:val="24"/>
          <w:szCs w:val="24"/>
          <w:lang w:val="en-US"/>
        </w:rPr>
        <w:t xml:space="preserve"> (TNF-</w:t>
      </w:r>
      <w:r w:rsidR="00F07537" w:rsidRPr="006B4BF5">
        <w:rPr>
          <w:rFonts w:ascii="Book Antiqua" w:hAnsi="Book Antiqua"/>
          <w:sz w:val="24"/>
          <w:szCs w:val="24"/>
        </w:rPr>
        <w:t>α</w:t>
      </w:r>
      <w:r w:rsidR="00F07537" w:rsidRPr="006B4BF5">
        <w:rPr>
          <w:rFonts w:ascii="Book Antiqua" w:hAnsi="Book Antiqua"/>
          <w:sz w:val="24"/>
          <w:szCs w:val="24"/>
          <w:lang w:val="en-US"/>
        </w:rPr>
        <w:t>) (35 ng/mL) [wild type (</w:t>
      </w:r>
      <w:r w:rsidRPr="006B4BF5">
        <w:rPr>
          <w:rFonts w:ascii="Book Antiqua" w:hAnsi="Book Antiqua"/>
          <w:sz w:val="24"/>
          <w:szCs w:val="24"/>
          <w:lang w:val="en-US"/>
        </w:rPr>
        <w:t>WT</w:t>
      </w:r>
      <w:r w:rsidR="00F07537" w:rsidRPr="006B4BF5">
        <w:rPr>
          <w:rFonts w:ascii="Book Antiqua" w:hAnsi="Book Antiqua"/>
          <w:sz w:val="24"/>
          <w:szCs w:val="24"/>
          <w:lang w:val="en-US"/>
        </w:rPr>
        <w:t xml:space="preserve">) </w:t>
      </w:r>
      <w:r w:rsidRPr="006B4BF5">
        <w:rPr>
          <w:rFonts w:ascii="Book Antiqua" w:hAnsi="Book Antiqua"/>
          <w:sz w:val="24"/>
          <w:szCs w:val="24"/>
          <w:lang w:val="en-US"/>
        </w:rPr>
        <w:t>+</w:t>
      </w:r>
      <w:r w:rsidR="00F07537" w:rsidRPr="006B4BF5">
        <w:rPr>
          <w:rFonts w:ascii="Book Antiqua" w:hAnsi="Book Antiqua"/>
          <w:sz w:val="24"/>
          <w:szCs w:val="24"/>
          <w:lang w:val="en-US"/>
        </w:rPr>
        <w:t xml:space="preserve"> </w:t>
      </w:r>
      <w:r w:rsidRPr="006B4BF5">
        <w:rPr>
          <w:rFonts w:ascii="Book Antiqua" w:hAnsi="Book Antiqua"/>
          <w:sz w:val="24"/>
          <w:szCs w:val="24"/>
          <w:lang w:val="en-US"/>
        </w:rPr>
        <w:t>TNF-</w:t>
      </w:r>
      <w:r w:rsidR="007849A1" w:rsidRPr="006B4BF5">
        <w:rPr>
          <w:rFonts w:ascii="Book Antiqua" w:hAnsi="Book Antiqua"/>
          <w:sz w:val="24"/>
          <w:szCs w:val="24"/>
        </w:rPr>
        <w:t>α</w:t>
      </w:r>
      <w:r w:rsidR="00F07537" w:rsidRPr="006B4BF5">
        <w:rPr>
          <w:rFonts w:ascii="Book Antiqua" w:hAnsi="Book Antiqua"/>
          <w:sz w:val="24"/>
          <w:szCs w:val="24"/>
          <w:lang w:val="en-US"/>
        </w:rPr>
        <w:t xml:space="preserve"> group]</w:t>
      </w:r>
      <w:r w:rsidRPr="006B4BF5">
        <w:rPr>
          <w:rFonts w:ascii="Book Antiqua" w:hAnsi="Book Antiqua"/>
          <w:sz w:val="24"/>
          <w:szCs w:val="24"/>
          <w:lang w:val="en-US"/>
        </w:rPr>
        <w:t xml:space="preserve"> or medium with no TNF-</w:t>
      </w:r>
      <w:r w:rsidR="007849A1" w:rsidRPr="006B4BF5">
        <w:rPr>
          <w:rFonts w:ascii="Book Antiqua" w:hAnsi="Book Antiqua"/>
          <w:sz w:val="24"/>
          <w:szCs w:val="24"/>
        </w:rPr>
        <w:t>α</w:t>
      </w:r>
      <w:r w:rsidRPr="006B4BF5">
        <w:rPr>
          <w:rFonts w:ascii="Book Antiqua" w:hAnsi="Book Antiqua"/>
          <w:sz w:val="24"/>
          <w:szCs w:val="24"/>
          <w:lang w:val="en-US"/>
        </w:rPr>
        <w:t xml:space="preserve"> (WT). Caco-2 cells were transfected with </w:t>
      </w:r>
      <w:bookmarkStart w:id="143" w:name="OLE_LINK39"/>
      <w:r w:rsidR="006B7E60" w:rsidRPr="006B4BF5">
        <w:rPr>
          <w:rFonts w:ascii="Book Antiqua" w:hAnsi="Book Antiqua"/>
          <w:sz w:val="24"/>
          <w:szCs w:val="24"/>
          <w:lang w:val="en-US"/>
        </w:rPr>
        <w:t>microRNA (miR)-15a</w:t>
      </w:r>
      <w:bookmarkEnd w:id="143"/>
      <w:r w:rsidRPr="006B4BF5">
        <w:rPr>
          <w:rFonts w:ascii="Book Antiqua" w:hAnsi="Book Antiqua"/>
          <w:sz w:val="24"/>
          <w:szCs w:val="24"/>
          <w:lang w:val="en-US"/>
        </w:rPr>
        <w:t xml:space="preserve"> mimic lentivirals or their negative controls (miR-NC group). Caco-2 cells were transfected with miR-15a inhibitor lentivirus, and after passage, were stimulated by TNF-</w:t>
      </w:r>
      <w:r w:rsidR="007849A1" w:rsidRPr="006B4BF5">
        <w:rPr>
          <w:rFonts w:ascii="Book Antiqua" w:hAnsi="Book Antiqua"/>
          <w:sz w:val="24"/>
          <w:szCs w:val="24"/>
        </w:rPr>
        <w:t>α</w:t>
      </w:r>
      <w:r w:rsidRPr="006B4BF5">
        <w:rPr>
          <w:rFonts w:ascii="Book Antiqua" w:hAnsi="Book Antiqua"/>
          <w:sz w:val="24"/>
          <w:szCs w:val="24"/>
          <w:lang w:val="en-US"/>
        </w:rPr>
        <w:t xml:space="preserve"> (35 ng/mL) (miR-15a inhibitor + TNF-</w:t>
      </w:r>
      <w:r w:rsidR="007849A1" w:rsidRPr="006B4BF5">
        <w:rPr>
          <w:rFonts w:ascii="Book Antiqua" w:hAnsi="Book Antiqua"/>
          <w:sz w:val="24"/>
          <w:szCs w:val="24"/>
        </w:rPr>
        <w:t>α</w:t>
      </w:r>
      <w:r w:rsidRPr="006B4BF5">
        <w:rPr>
          <w:rFonts w:ascii="Book Antiqua" w:hAnsi="Book Antiqua"/>
          <w:sz w:val="24"/>
          <w:szCs w:val="24"/>
          <w:lang w:val="en-US"/>
        </w:rPr>
        <w:t xml:space="preserve">). Caco-2 cells were transfected with </w:t>
      </w:r>
      <w:r w:rsidR="006B7E60" w:rsidRPr="006B4BF5">
        <w:rPr>
          <w:rFonts w:ascii="Book Antiqua" w:hAnsi="Book Antiqua"/>
          <w:sz w:val="24"/>
          <w:szCs w:val="24"/>
          <w:lang w:val="en-US"/>
        </w:rPr>
        <w:t>cell division cycle (</w:t>
      </w:r>
      <w:r w:rsidRPr="006B4BF5">
        <w:rPr>
          <w:rFonts w:ascii="Book Antiqua" w:hAnsi="Book Antiqua"/>
          <w:sz w:val="24"/>
          <w:szCs w:val="24"/>
          <w:lang w:val="en-US"/>
        </w:rPr>
        <w:t>Cdc</w:t>
      </w:r>
      <w:r w:rsidR="006B7E60" w:rsidRPr="006B4BF5">
        <w:rPr>
          <w:rFonts w:ascii="Book Antiqua" w:hAnsi="Book Antiqua"/>
          <w:sz w:val="24"/>
          <w:szCs w:val="24"/>
          <w:lang w:val="en-US"/>
        </w:rPr>
        <w:t>)</w:t>
      </w:r>
      <w:r w:rsidRPr="006B4BF5">
        <w:rPr>
          <w:rFonts w:ascii="Book Antiqua" w:hAnsi="Book Antiqua"/>
          <w:sz w:val="24"/>
          <w:szCs w:val="24"/>
          <w:lang w:val="en-US"/>
        </w:rPr>
        <w:t>42 lentivirus (Lv-Cdc42) or its negative control (Lv-Cdc42-NC), and after passage, stimulated by TNF-</w:t>
      </w:r>
      <w:r w:rsidR="007849A1" w:rsidRPr="006B4BF5">
        <w:rPr>
          <w:rFonts w:ascii="Book Antiqua" w:hAnsi="Book Antiqua"/>
          <w:sz w:val="24"/>
          <w:szCs w:val="24"/>
        </w:rPr>
        <w:t>α</w:t>
      </w:r>
      <w:r w:rsidR="006B7E60" w:rsidRPr="006B4BF5">
        <w:rPr>
          <w:rFonts w:ascii="Book Antiqua" w:hAnsi="Book Antiqua"/>
          <w:sz w:val="24"/>
          <w:szCs w:val="24"/>
          <w:lang w:val="en-US"/>
        </w:rPr>
        <w:t xml:space="preserve"> (35 ng/mL</w:t>
      </w:r>
      <w:r w:rsidRPr="006B4BF5">
        <w:rPr>
          <w:rFonts w:ascii="Book Antiqua" w:hAnsi="Book Antiqua"/>
          <w:sz w:val="24"/>
          <w:szCs w:val="24"/>
          <w:lang w:val="en-US"/>
        </w:rPr>
        <w:t>) (Lv-Cdc42 +TNF-</w:t>
      </w:r>
      <w:r w:rsidR="007849A1" w:rsidRPr="006B4BF5">
        <w:rPr>
          <w:rFonts w:ascii="Book Antiqua" w:hAnsi="Book Antiqua"/>
          <w:sz w:val="24"/>
          <w:szCs w:val="24"/>
        </w:rPr>
        <w:t>α</w:t>
      </w:r>
      <w:r w:rsidRPr="006B4BF5">
        <w:rPr>
          <w:rFonts w:ascii="Book Antiqua" w:hAnsi="Book Antiqua"/>
          <w:sz w:val="24"/>
          <w:szCs w:val="24"/>
          <w:lang w:val="en-US"/>
        </w:rPr>
        <w:t xml:space="preserve"> or Lv-Cdc42nc + TNF-</w:t>
      </w:r>
      <w:r w:rsidR="007849A1" w:rsidRPr="006B4BF5">
        <w:rPr>
          <w:rFonts w:ascii="Book Antiqua" w:hAnsi="Book Antiqua"/>
          <w:sz w:val="24"/>
          <w:szCs w:val="24"/>
        </w:rPr>
        <w:t>α</w:t>
      </w:r>
      <w:r w:rsidRPr="006B4BF5">
        <w:rPr>
          <w:rFonts w:ascii="Book Antiqua" w:hAnsi="Book Antiqua"/>
          <w:sz w:val="24"/>
          <w:szCs w:val="24"/>
          <w:lang w:val="en-US"/>
        </w:rPr>
        <w:t xml:space="preserve"> group). A: </w:t>
      </w:r>
      <w:r w:rsidR="006B7E60" w:rsidRPr="006B4BF5">
        <w:rPr>
          <w:rFonts w:ascii="Book Antiqua" w:hAnsi="Book Antiqua"/>
          <w:sz w:val="24"/>
          <w:szCs w:val="24"/>
          <w:lang w:val="en-US"/>
        </w:rPr>
        <w:t>Quantitative reverse transcription polymerase chain reaction (qRT-PCR)</w:t>
      </w:r>
      <w:r w:rsidRPr="006B4BF5">
        <w:rPr>
          <w:rFonts w:ascii="Book Antiqua" w:hAnsi="Book Antiqua"/>
          <w:sz w:val="24"/>
          <w:szCs w:val="24"/>
          <w:lang w:val="en-US"/>
        </w:rPr>
        <w:t xml:space="preserve"> was used to evaluate the relative mR</w:t>
      </w:r>
      <w:r w:rsidR="006B7E60" w:rsidRPr="006B4BF5">
        <w:rPr>
          <w:rFonts w:ascii="Book Antiqua" w:hAnsi="Book Antiqua"/>
          <w:sz w:val="24"/>
          <w:szCs w:val="24"/>
          <w:lang w:val="en-US"/>
        </w:rPr>
        <w:t xml:space="preserve">NA expression of E-cadherin in </w:t>
      </w:r>
      <w:r w:rsidRPr="006B4BF5">
        <w:rPr>
          <w:rFonts w:ascii="Book Antiqua" w:hAnsi="Book Antiqua"/>
          <w:sz w:val="24"/>
          <w:szCs w:val="24"/>
          <w:lang w:val="en-US"/>
        </w:rPr>
        <w:t xml:space="preserve">every group. B: Expression of epithelial marker E-cadherin was examined by immunofluorescence in every group. Cells were stained with E-cadherin (E-Cad) antibodies, and counter stained with DAPI. C: qRT-PCR was used to evaluate the relative mRNA expression of </w:t>
      </w:r>
      <w:bookmarkStart w:id="144" w:name="OLE_LINK43"/>
      <w:bookmarkStart w:id="145" w:name="OLE_LINK44"/>
      <w:r w:rsidR="006B7E60" w:rsidRPr="006B4BF5">
        <w:rPr>
          <w:rFonts w:ascii="Book Antiqua" w:hAnsi="Book Antiqua"/>
          <w:sz w:val="24"/>
          <w:szCs w:val="24"/>
          <w:lang w:val="en-US"/>
        </w:rPr>
        <w:t>zona occludens</w:t>
      </w:r>
      <w:bookmarkEnd w:id="144"/>
      <w:bookmarkEnd w:id="145"/>
      <w:r w:rsidR="006B7E60" w:rsidRPr="006B4BF5">
        <w:rPr>
          <w:rFonts w:ascii="Book Antiqua" w:hAnsi="Book Antiqua"/>
          <w:sz w:val="24"/>
          <w:szCs w:val="24"/>
          <w:lang w:val="en-US"/>
        </w:rPr>
        <w:t xml:space="preserve"> (ZO)-1</w:t>
      </w:r>
      <w:r w:rsidRPr="006B4BF5">
        <w:rPr>
          <w:rFonts w:ascii="Book Antiqua" w:hAnsi="Book Antiqua"/>
          <w:sz w:val="24"/>
          <w:szCs w:val="24"/>
          <w:lang w:val="en-US"/>
        </w:rPr>
        <w:t xml:space="preserve"> in every group. D: Expression of epithelial marker ZO-1 was examined by immunofluorescence in every group. Cells were stained with E-cadherin antibodies, and counterstained with DAPI (</w:t>
      </w:r>
      <w:r w:rsidR="0053118D" w:rsidRPr="006B4BF5">
        <w:rPr>
          <w:rFonts w:ascii="Book Antiqua" w:hAnsi="Book Antiqua"/>
          <w:sz w:val="24"/>
          <w:szCs w:val="24"/>
          <w:vertAlign w:val="superscript"/>
          <w:lang w:val="en-US"/>
        </w:rPr>
        <w:t>a</w:t>
      </w:r>
      <w:r w:rsidR="0053118D" w:rsidRPr="006B4BF5">
        <w:rPr>
          <w:rFonts w:ascii="Book Antiqua" w:hAnsi="Book Antiqua"/>
          <w:i/>
          <w:sz w:val="24"/>
          <w:szCs w:val="24"/>
          <w:lang w:val="en-US"/>
        </w:rPr>
        <w:t>P</w:t>
      </w:r>
      <w:r w:rsidR="0053118D" w:rsidRPr="006B4BF5">
        <w:rPr>
          <w:rFonts w:ascii="Book Antiqua" w:hAnsi="Book Antiqua"/>
          <w:sz w:val="24"/>
          <w:szCs w:val="24"/>
          <w:lang w:val="en-US"/>
        </w:rPr>
        <w:t xml:space="preserve"> </w:t>
      </w:r>
      <w:r w:rsidRPr="006B4BF5">
        <w:rPr>
          <w:rFonts w:ascii="Book Antiqua" w:hAnsi="Book Antiqua"/>
          <w:sz w:val="24"/>
          <w:szCs w:val="24"/>
          <w:lang w:val="en-US"/>
        </w:rPr>
        <w:t xml:space="preserve">&lt; 0.05, </w:t>
      </w:r>
      <w:r w:rsidR="0053118D" w:rsidRPr="006B4BF5">
        <w:rPr>
          <w:rFonts w:ascii="Book Antiqua" w:hAnsi="Book Antiqua"/>
          <w:sz w:val="24"/>
          <w:szCs w:val="24"/>
          <w:vertAlign w:val="superscript"/>
          <w:lang w:val="en-US"/>
        </w:rPr>
        <w:t>b</w:t>
      </w:r>
      <w:r w:rsidR="0053118D" w:rsidRPr="006B4BF5">
        <w:rPr>
          <w:rFonts w:ascii="Book Antiqua" w:hAnsi="Book Antiqua"/>
          <w:i/>
          <w:sz w:val="24"/>
          <w:szCs w:val="24"/>
          <w:lang w:val="en-US"/>
        </w:rPr>
        <w:t>P</w:t>
      </w:r>
      <w:r w:rsidR="0053118D" w:rsidRPr="006B4BF5">
        <w:rPr>
          <w:rFonts w:ascii="Book Antiqua" w:hAnsi="Book Antiqua"/>
          <w:sz w:val="24"/>
          <w:szCs w:val="24"/>
          <w:lang w:val="en-US"/>
        </w:rPr>
        <w:t xml:space="preserve"> </w:t>
      </w:r>
      <w:r w:rsidRPr="006B4BF5">
        <w:rPr>
          <w:rFonts w:ascii="Book Antiqua" w:hAnsi="Book Antiqua"/>
          <w:sz w:val="24"/>
          <w:szCs w:val="24"/>
          <w:lang w:val="en-US"/>
        </w:rPr>
        <w:t xml:space="preserve">&lt; 0.01 </w:t>
      </w:r>
      <w:r w:rsidR="0060495B" w:rsidRPr="006B4BF5">
        <w:rPr>
          <w:rFonts w:ascii="Book Antiqua" w:hAnsi="Book Antiqua"/>
          <w:i/>
          <w:sz w:val="24"/>
          <w:szCs w:val="24"/>
          <w:lang w:val="en-US"/>
        </w:rPr>
        <w:t>vs</w:t>
      </w:r>
      <w:r w:rsidRPr="006B4BF5">
        <w:rPr>
          <w:rFonts w:ascii="Book Antiqua" w:hAnsi="Book Antiqua"/>
          <w:sz w:val="24"/>
          <w:szCs w:val="24"/>
          <w:lang w:val="en-US"/>
        </w:rPr>
        <w:t xml:space="preserve"> WT,</w:t>
      </w:r>
      <w:r w:rsidR="0060495B" w:rsidRPr="006B4BF5">
        <w:rPr>
          <w:rFonts w:ascii="Book Antiqua" w:hAnsi="Book Antiqua"/>
          <w:sz w:val="24"/>
          <w:szCs w:val="24"/>
          <w:lang w:val="en-US"/>
        </w:rPr>
        <w:t xml:space="preserve"> </w:t>
      </w:r>
      <w:r w:rsidR="0053118D" w:rsidRPr="006B4BF5">
        <w:rPr>
          <w:rFonts w:ascii="Book Antiqua" w:hAnsi="Book Antiqua"/>
          <w:sz w:val="24"/>
          <w:szCs w:val="24"/>
          <w:vertAlign w:val="superscript"/>
          <w:lang w:val="en-US"/>
        </w:rPr>
        <w:t>c</w:t>
      </w:r>
      <w:r w:rsidRPr="006B4BF5">
        <w:rPr>
          <w:rFonts w:ascii="Book Antiqua" w:hAnsi="Book Antiqua"/>
          <w:i/>
          <w:sz w:val="24"/>
          <w:szCs w:val="24"/>
          <w:lang w:val="en-US"/>
        </w:rPr>
        <w:t>P</w:t>
      </w:r>
      <w:r w:rsidRPr="006B4BF5">
        <w:rPr>
          <w:rFonts w:ascii="Book Antiqua" w:hAnsi="Book Antiqua"/>
          <w:sz w:val="24"/>
          <w:szCs w:val="24"/>
          <w:lang w:val="en-US"/>
        </w:rPr>
        <w:t xml:space="preserve"> &lt; 0.05, </w:t>
      </w:r>
      <w:r w:rsidR="0053118D" w:rsidRPr="006B4BF5">
        <w:rPr>
          <w:rFonts w:ascii="Book Antiqua" w:hAnsi="Book Antiqua"/>
          <w:sz w:val="24"/>
          <w:szCs w:val="24"/>
          <w:vertAlign w:val="superscript"/>
          <w:lang w:val="en-US"/>
        </w:rPr>
        <w:t>d</w:t>
      </w:r>
      <w:r w:rsidR="0053118D" w:rsidRPr="006B4BF5">
        <w:rPr>
          <w:rFonts w:ascii="Book Antiqua" w:hAnsi="Book Antiqua"/>
          <w:i/>
          <w:sz w:val="24"/>
          <w:szCs w:val="24"/>
          <w:lang w:val="en-US"/>
        </w:rPr>
        <w:t xml:space="preserve">P </w:t>
      </w:r>
      <w:r w:rsidRPr="006B4BF5">
        <w:rPr>
          <w:rFonts w:ascii="Book Antiqua" w:hAnsi="Book Antiqua"/>
          <w:sz w:val="24"/>
          <w:szCs w:val="24"/>
          <w:lang w:val="en-US"/>
        </w:rPr>
        <w:t xml:space="preserve">&lt; 0.01 </w:t>
      </w:r>
      <w:r w:rsidRPr="006B4BF5">
        <w:rPr>
          <w:rFonts w:ascii="Book Antiqua" w:hAnsi="Book Antiqua"/>
          <w:i/>
          <w:sz w:val="24"/>
          <w:szCs w:val="24"/>
          <w:lang w:val="en-US"/>
        </w:rPr>
        <w:t>vs</w:t>
      </w:r>
      <w:r w:rsidRPr="006B4BF5">
        <w:rPr>
          <w:rFonts w:ascii="Book Antiqua" w:hAnsi="Book Antiqua"/>
          <w:sz w:val="24"/>
          <w:szCs w:val="24"/>
          <w:lang w:val="en-US"/>
        </w:rPr>
        <w:t xml:space="preserve"> miR-15a mimic, </w:t>
      </w:r>
      <w:r w:rsidR="0053118D" w:rsidRPr="006B4BF5">
        <w:rPr>
          <w:rFonts w:ascii="Book Antiqua" w:hAnsi="Book Antiqua"/>
          <w:sz w:val="24"/>
          <w:szCs w:val="24"/>
          <w:vertAlign w:val="superscript"/>
          <w:lang w:val="en-US"/>
        </w:rPr>
        <w:t>e</w:t>
      </w:r>
      <w:r w:rsidR="0053118D" w:rsidRPr="006B4BF5">
        <w:rPr>
          <w:rFonts w:ascii="Book Antiqua" w:hAnsi="Book Antiqua"/>
          <w:i/>
          <w:sz w:val="24"/>
          <w:szCs w:val="24"/>
          <w:lang w:val="en-US"/>
        </w:rPr>
        <w:t>P</w:t>
      </w:r>
      <w:r w:rsidR="0053118D" w:rsidRPr="006B4BF5">
        <w:rPr>
          <w:rFonts w:ascii="Book Antiqua" w:hAnsi="Book Antiqua"/>
          <w:sz w:val="24"/>
          <w:szCs w:val="24"/>
          <w:lang w:val="en-US"/>
        </w:rPr>
        <w:t xml:space="preserve"> </w:t>
      </w:r>
      <w:r w:rsidRPr="006B4BF5">
        <w:rPr>
          <w:rFonts w:ascii="Book Antiqua" w:hAnsi="Book Antiqua"/>
          <w:sz w:val="24"/>
          <w:szCs w:val="24"/>
          <w:lang w:val="en-US"/>
        </w:rPr>
        <w:t xml:space="preserve">&lt; 0.05 </w:t>
      </w:r>
      <w:r w:rsidRPr="006B4BF5">
        <w:rPr>
          <w:rFonts w:ascii="Book Antiqua" w:hAnsi="Book Antiqua"/>
          <w:i/>
          <w:sz w:val="24"/>
          <w:szCs w:val="24"/>
          <w:lang w:val="en-US"/>
        </w:rPr>
        <w:t>vs</w:t>
      </w:r>
      <w:r w:rsidRPr="006B4BF5">
        <w:rPr>
          <w:rFonts w:ascii="Book Antiqua" w:hAnsi="Book Antiqua"/>
          <w:sz w:val="24"/>
          <w:szCs w:val="24"/>
          <w:lang w:val="en-US"/>
        </w:rPr>
        <w:t xml:space="preserve"> Lv-Cdc42-NC +TNF-</w:t>
      </w:r>
      <w:r w:rsidR="007849A1" w:rsidRPr="006B4BF5">
        <w:rPr>
          <w:rFonts w:ascii="Book Antiqua" w:hAnsi="Book Antiqua"/>
          <w:sz w:val="24"/>
          <w:szCs w:val="24"/>
        </w:rPr>
        <w:t>α</w:t>
      </w:r>
      <w:r w:rsidRPr="006B4BF5">
        <w:rPr>
          <w:rFonts w:ascii="Book Antiqua" w:hAnsi="Book Antiqua"/>
          <w:sz w:val="24"/>
          <w:szCs w:val="24"/>
          <w:lang w:val="en-US"/>
        </w:rPr>
        <w:t>) (magnification 40</w:t>
      </w:r>
      <w:r w:rsidR="0060495B" w:rsidRPr="006B4BF5">
        <w:rPr>
          <w:rFonts w:ascii="Book Antiqua" w:hAnsi="Book Antiqua"/>
          <w:sz w:val="24"/>
          <w:szCs w:val="24"/>
          <w:lang w:val="en-US"/>
        </w:rPr>
        <w:t xml:space="preserve"> </w:t>
      </w:r>
      <w:r w:rsidRPr="006B4BF5">
        <w:rPr>
          <w:rFonts w:ascii="Book Antiqua" w:hAnsi="Book Antiqua"/>
          <w:sz w:val="24"/>
          <w:szCs w:val="24"/>
          <w:lang w:val="en-US"/>
        </w:rPr>
        <w:t xml:space="preserve">×, bar = 25 </w:t>
      </w:r>
      <w:r w:rsidR="007849A1" w:rsidRPr="006B4BF5">
        <w:rPr>
          <w:rFonts w:ascii="Book Antiqua" w:hAnsi="Book Antiqua"/>
          <w:sz w:val="24"/>
          <w:szCs w:val="24"/>
        </w:rPr>
        <w:t>μ</w:t>
      </w:r>
      <w:r w:rsidRPr="006B4BF5">
        <w:rPr>
          <w:rFonts w:ascii="Book Antiqua" w:hAnsi="Book Antiqua"/>
          <w:sz w:val="24"/>
          <w:szCs w:val="24"/>
          <w:lang w:val="en-US"/>
        </w:rPr>
        <w:t>m).</w:t>
      </w:r>
      <w:r w:rsidR="00F5731E" w:rsidRPr="006B4BF5">
        <w:rPr>
          <w:rFonts w:ascii="Book Antiqua" w:hAnsi="Book Antiqua"/>
          <w:sz w:val="24"/>
          <w:szCs w:val="24"/>
          <w:lang w:val="en-US"/>
        </w:rPr>
        <w:t xml:space="preserve"> </w:t>
      </w:r>
      <w:r w:rsidR="0060495B" w:rsidRPr="006B4BF5">
        <w:rPr>
          <w:rFonts w:ascii="Book Antiqua" w:hAnsi="Book Antiqua"/>
          <w:sz w:val="24"/>
          <w:szCs w:val="24"/>
          <w:lang w:val="en-US"/>
        </w:rPr>
        <w:t>Cdc42:</w:t>
      </w:r>
      <w:r w:rsidR="00F5731E" w:rsidRPr="006B4BF5">
        <w:rPr>
          <w:rFonts w:ascii="Book Antiqua" w:hAnsi="Book Antiqua"/>
          <w:sz w:val="24"/>
          <w:szCs w:val="24"/>
          <w:lang w:val="en-US"/>
        </w:rPr>
        <w:t xml:space="preserve"> </w:t>
      </w:r>
      <w:r w:rsidR="0060495B" w:rsidRPr="006B4BF5">
        <w:rPr>
          <w:rFonts w:ascii="Book Antiqua" w:hAnsi="Book Antiqua"/>
          <w:sz w:val="24"/>
          <w:szCs w:val="24"/>
          <w:lang w:val="en-US"/>
        </w:rPr>
        <w:t>C</w:t>
      </w:r>
      <w:r w:rsidR="00040672" w:rsidRPr="006B4BF5">
        <w:rPr>
          <w:rFonts w:ascii="Book Antiqua" w:hAnsi="Book Antiqua"/>
          <w:sz w:val="24"/>
          <w:szCs w:val="24"/>
          <w:lang w:val="en-US"/>
        </w:rPr>
        <w:t xml:space="preserve">ell division cycle </w:t>
      </w:r>
      <w:r w:rsidR="0060495B" w:rsidRPr="006B4BF5">
        <w:rPr>
          <w:rFonts w:ascii="Book Antiqua" w:hAnsi="Book Antiqua"/>
          <w:sz w:val="24"/>
          <w:szCs w:val="24"/>
          <w:lang w:val="en-US"/>
        </w:rPr>
        <w:t>42; WT: Wildtype; miR: M</w:t>
      </w:r>
      <w:r w:rsidR="00F5731E" w:rsidRPr="006B4BF5">
        <w:rPr>
          <w:rFonts w:ascii="Book Antiqua" w:hAnsi="Book Antiqua"/>
          <w:sz w:val="24"/>
          <w:szCs w:val="24"/>
          <w:lang w:val="en-US"/>
        </w:rPr>
        <w:t>i</w:t>
      </w:r>
      <w:r w:rsidR="0060495B" w:rsidRPr="006B4BF5">
        <w:rPr>
          <w:rFonts w:ascii="Book Antiqua" w:hAnsi="Book Antiqua"/>
          <w:sz w:val="24"/>
          <w:szCs w:val="24"/>
          <w:lang w:val="en-US"/>
        </w:rPr>
        <w:t>croRNA;</w:t>
      </w:r>
      <w:r w:rsidR="00BB6FAC" w:rsidRPr="006B4BF5">
        <w:rPr>
          <w:rFonts w:ascii="Book Antiqua" w:hAnsi="Book Antiqua"/>
          <w:sz w:val="24"/>
          <w:szCs w:val="24"/>
          <w:lang w:val="en-US"/>
        </w:rPr>
        <w:t xml:space="preserve"> </w:t>
      </w:r>
      <w:r w:rsidR="0060495B" w:rsidRPr="006B4BF5">
        <w:rPr>
          <w:rFonts w:ascii="Book Antiqua" w:hAnsi="Book Antiqua"/>
          <w:sz w:val="24"/>
          <w:szCs w:val="24"/>
          <w:lang w:val="en-US"/>
        </w:rPr>
        <w:t>NC: Negative control;</w:t>
      </w:r>
      <w:r w:rsidR="00F5731E" w:rsidRPr="006B4BF5">
        <w:rPr>
          <w:rFonts w:ascii="Book Antiqua" w:hAnsi="Book Antiqua"/>
          <w:sz w:val="24"/>
          <w:szCs w:val="24"/>
          <w:lang w:val="en-US"/>
        </w:rPr>
        <w:t xml:space="preserve"> TNF-</w:t>
      </w:r>
      <w:r w:rsidR="00F5731E" w:rsidRPr="006B4BF5">
        <w:rPr>
          <w:rFonts w:ascii="Book Antiqua" w:hAnsi="Book Antiqua"/>
          <w:sz w:val="24"/>
          <w:szCs w:val="24"/>
        </w:rPr>
        <w:t>α</w:t>
      </w:r>
      <w:r w:rsidR="0060495B" w:rsidRPr="006B4BF5">
        <w:rPr>
          <w:rFonts w:ascii="Book Antiqua" w:hAnsi="Book Antiqua"/>
          <w:sz w:val="24"/>
          <w:szCs w:val="24"/>
          <w:lang w:val="en-US"/>
        </w:rPr>
        <w:t>: T</w:t>
      </w:r>
      <w:r w:rsidR="00F5731E" w:rsidRPr="006B4BF5">
        <w:rPr>
          <w:rFonts w:ascii="Book Antiqua" w:hAnsi="Book Antiqua"/>
          <w:sz w:val="24"/>
          <w:szCs w:val="24"/>
          <w:lang w:val="en-US"/>
        </w:rPr>
        <w:t>umor necrosis factor-</w:t>
      </w:r>
      <w:r w:rsidR="00F5731E" w:rsidRPr="006B4BF5">
        <w:rPr>
          <w:rFonts w:ascii="Book Antiqua" w:hAnsi="Book Antiqua"/>
          <w:sz w:val="24"/>
          <w:szCs w:val="24"/>
        </w:rPr>
        <w:t>α</w:t>
      </w:r>
      <w:r w:rsidR="0060495B" w:rsidRPr="006B4BF5">
        <w:rPr>
          <w:rFonts w:ascii="Book Antiqua" w:hAnsi="Book Antiqua"/>
          <w:sz w:val="24"/>
          <w:szCs w:val="24"/>
          <w:lang w:val="en-US"/>
        </w:rPr>
        <w:t>; LV: Lentiviral; NC: N</w:t>
      </w:r>
      <w:r w:rsidR="00F5731E" w:rsidRPr="006B4BF5">
        <w:rPr>
          <w:rFonts w:ascii="Book Antiqua" w:hAnsi="Book Antiqua"/>
          <w:sz w:val="24"/>
          <w:szCs w:val="24"/>
          <w:lang w:val="en-US"/>
        </w:rPr>
        <w:t>egative control.</w:t>
      </w:r>
    </w:p>
    <w:p w14:paraId="5C77BCA5" w14:textId="6385BF5E" w:rsidR="00847867" w:rsidRPr="006B4BF5" w:rsidRDefault="00847867"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br w:type="page"/>
      </w:r>
    </w:p>
    <w:p w14:paraId="1D0B741C" w14:textId="4D893054" w:rsidR="00AB5D54" w:rsidRPr="006B4BF5" w:rsidRDefault="00847867" w:rsidP="007B12C8">
      <w:pPr>
        <w:adjustRightInd w:val="0"/>
        <w:snapToGrid w:val="0"/>
        <w:spacing w:line="360" w:lineRule="auto"/>
        <w:jc w:val="both"/>
        <w:rPr>
          <w:rFonts w:ascii="Book Antiqua" w:hAnsi="Book Antiqua"/>
          <w:sz w:val="24"/>
          <w:szCs w:val="24"/>
        </w:rPr>
      </w:pPr>
      <w:r w:rsidRPr="006B4BF5">
        <w:rPr>
          <w:rFonts w:ascii="Book Antiqua" w:hAnsi="Book Antiqua"/>
          <w:noProof/>
          <w:sz w:val="24"/>
          <w:szCs w:val="24"/>
          <w:lang w:val="en-US" w:bidi="ar-SA"/>
        </w:rPr>
        <w:lastRenderedPageBreak/>
        <w:drawing>
          <wp:inline distT="0" distB="0" distL="0" distR="0" wp14:anchorId="230FDC16" wp14:editId="75E69795">
            <wp:extent cx="5734050" cy="455676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4050" cy="4556760"/>
                    </a:xfrm>
                    <a:prstGeom prst="rect">
                      <a:avLst/>
                    </a:prstGeom>
                  </pic:spPr>
                </pic:pic>
              </a:graphicData>
            </a:graphic>
          </wp:inline>
        </w:drawing>
      </w:r>
    </w:p>
    <w:p w14:paraId="719F1B01" w14:textId="6A8111AD" w:rsidR="002A03B0" w:rsidRPr="006B4BF5" w:rsidRDefault="00965F21" w:rsidP="007B12C8">
      <w:pPr>
        <w:adjustRightInd w:val="0"/>
        <w:snapToGrid w:val="0"/>
        <w:spacing w:line="360" w:lineRule="auto"/>
        <w:jc w:val="both"/>
        <w:rPr>
          <w:rFonts w:ascii="Book Antiqua" w:hAnsi="Book Antiqua"/>
          <w:sz w:val="24"/>
          <w:szCs w:val="24"/>
          <w:lang w:val="en-US"/>
        </w:rPr>
      </w:pPr>
      <w:r w:rsidRPr="006B4BF5">
        <w:rPr>
          <w:rFonts w:ascii="Book Antiqua" w:hAnsi="Book Antiqua"/>
          <w:b/>
          <w:sz w:val="24"/>
          <w:szCs w:val="24"/>
          <w:lang w:val="en-US"/>
        </w:rPr>
        <w:t xml:space="preserve">Figure 5 </w:t>
      </w:r>
      <w:r w:rsidR="0060495B" w:rsidRPr="006B4BF5">
        <w:rPr>
          <w:rFonts w:ascii="Book Antiqua" w:hAnsi="Book Antiqua"/>
          <w:b/>
          <w:sz w:val="24"/>
          <w:szCs w:val="24"/>
          <w:lang w:val="en-US"/>
        </w:rPr>
        <w:t>MicroRNA-15a</w:t>
      </w:r>
      <w:r w:rsidRPr="006B4BF5">
        <w:rPr>
          <w:rFonts w:ascii="Book Antiqua" w:hAnsi="Book Antiqua"/>
          <w:b/>
          <w:sz w:val="24"/>
          <w:szCs w:val="24"/>
          <w:lang w:val="en-US"/>
        </w:rPr>
        <w:t xml:space="preserve"> negatively regulates </w:t>
      </w:r>
      <w:r w:rsidR="0060495B" w:rsidRPr="006B4BF5">
        <w:rPr>
          <w:rFonts w:ascii="Book Antiqua" w:hAnsi="Book Antiqua"/>
          <w:b/>
          <w:sz w:val="24"/>
          <w:szCs w:val="24"/>
          <w:lang w:val="en-US"/>
        </w:rPr>
        <w:t>cell division cycle 42</w:t>
      </w:r>
      <w:r w:rsidRPr="006B4BF5">
        <w:rPr>
          <w:rFonts w:ascii="Book Antiqua" w:hAnsi="Book Antiqua"/>
          <w:b/>
          <w:sz w:val="24"/>
          <w:szCs w:val="24"/>
          <w:lang w:val="en-US"/>
        </w:rPr>
        <w:t xml:space="preserve"> in pediatric </w:t>
      </w:r>
      <w:r w:rsidR="00E8188F" w:rsidRPr="006B4BF5">
        <w:rPr>
          <w:rFonts w:ascii="Book Antiqua" w:hAnsi="Book Antiqua"/>
          <w:b/>
          <w:sz w:val="24"/>
          <w:szCs w:val="24"/>
          <w:lang w:val="en-US"/>
        </w:rPr>
        <w:t>inflammatory bowel disease</w:t>
      </w:r>
      <w:r w:rsidRPr="006B4BF5">
        <w:rPr>
          <w:rFonts w:ascii="Book Antiqua" w:hAnsi="Book Antiqua"/>
          <w:b/>
          <w:sz w:val="24"/>
          <w:szCs w:val="24"/>
          <w:lang w:val="en-US"/>
        </w:rPr>
        <w:t xml:space="preserve"> patients.</w:t>
      </w:r>
      <w:r w:rsidRPr="006B4BF5">
        <w:rPr>
          <w:rFonts w:ascii="Book Antiqua" w:hAnsi="Book Antiqua"/>
          <w:sz w:val="24"/>
          <w:szCs w:val="24"/>
          <w:lang w:val="en-US"/>
        </w:rPr>
        <w:t xml:space="preserve"> </w:t>
      </w:r>
      <w:r w:rsidR="0060495B" w:rsidRPr="006B4BF5">
        <w:rPr>
          <w:rFonts w:ascii="Book Antiqua" w:hAnsi="Book Antiqua"/>
          <w:sz w:val="24"/>
          <w:szCs w:val="24"/>
          <w:lang w:val="en-US"/>
        </w:rPr>
        <w:t>A:</w:t>
      </w:r>
      <w:r w:rsidRPr="006B4BF5">
        <w:rPr>
          <w:rFonts w:ascii="Book Antiqua" w:hAnsi="Book Antiqua"/>
          <w:sz w:val="24"/>
          <w:szCs w:val="24"/>
          <w:lang w:val="en-US"/>
        </w:rPr>
        <w:t xml:space="preserve"> </w:t>
      </w:r>
      <w:bookmarkStart w:id="146" w:name="OLE_LINK40"/>
      <w:bookmarkStart w:id="147" w:name="OLE_LINK41"/>
      <w:r w:rsidR="0060495B" w:rsidRPr="006B4BF5">
        <w:rPr>
          <w:rFonts w:ascii="Book Antiqua" w:hAnsi="Book Antiqua"/>
          <w:sz w:val="24"/>
          <w:szCs w:val="24"/>
          <w:lang w:val="en-US"/>
        </w:rPr>
        <w:t>Quantitative reverse transcription polymerase chain reaction</w:t>
      </w:r>
      <w:bookmarkEnd w:id="146"/>
      <w:bookmarkEnd w:id="147"/>
      <w:r w:rsidR="0060495B" w:rsidRPr="006B4BF5">
        <w:rPr>
          <w:rFonts w:ascii="Book Antiqua" w:hAnsi="Book Antiqua"/>
          <w:sz w:val="24"/>
          <w:szCs w:val="24"/>
          <w:lang w:val="en-US"/>
        </w:rPr>
        <w:t xml:space="preserve"> (qRT-PCR) was used to evaluate the r</w:t>
      </w:r>
      <w:r w:rsidRPr="006B4BF5">
        <w:rPr>
          <w:rFonts w:ascii="Book Antiqua" w:hAnsi="Book Antiqua"/>
          <w:sz w:val="24"/>
          <w:szCs w:val="24"/>
          <w:lang w:val="en-US"/>
        </w:rPr>
        <w:t xml:space="preserve">elative mRNA expression of miR-15a in every group. </w:t>
      </w:r>
      <w:r w:rsidR="0060495B" w:rsidRPr="006B4BF5">
        <w:rPr>
          <w:rFonts w:ascii="Book Antiqua" w:hAnsi="Book Antiqua"/>
          <w:sz w:val="24"/>
          <w:szCs w:val="24"/>
          <w:lang w:val="en-US"/>
        </w:rPr>
        <w:t>B: q</w:t>
      </w:r>
      <w:r w:rsidRPr="006B4BF5">
        <w:rPr>
          <w:rFonts w:ascii="Book Antiqua" w:hAnsi="Book Antiqua"/>
          <w:sz w:val="24"/>
          <w:szCs w:val="24"/>
          <w:lang w:val="en-US"/>
        </w:rPr>
        <w:t>R</w:t>
      </w:r>
      <w:r w:rsidR="0060495B" w:rsidRPr="006B4BF5">
        <w:rPr>
          <w:rFonts w:ascii="Book Antiqua" w:hAnsi="Book Antiqua"/>
          <w:sz w:val="24"/>
          <w:szCs w:val="24"/>
          <w:lang w:val="en-US"/>
        </w:rPr>
        <w:t>T-PCR was used to evaluate the r</w:t>
      </w:r>
      <w:r w:rsidRPr="006B4BF5">
        <w:rPr>
          <w:rFonts w:ascii="Book Antiqua" w:hAnsi="Book Antiqua"/>
          <w:sz w:val="24"/>
          <w:szCs w:val="24"/>
          <w:lang w:val="en-US"/>
        </w:rPr>
        <w:t>elative mRNA expr</w:t>
      </w:r>
      <w:r w:rsidR="0060495B" w:rsidRPr="006B4BF5">
        <w:rPr>
          <w:rFonts w:ascii="Book Antiqua" w:hAnsi="Book Antiqua"/>
          <w:sz w:val="24"/>
          <w:szCs w:val="24"/>
          <w:lang w:val="en-US"/>
        </w:rPr>
        <w:t>ession of cell division cycle (Cdc)42 in every group. C:</w:t>
      </w:r>
      <w:r w:rsidRPr="006B4BF5">
        <w:rPr>
          <w:rFonts w:ascii="Book Antiqua" w:hAnsi="Book Antiqua"/>
          <w:sz w:val="24"/>
          <w:szCs w:val="24"/>
          <w:lang w:val="en-US"/>
        </w:rPr>
        <w:t xml:space="preserve"> Pearson </w:t>
      </w:r>
      <w:r w:rsidRPr="006B4BF5">
        <w:rPr>
          <w:rFonts w:ascii="Book Antiqua" w:hAnsi="Book Antiqua"/>
          <w:i/>
          <w:sz w:val="24"/>
          <w:szCs w:val="24"/>
          <w:lang w:val="en-US"/>
        </w:rPr>
        <w:t>r</w:t>
      </w:r>
      <w:r w:rsidRPr="006B4BF5">
        <w:rPr>
          <w:rFonts w:ascii="Book Antiqua" w:hAnsi="Book Antiqua"/>
          <w:sz w:val="24"/>
          <w:szCs w:val="24"/>
          <w:lang w:val="en-US"/>
        </w:rPr>
        <w:t xml:space="preserve"> test was used to test c</w:t>
      </w:r>
      <w:r w:rsidR="0060495B" w:rsidRPr="006B4BF5">
        <w:rPr>
          <w:rFonts w:ascii="Book Antiqua" w:hAnsi="Book Antiqua"/>
          <w:sz w:val="24"/>
          <w:szCs w:val="24"/>
          <w:lang w:val="en-US"/>
        </w:rPr>
        <w:t>orrelation of microRNA (miR)-15a and Pediatric Crohn’s Disease Activity Index (PCDAI)</w:t>
      </w:r>
      <w:r w:rsidRPr="006B4BF5">
        <w:rPr>
          <w:rFonts w:ascii="Book Antiqua" w:hAnsi="Book Antiqua"/>
          <w:sz w:val="24"/>
          <w:szCs w:val="24"/>
          <w:lang w:val="en-US"/>
        </w:rPr>
        <w:t xml:space="preserve">. </w:t>
      </w:r>
      <w:r w:rsidR="0060495B" w:rsidRPr="006B4BF5">
        <w:rPr>
          <w:rFonts w:ascii="Book Antiqua" w:hAnsi="Book Antiqua"/>
          <w:sz w:val="24"/>
          <w:szCs w:val="24"/>
          <w:lang w:val="en-US"/>
        </w:rPr>
        <w:t>D:</w:t>
      </w:r>
      <w:r w:rsidRPr="006B4BF5">
        <w:rPr>
          <w:rFonts w:ascii="Book Antiqua" w:hAnsi="Book Antiqua"/>
          <w:sz w:val="24"/>
          <w:szCs w:val="24"/>
          <w:lang w:val="en-US"/>
        </w:rPr>
        <w:t xml:space="preserve"> Pearson </w:t>
      </w:r>
      <w:r w:rsidRPr="006B4BF5">
        <w:rPr>
          <w:rFonts w:ascii="Book Antiqua" w:hAnsi="Book Antiqua"/>
          <w:i/>
          <w:sz w:val="24"/>
          <w:szCs w:val="24"/>
          <w:lang w:val="en-US"/>
        </w:rPr>
        <w:t xml:space="preserve">r </w:t>
      </w:r>
      <w:r w:rsidRPr="006B4BF5">
        <w:rPr>
          <w:rFonts w:ascii="Book Antiqua" w:hAnsi="Book Antiqua"/>
          <w:sz w:val="24"/>
          <w:szCs w:val="24"/>
          <w:lang w:val="en-US"/>
        </w:rPr>
        <w:t>test was used to test</w:t>
      </w:r>
      <w:r w:rsidR="0060495B" w:rsidRPr="006B4BF5">
        <w:rPr>
          <w:rFonts w:ascii="Book Antiqua" w:hAnsi="Book Antiqua"/>
          <w:sz w:val="24"/>
          <w:szCs w:val="24"/>
          <w:lang w:val="en-US"/>
        </w:rPr>
        <w:t xml:space="preserve"> correlation of Cdc42 and PCDAI</w:t>
      </w:r>
      <w:r w:rsidRPr="006B4BF5">
        <w:rPr>
          <w:rFonts w:ascii="Book Antiqua" w:hAnsi="Book Antiqua"/>
          <w:sz w:val="24"/>
          <w:szCs w:val="24"/>
          <w:lang w:val="en-US"/>
        </w:rPr>
        <w:t xml:space="preserve">. </w:t>
      </w:r>
      <w:r w:rsidR="0060495B" w:rsidRPr="006B4BF5">
        <w:rPr>
          <w:rFonts w:ascii="Book Antiqua" w:hAnsi="Book Antiqua"/>
          <w:sz w:val="24"/>
          <w:szCs w:val="24"/>
          <w:lang w:val="en-US"/>
        </w:rPr>
        <w:t>E:</w:t>
      </w:r>
      <w:r w:rsidRPr="006B4BF5">
        <w:rPr>
          <w:rFonts w:ascii="Book Antiqua" w:hAnsi="Book Antiqua"/>
          <w:sz w:val="24"/>
          <w:szCs w:val="24"/>
          <w:lang w:val="en-US"/>
        </w:rPr>
        <w:t xml:space="preserve"> Pearson </w:t>
      </w:r>
      <w:r w:rsidRPr="006B4BF5">
        <w:rPr>
          <w:rFonts w:ascii="Book Antiqua" w:hAnsi="Book Antiqua"/>
          <w:i/>
          <w:sz w:val="24"/>
          <w:szCs w:val="24"/>
          <w:lang w:val="en-US"/>
        </w:rPr>
        <w:t>r</w:t>
      </w:r>
      <w:r w:rsidR="0060495B" w:rsidRPr="006B4BF5">
        <w:rPr>
          <w:rFonts w:ascii="Book Antiqua" w:hAnsi="Book Antiqua"/>
          <w:sz w:val="24"/>
          <w:szCs w:val="24"/>
          <w:lang w:val="en-US"/>
        </w:rPr>
        <w:t xml:space="preserve"> test was used to test c</w:t>
      </w:r>
      <w:r w:rsidRPr="006B4BF5">
        <w:rPr>
          <w:rFonts w:ascii="Book Antiqua" w:hAnsi="Book Antiqua"/>
          <w:sz w:val="24"/>
          <w:szCs w:val="24"/>
          <w:lang w:val="en-US"/>
        </w:rPr>
        <w:t xml:space="preserve">orrelation of miR-15a and Cdc42 </w:t>
      </w:r>
      <w:r w:rsidR="0060495B" w:rsidRPr="006B4BF5">
        <w:rPr>
          <w:rFonts w:ascii="Book Antiqua" w:hAnsi="Book Antiqua"/>
          <w:sz w:val="24"/>
          <w:szCs w:val="24"/>
          <w:lang w:val="en-US"/>
        </w:rPr>
        <w:t>[</w:t>
      </w:r>
      <w:r w:rsidR="008F71AA" w:rsidRPr="006B4BF5">
        <w:rPr>
          <w:rFonts w:ascii="Book Antiqua" w:hAnsi="Book Antiqua"/>
          <w:sz w:val="24"/>
          <w:szCs w:val="24"/>
          <w:vertAlign w:val="superscript"/>
          <w:lang w:val="en-US"/>
        </w:rPr>
        <w:t>a</w:t>
      </w:r>
      <w:r w:rsidRPr="006B4BF5">
        <w:rPr>
          <w:rFonts w:ascii="Book Antiqua" w:hAnsi="Book Antiqua"/>
          <w:i/>
          <w:sz w:val="24"/>
          <w:szCs w:val="24"/>
          <w:lang w:val="en-US"/>
        </w:rPr>
        <w:t>P</w:t>
      </w:r>
      <w:r w:rsidRPr="006B4BF5">
        <w:rPr>
          <w:rFonts w:ascii="Book Antiqua" w:hAnsi="Book Antiqua"/>
          <w:sz w:val="24"/>
          <w:szCs w:val="24"/>
          <w:lang w:val="en-US"/>
        </w:rPr>
        <w:t xml:space="preserve"> &lt;</w:t>
      </w:r>
      <w:r w:rsidR="0060495B" w:rsidRPr="006B4BF5">
        <w:rPr>
          <w:rFonts w:ascii="Book Antiqua" w:hAnsi="Book Antiqua"/>
          <w:sz w:val="24"/>
          <w:szCs w:val="24"/>
          <w:lang w:val="en-US"/>
        </w:rPr>
        <w:t xml:space="preserve"> </w:t>
      </w:r>
      <w:r w:rsidRPr="006B4BF5">
        <w:rPr>
          <w:rFonts w:ascii="Book Antiqua" w:hAnsi="Book Antiqua"/>
          <w:sz w:val="24"/>
          <w:szCs w:val="24"/>
          <w:lang w:val="en-US"/>
        </w:rPr>
        <w:t xml:space="preserve">0.05, </w:t>
      </w:r>
      <w:r w:rsidR="008F71AA" w:rsidRPr="006B4BF5">
        <w:rPr>
          <w:rFonts w:ascii="Book Antiqua" w:hAnsi="Book Antiqua"/>
          <w:sz w:val="24"/>
          <w:szCs w:val="24"/>
          <w:vertAlign w:val="superscript"/>
          <w:lang w:val="en-US"/>
        </w:rPr>
        <w:t>b</w:t>
      </w:r>
      <w:r w:rsidRPr="006B4BF5">
        <w:rPr>
          <w:rFonts w:ascii="Book Antiqua" w:hAnsi="Book Antiqua"/>
          <w:i/>
          <w:sz w:val="24"/>
          <w:szCs w:val="24"/>
          <w:lang w:val="en-US"/>
        </w:rPr>
        <w:t>P</w:t>
      </w:r>
      <w:r w:rsidRPr="006B4BF5">
        <w:rPr>
          <w:rFonts w:ascii="Book Antiqua" w:hAnsi="Book Antiqua"/>
          <w:sz w:val="24"/>
          <w:szCs w:val="24"/>
          <w:lang w:val="en-US"/>
        </w:rPr>
        <w:t xml:space="preserve"> &lt;</w:t>
      </w:r>
      <w:r w:rsidR="0060495B" w:rsidRPr="006B4BF5">
        <w:rPr>
          <w:rFonts w:ascii="Book Antiqua" w:hAnsi="Book Antiqua"/>
          <w:sz w:val="24"/>
          <w:szCs w:val="24"/>
          <w:lang w:val="en-US"/>
        </w:rPr>
        <w:t xml:space="preserve"> </w:t>
      </w:r>
      <w:r w:rsidRPr="006B4BF5">
        <w:rPr>
          <w:rFonts w:ascii="Book Antiqua" w:hAnsi="Book Antiqua"/>
          <w:sz w:val="24"/>
          <w:szCs w:val="24"/>
          <w:lang w:val="en-US"/>
        </w:rPr>
        <w:t xml:space="preserve">0.01 </w:t>
      </w:r>
      <w:r w:rsidR="0060495B" w:rsidRPr="006B4BF5">
        <w:rPr>
          <w:rFonts w:ascii="Book Antiqua" w:hAnsi="Book Antiqua"/>
          <w:i/>
          <w:sz w:val="24"/>
          <w:szCs w:val="24"/>
          <w:lang w:val="en-US"/>
        </w:rPr>
        <w:t>vs</w:t>
      </w:r>
      <w:r w:rsidRPr="006B4BF5">
        <w:rPr>
          <w:rFonts w:ascii="Book Antiqua" w:hAnsi="Book Antiqua"/>
          <w:sz w:val="24"/>
          <w:szCs w:val="24"/>
          <w:lang w:val="en-US"/>
        </w:rPr>
        <w:t xml:space="preserve"> control, </w:t>
      </w:r>
      <w:r w:rsidR="008F71AA" w:rsidRPr="006B4BF5">
        <w:rPr>
          <w:rFonts w:ascii="Book Antiqua" w:hAnsi="Book Antiqua"/>
          <w:sz w:val="24"/>
          <w:szCs w:val="24"/>
          <w:vertAlign w:val="superscript"/>
          <w:lang w:val="en-US"/>
        </w:rPr>
        <w:t>c</w:t>
      </w:r>
      <w:r w:rsidRPr="006B4BF5">
        <w:rPr>
          <w:rFonts w:ascii="Book Antiqua" w:hAnsi="Book Antiqua"/>
          <w:i/>
          <w:sz w:val="24"/>
          <w:szCs w:val="24"/>
          <w:lang w:val="en-US"/>
        </w:rPr>
        <w:t>P</w:t>
      </w:r>
      <w:r w:rsidR="0060495B" w:rsidRPr="006B4BF5">
        <w:rPr>
          <w:rFonts w:ascii="Book Antiqua" w:hAnsi="Book Antiqua"/>
          <w:sz w:val="24"/>
          <w:szCs w:val="24"/>
          <w:lang w:val="en-US"/>
        </w:rPr>
        <w:t xml:space="preserve"> </w:t>
      </w:r>
      <w:r w:rsidRPr="006B4BF5">
        <w:rPr>
          <w:rFonts w:ascii="Book Antiqua" w:hAnsi="Book Antiqua"/>
          <w:sz w:val="24"/>
          <w:szCs w:val="24"/>
          <w:lang w:val="en-US"/>
        </w:rPr>
        <w:t>&lt;</w:t>
      </w:r>
      <w:r w:rsidR="0060495B" w:rsidRPr="006B4BF5">
        <w:rPr>
          <w:rFonts w:ascii="Book Antiqua" w:hAnsi="Book Antiqua"/>
          <w:sz w:val="24"/>
          <w:szCs w:val="24"/>
          <w:lang w:val="en-US"/>
        </w:rPr>
        <w:t xml:space="preserve"> </w:t>
      </w:r>
      <w:r w:rsidRPr="006B4BF5">
        <w:rPr>
          <w:rFonts w:ascii="Book Antiqua" w:hAnsi="Book Antiqua"/>
          <w:sz w:val="24"/>
          <w:szCs w:val="24"/>
          <w:lang w:val="en-US"/>
        </w:rPr>
        <w:t xml:space="preserve">0.05 </w:t>
      </w:r>
      <w:r w:rsidR="0060495B" w:rsidRPr="006B4BF5">
        <w:rPr>
          <w:rFonts w:ascii="Book Antiqua" w:hAnsi="Book Antiqua"/>
          <w:i/>
          <w:sz w:val="24"/>
          <w:szCs w:val="24"/>
          <w:lang w:val="en-US"/>
        </w:rPr>
        <w:t>vs</w:t>
      </w:r>
      <w:r w:rsidRPr="006B4BF5">
        <w:rPr>
          <w:rFonts w:ascii="Book Antiqua" w:hAnsi="Book Antiqua"/>
          <w:sz w:val="24"/>
          <w:szCs w:val="24"/>
          <w:lang w:val="en-US"/>
        </w:rPr>
        <w:t xml:space="preserve"> </w:t>
      </w:r>
      <w:r w:rsidR="0060495B" w:rsidRPr="006B4BF5">
        <w:rPr>
          <w:rFonts w:ascii="Book Antiqua" w:hAnsi="Book Antiqua"/>
          <w:sz w:val="24"/>
          <w:szCs w:val="24"/>
          <w:lang w:val="en-US"/>
        </w:rPr>
        <w:t>Crohn’s disease active group]</w:t>
      </w:r>
      <w:r w:rsidRPr="006B4BF5">
        <w:rPr>
          <w:rFonts w:ascii="Book Antiqua" w:hAnsi="Book Antiqua"/>
          <w:sz w:val="24"/>
          <w:szCs w:val="24"/>
          <w:lang w:val="en-US"/>
        </w:rPr>
        <w:t>.</w:t>
      </w:r>
      <w:r w:rsidR="00040672" w:rsidRPr="006B4BF5">
        <w:rPr>
          <w:rFonts w:ascii="Book Antiqua" w:hAnsi="Book Antiqua"/>
          <w:sz w:val="24"/>
          <w:szCs w:val="24"/>
          <w:lang w:val="en-US"/>
        </w:rPr>
        <w:t xml:space="preserve"> </w:t>
      </w:r>
      <w:r w:rsidR="0060495B" w:rsidRPr="006B4BF5">
        <w:rPr>
          <w:rFonts w:ascii="Book Antiqua" w:hAnsi="Book Antiqua"/>
          <w:sz w:val="24"/>
          <w:szCs w:val="24"/>
          <w:lang w:val="en-US"/>
        </w:rPr>
        <w:t xml:space="preserve">Cdc42: Cell division cycle 42; CD AC: Crohn’s disease active; </w:t>
      </w:r>
      <w:bookmarkStart w:id="148" w:name="OLE_LINK45"/>
      <w:bookmarkStart w:id="149" w:name="OLE_LINK46"/>
      <w:r w:rsidR="0060495B" w:rsidRPr="006B4BF5">
        <w:rPr>
          <w:rFonts w:ascii="Book Antiqua" w:hAnsi="Book Antiqua"/>
          <w:sz w:val="24"/>
          <w:szCs w:val="24"/>
          <w:lang w:val="en-US"/>
        </w:rPr>
        <w:t>CD RE: Crohn’s disease remission; UC: Ulcerative colitis</w:t>
      </w:r>
      <w:bookmarkEnd w:id="148"/>
      <w:bookmarkEnd w:id="149"/>
      <w:r w:rsidR="0060495B" w:rsidRPr="006B4BF5">
        <w:rPr>
          <w:rFonts w:ascii="Book Antiqua" w:hAnsi="Book Antiqua"/>
          <w:sz w:val="24"/>
          <w:szCs w:val="24"/>
          <w:lang w:val="en-US"/>
        </w:rPr>
        <w:t>; PCDAI:</w:t>
      </w:r>
      <w:r w:rsidR="00040672" w:rsidRPr="006B4BF5">
        <w:rPr>
          <w:rFonts w:ascii="Book Antiqua" w:hAnsi="Book Antiqua"/>
          <w:sz w:val="24"/>
          <w:szCs w:val="24"/>
          <w:lang w:val="en-US"/>
        </w:rPr>
        <w:t xml:space="preserve"> Pediatric Crohn’s Disease Activity Index. </w:t>
      </w:r>
    </w:p>
    <w:p w14:paraId="2A7C2941" w14:textId="77777777" w:rsidR="00847867" w:rsidRPr="006B4BF5" w:rsidRDefault="00847867"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br w:type="page"/>
      </w:r>
    </w:p>
    <w:p w14:paraId="7FDBDC3C" w14:textId="5F1C5A94" w:rsidR="002A03B0" w:rsidRPr="006B4BF5" w:rsidRDefault="00965F21" w:rsidP="005C3D9B">
      <w:pPr>
        <w:adjustRightInd w:val="0"/>
        <w:snapToGrid w:val="0"/>
        <w:spacing w:line="360" w:lineRule="auto"/>
        <w:jc w:val="both"/>
        <w:outlineLvl w:val="0"/>
        <w:rPr>
          <w:rFonts w:ascii="Book Antiqua" w:hAnsi="Book Antiqua"/>
          <w:b/>
          <w:sz w:val="24"/>
          <w:szCs w:val="24"/>
          <w:lang w:val="en-US"/>
        </w:rPr>
      </w:pPr>
      <w:r w:rsidRPr="006B4BF5">
        <w:rPr>
          <w:rFonts w:ascii="Book Antiqua" w:hAnsi="Book Antiqua"/>
          <w:b/>
          <w:sz w:val="24"/>
          <w:szCs w:val="24"/>
          <w:lang w:val="en-US"/>
        </w:rPr>
        <w:lastRenderedPageBreak/>
        <w:t xml:space="preserve">Table 1 Primer sequences for </w:t>
      </w:r>
      <w:r w:rsidR="00E57432" w:rsidRPr="006B4BF5">
        <w:rPr>
          <w:rFonts w:ascii="Book Antiqua" w:hAnsi="Book Antiqua"/>
          <w:b/>
          <w:sz w:val="24"/>
          <w:szCs w:val="24"/>
          <w:lang w:val="en-US"/>
        </w:rPr>
        <w:t>quantitative reverse transcription polymerase chain reaction</w:t>
      </w:r>
      <w:r w:rsidRPr="006B4BF5">
        <w:rPr>
          <w:rFonts w:ascii="Book Antiqua" w:hAnsi="Book Antiqua"/>
          <w:b/>
          <w:sz w:val="24"/>
          <w:szCs w:val="24"/>
          <w:lang w:val="en-US"/>
        </w:rPr>
        <w:t xml:space="preserve"> used in the present study</w:t>
      </w:r>
    </w:p>
    <w:tbl>
      <w:tblPr>
        <w:tblStyle w:val="TableNormal1"/>
        <w:tblW w:w="0" w:type="auto"/>
        <w:tblLayout w:type="fixed"/>
        <w:tblLook w:val="01E0" w:firstRow="1" w:lastRow="1" w:firstColumn="1" w:lastColumn="1" w:noHBand="0" w:noVBand="0"/>
      </w:tblPr>
      <w:tblGrid>
        <w:gridCol w:w="1543"/>
        <w:gridCol w:w="6540"/>
      </w:tblGrid>
      <w:tr w:rsidR="00E57432" w:rsidRPr="00D36529" w14:paraId="337BA405" w14:textId="77777777" w:rsidTr="00E57432">
        <w:trPr>
          <w:trHeight w:val="624"/>
        </w:trPr>
        <w:tc>
          <w:tcPr>
            <w:tcW w:w="1543" w:type="dxa"/>
            <w:tcBorders>
              <w:top w:val="single" w:sz="4" w:space="0" w:color="000000"/>
              <w:bottom w:val="single" w:sz="4" w:space="0" w:color="000000"/>
            </w:tcBorders>
          </w:tcPr>
          <w:p w14:paraId="72F70FB2" w14:textId="77777777" w:rsidR="00E57432" w:rsidRPr="006B4BF5" w:rsidRDefault="00E57432" w:rsidP="00E57432">
            <w:pPr>
              <w:adjustRightInd w:val="0"/>
              <w:snapToGrid w:val="0"/>
              <w:spacing w:line="360" w:lineRule="auto"/>
              <w:jc w:val="both"/>
              <w:rPr>
                <w:rFonts w:ascii="Book Antiqua" w:hAnsi="Book Antiqua"/>
                <w:b/>
                <w:sz w:val="24"/>
                <w:szCs w:val="24"/>
              </w:rPr>
            </w:pPr>
            <w:r w:rsidRPr="006B4BF5">
              <w:rPr>
                <w:rFonts w:ascii="Book Antiqua" w:hAnsi="Book Antiqua"/>
                <w:b/>
                <w:sz w:val="24"/>
                <w:szCs w:val="24"/>
              </w:rPr>
              <w:t>Primer</w:t>
            </w:r>
          </w:p>
        </w:tc>
        <w:tc>
          <w:tcPr>
            <w:tcW w:w="6540" w:type="dxa"/>
            <w:tcBorders>
              <w:top w:val="single" w:sz="4" w:space="0" w:color="000000"/>
              <w:bottom w:val="single" w:sz="4" w:space="0" w:color="000000"/>
            </w:tcBorders>
          </w:tcPr>
          <w:p w14:paraId="0B220738" w14:textId="76755D57" w:rsidR="00E57432" w:rsidRPr="00D36529" w:rsidRDefault="00E57432" w:rsidP="00E57432">
            <w:pPr>
              <w:adjustRightInd w:val="0"/>
              <w:snapToGrid w:val="0"/>
              <w:spacing w:line="360" w:lineRule="auto"/>
              <w:jc w:val="center"/>
              <w:rPr>
                <w:rFonts w:ascii="Book Antiqua" w:hAnsi="Book Antiqua"/>
                <w:b/>
                <w:sz w:val="24"/>
                <w:szCs w:val="24"/>
                <w:lang w:val="en-US"/>
              </w:rPr>
            </w:pPr>
            <w:r w:rsidRPr="00D36529">
              <w:rPr>
                <w:rFonts w:ascii="Book Antiqua" w:hAnsi="Book Antiqua"/>
                <w:b/>
                <w:sz w:val="24"/>
                <w:szCs w:val="24"/>
                <w:lang w:val="en-US"/>
              </w:rPr>
              <w:t>Primer sequences (5</w:t>
            </w:r>
            <w:r w:rsidR="00BB6FAC" w:rsidRPr="00D36529">
              <w:rPr>
                <w:rFonts w:ascii="Book Antiqua" w:hAnsi="Book Antiqua"/>
                <w:b/>
                <w:sz w:val="24"/>
                <w:szCs w:val="24"/>
                <w:lang w:val="en-US"/>
              </w:rPr>
              <w:t>′</w:t>
            </w:r>
            <w:r w:rsidRPr="00D36529">
              <w:rPr>
                <w:rFonts w:ascii="Book Antiqua" w:hAnsi="Book Antiqua"/>
                <w:b/>
                <w:sz w:val="24"/>
                <w:szCs w:val="24"/>
                <w:lang w:val="en-US"/>
              </w:rPr>
              <w:t xml:space="preserve"> </w:t>
            </w:r>
            <w:r w:rsidRPr="00D36529">
              <w:rPr>
                <w:rFonts w:ascii="Book Antiqua" w:eastAsia="Calibri" w:hAnsi="Book Antiqua" w:cs="Calibri"/>
                <w:b/>
                <w:sz w:val="24"/>
                <w:szCs w:val="24"/>
                <w:lang w:val="en-US"/>
              </w:rPr>
              <w:t>→</w:t>
            </w:r>
            <w:r w:rsidRPr="00D36529">
              <w:rPr>
                <w:rFonts w:ascii="Book Antiqua" w:hAnsi="Book Antiqua"/>
                <w:b/>
                <w:sz w:val="24"/>
                <w:szCs w:val="24"/>
                <w:lang w:val="en-US"/>
              </w:rPr>
              <w:t xml:space="preserve"> 3′)</w:t>
            </w:r>
          </w:p>
        </w:tc>
      </w:tr>
      <w:tr w:rsidR="00E57432" w:rsidRPr="006B4BF5" w14:paraId="4414300D" w14:textId="77777777" w:rsidTr="00BE744E">
        <w:trPr>
          <w:trHeight w:val="341"/>
        </w:trPr>
        <w:tc>
          <w:tcPr>
            <w:tcW w:w="1543" w:type="dxa"/>
            <w:tcBorders>
              <w:top w:val="single" w:sz="4" w:space="0" w:color="000000"/>
            </w:tcBorders>
          </w:tcPr>
          <w:p w14:paraId="02310C03" w14:textId="77777777" w:rsidR="00E57432" w:rsidRPr="006B4BF5" w:rsidRDefault="00E57432" w:rsidP="00E57432">
            <w:pPr>
              <w:adjustRightInd w:val="0"/>
              <w:snapToGrid w:val="0"/>
              <w:spacing w:line="360" w:lineRule="auto"/>
              <w:jc w:val="both"/>
              <w:rPr>
                <w:rFonts w:ascii="Book Antiqua" w:hAnsi="Book Antiqua"/>
                <w:i/>
                <w:sz w:val="24"/>
                <w:szCs w:val="24"/>
              </w:rPr>
            </w:pPr>
            <w:r w:rsidRPr="006B4BF5">
              <w:rPr>
                <w:rFonts w:ascii="Book Antiqua" w:hAnsi="Book Antiqua"/>
                <w:i/>
                <w:sz w:val="24"/>
                <w:szCs w:val="24"/>
              </w:rPr>
              <w:t>miR-15a</w:t>
            </w:r>
          </w:p>
        </w:tc>
        <w:tc>
          <w:tcPr>
            <w:tcW w:w="6540" w:type="dxa"/>
            <w:tcBorders>
              <w:top w:val="single" w:sz="4" w:space="0" w:color="000000"/>
            </w:tcBorders>
          </w:tcPr>
          <w:p w14:paraId="2EA67CF3" w14:textId="77777777" w:rsidR="00E57432" w:rsidRPr="006B4BF5" w:rsidRDefault="00E57432" w:rsidP="00E57432">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r w:rsidRPr="006B4BF5">
              <w:rPr>
                <w:rFonts w:ascii="Book Antiqua" w:hAnsi="Book Antiqua"/>
                <w:sz w:val="24"/>
                <w:szCs w:val="24"/>
              </w:rPr>
              <w:t>：</w:t>
            </w:r>
            <w:r w:rsidRPr="006B4BF5">
              <w:rPr>
                <w:rFonts w:ascii="Book Antiqua" w:hAnsi="Book Antiqua"/>
                <w:sz w:val="24"/>
                <w:szCs w:val="24"/>
              </w:rPr>
              <w:t>5’- ACACTCCAGCTGGGTAGCAGCACATAATGG-3’</w:t>
            </w:r>
          </w:p>
        </w:tc>
      </w:tr>
      <w:tr w:rsidR="00E57432" w:rsidRPr="000E0D81" w14:paraId="34BF21D6" w14:textId="77777777" w:rsidTr="00BE744E">
        <w:trPr>
          <w:trHeight w:val="428"/>
        </w:trPr>
        <w:tc>
          <w:tcPr>
            <w:tcW w:w="1543" w:type="dxa"/>
          </w:tcPr>
          <w:p w14:paraId="55842EEC" w14:textId="77777777" w:rsidR="00E57432" w:rsidRPr="006B4BF5" w:rsidRDefault="00E57432" w:rsidP="00E57432">
            <w:pPr>
              <w:adjustRightInd w:val="0"/>
              <w:snapToGrid w:val="0"/>
              <w:spacing w:line="360" w:lineRule="auto"/>
              <w:jc w:val="both"/>
              <w:rPr>
                <w:rFonts w:ascii="Book Antiqua" w:hAnsi="Book Antiqua"/>
                <w:i/>
                <w:sz w:val="24"/>
                <w:szCs w:val="24"/>
              </w:rPr>
            </w:pPr>
          </w:p>
        </w:tc>
        <w:tc>
          <w:tcPr>
            <w:tcW w:w="6540" w:type="dxa"/>
          </w:tcPr>
          <w:p w14:paraId="4B090985" w14:textId="55872738" w:rsidR="00E57432" w:rsidRPr="006B4BF5" w:rsidRDefault="00E57432" w:rsidP="00E57432">
            <w:pPr>
              <w:adjustRightInd w:val="0"/>
              <w:snapToGrid w:val="0"/>
              <w:spacing w:line="360" w:lineRule="auto"/>
              <w:jc w:val="center"/>
              <w:rPr>
                <w:rFonts w:ascii="Book Antiqua" w:hAnsi="Book Antiqua"/>
                <w:sz w:val="24"/>
                <w:szCs w:val="24"/>
                <w:lang w:val="en-US"/>
              </w:rPr>
            </w:pPr>
            <w:r w:rsidRPr="006B4BF5">
              <w:rPr>
                <w:rFonts w:ascii="Book Antiqua" w:hAnsi="Book Antiqua"/>
                <w:sz w:val="24"/>
                <w:szCs w:val="24"/>
                <w:lang w:val="en-US"/>
              </w:rPr>
              <w:t>R</w:t>
            </w:r>
            <w:r w:rsidRPr="006B4BF5">
              <w:rPr>
                <w:rFonts w:ascii="Book Antiqua" w:hAnsi="Book Antiqua"/>
                <w:sz w:val="24"/>
                <w:szCs w:val="24"/>
                <w:lang w:val="en-US"/>
              </w:rPr>
              <w:t>：</w:t>
            </w:r>
            <w:r w:rsidRPr="006B4BF5">
              <w:rPr>
                <w:rFonts w:ascii="Book Antiqua" w:hAnsi="Book Antiqua"/>
                <w:sz w:val="24"/>
                <w:szCs w:val="24"/>
                <w:lang w:val="en-US"/>
              </w:rPr>
              <w:t>10 × miscript universal primer</w:t>
            </w:r>
            <w:r w:rsidRPr="006B4BF5">
              <w:rPr>
                <w:rFonts w:ascii="Book Antiqua" w:hAnsi="Book Antiqua"/>
                <w:sz w:val="24"/>
                <w:szCs w:val="24"/>
                <w:lang w:val="en-US"/>
              </w:rPr>
              <w:t>（</w:t>
            </w:r>
            <w:r w:rsidRPr="006B4BF5">
              <w:rPr>
                <w:rFonts w:ascii="Book Antiqua" w:hAnsi="Book Antiqua"/>
                <w:sz w:val="24"/>
                <w:szCs w:val="24"/>
                <w:lang w:val="en-US"/>
              </w:rPr>
              <w:t>QIAGEN)</w:t>
            </w:r>
          </w:p>
        </w:tc>
      </w:tr>
      <w:tr w:rsidR="00E57432" w:rsidRPr="006B4BF5" w14:paraId="2D015633" w14:textId="77777777" w:rsidTr="00BE744E">
        <w:trPr>
          <w:trHeight w:val="393"/>
        </w:trPr>
        <w:tc>
          <w:tcPr>
            <w:tcW w:w="1543" w:type="dxa"/>
          </w:tcPr>
          <w:p w14:paraId="494E931A" w14:textId="77777777" w:rsidR="00E57432" w:rsidRPr="006B4BF5" w:rsidRDefault="00E57432" w:rsidP="00E57432">
            <w:pPr>
              <w:adjustRightInd w:val="0"/>
              <w:snapToGrid w:val="0"/>
              <w:spacing w:line="360" w:lineRule="auto"/>
              <w:jc w:val="both"/>
              <w:rPr>
                <w:rFonts w:ascii="Book Antiqua" w:hAnsi="Book Antiqua"/>
                <w:i/>
                <w:sz w:val="24"/>
                <w:szCs w:val="24"/>
              </w:rPr>
            </w:pPr>
            <w:bookmarkStart w:id="150" w:name="OLE_LINK42"/>
            <w:r w:rsidRPr="006B4BF5">
              <w:rPr>
                <w:rFonts w:ascii="Book Antiqua" w:hAnsi="Book Antiqua"/>
                <w:i/>
                <w:sz w:val="24"/>
                <w:szCs w:val="24"/>
              </w:rPr>
              <w:t>RNU6A</w:t>
            </w:r>
            <w:bookmarkEnd w:id="150"/>
          </w:p>
        </w:tc>
        <w:tc>
          <w:tcPr>
            <w:tcW w:w="6540" w:type="dxa"/>
          </w:tcPr>
          <w:p w14:paraId="666E3558" w14:textId="77777777" w:rsidR="00E57432" w:rsidRPr="006B4BF5" w:rsidRDefault="00E57432" w:rsidP="00E57432">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r w:rsidRPr="006B4BF5">
              <w:rPr>
                <w:rFonts w:ascii="Book Antiqua" w:hAnsi="Book Antiqua"/>
                <w:sz w:val="24"/>
                <w:szCs w:val="24"/>
              </w:rPr>
              <w:t>：</w:t>
            </w:r>
            <w:r w:rsidRPr="006B4BF5">
              <w:rPr>
                <w:rFonts w:ascii="Book Antiqua" w:hAnsi="Book Antiqua"/>
                <w:sz w:val="24"/>
                <w:szCs w:val="24"/>
              </w:rPr>
              <w:t>5’- CTCGCTTCGGCAGCACA-3’</w:t>
            </w:r>
          </w:p>
        </w:tc>
      </w:tr>
      <w:tr w:rsidR="00E57432" w:rsidRPr="006B4BF5" w14:paraId="0B920878" w14:textId="77777777" w:rsidTr="00E57432">
        <w:trPr>
          <w:trHeight w:val="622"/>
        </w:trPr>
        <w:tc>
          <w:tcPr>
            <w:tcW w:w="1543" w:type="dxa"/>
          </w:tcPr>
          <w:p w14:paraId="2754A537" w14:textId="77777777" w:rsidR="00E57432" w:rsidRPr="006B4BF5" w:rsidRDefault="00E57432" w:rsidP="00E57432">
            <w:pPr>
              <w:adjustRightInd w:val="0"/>
              <w:snapToGrid w:val="0"/>
              <w:spacing w:line="360" w:lineRule="auto"/>
              <w:jc w:val="both"/>
              <w:rPr>
                <w:rFonts w:ascii="Book Antiqua" w:hAnsi="Book Antiqua"/>
                <w:i/>
                <w:sz w:val="24"/>
                <w:szCs w:val="24"/>
              </w:rPr>
            </w:pPr>
          </w:p>
        </w:tc>
        <w:tc>
          <w:tcPr>
            <w:tcW w:w="6540" w:type="dxa"/>
          </w:tcPr>
          <w:p w14:paraId="7552FBC7" w14:textId="77777777" w:rsidR="00E57432" w:rsidRPr="006B4BF5" w:rsidRDefault="00E57432" w:rsidP="00E57432">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R</w:t>
            </w:r>
            <w:r w:rsidRPr="006B4BF5">
              <w:rPr>
                <w:rFonts w:ascii="Book Antiqua" w:hAnsi="Book Antiqua"/>
                <w:sz w:val="24"/>
                <w:szCs w:val="24"/>
              </w:rPr>
              <w:t>：</w:t>
            </w:r>
            <w:r w:rsidRPr="006B4BF5">
              <w:rPr>
                <w:rFonts w:ascii="Book Antiqua" w:hAnsi="Book Antiqua"/>
                <w:sz w:val="24"/>
                <w:szCs w:val="24"/>
              </w:rPr>
              <w:t>5’- AACGCTTCACGAATTTGCGT -3’</w:t>
            </w:r>
          </w:p>
        </w:tc>
      </w:tr>
      <w:tr w:rsidR="00E57432" w:rsidRPr="000E0D81" w14:paraId="10F59D71" w14:textId="77777777" w:rsidTr="00E57432">
        <w:trPr>
          <w:trHeight w:val="625"/>
        </w:trPr>
        <w:tc>
          <w:tcPr>
            <w:tcW w:w="1543" w:type="dxa"/>
          </w:tcPr>
          <w:p w14:paraId="5EE7F46B" w14:textId="77777777" w:rsidR="00E57432" w:rsidRPr="006B4BF5" w:rsidRDefault="00E57432" w:rsidP="00E57432">
            <w:pPr>
              <w:adjustRightInd w:val="0"/>
              <w:snapToGrid w:val="0"/>
              <w:spacing w:line="360" w:lineRule="auto"/>
              <w:jc w:val="both"/>
              <w:rPr>
                <w:rFonts w:ascii="Book Antiqua" w:hAnsi="Book Antiqua"/>
                <w:i/>
                <w:sz w:val="24"/>
                <w:szCs w:val="24"/>
              </w:rPr>
            </w:pPr>
            <w:r w:rsidRPr="006B4BF5">
              <w:rPr>
                <w:rFonts w:ascii="Book Antiqua" w:hAnsi="Book Antiqua"/>
                <w:i/>
                <w:sz w:val="24"/>
                <w:szCs w:val="24"/>
              </w:rPr>
              <w:t>Cdc42</w:t>
            </w:r>
          </w:p>
        </w:tc>
        <w:tc>
          <w:tcPr>
            <w:tcW w:w="6540" w:type="dxa"/>
          </w:tcPr>
          <w:p w14:paraId="03989E17" w14:textId="77777777" w:rsidR="00E57432" w:rsidRPr="006B4BF5" w:rsidRDefault="00E57432" w:rsidP="00E57432">
            <w:pPr>
              <w:adjustRightInd w:val="0"/>
              <w:snapToGrid w:val="0"/>
              <w:spacing w:line="360" w:lineRule="auto"/>
              <w:jc w:val="center"/>
              <w:rPr>
                <w:rFonts w:ascii="Book Antiqua" w:hAnsi="Book Antiqua"/>
                <w:sz w:val="24"/>
                <w:szCs w:val="24"/>
                <w:lang w:val="en-US"/>
              </w:rPr>
            </w:pPr>
            <w:r w:rsidRPr="006B4BF5">
              <w:rPr>
                <w:rFonts w:ascii="Book Antiqua" w:hAnsi="Book Antiqua"/>
                <w:sz w:val="24"/>
                <w:szCs w:val="24"/>
                <w:lang w:val="en-US"/>
              </w:rPr>
              <w:t>F</w:t>
            </w:r>
            <w:r w:rsidRPr="006B4BF5">
              <w:rPr>
                <w:rFonts w:ascii="Book Antiqua" w:hAnsi="Book Antiqua"/>
                <w:sz w:val="24"/>
                <w:szCs w:val="24"/>
                <w:lang w:val="en-US"/>
              </w:rPr>
              <w:t>：</w:t>
            </w:r>
            <w:r w:rsidRPr="006B4BF5">
              <w:rPr>
                <w:rFonts w:ascii="Book Antiqua" w:hAnsi="Book Antiqua"/>
                <w:sz w:val="24"/>
                <w:szCs w:val="24"/>
                <w:lang w:val="en-US"/>
              </w:rPr>
              <w:t>5’- TTATGACAGATTACGACCGC -3’</w:t>
            </w:r>
          </w:p>
        </w:tc>
      </w:tr>
      <w:tr w:rsidR="00E57432" w:rsidRPr="000E0D81" w14:paraId="43D3FE69" w14:textId="77777777" w:rsidTr="00E57432">
        <w:trPr>
          <w:trHeight w:val="622"/>
        </w:trPr>
        <w:tc>
          <w:tcPr>
            <w:tcW w:w="1543" w:type="dxa"/>
          </w:tcPr>
          <w:p w14:paraId="39A5BDA9" w14:textId="77777777" w:rsidR="00E57432" w:rsidRPr="006B4BF5" w:rsidRDefault="00E57432" w:rsidP="00E57432">
            <w:pPr>
              <w:adjustRightInd w:val="0"/>
              <w:snapToGrid w:val="0"/>
              <w:spacing w:line="360" w:lineRule="auto"/>
              <w:jc w:val="both"/>
              <w:rPr>
                <w:rFonts w:ascii="Book Antiqua" w:hAnsi="Book Antiqua"/>
                <w:i/>
                <w:sz w:val="24"/>
                <w:szCs w:val="24"/>
                <w:lang w:val="en-US"/>
              </w:rPr>
            </w:pPr>
          </w:p>
        </w:tc>
        <w:tc>
          <w:tcPr>
            <w:tcW w:w="6540" w:type="dxa"/>
          </w:tcPr>
          <w:p w14:paraId="2669CC6B" w14:textId="77777777" w:rsidR="00E57432" w:rsidRPr="006B4BF5" w:rsidRDefault="00E57432" w:rsidP="00E57432">
            <w:pPr>
              <w:adjustRightInd w:val="0"/>
              <w:snapToGrid w:val="0"/>
              <w:spacing w:line="360" w:lineRule="auto"/>
              <w:jc w:val="center"/>
              <w:rPr>
                <w:rFonts w:ascii="Book Antiqua" w:hAnsi="Book Antiqua"/>
                <w:sz w:val="24"/>
                <w:szCs w:val="24"/>
                <w:lang w:val="en-US"/>
              </w:rPr>
            </w:pPr>
            <w:r w:rsidRPr="006B4BF5">
              <w:rPr>
                <w:rFonts w:ascii="Book Antiqua" w:hAnsi="Book Antiqua"/>
                <w:sz w:val="24"/>
                <w:szCs w:val="24"/>
                <w:lang w:val="en-US"/>
              </w:rPr>
              <w:t>R</w:t>
            </w:r>
            <w:r w:rsidRPr="006B4BF5">
              <w:rPr>
                <w:rFonts w:ascii="Book Antiqua" w:hAnsi="Book Antiqua"/>
                <w:sz w:val="24"/>
                <w:szCs w:val="24"/>
                <w:lang w:val="en-US"/>
              </w:rPr>
              <w:t>：</w:t>
            </w:r>
            <w:r w:rsidRPr="006B4BF5">
              <w:rPr>
                <w:rFonts w:ascii="Book Antiqua" w:hAnsi="Book Antiqua"/>
                <w:sz w:val="24"/>
                <w:szCs w:val="24"/>
                <w:lang w:val="en-US"/>
              </w:rPr>
              <w:t>5’- CCAACAAGCAAGAAAGGAGT -3’</w:t>
            </w:r>
          </w:p>
        </w:tc>
      </w:tr>
      <w:tr w:rsidR="00E57432" w:rsidRPr="000E0D81" w14:paraId="731F1DCE" w14:textId="77777777" w:rsidTr="00E57432">
        <w:trPr>
          <w:trHeight w:val="625"/>
        </w:trPr>
        <w:tc>
          <w:tcPr>
            <w:tcW w:w="1543" w:type="dxa"/>
          </w:tcPr>
          <w:p w14:paraId="79044035" w14:textId="5270F064" w:rsidR="00E57432" w:rsidRPr="006B4BF5" w:rsidRDefault="00E57432" w:rsidP="00E57432">
            <w:pPr>
              <w:adjustRightInd w:val="0"/>
              <w:snapToGrid w:val="0"/>
              <w:spacing w:line="360" w:lineRule="auto"/>
              <w:jc w:val="both"/>
              <w:rPr>
                <w:rFonts w:ascii="Book Antiqua" w:hAnsi="Book Antiqua"/>
                <w:i/>
                <w:sz w:val="24"/>
                <w:szCs w:val="24"/>
              </w:rPr>
            </w:pPr>
            <w:r w:rsidRPr="006B4BF5">
              <w:rPr>
                <w:rFonts w:ascii="Book Antiqua" w:hAnsi="Book Antiqua"/>
                <w:i/>
                <w:sz w:val="24"/>
                <w:szCs w:val="24"/>
              </w:rPr>
              <w:t>Z</w:t>
            </w:r>
            <w:r w:rsidR="00C8137F" w:rsidRPr="006B4BF5">
              <w:rPr>
                <w:rFonts w:ascii="Book Antiqua" w:hAnsi="Book Antiqua"/>
                <w:i/>
                <w:sz w:val="24"/>
                <w:szCs w:val="24"/>
              </w:rPr>
              <w:t>O</w:t>
            </w:r>
            <w:r w:rsidRPr="006B4BF5">
              <w:rPr>
                <w:rFonts w:ascii="Book Antiqua" w:hAnsi="Book Antiqua"/>
                <w:i/>
                <w:sz w:val="24"/>
                <w:szCs w:val="24"/>
              </w:rPr>
              <w:t>-1</w:t>
            </w:r>
          </w:p>
        </w:tc>
        <w:tc>
          <w:tcPr>
            <w:tcW w:w="6540" w:type="dxa"/>
          </w:tcPr>
          <w:p w14:paraId="33202458" w14:textId="77777777" w:rsidR="00E57432" w:rsidRPr="006B4BF5" w:rsidRDefault="00E57432" w:rsidP="00E57432">
            <w:pPr>
              <w:adjustRightInd w:val="0"/>
              <w:snapToGrid w:val="0"/>
              <w:spacing w:line="360" w:lineRule="auto"/>
              <w:jc w:val="center"/>
              <w:rPr>
                <w:rFonts w:ascii="Book Antiqua" w:hAnsi="Book Antiqua"/>
                <w:sz w:val="24"/>
                <w:szCs w:val="24"/>
                <w:lang w:val="en-US"/>
              </w:rPr>
            </w:pPr>
            <w:r w:rsidRPr="006B4BF5">
              <w:rPr>
                <w:rFonts w:ascii="Book Antiqua" w:hAnsi="Book Antiqua"/>
                <w:sz w:val="24"/>
                <w:szCs w:val="24"/>
                <w:lang w:val="en-US"/>
              </w:rPr>
              <w:t>F</w:t>
            </w:r>
            <w:r w:rsidRPr="006B4BF5">
              <w:rPr>
                <w:rFonts w:ascii="Book Antiqua" w:hAnsi="Book Antiqua"/>
                <w:sz w:val="24"/>
                <w:szCs w:val="24"/>
                <w:lang w:val="en-US"/>
              </w:rPr>
              <w:t>：</w:t>
            </w:r>
            <w:r w:rsidRPr="006B4BF5">
              <w:rPr>
                <w:rFonts w:ascii="Book Antiqua" w:hAnsi="Book Antiqua"/>
                <w:sz w:val="24"/>
                <w:szCs w:val="24"/>
                <w:lang w:val="en-US"/>
              </w:rPr>
              <w:t>5’- AACAAGCCAGCAGAGACCTC -3’</w:t>
            </w:r>
          </w:p>
        </w:tc>
      </w:tr>
      <w:tr w:rsidR="00E57432" w:rsidRPr="000E0D81" w14:paraId="2AB54863" w14:textId="77777777" w:rsidTr="00E57432">
        <w:trPr>
          <w:trHeight w:val="622"/>
        </w:trPr>
        <w:tc>
          <w:tcPr>
            <w:tcW w:w="1543" w:type="dxa"/>
          </w:tcPr>
          <w:p w14:paraId="0BC75FE0" w14:textId="77777777" w:rsidR="00E57432" w:rsidRPr="006B4BF5" w:rsidRDefault="00E57432" w:rsidP="00E57432">
            <w:pPr>
              <w:adjustRightInd w:val="0"/>
              <w:snapToGrid w:val="0"/>
              <w:spacing w:line="360" w:lineRule="auto"/>
              <w:jc w:val="both"/>
              <w:rPr>
                <w:rFonts w:ascii="Book Antiqua" w:hAnsi="Book Antiqua"/>
                <w:i/>
                <w:sz w:val="24"/>
                <w:szCs w:val="24"/>
                <w:lang w:val="en-US"/>
              </w:rPr>
            </w:pPr>
          </w:p>
        </w:tc>
        <w:tc>
          <w:tcPr>
            <w:tcW w:w="6540" w:type="dxa"/>
          </w:tcPr>
          <w:p w14:paraId="7AB5C78C" w14:textId="77777777" w:rsidR="00E57432" w:rsidRPr="006B4BF5" w:rsidRDefault="00E57432" w:rsidP="00E57432">
            <w:pPr>
              <w:adjustRightInd w:val="0"/>
              <w:snapToGrid w:val="0"/>
              <w:spacing w:line="360" w:lineRule="auto"/>
              <w:jc w:val="center"/>
              <w:rPr>
                <w:rFonts w:ascii="Book Antiqua" w:hAnsi="Book Antiqua"/>
                <w:sz w:val="24"/>
                <w:szCs w:val="24"/>
                <w:lang w:val="en-US"/>
              </w:rPr>
            </w:pPr>
            <w:r w:rsidRPr="006B4BF5">
              <w:rPr>
                <w:rFonts w:ascii="Book Antiqua" w:hAnsi="Book Antiqua"/>
                <w:sz w:val="24"/>
                <w:szCs w:val="24"/>
                <w:lang w:val="en-US"/>
              </w:rPr>
              <w:t>R</w:t>
            </w:r>
            <w:r w:rsidRPr="006B4BF5">
              <w:rPr>
                <w:rFonts w:ascii="Book Antiqua" w:hAnsi="Book Antiqua"/>
                <w:sz w:val="24"/>
                <w:szCs w:val="24"/>
                <w:lang w:val="en-US"/>
              </w:rPr>
              <w:t>：</w:t>
            </w:r>
            <w:r w:rsidRPr="006B4BF5">
              <w:rPr>
                <w:rFonts w:ascii="Book Antiqua" w:hAnsi="Book Antiqua"/>
                <w:sz w:val="24"/>
                <w:szCs w:val="24"/>
                <w:lang w:val="en-US"/>
              </w:rPr>
              <w:t>5’- CTTCATACATGGGGACGCGA -3’</w:t>
            </w:r>
          </w:p>
        </w:tc>
      </w:tr>
      <w:tr w:rsidR="00E57432" w:rsidRPr="006B4BF5" w14:paraId="0B95A69C" w14:textId="77777777" w:rsidTr="00E57432">
        <w:trPr>
          <w:trHeight w:val="625"/>
        </w:trPr>
        <w:tc>
          <w:tcPr>
            <w:tcW w:w="1543" w:type="dxa"/>
          </w:tcPr>
          <w:p w14:paraId="235EF1CA" w14:textId="77777777" w:rsidR="00E57432" w:rsidRPr="006B4BF5" w:rsidRDefault="00E57432" w:rsidP="00E57432">
            <w:pPr>
              <w:adjustRightInd w:val="0"/>
              <w:snapToGrid w:val="0"/>
              <w:spacing w:line="360" w:lineRule="auto"/>
              <w:jc w:val="both"/>
              <w:rPr>
                <w:rFonts w:ascii="Book Antiqua" w:hAnsi="Book Antiqua"/>
                <w:i/>
                <w:sz w:val="24"/>
                <w:szCs w:val="24"/>
              </w:rPr>
            </w:pPr>
            <w:r w:rsidRPr="006B4BF5">
              <w:rPr>
                <w:rFonts w:ascii="Book Antiqua" w:hAnsi="Book Antiqua"/>
                <w:i/>
                <w:sz w:val="24"/>
                <w:szCs w:val="24"/>
              </w:rPr>
              <w:t>E-cadherin</w:t>
            </w:r>
          </w:p>
        </w:tc>
        <w:tc>
          <w:tcPr>
            <w:tcW w:w="6540" w:type="dxa"/>
          </w:tcPr>
          <w:p w14:paraId="0C6EA3FC" w14:textId="77777777" w:rsidR="00E57432" w:rsidRPr="006B4BF5" w:rsidRDefault="00E57432" w:rsidP="00E57432">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r w:rsidRPr="006B4BF5">
              <w:rPr>
                <w:rFonts w:ascii="Book Antiqua" w:hAnsi="Book Antiqua"/>
                <w:sz w:val="24"/>
                <w:szCs w:val="24"/>
              </w:rPr>
              <w:t>：</w:t>
            </w:r>
            <w:r w:rsidRPr="006B4BF5">
              <w:rPr>
                <w:rFonts w:ascii="Book Antiqua" w:hAnsi="Book Antiqua"/>
                <w:sz w:val="24"/>
                <w:szCs w:val="24"/>
              </w:rPr>
              <w:t>5’- TCCAGTGAACAACGATGGCA -3’</w:t>
            </w:r>
          </w:p>
        </w:tc>
      </w:tr>
      <w:tr w:rsidR="00E57432" w:rsidRPr="006B4BF5" w14:paraId="707D4DA4" w14:textId="77777777" w:rsidTr="00E57432">
        <w:trPr>
          <w:trHeight w:val="623"/>
        </w:trPr>
        <w:tc>
          <w:tcPr>
            <w:tcW w:w="1543" w:type="dxa"/>
          </w:tcPr>
          <w:p w14:paraId="07255AA9" w14:textId="77777777" w:rsidR="00E57432" w:rsidRPr="006B4BF5" w:rsidRDefault="00E57432" w:rsidP="00E57432">
            <w:pPr>
              <w:adjustRightInd w:val="0"/>
              <w:snapToGrid w:val="0"/>
              <w:spacing w:line="360" w:lineRule="auto"/>
              <w:jc w:val="both"/>
              <w:rPr>
                <w:rFonts w:ascii="Book Antiqua" w:hAnsi="Book Antiqua"/>
                <w:i/>
                <w:sz w:val="24"/>
                <w:szCs w:val="24"/>
              </w:rPr>
            </w:pPr>
          </w:p>
        </w:tc>
        <w:tc>
          <w:tcPr>
            <w:tcW w:w="6540" w:type="dxa"/>
          </w:tcPr>
          <w:p w14:paraId="3F13AA69" w14:textId="77777777" w:rsidR="00E57432" w:rsidRPr="006B4BF5" w:rsidRDefault="00E57432" w:rsidP="00E57432">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R</w:t>
            </w:r>
            <w:r w:rsidRPr="006B4BF5">
              <w:rPr>
                <w:rFonts w:ascii="Book Antiqua" w:hAnsi="Book Antiqua"/>
                <w:sz w:val="24"/>
                <w:szCs w:val="24"/>
              </w:rPr>
              <w:t>：</w:t>
            </w:r>
            <w:r w:rsidRPr="006B4BF5">
              <w:rPr>
                <w:rFonts w:ascii="Book Antiqua" w:hAnsi="Book Antiqua"/>
                <w:sz w:val="24"/>
                <w:szCs w:val="24"/>
              </w:rPr>
              <w:t>5’- AATGTACTGCTGCTTGGCCT -3’</w:t>
            </w:r>
          </w:p>
        </w:tc>
      </w:tr>
      <w:tr w:rsidR="00E57432" w:rsidRPr="000E0D81" w14:paraId="6FDB6E82" w14:textId="77777777" w:rsidTr="00E57432">
        <w:trPr>
          <w:trHeight w:val="625"/>
        </w:trPr>
        <w:tc>
          <w:tcPr>
            <w:tcW w:w="1543" w:type="dxa"/>
          </w:tcPr>
          <w:p w14:paraId="514298D2" w14:textId="1041FE83" w:rsidR="00E57432" w:rsidRPr="006B4BF5" w:rsidRDefault="00C8137F" w:rsidP="00E57432">
            <w:pPr>
              <w:adjustRightInd w:val="0"/>
              <w:snapToGrid w:val="0"/>
              <w:spacing w:line="360" w:lineRule="auto"/>
              <w:jc w:val="both"/>
              <w:rPr>
                <w:rFonts w:ascii="Book Antiqua" w:hAnsi="Book Antiqua"/>
                <w:i/>
                <w:sz w:val="24"/>
                <w:szCs w:val="24"/>
              </w:rPr>
            </w:pPr>
            <w:r w:rsidRPr="006B4BF5">
              <w:rPr>
                <w:rFonts w:ascii="Book Antiqua" w:hAnsi="Book Antiqua"/>
                <w:i/>
                <w:sz w:val="24"/>
                <w:szCs w:val="24"/>
              </w:rPr>
              <w:t>GAPDH</w:t>
            </w:r>
          </w:p>
        </w:tc>
        <w:tc>
          <w:tcPr>
            <w:tcW w:w="6540" w:type="dxa"/>
          </w:tcPr>
          <w:p w14:paraId="02ED978B" w14:textId="77777777" w:rsidR="00E57432" w:rsidRPr="006B4BF5" w:rsidRDefault="00E57432" w:rsidP="00E57432">
            <w:pPr>
              <w:adjustRightInd w:val="0"/>
              <w:snapToGrid w:val="0"/>
              <w:spacing w:line="360" w:lineRule="auto"/>
              <w:jc w:val="center"/>
              <w:rPr>
                <w:rFonts w:ascii="Book Antiqua" w:hAnsi="Book Antiqua"/>
                <w:sz w:val="24"/>
                <w:szCs w:val="24"/>
                <w:lang w:val="en-US"/>
              </w:rPr>
            </w:pPr>
            <w:r w:rsidRPr="006B4BF5">
              <w:rPr>
                <w:rFonts w:ascii="Book Antiqua" w:hAnsi="Book Antiqua"/>
                <w:sz w:val="24"/>
                <w:szCs w:val="24"/>
                <w:lang w:val="en-US"/>
              </w:rPr>
              <w:t>F</w:t>
            </w:r>
            <w:r w:rsidRPr="006B4BF5">
              <w:rPr>
                <w:rFonts w:ascii="Book Antiqua" w:hAnsi="Book Antiqua"/>
                <w:sz w:val="24"/>
                <w:szCs w:val="24"/>
                <w:lang w:val="en-US"/>
              </w:rPr>
              <w:t>：</w:t>
            </w:r>
            <w:r w:rsidRPr="006B4BF5">
              <w:rPr>
                <w:rFonts w:ascii="Book Antiqua" w:hAnsi="Book Antiqua"/>
                <w:sz w:val="24"/>
                <w:szCs w:val="24"/>
                <w:lang w:val="en-US"/>
              </w:rPr>
              <w:t>5’- CCTCCTCACAGTTGCCATGT -3’</w:t>
            </w:r>
          </w:p>
        </w:tc>
      </w:tr>
      <w:tr w:rsidR="00E57432" w:rsidRPr="000E0D81" w14:paraId="296149DC" w14:textId="77777777" w:rsidTr="00E57432">
        <w:trPr>
          <w:trHeight w:val="420"/>
        </w:trPr>
        <w:tc>
          <w:tcPr>
            <w:tcW w:w="1543" w:type="dxa"/>
            <w:tcBorders>
              <w:bottom w:val="single" w:sz="4" w:space="0" w:color="auto"/>
            </w:tcBorders>
          </w:tcPr>
          <w:p w14:paraId="502B6837" w14:textId="77777777" w:rsidR="00E57432" w:rsidRPr="006B4BF5" w:rsidRDefault="00E57432" w:rsidP="00E57432">
            <w:pPr>
              <w:adjustRightInd w:val="0"/>
              <w:snapToGrid w:val="0"/>
              <w:spacing w:line="360" w:lineRule="auto"/>
              <w:jc w:val="both"/>
              <w:rPr>
                <w:rFonts w:ascii="Book Antiqua" w:hAnsi="Book Antiqua"/>
                <w:sz w:val="24"/>
                <w:szCs w:val="24"/>
                <w:lang w:val="en-US"/>
              </w:rPr>
            </w:pPr>
          </w:p>
        </w:tc>
        <w:tc>
          <w:tcPr>
            <w:tcW w:w="6540" w:type="dxa"/>
            <w:tcBorders>
              <w:bottom w:val="single" w:sz="4" w:space="0" w:color="auto"/>
            </w:tcBorders>
          </w:tcPr>
          <w:p w14:paraId="2C49E19F" w14:textId="77777777" w:rsidR="00E57432" w:rsidRPr="006B4BF5" w:rsidRDefault="00E57432" w:rsidP="00E57432">
            <w:pPr>
              <w:adjustRightInd w:val="0"/>
              <w:snapToGrid w:val="0"/>
              <w:spacing w:line="360" w:lineRule="auto"/>
              <w:jc w:val="center"/>
              <w:rPr>
                <w:rFonts w:ascii="Book Antiqua" w:hAnsi="Book Antiqua"/>
                <w:sz w:val="24"/>
                <w:szCs w:val="24"/>
                <w:lang w:val="en-US"/>
              </w:rPr>
            </w:pPr>
            <w:r w:rsidRPr="006B4BF5">
              <w:rPr>
                <w:rFonts w:ascii="Book Antiqua" w:hAnsi="Book Antiqua"/>
                <w:sz w:val="24"/>
                <w:szCs w:val="24"/>
                <w:lang w:val="en-US"/>
              </w:rPr>
              <w:t>R</w:t>
            </w:r>
            <w:r w:rsidRPr="006B4BF5">
              <w:rPr>
                <w:rFonts w:ascii="Book Antiqua" w:hAnsi="Book Antiqua"/>
                <w:sz w:val="24"/>
                <w:szCs w:val="24"/>
                <w:lang w:val="en-US"/>
              </w:rPr>
              <w:t>：</w:t>
            </w:r>
            <w:r w:rsidRPr="006B4BF5">
              <w:rPr>
                <w:rFonts w:ascii="Book Antiqua" w:hAnsi="Book Antiqua"/>
                <w:sz w:val="24"/>
                <w:szCs w:val="24"/>
                <w:lang w:val="en-US"/>
              </w:rPr>
              <w:t>5’- CTGGTTGAGCACAGGGTACT -3’</w:t>
            </w:r>
          </w:p>
        </w:tc>
      </w:tr>
    </w:tbl>
    <w:p w14:paraId="309CF923" w14:textId="4381A469" w:rsidR="002A03B0" w:rsidRPr="006B4BF5" w:rsidRDefault="00E57432"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miR-15a: MicroRNA-15a; </w:t>
      </w:r>
      <w:r w:rsidR="00C8137F" w:rsidRPr="006B4BF5">
        <w:rPr>
          <w:rFonts w:ascii="Book Antiqua" w:hAnsi="Book Antiqua"/>
          <w:sz w:val="24"/>
          <w:szCs w:val="24"/>
          <w:lang w:val="en-US"/>
        </w:rPr>
        <w:t>Cdc42: Cell division cycle 42; ZO-1: Zona occludens-1.</w:t>
      </w:r>
    </w:p>
    <w:p w14:paraId="5FBD7A8C" w14:textId="77777777" w:rsidR="002A03B0" w:rsidRPr="006B4BF5" w:rsidRDefault="002A03B0" w:rsidP="007B12C8">
      <w:pPr>
        <w:adjustRightInd w:val="0"/>
        <w:snapToGrid w:val="0"/>
        <w:spacing w:line="360" w:lineRule="auto"/>
        <w:jc w:val="both"/>
        <w:rPr>
          <w:rFonts w:ascii="Book Antiqua" w:hAnsi="Book Antiqua"/>
          <w:sz w:val="24"/>
          <w:szCs w:val="24"/>
          <w:lang w:val="en-US"/>
        </w:rPr>
        <w:sectPr w:rsidR="002A03B0" w:rsidRPr="006B4BF5" w:rsidSect="00847867">
          <w:pgSz w:w="11910" w:h="16840"/>
          <w:pgMar w:top="1800" w:right="1440" w:bottom="1800" w:left="1440" w:header="720" w:footer="720" w:gutter="0"/>
          <w:cols w:space="720"/>
          <w:docGrid w:linePitch="299"/>
        </w:sectPr>
      </w:pPr>
    </w:p>
    <w:tbl>
      <w:tblPr>
        <w:tblStyle w:val="TableNormal1"/>
        <w:tblpPr w:leftFromText="180" w:rightFromText="180" w:vertAnchor="text" w:horzAnchor="margin" w:tblpY="462"/>
        <w:tblW w:w="0" w:type="auto"/>
        <w:tblLayout w:type="fixed"/>
        <w:tblLook w:val="01E0" w:firstRow="1" w:lastRow="1" w:firstColumn="1" w:lastColumn="1" w:noHBand="0" w:noVBand="0"/>
      </w:tblPr>
      <w:tblGrid>
        <w:gridCol w:w="2404"/>
        <w:gridCol w:w="1843"/>
        <w:gridCol w:w="1984"/>
        <w:gridCol w:w="2539"/>
      </w:tblGrid>
      <w:tr w:rsidR="00D8432C" w:rsidRPr="006B4BF5" w14:paraId="7F866ACA" w14:textId="77777777" w:rsidTr="00D8432C">
        <w:trPr>
          <w:trHeight w:val="276"/>
        </w:trPr>
        <w:tc>
          <w:tcPr>
            <w:tcW w:w="2404" w:type="dxa"/>
            <w:tcBorders>
              <w:top w:val="single" w:sz="4" w:space="0" w:color="000000"/>
              <w:bottom w:val="single" w:sz="4" w:space="0" w:color="000000"/>
            </w:tcBorders>
          </w:tcPr>
          <w:p w14:paraId="484CBBBA" w14:textId="77777777" w:rsidR="00D8432C" w:rsidRPr="006B4BF5" w:rsidRDefault="00D8432C" w:rsidP="00D8432C">
            <w:pPr>
              <w:adjustRightInd w:val="0"/>
              <w:snapToGrid w:val="0"/>
              <w:spacing w:line="360" w:lineRule="auto"/>
              <w:jc w:val="both"/>
              <w:rPr>
                <w:rFonts w:ascii="Book Antiqua" w:hAnsi="Book Antiqua"/>
                <w:sz w:val="24"/>
                <w:szCs w:val="24"/>
                <w:lang w:val="en-US"/>
              </w:rPr>
            </w:pPr>
          </w:p>
        </w:tc>
        <w:tc>
          <w:tcPr>
            <w:tcW w:w="1843" w:type="dxa"/>
            <w:tcBorders>
              <w:top w:val="single" w:sz="4" w:space="0" w:color="000000"/>
              <w:bottom w:val="single" w:sz="4" w:space="0" w:color="000000"/>
            </w:tcBorders>
          </w:tcPr>
          <w:p w14:paraId="42CAA171" w14:textId="77777777" w:rsidR="00D8432C" w:rsidRPr="006B4BF5" w:rsidRDefault="00D8432C" w:rsidP="00D8432C">
            <w:pPr>
              <w:adjustRightInd w:val="0"/>
              <w:snapToGrid w:val="0"/>
              <w:spacing w:line="360" w:lineRule="auto"/>
              <w:jc w:val="center"/>
              <w:rPr>
                <w:rFonts w:ascii="Book Antiqua" w:hAnsi="Book Antiqua"/>
                <w:b/>
                <w:sz w:val="24"/>
                <w:szCs w:val="24"/>
              </w:rPr>
            </w:pPr>
            <w:r w:rsidRPr="006B4BF5">
              <w:rPr>
                <w:rFonts w:ascii="Book Antiqua" w:hAnsi="Book Antiqua"/>
                <w:b/>
                <w:sz w:val="24"/>
                <w:szCs w:val="24"/>
              </w:rPr>
              <w:t>Control</w:t>
            </w:r>
          </w:p>
        </w:tc>
        <w:tc>
          <w:tcPr>
            <w:tcW w:w="1984" w:type="dxa"/>
            <w:tcBorders>
              <w:top w:val="single" w:sz="4" w:space="0" w:color="000000"/>
              <w:bottom w:val="single" w:sz="4" w:space="0" w:color="000000"/>
            </w:tcBorders>
          </w:tcPr>
          <w:p w14:paraId="72A041D7" w14:textId="77777777" w:rsidR="00D8432C" w:rsidRPr="006B4BF5" w:rsidRDefault="00D8432C" w:rsidP="00D8432C">
            <w:pPr>
              <w:adjustRightInd w:val="0"/>
              <w:snapToGrid w:val="0"/>
              <w:spacing w:line="360" w:lineRule="auto"/>
              <w:jc w:val="center"/>
              <w:rPr>
                <w:rFonts w:ascii="Book Antiqua" w:hAnsi="Book Antiqua"/>
                <w:b/>
                <w:sz w:val="24"/>
                <w:szCs w:val="24"/>
              </w:rPr>
            </w:pPr>
            <w:r w:rsidRPr="006B4BF5">
              <w:rPr>
                <w:rFonts w:ascii="Book Antiqua" w:hAnsi="Book Antiqua"/>
                <w:b/>
                <w:sz w:val="24"/>
                <w:szCs w:val="24"/>
              </w:rPr>
              <w:t>CD</w:t>
            </w:r>
          </w:p>
        </w:tc>
        <w:tc>
          <w:tcPr>
            <w:tcW w:w="2539" w:type="dxa"/>
            <w:tcBorders>
              <w:top w:val="single" w:sz="4" w:space="0" w:color="000000"/>
              <w:bottom w:val="single" w:sz="4" w:space="0" w:color="000000"/>
            </w:tcBorders>
          </w:tcPr>
          <w:p w14:paraId="090AD47D" w14:textId="77777777" w:rsidR="00D8432C" w:rsidRPr="006B4BF5" w:rsidRDefault="00D8432C" w:rsidP="00D8432C">
            <w:pPr>
              <w:adjustRightInd w:val="0"/>
              <w:snapToGrid w:val="0"/>
              <w:spacing w:line="360" w:lineRule="auto"/>
              <w:jc w:val="center"/>
              <w:rPr>
                <w:rFonts w:ascii="Book Antiqua" w:hAnsi="Book Antiqua"/>
                <w:b/>
                <w:sz w:val="24"/>
                <w:szCs w:val="24"/>
              </w:rPr>
            </w:pPr>
            <w:r w:rsidRPr="006B4BF5">
              <w:rPr>
                <w:rFonts w:ascii="Book Antiqua" w:hAnsi="Book Antiqua"/>
                <w:b/>
                <w:sz w:val="24"/>
                <w:szCs w:val="24"/>
              </w:rPr>
              <w:t>UC</w:t>
            </w:r>
          </w:p>
        </w:tc>
      </w:tr>
      <w:tr w:rsidR="00D8432C" w:rsidRPr="006B4BF5" w14:paraId="5758CB43" w14:textId="77777777" w:rsidTr="00D8432C">
        <w:trPr>
          <w:trHeight w:val="240"/>
        </w:trPr>
        <w:tc>
          <w:tcPr>
            <w:tcW w:w="2404" w:type="dxa"/>
            <w:tcBorders>
              <w:top w:val="single" w:sz="4" w:space="0" w:color="000000"/>
            </w:tcBorders>
          </w:tcPr>
          <w:p w14:paraId="62BBCE1A" w14:textId="77777777" w:rsidR="00D8432C" w:rsidRPr="006B4BF5" w:rsidRDefault="00D8432C" w:rsidP="00D8432C">
            <w:pPr>
              <w:adjustRightInd w:val="0"/>
              <w:snapToGrid w:val="0"/>
              <w:spacing w:line="360" w:lineRule="auto"/>
              <w:jc w:val="both"/>
              <w:rPr>
                <w:rFonts w:ascii="Book Antiqua" w:hAnsi="Book Antiqua"/>
                <w:i/>
                <w:sz w:val="24"/>
                <w:szCs w:val="24"/>
              </w:rPr>
            </w:pPr>
            <w:r w:rsidRPr="006B4BF5">
              <w:rPr>
                <w:rFonts w:ascii="Book Antiqua" w:hAnsi="Book Antiqua"/>
                <w:i/>
                <w:sz w:val="24"/>
                <w:szCs w:val="24"/>
              </w:rPr>
              <w:t>n</w:t>
            </w:r>
          </w:p>
        </w:tc>
        <w:tc>
          <w:tcPr>
            <w:tcW w:w="1843" w:type="dxa"/>
            <w:tcBorders>
              <w:top w:val="single" w:sz="4" w:space="0" w:color="000000"/>
            </w:tcBorders>
          </w:tcPr>
          <w:p w14:paraId="59DEABE9" w14:textId="77777777" w:rsidR="00D8432C" w:rsidRPr="006B4BF5" w:rsidRDefault="00D8432C" w:rsidP="00D8432C">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21</w:t>
            </w:r>
          </w:p>
        </w:tc>
        <w:tc>
          <w:tcPr>
            <w:tcW w:w="1984" w:type="dxa"/>
            <w:tcBorders>
              <w:top w:val="single" w:sz="4" w:space="0" w:color="000000"/>
            </w:tcBorders>
          </w:tcPr>
          <w:p w14:paraId="4E75FC22" w14:textId="77777777" w:rsidR="00D8432C" w:rsidRPr="006B4BF5" w:rsidRDefault="00D8432C" w:rsidP="00D8432C">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26</w:t>
            </w:r>
          </w:p>
        </w:tc>
        <w:tc>
          <w:tcPr>
            <w:tcW w:w="2539" w:type="dxa"/>
            <w:tcBorders>
              <w:top w:val="single" w:sz="4" w:space="0" w:color="000000"/>
            </w:tcBorders>
          </w:tcPr>
          <w:p w14:paraId="1F56932C" w14:textId="77777777" w:rsidR="00D8432C" w:rsidRPr="006B4BF5" w:rsidRDefault="00D8432C" w:rsidP="00D8432C">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7</w:t>
            </w:r>
          </w:p>
        </w:tc>
      </w:tr>
      <w:tr w:rsidR="00D8432C" w:rsidRPr="006B4BF5" w14:paraId="3BF73626" w14:textId="77777777" w:rsidTr="00D8432C">
        <w:trPr>
          <w:trHeight w:val="356"/>
        </w:trPr>
        <w:tc>
          <w:tcPr>
            <w:tcW w:w="2404" w:type="dxa"/>
          </w:tcPr>
          <w:p w14:paraId="047A9FBC" w14:textId="77777777" w:rsidR="00D8432C" w:rsidRPr="006B4BF5" w:rsidRDefault="00D8432C" w:rsidP="00D8432C">
            <w:pPr>
              <w:adjustRightInd w:val="0"/>
              <w:snapToGrid w:val="0"/>
              <w:spacing w:line="360" w:lineRule="auto"/>
              <w:jc w:val="both"/>
              <w:rPr>
                <w:rFonts w:ascii="Book Antiqua" w:hAnsi="Book Antiqua"/>
                <w:sz w:val="24"/>
                <w:szCs w:val="24"/>
              </w:rPr>
            </w:pPr>
            <w:r w:rsidRPr="006B4BF5">
              <w:rPr>
                <w:rFonts w:ascii="Book Antiqua" w:hAnsi="Book Antiqua"/>
                <w:sz w:val="24"/>
                <w:szCs w:val="24"/>
              </w:rPr>
              <w:t>Male</w:t>
            </w:r>
          </w:p>
        </w:tc>
        <w:tc>
          <w:tcPr>
            <w:tcW w:w="1843" w:type="dxa"/>
          </w:tcPr>
          <w:p w14:paraId="6F4EB354" w14:textId="77777777" w:rsidR="00D8432C" w:rsidRPr="006B4BF5" w:rsidRDefault="00D8432C" w:rsidP="00D8432C">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12</w:t>
            </w:r>
          </w:p>
        </w:tc>
        <w:tc>
          <w:tcPr>
            <w:tcW w:w="1984" w:type="dxa"/>
          </w:tcPr>
          <w:p w14:paraId="39429B05" w14:textId="77777777" w:rsidR="00D8432C" w:rsidRPr="006B4BF5" w:rsidRDefault="00D8432C" w:rsidP="00D8432C">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14</w:t>
            </w:r>
            <w:r w:rsidRPr="006B4BF5">
              <w:rPr>
                <w:rFonts w:ascii="Book Antiqua" w:hAnsi="Book Antiqua"/>
                <w:sz w:val="24"/>
                <w:szCs w:val="24"/>
                <w:vertAlign w:val="superscript"/>
              </w:rPr>
              <w:t>a</w:t>
            </w:r>
          </w:p>
        </w:tc>
        <w:tc>
          <w:tcPr>
            <w:tcW w:w="2539" w:type="dxa"/>
          </w:tcPr>
          <w:p w14:paraId="4B41F23F" w14:textId="77777777" w:rsidR="00D8432C" w:rsidRPr="006B4BF5" w:rsidRDefault="00D8432C" w:rsidP="00D8432C">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w:t>
            </w:r>
            <w:r w:rsidRPr="006B4BF5">
              <w:rPr>
                <w:rFonts w:ascii="Book Antiqua" w:hAnsi="Book Antiqua"/>
                <w:sz w:val="24"/>
                <w:szCs w:val="24"/>
                <w:vertAlign w:val="superscript"/>
              </w:rPr>
              <w:t>a</w:t>
            </w:r>
          </w:p>
        </w:tc>
      </w:tr>
      <w:tr w:rsidR="00D8432C" w:rsidRPr="006B4BF5" w14:paraId="5BF3546C" w14:textId="77777777" w:rsidTr="00D8432C">
        <w:trPr>
          <w:trHeight w:val="348"/>
        </w:trPr>
        <w:tc>
          <w:tcPr>
            <w:tcW w:w="2404" w:type="dxa"/>
          </w:tcPr>
          <w:p w14:paraId="15E532CA" w14:textId="77777777" w:rsidR="00D8432C" w:rsidRPr="006B4BF5" w:rsidRDefault="00D8432C" w:rsidP="00D8432C">
            <w:pPr>
              <w:adjustRightInd w:val="0"/>
              <w:snapToGrid w:val="0"/>
              <w:spacing w:line="360" w:lineRule="auto"/>
              <w:jc w:val="both"/>
              <w:rPr>
                <w:rFonts w:ascii="Book Antiqua" w:hAnsi="Book Antiqua"/>
                <w:sz w:val="24"/>
                <w:szCs w:val="24"/>
              </w:rPr>
            </w:pPr>
            <w:r w:rsidRPr="006B4BF5">
              <w:rPr>
                <w:rFonts w:ascii="Book Antiqua" w:hAnsi="Book Antiqua"/>
                <w:sz w:val="24"/>
                <w:szCs w:val="24"/>
              </w:rPr>
              <w:t>Female</w:t>
            </w:r>
          </w:p>
        </w:tc>
        <w:tc>
          <w:tcPr>
            <w:tcW w:w="1843" w:type="dxa"/>
          </w:tcPr>
          <w:p w14:paraId="14DA20D7" w14:textId="77777777" w:rsidR="00D8432C" w:rsidRPr="006B4BF5" w:rsidRDefault="00D8432C" w:rsidP="00D8432C">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9</w:t>
            </w:r>
          </w:p>
        </w:tc>
        <w:tc>
          <w:tcPr>
            <w:tcW w:w="1984" w:type="dxa"/>
          </w:tcPr>
          <w:p w14:paraId="0F2A8717" w14:textId="77777777" w:rsidR="00D8432C" w:rsidRPr="006B4BF5" w:rsidRDefault="00D8432C" w:rsidP="00D8432C">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12</w:t>
            </w:r>
            <w:r w:rsidRPr="006B4BF5">
              <w:rPr>
                <w:rFonts w:ascii="Book Antiqua" w:hAnsi="Book Antiqua"/>
                <w:sz w:val="24"/>
                <w:szCs w:val="24"/>
                <w:vertAlign w:val="superscript"/>
              </w:rPr>
              <w:t>a</w:t>
            </w:r>
          </w:p>
        </w:tc>
        <w:tc>
          <w:tcPr>
            <w:tcW w:w="2539" w:type="dxa"/>
          </w:tcPr>
          <w:p w14:paraId="6D8D2C8F" w14:textId="77777777" w:rsidR="00D8432C" w:rsidRPr="006B4BF5" w:rsidRDefault="00D8432C" w:rsidP="00D8432C">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w:t>
            </w:r>
            <w:r w:rsidRPr="006B4BF5">
              <w:rPr>
                <w:rFonts w:ascii="Book Antiqua" w:hAnsi="Book Antiqua"/>
                <w:sz w:val="24"/>
                <w:szCs w:val="24"/>
                <w:vertAlign w:val="superscript"/>
              </w:rPr>
              <w:t>a</w:t>
            </w:r>
          </w:p>
        </w:tc>
      </w:tr>
      <w:tr w:rsidR="00D8432C" w:rsidRPr="006B4BF5" w14:paraId="4FF4EB9C" w14:textId="77777777" w:rsidTr="00D8432C">
        <w:trPr>
          <w:trHeight w:val="326"/>
        </w:trPr>
        <w:tc>
          <w:tcPr>
            <w:tcW w:w="2404" w:type="dxa"/>
            <w:tcBorders>
              <w:bottom w:val="single" w:sz="4" w:space="0" w:color="000000"/>
            </w:tcBorders>
          </w:tcPr>
          <w:p w14:paraId="20FA916C" w14:textId="77777777" w:rsidR="00D8432C" w:rsidRPr="00D36529" w:rsidRDefault="00D8432C" w:rsidP="00D8432C">
            <w:pPr>
              <w:adjustRightInd w:val="0"/>
              <w:snapToGrid w:val="0"/>
              <w:spacing w:line="360" w:lineRule="auto"/>
              <w:jc w:val="both"/>
              <w:rPr>
                <w:rFonts w:ascii="Book Antiqua" w:hAnsi="Book Antiqua"/>
                <w:sz w:val="24"/>
                <w:szCs w:val="24"/>
                <w:lang w:val="en-US"/>
              </w:rPr>
            </w:pPr>
            <w:r w:rsidRPr="00D36529">
              <w:rPr>
                <w:rFonts w:ascii="Book Antiqua" w:hAnsi="Book Antiqua"/>
                <w:sz w:val="24"/>
                <w:szCs w:val="24"/>
                <w:lang w:val="en-US"/>
              </w:rPr>
              <w:t>Age, yr (mean ± SD)</w:t>
            </w:r>
          </w:p>
        </w:tc>
        <w:tc>
          <w:tcPr>
            <w:tcW w:w="1843" w:type="dxa"/>
            <w:tcBorders>
              <w:bottom w:val="single" w:sz="4" w:space="0" w:color="000000"/>
            </w:tcBorders>
          </w:tcPr>
          <w:p w14:paraId="47A99C13" w14:textId="77777777" w:rsidR="00D8432C" w:rsidRPr="006B4BF5" w:rsidRDefault="00D8432C" w:rsidP="00D8432C">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9.773 ± 0.7755</w:t>
            </w:r>
          </w:p>
        </w:tc>
        <w:tc>
          <w:tcPr>
            <w:tcW w:w="1984" w:type="dxa"/>
            <w:tcBorders>
              <w:bottom w:val="single" w:sz="4" w:space="0" w:color="000000"/>
            </w:tcBorders>
          </w:tcPr>
          <w:p w14:paraId="50D55573" w14:textId="77777777" w:rsidR="00D8432C" w:rsidRPr="006B4BF5" w:rsidRDefault="00D8432C" w:rsidP="00D8432C">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10.84 ± 0.6690</w:t>
            </w:r>
            <w:r w:rsidRPr="006B4BF5">
              <w:rPr>
                <w:rFonts w:ascii="Book Antiqua" w:hAnsi="Book Antiqua"/>
                <w:sz w:val="24"/>
                <w:szCs w:val="24"/>
                <w:vertAlign w:val="superscript"/>
              </w:rPr>
              <w:t>b</w:t>
            </w:r>
          </w:p>
        </w:tc>
        <w:tc>
          <w:tcPr>
            <w:tcW w:w="2539" w:type="dxa"/>
            <w:tcBorders>
              <w:bottom w:val="single" w:sz="4" w:space="0" w:color="000000"/>
            </w:tcBorders>
          </w:tcPr>
          <w:p w14:paraId="233C00BC" w14:textId="77777777" w:rsidR="00D8432C" w:rsidRPr="006B4BF5" w:rsidRDefault="00D8432C" w:rsidP="00D8432C">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9.743 ± 1.209</w:t>
            </w:r>
            <w:r w:rsidRPr="006B4BF5">
              <w:rPr>
                <w:rFonts w:ascii="Book Antiqua" w:hAnsi="Book Antiqua"/>
                <w:sz w:val="24"/>
                <w:szCs w:val="24"/>
                <w:vertAlign w:val="superscript"/>
              </w:rPr>
              <w:t>a</w:t>
            </w:r>
          </w:p>
        </w:tc>
      </w:tr>
    </w:tbl>
    <w:p w14:paraId="03132847" w14:textId="01FFAC2C" w:rsidR="002A03B0" w:rsidRPr="006B4BF5" w:rsidRDefault="00D8432C" w:rsidP="007B12C8">
      <w:pPr>
        <w:adjustRightInd w:val="0"/>
        <w:snapToGrid w:val="0"/>
        <w:spacing w:line="360" w:lineRule="auto"/>
        <w:jc w:val="both"/>
        <w:rPr>
          <w:rFonts w:ascii="Book Antiqua" w:hAnsi="Book Antiqua"/>
          <w:b/>
          <w:sz w:val="24"/>
          <w:szCs w:val="24"/>
          <w:lang w:val="en-US"/>
        </w:rPr>
      </w:pPr>
      <w:r w:rsidRPr="006B4BF5">
        <w:rPr>
          <w:rFonts w:ascii="Book Antiqua" w:hAnsi="Book Antiqua"/>
          <w:b/>
          <w:sz w:val="24"/>
          <w:szCs w:val="24"/>
          <w:lang w:val="en-US"/>
        </w:rPr>
        <w:t xml:space="preserve"> </w:t>
      </w:r>
      <w:r w:rsidR="00965F21" w:rsidRPr="006B4BF5">
        <w:rPr>
          <w:rFonts w:ascii="Book Antiqua" w:hAnsi="Book Antiqua"/>
          <w:b/>
          <w:sz w:val="24"/>
          <w:szCs w:val="24"/>
          <w:lang w:val="en-US"/>
        </w:rPr>
        <w:t>Table 2 Demographic characteristics of all patients</w:t>
      </w:r>
    </w:p>
    <w:p w14:paraId="4E85CCD7" w14:textId="636D12DD" w:rsidR="002A03B0" w:rsidRPr="006B4BF5" w:rsidRDefault="006D4DA3"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vertAlign w:val="superscript"/>
          <w:lang w:val="en-US"/>
        </w:rPr>
        <w:t xml:space="preserve"> a</w:t>
      </w:r>
      <w:r w:rsidRPr="006B4BF5">
        <w:rPr>
          <w:rFonts w:ascii="Book Antiqua" w:hAnsi="Book Antiqua"/>
          <w:i/>
          <w:sz w:val="24"/>
          <w:szCs w:val="24"/>
          <w:lang w:val="en-US"/>
        </w:rPr>
        <w:t>P</w:t>
      </w:r>
      <w:r w:rsidRPr="006B4BF5">
        <w:rPr>
          <w:rFonts w:ascii="Book Antiqua" w:hAnsi="Book Antiqua"/>
          <w:sz w:val="24"/>
          <w:szCs w:val="24"/>
          <w:lang w:val="en-US"/>
        </w:rPr>
        <w:t xml:space="preserve"> &lt; 0.05, </w:t>
      </w:r>
      <w:r w:rsidRPr="006B4BF5">
        <w:rPr>
          <w:rFonts w:ascii="Book Antiqua" w:hAnsi="Book Antiqua"/>
          <w:sz w:val="24"/>
          <w:szCs w:val="24"/>
          <w:vertAlign w:val="superscript"/>
          <w:lang w:val="en-US"/>
        </w:rPr>
        <w:t>b</w:t>
      </w:r>
      <w:r w:rsidRPr="006B4BF5">
        <w:rPr>
          <w:rFonts w:ascii="Book Antiqua" w:hAnsi="Book Antiqua"/>
          <w:i/>
          <w:sz w:val="24"/>
          <w:szCs w:val="24"/>
          <w:lang w:val="en-US"/>
        </w:rPr>
        <w:t>P</w:t>
      </w:r>
      <w:r w:rsidRPr="006B4BF5">
        <w:rPr>
          <w:rFonts w:ascii="Book Antiqua" w:hAnsi="Book Antiqua"/>
          <w:sz w:val="24"/>
          <w:szCs w:val="24"/>
          <w:lang w:val="en-US"/>
        </w:rPr>
        <w:t xml:space="preserve"> &lt; 0.01 </w:t>
      </w:r>
      <w:r w:rsidRPr="006B4BF5">
        <w:rPr>
          <w:rFonts w:ascii="Book Antiqua" w:hAnsi="Book Antiqua"/>
          <w:i/>
          <w:sz w:val="24"/>
          <w:szCs w:val="24"/>
          <w:lang w:val="en-US"/>
        </w:rPr>
        <w:t>vs</w:t>
      </w:r>
      <w:r w:rsidRPr="006B4BF5">
        <w:rPr>
          <w:rFonts w:ascii="Book Antiqua" w:hAnsi="Book Antiqua"/>
          <w:sz w:val="24"/>
          <w:szCs w:val="24"/>
          <w:lang w:val="en-US"/>
        </w:rPr>
        <w:t xml:space="preserve"> control. CD: Crohn’s disease; UC: Ulcerative colitis.</w:t>
      </w:r>
    </w:p>
    <w:p w14:paraId="58B5DFE2" w14:textId="77777777" w:rsidR="00847867" w:rsidRPr="006B4BF5" w:rsidRDefault="00847867"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br w:type="page"/>
      </w:r>
    </w:p>
    <w:p w14:paraId="4F4C1CBD" w14:textId="2334EF6C" w:rsidR="002A03B0" w:rsidRPr="006B4BF5" w:rsidRDefault="00965F21" w:rsidP="005C3D9B">
      <w:pPr>
        <w:adjustRightInd w:val="0"/>
        <w:snapToGrid w:val="0"/>
        <w:spacing w:line="360" w:lineRule="auto"/>
        <w:jc w:val="both"/>
        <w:outlineLvl w:val="0"/>
        <w:rPr>
          <w:rFonts w:ascii="Book Antiqua" w:hAnsi="Book Antiqua"/>
          <w:b/>
          <w:sz w:val="24"/>
          <w:szCs w:val="24"/>
          <w:lang w:val="en-US"/>
        </w:rPr>
      </w:pPr>
      <w:r w:rsidRPr="006B4BF5">
        <w:rPr>
          <w:rFonts w:ascii="Book Antiqua" w:hAnsi="Book Antiqua"/>
          <w:b/>
          <w:sz w:val="24"/>
          <w:szCs w:val="24"/>
          <w:lang w:val="en-US"/>
        </w:rPr>
        <w:lastRenderedPageBreak/>
        <w:t xml:space="preserve">Table 3 Clinical characteristics of matched </w:t>
      </w:r>
      <w:r w:rsidR="002C685F" w:rsidRPr="006B4BF5">
        <w:rPr>
          <w:rFonts w:ascii="Book Antiqua" w:hAnsi="Book Antiqua"/>
          <w:b/>
          <w:sz w:val="24"/>
          <w:szCs w:val="24"/>
          <w:lang w:val="en-US"/>
        </w:rPr>
        <w:t xml:space="preserve">inflammatory bowel disease </w:t>
      </w:r>
      <w:r w:rsidRPr="006B4BF5">
        <w:rPr>
          <w:rFonts w:ascii="Book Antiqua" w:hAnsi="Book Antiqua"/>
          <w:b/>
          <w:sz w:val="24"/>
          <w:szCs w:val="24"/>
          <w:lang w:val="en-US"/>
        </w:rPr>
        <w:t>patients and controls</w:t>
      </w:r>
    </w:p>
    <w:tbl>
      <w:tblPr>
        <w:tblStyle w:val="TableNormal1"/>
        <w:tblW w:w="0" w:type="auto"/>
        <w:tblInd w:w="-60" w:type="dxa"/>
        <w:tblLayout w:type="fixed"/>
        <w:tblLook w:val="01E0" w:firstRow="1" w:lastRow="1" w:firstColumn="1" w:lastColumn="1" w:noHBand="0" w:noVBand="0"/>
      </w:tblPr>
      <w:tblGrid>
        <w:gridCol w:w="1053"/>
        <w:gridCol w:w="1085"/>
        <w:gridCol w:w="49"/>
        <w:gridCol w:w="1029"/>
        <w:gridCol w:w="1108"/>
        <w:gridCol w:w="1548"/>
        <w:gridCol w:w="1418"/>
        <w:gridCol w:w="45"/>
        <w:gridCol w:w="1107"/>
        <w:gridCol w:w="450"/>
      </w:tblGrid>
      <w:tr w:rsidR="002A03B0" w:rsidRPr="006B4BF5" w14:paraId="3742724D" w14:textId="77777777" w:rsidTr="005E185D">
        <w:trPr>
          <w:trHeight w:val="735"/>
        </w:trPr>
        <w:tc>
          <w:tcPr>
            <w:tcW w:w="1053" w:type="dxa"/>
            <w:tcBorders>
              <w:top w:val="single" w:sz="4" w:space="0" w:color="000000"/>
              <w:bottom w:val="single" w:sz="4" w:space="0" w:color="000000"/>
            </w:tcBorders>
          </w:tcPr>
          <w:p w14:paraId="27B04736" w14:textId="483D7867" w:rsidR="002A03B0" w:rsidRPr="006B4BF5" w:rsidRDefault="007849A1" w:rsidP="007B12C8">
            <w:pPr>
              <w:adjustRightInd w:val="0"/>
              <w:snapToGrid w:val="0"/>
              <w:spacing w:line="360" w:lineRule="auto"/>
              <w:jc w:val="both"/>
              <w:rPr>
                <w:rFonts w:ascii="Book Antiqua" w:hAnsi="Book Antiqua"/>
                <w:b/>
                <w:sz w:val="24"/>
                <w:szCs w:val="24"/>
              </w:rPr>
            </w:pPr>
            <w:r w:rsidRPr="006B4BF5">
              <w:rPr>
                <w:rFonts w:ascii="Book Antiqua" w:hAnsi="Book Antiqua"/>
                <w:b/>
                <w:sz w:val="24"/>
                <w:szCs w:val="24"/>
              </w:rPr>
              <w:t>Matched</w:t>
            </w:r>
            <w:r w:rsidR="002C685F" w:rsidRPr="006B4BF5">
              <w:rPr>
                <w:rFonts w:ascii="Book Antiqua" w:hAnsi="Book Antiqua"/>
                <w:b/>
                <w:sz w:val="24"/>
                <w:szCs w:val="24"/>
              </w:rPr>
              <w:t xml:space="preserve"> </w:t>
            </w:r>
            <w:r w:rsidRPr="006B4BF5">
              <w:rPr>
                <w:rFonts w:ascii="Book Antiqua" w:hAnsi="Book Antiqua"/>
                <w:b/>
                <w:sz w:val="24"/>
                <w:szCs w:val="24"/>
              </w:rPr>
              <w:t>group</w:t>
            </w:r>
          </w:p>
        </w:tc>
        <w:tc>
          <w:tcPr>
            <w:tcW w:w="1085" w:type="dxa"/>
            <w:tcBorders>
              <w:top w:val="single" w:sz="4" w:space="0" w:color="000000"/>
              <w:bottom w:val="single" w:sz="4" w:space="0" w:color="000000"/>
            </w:tcBorders>
          </w:tcPr>
          <w:p w14:paraId="4F2B4189" w14:textId="77777777" w:rsidR="002A03B0" w:rsidRPr="006B4BF5" w:rsidRDefault="007849A1" w:rsidP="005E185D">
            <w:pPr>
              <w:adjustRightInd w:val="0"/>
              <w:snapToGrid w:val="0"/>
              <w:spacing w:line="360" w:lineRule="auto"/>
              <w:jc w:val="center"/>
              <w:rPr>
                <w:rFonts w:ascii="Book Antiqua" w:hAnsi="Book Antiqua"/>
                <w:b/>
                <w:sz w:val="24"/>
                <w:szCs w:val="24"/>
              </w:rPr>
            </w:pPr>
            <w:r w:rsidRPr="006B4BF5">
              <w:rPr>
                <w:rFonts w:ascii="Book Antiqua" w:hAnsi="Book Antiqua"/>
                <w:b/>
                <w:sz w:val="24"/>
                <w:szCs w:val="24"/>
              </w:rPr>
              <w:t>Patient no.</w:t>
            </w:r>
          </w:p>
        </w:tc>
        <w:tc>
          <w:tcPr>
            <w:tcW w:w="1078" w:type="dxa"/>
            <w:gridSpan w:val="2"/>
            <w:tcBorders>
              <w:top w:val="single" w:sz="4" w:space="0" w:color="000000"/>
              <w:bottom w:val="single" w:sz="4" w:space="0" w:color="000000"/>
            </w:tcBorders>
          </w:tcPr>
          <w:p w14:paraId="034F84D2" w14:textId="77777777" w:rsidR="002A03B0" w:rsidRPr="006B4BF5" w:rsidRDefault="007849A1" w:rsidP="005E185D">
            <w:pPr>
              <w:adjustRightInd w:val="0"/>
              <w:snapToGrid w:val="0"/>
              <w:spacing w:line="360" w:lineRule="auto"/>
              <w:jc w:val="center"/>
              <w:rPr>
                <w:rFonts w:ascii="Book Antiqua" w:hAnsi="Book Antiqua"/>
                <w:b/>
                <w:sz w:val="24"/>
                <w:szCs w:val="24"/>
              </w:rPr>
            </w:pPr>
            <w:r w:rsidRPr="006B4BF5">
              <w:rPr>
                <w:rFonts w:ascii="Book Antiqua" w:hAnsi="Book Antiqua"/>
                <w:b/>
                <w:sz w:val="24"/>
                <w:szCs w:val="24"/>
              </w:rPr>
              <w:t>Group</w:t>
            </w:r>
          </w:p>
        </w:tc>
        <w:tc>
          <w:tcPr>
            <w:tcW w:w="1108" w:type="dxa"/>
            <w:tcBorders>
              <w:top w:val="single" w:sz="4" w:space="0" w:color="000000"/>
              <w:bottom w:val="single" w:sz="4" w:space="0" w:color="000000"/>
            </w:tcBorders>
          </w:tcPr>
          <w:p w14:paraId="51246344" w14:textId="77777777" w:rsidR="002A03B0" w:rsidRPr="006B4BF5" w:rsidRDefault="007849A1" w:rsidP="005E185D">
            <w:pPr>
              <w:adjustRightInd w:val="0"/>
              <w:snapToGrid w:val="0"/>
              <w:spacing w:line="360" w:lineRule="auto"/>
              <w:jc w:val="center"/>
              <w:rPr>
                <w:rFonts w:ascii="Book Antiqua" w:hAnsi="Book Antiqua"/>
                <w:b/>
                <w:sz w:val="24"/>
                <w:szCs w:val="24"/>
              </w:rPr>
            </w:pPr>
            <w:r w:rsidRPr="006B4BF5">
              <w:rPr>
                <w:rFonts w:ascii="Book Antiqua" w:hAnsi="Book Antiqua"/>
                <w:b/>
                <w:sz w:val="24"/>
                <w:szCs w:val="24"/>
              </w:rPr>
              <w:t>Sex</w:t>
            </w:r>
          </w:p>
        </w:tc>
        <w:tc>
          <w:tcPr>
            <w:tcW w:w="1548" w:type="dxa"/>
            <w:tcBorders>
              <w:top w:val="single" w:sz="4" w:space="0" w:color="000000"/>
              <w:bottom w:val="single" w:sz="4" w:space="0" w:color="000000"/>
            </w:tcBorders>
          </w:tcPr>
          <w:p w14:paraId="4FC72A98" w14:textId="77777777" w:rsidR="002A03B0" w:rsidRPr="006B4BF5" w:rsidRDefault="007849A1" w:rsidP="005E185D">
            <w:pPr>
              <w:adjustRightInd w:val="0"/>
              <w:snapToGrid w:val="0"/>
              <w:spacing w:line="360" w:lineRule="auto"/>
              <w:jc w:val="center"/>
              <w:rPr>
                <w:rFonts w:ascii="Book Antiqua" w:hAnsi="Book Antiqua"/>
                <w:b/>
                <w:sz w:val="24"/>
                <w:szCs w:val="24"/>
              </w:rPr>
            </w:pPr>
            <w:r w:rsidRPr="006B4BF5">
              <w:rPr>
                <w:rFonts w:ascii="Book Antiqua" w:hAnsi="Book Antiqua"/>
                <w:b/>
                <w:sz w:val="24"/>
                <w:szCs w:val="24"/>
              </w:rPr>
              <w:t>Age (yr)</w:t>
            </w:r>
          </w:p>
        </w:tc>
        <w:tc>
          <w:tcPr>
            <w:tcW w:w="1463" w:type="dxa"/>
            <w:gridSpan w:val="2"/>
            <w:tcBorders>
              <w:top w:val="single" w:sz="4" w:space="0" w:color="000000"/>
              <w:bottom w:val="single" w:sz="4" w:space="0" w:color="000000"/>
            </w:tcBorders>
          </w:tcPr>
          <w:p w14:paraId="479B61D7" w14:textId="77777777" w:rsidR="002A03B0" w:rsidRPr="006B4BF5" w:rsidRDefault="007849A1" w:rsidP="005E185D">
            <w:pPr>
              <w:adjustRightInd w:val="0"/>
              <w:snapToGrid w:val="0"/>
              <w:spacing w:line="360" w:lineRule="auto"/>
              <w:jc w:val="center"/>
              <w:rPr>
                <w:rFonts w:ascii="Book Antiqua" w:hAnsi="Book Antiqua"/>
                <w:b/>
                <w:sz w:val="24"/>
                <w:szCs w:val="24"/>
              </w:rPr>
            </w:pPr>
            <w:r w:rsidRPr="006B4BF5">
              <w:rPr>
                <w:rFonts w:ascii="Book Antiqua" w:hAnsi="Book Antiqua"/>
                <w:b/>
                <w:sz w:val="24"/>
                <w:szCs w:val="24"/>
              </w:rPr>
              <w:t>Disease</w:t>
            </w:r>
          </w:p>
        </w:tc>
        <w:tc>
          <w:tcPr>
            <w:tcW w:w="1557" w:type="dxa"/>
            <w:gridSpan w:val="2"/>
            <w:tcBorders>
              <w:top w:val="single" w:sz="4" w:space="0" w:color="000000"/>
              <w:bottom w:val="single" w:sz="4" w:space="0" w:color="000000"/>
            </w:tcBorders>
          </w:tcPr>
          <w:p w14:paraId="13A18A47" w14:textId="7940D471" w:rsidR="002A03B0" w:rsidRPr="006B4BF5" w:rsidRDefault="007849A1" w:rsidP="005E185D">
            <w:pPr>
              <w:adjustRightInd w:val="0"/>
              <w:snapToGrid w:val="0"/>
              <w:spacing w:line="360" w:lineRule="auto"/>
              <w:jc w:val="center"/>
              <w:rPr>
                <w:rFonts w:ascii="Book Antiqua" w:hAnsi="Book Antiqua"/>
                <w:b/>
                <w:sz w:val="24"/>
                <w:szCs w:val="24"/>
              </w:rPr>
            </w:pPr>
            <w:r w:rsidRPr="006B4BF5">
              <w:rPr>
                <w:rFonts w:ascii="Book Antiqua" w:hAnsi="Book Antiqua"/>
                <w:b/>
                <w:sz w:val="24"/>
                <w:szCs w:val="24"/>
              </w:rPr>
              <w:t>PCDAI/PUCAI</w:t>
            </w:r>
          </w:p>
        </w:tc>
      </w:tr>
      <w:tr w:rsidR="002A03B0" w:rsidRPr="006B4BF5" w14:paraId="6505D33F" w14:textId="77777777" w:rsidTr="002C685F">
        <w:trPr>
          <w:trHeight w:val="626"/>
        </w:trPr>
        <w:tc>
          <w:tcPr>
            <w:tcW w:w="1053" w:type="dxa"/>
            <w:tcBorders>
              <w:top w:val="single" w:sz="4" w:space="0" w:color="000000"/>
            </w:tcBorders>
          </w:tcPr>
          <w:p w14:paraId="0B27C9C5" w14:textId="77777777" w:rsidR="002A03B0" w:rsidRPr="006B4BF5" w:rsidRDefault="002A03B0" w:rsidP="007B12C8">
            <w:pPr>
              <w:adjustRightInd w:val="0"/>
              <w:snapToGrid w:val="0"/>
              <w:spacing w:line="360" w:lineRule="auto"/>
              <w:jc w:val="both"/>
              <w:rPr>
                <w:rFonts w:ascii="Book Antiqua" w:hAnsi="Book Antiqua"/>
                <w:sz w:val="24"/>
                <w:szCs w:val="24"/>
              </w:rPr>
            </w:pPr>
          </w:p>
          <w:p w14:paraId="10743D39" w14:textId="77777777" w:rsidR="002A03B0" w:rsidRPr="006B4BF5" w:rsidRDefault="007849A1" w:rsidP="007B12C8">
            <w:pPr>
              <w:adjustRightInd w:val="0"/>
              <w:snapToGrid w:val="0"/>
              <w:spacing w:line="360" w:lineRule="auto"/>
              <w:jc w:val="both"/>
              <w:rPr>
                <w:rFonts w:ascii="Book Antiqua" w:hAnsi="Book Antiqua"/>
                <w:sz w:val="24"/>
                <w:szCs w:val="24"/>
              </w:rPr>
            </w:pPr>
            <w:r w:rsidRPr="006B4BF5">
              <w:rPr>
                <w:rFonts w:ascii="Book Antiqua" w:hAnsi="Book Antiqua"/>
                <w:sz w:val="24"/>
                <w:szCs w:val="24"/>
              </w:rPr>
              <w:t>1</w:t>
            </w:r>
          </w:p>
        </w:tc>
        <w:tc>
          <w:tcPr>
            <w:tcW w:w="1085" w:type="dxa"/>
            <w:tcBorders>
              <w:top w:val="single" w:sz="4" w:space="0" w:color="000000"/>
            </w:tcBorders>
          </w:tcPr>
          <w:p w14:paraId="565D5F17"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5715D5B6"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w:t>
            </w:r>
          </w:p>
        </w:tc>
        <w:tc>
          <w:tcPr>
            <w:tcW w:w="1078" w:type="dxa"/>
            <w:gridSpan w:val="2"/>
            <w:tcBorders>
              <w:top w:val="single" w:sz="4" w:space="0" w:color="000000"/>
            </w:tcBorders>
          </w:tcPr>
          <w:p w14:paraId="7BB49795"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5A28219E"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Borders>
              <w:top w:val="single" w:sz="4" w:space="0" w:color="000000"/>
            </w:tcBorders>
          </w:tcPr>
          <w:p w14:paraId="509E9937"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6F68C59E"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Borders>
              <w:top w:val="single" w:sz="4" w:space="0" w:color="000000"/>
            </w:tcBorders>
          </w:tcPr>
          <w:p w14:paraId="21723B28"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365431A4"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w:t>
            </w:r>
          </w:p>
        </w:tc>
        <w:tc>
          <w:tcPr>
            <w:tcW w:w="1463" w:type="dxa"/>
            <w:gridSpan w:val="2"/>
            <w:tcBorders>
              <w:top w:val="single" w:sz="4" w:space="0" w:color="000000"/>
            </w:tcBorders>
          </w:tcPr>
          <w:p w14:paraId="57013EB0"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65CEC52B"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557" w:type="dxa"/>
            <w:gridSpan w:val="2"/>
            <w:tcBorders>
              <w:top w:val="single" w:sz="4" w:space="0" w:color="000000"/>
            </w:tcBorders>
          </w:tcPr>
          <w:p w14:paraId="486EFDA7" w14:textId="77777777" w:rsidR="002A03B0" w:rsidRPr="006B4BF5" w:rsidRDefault="002A03B0" w:rsidP="005E185D">
            <w:pPr>
              <w:adjustRightInd w:val="0"/>
              <w:snapToGrid w:val="0"/>
              <w:spacing w:line="360" w:lineRule="auto"/>
              <w:jc w:val="center"/>
              <w:rPr>
                <w:rFonts w:ascii="Book Antiqua" w:hAnsi="Book Antiqua"/>
                <w:sz w:val="24"/>
                <w:szCs w:val="24"/>
              </w:rPr>
            </w:pPr>
          </w:p>
        </w:tc>
      </w:tr>
      <w:tr w:rsidR="002A03B0" w:rsidRPr="006B4BF5" w14:paraId="44870AF1" w14:textId="77777777" w:rsidTr="002C685F">
        <w:trPr>
          <w:trHeight w:val="624"/>
        </w:trPr>
        <w:tc>
          <w:tcPr>
            <w:tcW w:w="1053" w:type="dxa"/>
          </w:tcPr>
          <w:p w14:paraId="2B860116" w14:textId="77777777" w:rsidR="002A03B0" w:rsidRPr="006B4BF5" w:rsidRDefault="002A03B0" w:rsidP="007B12C8">
            <w:pPr>
              <w:adjustRightInd w:val="0"/>
              <w:snapToGrid w:val="0"/>
              <w:spacing w:line="360" w:lineRule="auto"/>
              <w:jc w:val="both"/>
              <w:rPr>
                <w:rFonts w:ascii="Book Antiqua" w:hAnsi="Book Antiqua"/>
                <w:sz w:val="24"/>
                <w:szCs w:val="24"/>
              </w:rPr>
            </w:pPr>
          </w:p>
        </w:tc>
        <w:tc>
          <w:tcPr>
            <w:tcW w:w="1085" w:type="dxa"/>
          </w:tcPr>
          <w:p w14:paraId="4EE483BB"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2F9E7580"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w:t>
            </w:r>
          </w:p>
        </w:tc>
        <w:tc>
          <w:tcPr>
            <w:tcW w:w="1078" w:type="dxa"/>
            <w:gridSpan w:val="2"/>
          </w:tcPr>
          <w:p w14:paraId="6D0E7DCC"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5FFCF431"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0630EA06"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1D8EA313"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0412E0E7"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634ABEF4"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w:t>
            </w:r>
          </w:p>
        </w:tc>
        <w:tc>
          <w:tcPr>
            <w:tcW w:w="1463" w:type="dxa"/>
            <w:gridSpan w:val="2"/>
          </w:tcPr>
          <w:p w14:paraId="458C89F5"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3B954463"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557" w:type="dxa"/>
            <w:gridSpan w:val="2"/>
          </w:tcPr>
          <w:p w14:paraId="686D4F45" w14:textId="77777777" w:rsidR="002A03B0" w:rsidRPr="006B4BF5" w:rsidRDefault="002A03B0" w:rsidP="005E185D">
            <w:pPr>
              <w:adjustRightInd w:val="0"/>
              <w:snapToGrid w:val="0"/>
              <w:spacing w:line="360" w:lineRule="auto"/>
              <w:jc w:val="center"/>
              <w:rPr>
                <w:rFonts w:ascii="Book Antiqua" w:hAnsi="Book Antiqua"/>
                <w:sz w:val="24"/>
                <w:szCs w:val="24"/>
              </w:rPr>
            </w:pPr>
          </w:p>
        </w:tc>
      </w:tr>
      <w:tr w:rsidR="002A03B0" w:rsidRPr="006B4BF5" w14:paraId="7F62EDEB" w14:textId="77777777" w:rsidTr="002C685F">
        <w:trPr>
          <w:trHeight w:val="623"/>
        </w:trPr>
        <w:tc>
          <w:tcPr>
            <w:tcW w:w="1053" w:type="dxa"/>
          </w:tcPr>
          <w:p w14:paraId="0BBBA994" w14:textId="77777777" w:rsidR="002A03B0" w:rsidRPr="006B4BF5" w:rsidRDefault="002A03B0" w:rsidP="007B12C8">
            <w:pPr>
              <w:adjustRightInd w:val="0"/>
              <w:snapToGrid w:val="0"/>
              <w:spacing w:line="360" w:lineRule="auto"/>
              <w:jc w:val="both"/>
              <w:rPr>
                <w:rFonts w:ascii="Book Antiqua" w:hAnsi="Book Antiqua"/>
                <w:sz w:val="24"/>
                <w:szCs w:val="24"/>
              </w:rPr>
            </w:pPr>
          </w:p>
        </w:tc>
        <w:tc>
          <w:tcPr>
            <w:tcW w:w="1085" w:type="dxa"/>
          </w:tcPr>
          <w:p w14:paraId="39654711"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7D6428C5"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w:t>
            </w:r>
          </w:p>
        </w:tc>
        <w:tc>
          <w:tcPr>
            <w:tcW w:w="1078" w:type="dxa"/>
            <w:gridSpan w:val="2"/>
          </w:tcPr>
          <w:p w14:paraId="067D065B"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05697D0C"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3AEEDA60"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783C645F"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3FE38600"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169880A6"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w:t>
            </w:r>
          </w:p>
        </w:tc>
        <w:tc>
          <w:tcPr>
            <w:tcW w:w="1463" w:type="dxa"/>
            <w:gridSpan w:val="2"/>
          </w:tcPr>
          <w:p w14:paraId="738C2131"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61E23A2D"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557" w:type="dxa"/>
            <w:gridSpan w:val="2"/>
          </w:tcPr>
          <w:p w14:paraId="3EDEC769"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0394D2AD"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52.5</w:t>
            </w:r>
          </w:p>
        </w:tc>
      </w:tr>
      <w:tr w:rsidR="002A03B0" w:rsidRPr="006B4BF5" w14:paraId="23F623D4" w14:textId="77777777" w:rsidTr="002C685F">
        <w:trPr>
          <w:trHeight w:val="624"/>
        </w:trPr>
        <w:tc>
          <w:tcPr>
            <w:tcW w:w="1053" w:type="dxa"/>
          </w:tcPr>
          <w:p w14:paraId="114E3D9F" w14:textId="77777777" w:rsidR="002A03B0" w:rsidRPr="006B4BF5" w:rsidRDefault="002A03B0" w:rsidP="007B12C8">
            <w:pPr>
              <w:adjustRightInd w:val="0"/>
              <w:snapToGrid w:val="0"/>
              <w:spacing w:line="360" w:lineRule="auto"/>
              <w:jc w:val="both"/>
              <w:rPr>
                <w:rFonts w:ascii="Book Antiqua" w:hAnsi="Book Antiqua"/>
                <w:sz w:val="24"/>
                <w:szCs w:val="24"/>
              </w:rPr>
            </w:pPr>
          </w:p>
        </w:tc>
        <w:tc>
          <w:tcPr>
            <w:tcW w:w="1085" w:type="dxa"/>
          </w:tcPr>
          <w:p w14:paraId="019EA9F3"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3EEA70B2"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w:t>
            </w:r>
          </w:p>
        </w:tc>
        <w:tc>
          <w:tcPr>
            <w:tcW w:w="1078" w:type="dxa"/>
            <w:gridSpan w:val="2"/>
          </w:tcPr>
          <w:p w14:paraId="42F236F4"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61330F39"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7EDBDCB6"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53AF3E9B"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0501B055"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2CD64F33"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2.5</w:t>
            </w:r>
          </w:p>
        </w:tc>
        <w:tc>
          <w:tcPr>
            <w:tcW w:w="1463" w:type="dxa"/>
            <w:gridSpan w:val="2"/>
          </w:tcPr>
          <w:p w14:paraId="34A91259"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5531AA5C"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557" w:type="dxa"/>
            <w:gridSpan w:val="2"/>
          </w:tcPr>
          <w:p w14:paraId="6D6176F1"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4F1CEE7D"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25</w:t>
            </w:r>
          </w:p>
        </w:tc>
      </w:tr>
      <w:tr w:rsidR="002A03B0" w:rsidRPr="006B4BF5" w14:paraId="44D671A5" w14:textId="77777777" w:rsidTr="002C685F">
        <w:trPr>
          <w:trHeight w:val="624"/>
        </w:trPr>
        <w:tc>
          <w:tcPr>
            <w:tcW w:w="1053" w:type="dxa"/>
          </w:tcPr>
          <w:p w14:paraId="34C93D81" w14:textId="77777777" w:rsidR="002A03B0" w:rsidRPr="006B4BF5" w:rsidRDefault="002A03B0" w:rsidP="007B12C8">
            <w:pPr>
              <w:adjustRightInd w:val="0"/>
              <w:snapToGrid w:val="0"/>
              <w:spacing w:line="360" w:lineRule="auto"/>
              <w:jc w:val="both"/>
              <w:rPr>
                <w:rFonts w:ascii="Book Antiqua" w:hAnsi="Book Antiqua"/>
                <w:sz w:val="24"/>
                <w:szCs w:val="24"/>
              </w:rPr>
            </w:pPr>
          </w:p>
          <w:p w14:paraId="27494E43" w14:textId="77777777" w:rsidR="002A03B0" w:rsidRPr="006B4BF5" w:rsidRDefault="007849A1" w:rsidP="007B12C8">
            <w:pPr>
              <w:adjustRightInd w:val="0"/>
              <w:snapToGrid w:val="0"/>
              <w:spacing w:line="360" w:lineRule="auto"/>
              <w:jc w:val="both"/>
              <w:rPr>
                <w:rFonts w:ascii="Book Antiqua" w:hAnsi="Book Antiqua"/>
                <w:sz w:val="24"/>
                <w:szCs w:val="24"/>
              </w:rPr>
            </w:pPr>
            <w:r w:rsidRPr="006B4BF5">
              <w:rPr>
                <w:rFonts w:ascii="Book Antiqua" w:hAnsi="Book Antiqua"/>
                <w:sz w:val="24"/>
                <w:szCs w:val="24"/>
              </w:rPr>
              <w:t>2</w:t>
            </w:r>
          </w:p>
        </w:tc>
        <w:tc>
          <w:tcPr>
            <w:tcW w:w="1085" w:type="dxa"/>
          </w:tcPr>
          <w:p w14:paraId="424C365C"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00CE2EFC"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5</w:t>
            </w:r>
          </w:p>
        </w:tc>
        <w:tc>
          <w:tcPr>
            <w:tcW w:w="1078" w:type="dxa"/>
            <w:gridSpan w:val="2"/>
          </w:tcPr>
          <w:p w14:paraId="00ED1892"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22D45429"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46AD73EF"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07456A83"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0D13D4BF"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4CD55CDB"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7</w:t>
            </w:r>
          </w:p>
        </w:tc>
        <w:tc>
          <w:tcPr>
            <w:tcW w:w="1463" w:type="dxa"/>
            <w:gridSpan w:val="2"/>
          </w:tcPr>
          <w:p w14:paraId="3058239D"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405B00A6"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557" w:type="dxa"/>
            <w:gridSpan w:val="2"/>
          </w:tcPr>
          <w:p w14:paraId="7E34A622" w14:textId="77777777" w:rsidR="002A03B0" w:rsidRPr="006B4BF5" w:rsidRDefault="002A03B0" w:rsidP="005E185D">
            <w:pPr>
              <w:adjustRightInd w:val="0"/>
              <w:snapToGrid w:val="0"/>
              <w:spacing w:line="360" w:lineRule="auto"/>
              <w:jc w:val="center"/>
              <w:rPr>
                <w:rFonts w:ascii="Book Antiqua" w:hAnsi="Book Antiqua"/>
                <w:sz w:val="24"/>
                <w:szCs w:val="24"/>
              </w:rPr>
            </w:pPr>
          </w:p>
        </w:tc>
      </w:tr>
      <w:tr w:rsidR="002A03B0" w:rsidRPr="006B4BF5" w14:paraId="2CB91C13" w14:textId="77777777" w:rsidTr="002C685F">
        <w:trPr>
          <w:trHeight w:val="624"/>
        </w:trPr>
        <w:tc>
          <w:tcPr>
            <w:tcW w:w="1053" w:type="dxa"/>
          </w:tcPr>
          <w:p w14:paraId="71D29431" w14:textId="77777777" w:rsidR="002A03B0" w:rsidRPr="006B4BF5" w:rsidRDefault="002A03B0" w:rsidP="007B12C8">
            <w:pPr>
              <w:adjustRightInd w:val="0"/>
              <w:snapToGrid w:val="0"/>
              <w:spacing w:line="360" w:lineRule="auto"/>
              <w:jc w:val="both"/>
              <w:rPr>
                <w:rFonts w:ascii="Book Antiqua" w:hAnsi="Book Antiqua"/>
                <w:sz w:val="24"/>
                <w:szCs w:val="24"/>
              </w:rPr>
            </w:pPr>
          </w:p>
        </w:tc>
        <w:tc>
          <w:tcPr>
            <w:tcW w:w="1085" w:type="dxa"/>
          </w:tcPr>
          <w:p w14:paraId="368C000E"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33EAF46D"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6</w:t>
            </w:r>
          </w:p>
        </w:tc>
        <w:tc>
          <w:tcPr>
            <w:tcW w:w="1078" w:type="dxa"/>
            <w:gridSpan w:val="2"/>
          </w:tcPr>
          <w:p w14:paraId="57AFBD2F"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0BF987C6"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7EDA6648"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1B92D092"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6A58209E"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51E83459"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7</w:t>
            </w:r>
          </w:p>
        </w:tc>
        <w:tc>
          <w:tcPr>
            <w:tcW w:w="1463" w:type="dxa"/>
            <w:gridSpan w:val="2"/>
          </w:tcPr>
          <w:p w14:paraId="542D2A33"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63B8C7A2"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557" w:type="dxa"/>
            <w:gridSpan w:val="2"/>
          </w:tcPr>
          <w:p w14:paraId="42CF7B47" w14:textId="77777777" w:rsidR="002A03B0" w:rsidRPr="006B4BF5" w:rsidRDefault="002A03B0" w:rsidP="005E185D">
            <w:pPr>
              <w:adjustRightInd w:val="0"/>
              <w:snapToGrid w:val="0"/>
              <w:spacing w:line="360" w:lineRule="auto"/>
              <w:jc w:val="center"/>
              <w:rPr>
                <w:rFonts w:ascii="Book Antiqua" w:hAnsi="Book Antiqua"/>
                <w:sz w:val="24"/>
                <w:szCs w:val="24"/>
              </w:rPr>
            </w:pPr>
          </w:p>
        </w:tc>
      </w:tr>
      <w:tr w:rsidR="002A03B0" w:rsidRPr="006B4BF5" w14:paraId="370CAA6E" w14:textId="77777777" w:rsidTr="002C685F">
        <w:trPr>
          <w:trHeight w:val="624"/>
        </w:trPr>
        <w:tc>
          <w:tcPr>
            <w:tcW w:w="1053" w:type="dxa"/>
          </w:tcPr>
          <w:p w14:paraId="5476D11A" w14:textId="77777777" w:rsidR="002A03B0" w:rsidRPr="006B4BF5" w:rsidRDefault="002A03B0" w:rsidP="007B12C8">
            <w:pPr>
              <w:adjustRightInd w:val="0"/>
              <w:snapToGrid w:val="0"/>
              <w:spacing w:line="360" w:lineRule="auto"/>
              <w:jc w:val="both"/>
              <w:rPr>
                <w:rFonts w:ascii="Book Antiqua" w:hAnsi="Book Antiqua"/>
                <w:sz w:val="24"/>
                <w:szCs w:val="24"/>
              </w:rPr>
            </w:pPr>
          </w:p>
        </w:tc>
        <w:tc>
          <w:tcPr>
            <w:tcW w:w="1085" w:type="dxa"/>
          </w:tcPr>
          <w:p w14:paraId="6D40C83B"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694E6DF3"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7</w:t>
            </w:r>
          </w:p>
        </w:tc>
        <w:tc>
          <w:tcPr>
            <w:tcW w:w="1078" w:type="dxa"/>
            <w:gridSpan w:val="2"/>
          </w:tcPr>
          <w:p w14:paraId="00DD007D"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39685C87"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RE</w:t>
            </w:r>
          </w:p>
        </w:tc>
        <w:tc>
          <w:tcPr>
            <w:tcW w:w="1108" w:type="dxa"/>
          </w:tcPr>
          <w:p w14:paraId="73B28BD2"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23AAE85C"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6EA0C8A4"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293E36C3"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8</w:t>
            </w:r>
          </w:p>
        </w:tc>
        <w:tc>
          <w:tcPr>
            <w:tcW w:w="1463" w:type="dxa"/>
            <w:gridSpan w:val="2"/>
          </w:tcPr>
          <w:p w14:paraId="52C7A1FE"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4F9E6E3B"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557" w:type="dxa"/>
            <w:gridSpan w:val="2"/>
          </w:tcPr>
          <w:p w14:paraId="0BF7A8ED"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37183742"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0</w:t>
            </w:r>
          </w:p>
        </w:tc>
      </w:tr>
      <w:tr w:rsidR="002A03B0" w:rsidRPr="006B4BF5" w14:paraId="37C066E4" w14:textId="77777777" w:rsidTr="002C685F">
        <w:trPr>
          <w:trHeight w:val="624"/>
        </w:trPr>
        <w:tc>
          <w:tcPr>
            <w:tcW w:w="1053" w:type="dxa"/>
          </w:tcPr>
          <w:p w14:paraId="7BF3146D" w14:textId="77777777" w:rsidR="002A03B0" w:rsidRPr="006B4BF5" w:rsidRDefault="002A03B0" w:rsidP="007B12C8">
            <w:pPr>
              <w:adjustRightInd w:val="0"/>
              <w:snapToGrid w:val="0"/>
              <w:spacing w:line="360" w:lineRule="auto"/>
              <w:jc w:val="both"/>
              <w:rPr>
                <w:rFonts w:ascii="Book Antiqua" w:hAnsi="Book Antiqua"/>
                <w:sz w:val="24"/>
                <w:szCs w:val="24"/>
              </w:rPr>
            </w:pPr>
          </w:p>
        </w:tc>
        <w:tc>
          <w:tcPr>
            <w:tcW w:w="1085" w:type="dxa"/>
          </w:tcPr>
          <w:p w14:paraId="37638AF7"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00D6F8D5"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8</w:t>
            </w:r>
          </w:p>
        </w:tc>
        <w:tc>
          <w:tcPr>
            <w:tcW w:w="1078" w:type="dxa"/>
            <w:gridSpan w:val="2"/>
          </w:tcPr>
          <w:p w14:paraId="5214A159"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7C7EC658"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RE</w:t>
            </w:r>
          </w:p>
        </w:tc>
        <w:tc>
          <w:tcPr>
            <w:tcW w:w="1108" w:type="dxa"/>
          </w:tcPr>
          <w:p w14:paraId="268C22AB"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691AC7F8"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43766ABB"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30E96884"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7</w:t>
            </w:r>
          </w:p>
        </w:tc>
        <w:tc>
          <w:tcPr>
            <w:tcW w:w="1463" w:type="dxa"/>
            <w:gridSpan w:val="2"/>
          </w:tcPr>
          <w:p w14:paraId="055B6EF7"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1FBCB97F"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557" w:type="dxa"/>
            <w:gridSpan w:val="2"/>
          </w:tcPr>
          <w:p w14:paraId="262506B8"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757F828E"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2.5</w:t>
            </w:r>
          </w:p>
        </w:tc>
      </w:tr>
      <w:tr w:rsidR="002A03B0" w:rsidRPr="006B4BF5" w14:paraId="6734D3A3" w14:textId="77777777" w:rsidTr="002C685F">
        <w:trPr>
          <w:trHeight w:val="623"/>
        </w:trPr>
        <w:tc>
          <w:tcPr>
            <w:tcW w:w="1053" w:type="dxa"/>
          </w:tcPr>
          <w:p w14:paraId="6B38027B" w14:textId="77777777" w:rsidR="002A03B0" w:rsidRPr="006B4BF5" w:rsidRDefault="002A03B0" w:rsidP="007B12C8">
            <w:pPr>
              <w:adjustRightInd w:val="0"/>
              <w:snapToGrid w:val="0"/>
              <w:spacing w:line="360" w:lineRule="auto"/>
              <w:jc w:val="both"/>
              <w:rPr>
                <w:rFonts w:ascii="Book Antiqua" w:hAnsi="Book Antiqua"/>
                <w:sz w:val="24"/>
                <w:szCs w:val="24"/>
              </w:rPr>
            </w:pPr>
          </w:p>
        </w:tc>
        <w:tc>
          <w:tcPr>
            <w:tcW w:w="1085" w:type="dxa"/>
          </w:tcPr>
          <w:p w14:paraId="5EC417BA"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23CF1BE7"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9</w:t>
            </w:r>
          </w:p>
        </w:tc>
        <w:tc>
          <w:tcPr>
            <w:tcW w:w="1078" w:type="dxa"/>
            <w:gridSpan w:val="2"/>
          </w:tcPr>
          <w:p w14:paraId="5B6E44E2"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30557562"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UC</w:t>
            </w:r>
          </w:p>
        </w:tc>
        <w:tc>
          <w:tcPr>
            <w:tcW w:w="1108" w:type="dxa"/>
          </w:tcPr>
          <w:p w14:paraId="5984FDED"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5E0E5852"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675F18DB"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464965F2"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7</w:t>
            </w:r>
          </w:p>
        </w:tc>
        <w:tc>
          <w:tcPr>
            <w:tcW w:w="1463" w:type="dxa"/>
            <w:gridSpan w:val="2"/>
          </w:tcPr>
          <w:p w14:paraId="08D8CD55"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0049F63F"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UC</w:t>
            </w:r>
          </w:p>
        </w:tc>
        <w:tc>
          <w:tcPr>
            <w:tcW w:w="1557" w:type="dxa"/>
            <w:gridSpan w:val="2"/>
          </w:tcPr>
          <w:p w14:paraId="3078837D"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1A591985"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30</w:t>
            </w:r>
          </w:p>
        </w:tc>
      </w:tr>
      <w:tr w:rsidR="002A03B0" w:rsidRPr="006B4BF5" w14:paraId="0129AEC2" w14:textId="77777777" w:rsidTr="002C685F">
        <w:trPr>
          <w:trHeight w:val="623"/>
        </w:trPr>
        <w:tc>
          <w:tcPr>
            <w:tcW w:w="1053" w:type="dxa"/>
          </w:tcPr>
          <w:p w14:paraId="70A809A0" w14:textId="77777777" w:rsidR="002A03B0" w:rsidRPr="006B4BF5" w:rsidRDefault="002A03B0" w:rsidP="007B12C8">
            <w:pPr>
              <w:adjustRightInd w:val="0"/>
              <w:snapToGrid w:val="0"/>
              <w:spacing w:line="360" w:lineRule="auto"/>
              <w:jc w:val="both"/>
              <w:rPr>
                <w:rFonts w:ascii="Book Antiqua" w:hAnsi="Book Antiqua"/>
                <w:sz w:val="24"/>
                <w:szCs w:val="24"/>
              </w:rPr>
            </w:pPr>
          </w:p>
          <w:p w14:paraId="7986312A" w14:textId="77777777" w:rsidR="002A03B0" w:rsidRPr="006B4BF5" w:rsidRDefault="007849A1" w:rsidP="007B12C8">
            <w:pPr>
              <w:adjustRightInd w:val="0"/>
              <w:snapToGrid w:val="0"/>
              <w:spacing w:line="360" w:lineRule="auto"/>
              <w:jc w:val="both"/>
              <w:rPr>
                <w:rFonts w:ascii="Book Antiqua" w:hAnsi="Book Antiqua"/>
                <w:sz w:val="24"/>
                <w:szCs w:val="24"/>
              </w:rPr>
            </w:pPr>
            <w:r w:rsidRPr="006B4BF5">
              <w:rPr>
                <w:rFonts w:ascii="Book Antiqua" w:hAnsi="Book Antiqua"/>
                <w:sz w:val="24"/>
                <w:szCs w:val="24"/>
              </w:rPr>
              <w:t>3</w:t>
            </w:r>
          </w:p>
        </w:tc>
        <w:tc>
          <w:tcPr>
            <w:tcW w:w="1085" w:type="dxa"/>
          </w:tcPr>
          <w:p w14:paraId="2C1903C8"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56B2DC4F"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10</w:t>
            </w:r>
          </w:p>
        </w:tc>
        <w:tc>
          <w:tcPr>
            <w:tcW w:w="1078" w:type="dxa"/>
            <w:gridSpan w:val="2"/>
          </w:tcPr>
          <w:p w14:paraId="26BA9592"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5F08D7D5"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714CDF64"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2D22F771"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317B641F"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65BCCA55"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8</w:t>
            </w:r>
          </w:p>
        </w:tc>
        <w:tc>
          <w:tcPr>
            <w:tcW w:w="1463" w:type="dxa"/>
            <w:gridSpan w:val="2"/>
          </w:tcPr>
          <w:p w14:paraId="16AB0D40"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3B281915"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557" w:type="dxa"/>
            <w:gridSpan w:val="2"/>
          </w:tcPr>
          <w:p w14:paraId="0C570363" w14:textId="77777777" w:rsidR="002A03B0" w:rsidRPr="006B4BF5" w:rsidRDefault="002A03B0" w:rsidP="005E185D">
            <w:pPr>
              <w:adjustRightInd w:val="0"/>
              <w:snapToGrid w:val="0"/>
              <w:spacing w:line="360" w:lineRule="auto"/>
              <w:jc w:val="center"/>
              <w:rPr>
                <w:rFonts w:ascii="Book Antiqua" w:hAnsi="Book Antiqua"/>
                <w:sz w:val="24"/>
                <w:szCs w:val="24"/>
              </w:rPr>
            </w:pPr>
          </w:p>
        </w:tc>
      </w:tr>
      <w:tr w:rsidR="002A03B0" w:rsidRPr="006B4BF5" w14:paraId="4D1C6808" w14:textId="77777777" w:rsidTr="002C685F">
        <w:trPr>
          <w:trHeight w:val="621"/>
        </w:trPr>
        <w:tc>
          <w:tcPr>
            <w:tcW w:w="1053" w:type="dxa"/>
          </w:tcPr>
          <w:p w14:paraId="3721E806" w14:textId="77777777" w:rsidR="002A03B0" w:rsidRPr="006B4BF5" w:rsidRDefault="002A03B0" w:rsidP="007B12C8">
            <w:pPr>
              <w:adjustRightInd w:val="0"/>
              <w:snapToGrid w:val="0"/>
              <w:spacing w:line="360" w:lineRule="auto"/>
              <w:jc w:val="both"/>
              <w:rPr>
                <w:rFonts w:ascii="Book Antiqua" w:hAnsi="Book Antiqua"/>
                <w:sz w:val="24"/>
                <w:szCs w:val="24"/>
              </w:rPr>
            </w:pPr>
          </w:p>
        </w:tc>
        <w:tc>
          <w:tcPr>
            <w:tcW w:w="1085" w:type="dxa"/>
          </w:tcPr>
          <w:p w14:paraId="2ACEF3B7"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606887FF"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11</w:t>
            </w:r>
          </w:p>
        </w:tc>
        <w:tc>
          <w:tcPr>
            <w:tcW w:w="1078" w:type="dxa"/>
            <w:gridSpan w:val="2"/>
          </w:tcPr>
          <w:p w14:paraId="25363DA5"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2CE7AE05"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4F0BCFCE"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132FF173"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314E7390"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29B42A4A"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9</w:t>
            </w:r>
          </w:p>
        </w:tc>
        <w:tc>
          <w:tcPr>
            <w:tcW w:w="1463" w:type="dxa"/>
            <w:gridSpan w:val="2"/>
          </w:tcPr>
          <w:p w14:paraId="7FC71D97" w14:textId="77777777" w:rsidR="002A03B0" w:rsidRPr="006B4BF5" w:rsidRDefault="002A03B0" w:rsidP="005E185D">
            <w:pPr>
              <w:adjustRightInd w:val="0"/>
              <w:snapToGrid w:val="0"/>
              <w:spacing w:line="360" w:lineRule="auto"/>
              <w:jc w:val="center"/>
              <w:rPr>
                <w:rFonts w:ascii="Book Antiqua" w:hAnsi="Book Antiqua"/>
                <w:sz w:val="24"/>
                <w:szCs w:val="24"/>
              </w:rPr>
            </w:pPr>
          </w:p>
          <w:p w14:paraId="14C7195A" w14:textId="77777777" w:rsidR="002A03B0" w:rsidRPr="006B4BF5" w:rsidRDefault="007849A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557" w:type="dxa"/>
            <w:gridSpan w:val="2"/>
          </w:tcPr>
          <w:p w14:paraId="35244FF6" w14:textId="77777777" w:rsidR="002A03B0" w:rsidRPr="006B4BF5" w:rsidRDefault="002A03B0" w:rsidP="005E185D">
            <w:pPr>
              <w:adjustRightInd w:val="0"/>
              <w:snapToGrid w:val="0"/>
              <w:spacing w:line="360" w:lineRule="auto"/>
              <w:jc w:val="center"/>
              <w:rPr>
                <w:rFonts w:ascii="Book Antiqua" w:hAnsi="Book Antiqua"/>
                <w:sz w:val="24"/>
                <w:szCs w:val="24"/>
              </w:rPr>
            </w:pPr>
          </w:p>
        </w:tc>
      </w:tr>
      <w:tr w:rsidR="00A21785" w:rsidRPr="006B4BF5" w14:paraId="41D00B2D" w14:textId="77777777" w:rsidTr="002C685F">
        <w:trPr>
          <w:gridAfter w:val="1"/>
          <w:wAfter w:w="450" w:type="dxa"/>
          <w:trHeight w:val="631"/>
        </w:trPr>
        <w:tc>
          <w:tcPr>
            <w:tcW w:w="1053" w:type="dxa"/>
          </w:tcPr>
          <w:p w14:paraId="3A859994"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32619E41"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600F522"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12</w:t>
            </w:r>
          </w:p>
        </w:tc>
        <w:tc>
          <w:tcPr>
            <w:tcW w:w="1029" w:type="dxa"/>
          </w:tcPr>
          <w:p w14:paraId="4DC90B2B"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4BE4717"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02BA085D"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5DF8472"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5AE8C6C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F1ECE6F"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7.5</w:t>
            </w:r>
          </w:p>
        </w:tc>
        <w:tc>
          <w:tcPr>
            <w:tcW w:w="1418" w:type="dxa"/>
          </w:tcPr>
          <w:p w14:paraId="4BE241C1"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2016341"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4A497BCB"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01F0A0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27.5</w:t>
            </w:r>
          </w:p>
        </w:tc>
      </w:tr>
      <w:tr w:rsidR="00A21785" w:rsidRPr="006B4BF5" w14:paraId="575D1026" w14:textId="77777777" w:rsidTr="002C685F">
        <w:trPr>
          <w:gridAfter w:val="1"/>
          <w:wAfter w:w="450" w:type="dxa"/>
          <w:trHeight w:val="624"/>
        </w:trPr>
        <w:tc>
          <w:tcPr>
            <w:tcW w:w="1053" w:type="dxa"/>
          </w:tcPr>
          <w:p w14:paraId="6549A160"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54C0DAE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59AD9D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lastRenderedPageBreak/>
              <w:t>13</w:t>
            </w:r>
          </w:p>
        </w:tc>
        <w:tc>
          <w:tcPr>
            <w:tcW w:w="1029" w:type="dxa"/>
          </w:tcPr>
          <w:p w14:paraId="20A4B62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9EB9DFF"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lastRenderedPageBreak/>
              <w:t>UC</w:t>
            </w:r>
          </w:p>
        </w:tc>
        <w:tc>
          <w:tcPr>
            <w:tcW w:w="1108" w:type="dxa"/>
          </w:tcPr>
          <w:p w14:paraId="0F193E92"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6820EF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lastRenderedPageBreak/>
              <w:t>M</w:t>
            </w:r>
          </w:p>
        </w:tc>
        <w:tc>
          <w:tcPr>
            <w:tcW w:w="1548" w:type="dxa"/>
          </w:tcPr>
          <w:p w14:paraId="56855F8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5AF1F5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lastRenderedPageBreak/>
              <w:t>8</w:t>
            </w:r>
          </w:p>
        </w:tc>
        <w:tc>
          <w:tcPr>
            <w:tcW w:w="1418" w:type="dxa"/>
          </w:tcPr>
          <w:p w14:paraId="3A52A0F4"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EF581A4"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lastRenderedPageBreak/>
              <w:t>UC</w:t>
            </w:r>
          </w:p>
        </w:tc>
        <w:tc>
          <w:tcPr>
            <w:tcW w:w="1152" w:type="dxa"/>
            <w:gridSpan w:val="2"/>
          </w:tcPr>
          <w:p w14:paraId="7B7B319D"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02B475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lastRenderedPageBreak/>
              <w:t>20</w:t>
            </w:r>
          </w:p>
        </w:tc>
      </w:tr>
      <w:tr w:rsidR="00A21785" w:rsidRPr="006B4BF5" w14:paraId="7A3EE060" w14:textId="77777777" w:rsidTr="002C685F">
        <w:trPr>
          <w:gridAfter w:val="1"/>
          <w:wAfter w:w="450" w:type="dxa"/>
          <w:trHeight w:val="624"/>
        </w:trPr>
        <w:tc>
          <w:tcPr>
            <w:tcW w:w="1053" w:type="dxa"/>
          </w:tcPr>
          <w:p w14:paraId="28417472"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721D0FC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FF43C3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14</w:t>
            </w:r>
          </w:p>
        </w:tc>
        <w:tc>
          <w:tcPr>
            <w:tcW w:w="1029" w:type="dxa"/>
          </w:tcPr>
          <w:p w14:paraId="37B7A0F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AA5FA8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UC</w:t>
            </w:r>
          </w:p>
        </w:tc>
        <w:tc>
          <w:tcPr>
            <w:tcW w:w="1108" w:type="dxa"/>
          </w:tcPr>
          <w:p w14:paraId="6C897AC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1387E7B"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1F59327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BF2BE5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8</w:t>
            </w:r>
          </w:p>
        </w:tc>
        <w:tc>
          <w:tcPr>
            <w:tcW w:w="1418" w:type="dxa"/>
          </w:tcPr>
          <w:p w14:paraId="6A7D4D79"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411FF6F"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UC</w:t>
            </w:r>
          </w:p>
        </w:tc>
        <w:tc>
          <w:tcPr>
            <w:tcW w:w="1152" w:type="dxa"/>
            <w:gridSpan w:val="2"/>
          </w:tcPr>
          <w:p w14:paraId="2181356B"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4EB1984"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20</w:t>
            </w:r>
          </w:p>
        </w:tc>
      </w:tr>
      <w:tr w:rsidR="00A21785" w:rsidRPr="006B4BF5" w14:paraId="6A18C5DA" w14:textId="77777777" w:rsidTr="002C685F">
        <w:trPr>
          <w:gridAfter w:val="1"/>
          <w:wAfter w:w="450" w:type="dxa"/>
          <w:trHeight w:val="623"/>
        </w:trPr>
        <w:tc>
          <w:tcPr>
            <w:tcW w:w="1053" w:type="dxa"/>
          </w:tcPr>
          <w:p w14:paraId="5932B3CA" w14:textId="77777777" w:rsidR="00013311" w:rsidRPr="006B4BF5" w:rsidRDefault="00013311" w:rsidP="007B12C8">
            <w:pPr>
              <w:adjustRightInd w:val="0"/>
              <w:snapToGrid w:val="0"/>
              <w:spacing w:line="360" w:lineRule="auto"/>
              <w:jc w:val="both"/>
              <w:rPr>
                <w:rFonts w:ascii="Book Antiqua" w:hAnsi="Book Antiqua"/>
                <w:sz w:val="24"/>
                <w:szCs w:val="24"/>
              </w:rPr>
            </w:pPr>
          </w:p>
          <w:p w14:paraId="09284266" w14:textId="77777777" w:rsidR="00013311" w:rsidRPr="006B4BF5" w:rsidRDefault="00013311" w:rsidP="007B12C8">
            <w:pPr>
              <w:adjustRightInd w:val="0"/>
              <w:snapToGrid w:val="0"/>
              <w:spacing w:line="360" w:lineRule="auto"/>
              <w:jc w:val="both"/>
              <w:rPr>
                <w:rFonts w:ascii="Book Antiqua" w:hAnsi="Book Antiqua"/>
                <w:sz w:val="24"/>
                <w:szCs w:val="24"/>
              </w:rPr>
            </w:pPr>
            <w:r w:rsidRPr="006B4BF5">
              <w:rPr>
                <w:rFonts w:ascii="Book Antiqua" w:hAnsi="Book Antiqua"/>
                <w:sz w:val="24"/>
                <w:szCs w:val="24"/>
              </w:rPr>
              <w:t>4</w:t>
            </w:r>
          </w:p>
        </w:tc>
        <w:tc>
          <w:tcPr>
            <w:tcW w:w="1134" w:type="dxa"/>
            <w:gridSpan w:val="2"/>
          </w:tcPr>
          <w:p w14:paraId="6887F9C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3852B84"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15</w:t>
            </w:r>
          </w:p>
        </w:tc>
        <w:tc>
          <w:tcPr>
            <w:tcW w:w="1029" w:type="dxa"/>
          </w:tcPr>
          <w:p w14:paraId="66E34EF4"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958C4F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1D897899"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DE44DE3"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7A8CE22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9CD6A42"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9</w:t>
            </w:r>
          </w:p>
        </w:tc>
        <w:tc>
          <w:tcPr>
            <w:tcW w:w="1418" w:type="dxa"/>
          </w:tcPr>
          <w:p w14:paraId="2872295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EA8AD6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152" w:type="dxa"/>
            <w:gridSpan w:val="2"/>
          </w:tcPr>
          <w:p w14:paraId="6810DDC5" w14:textId="77777777" w:rsidR="00013311" w:rsidRPr="006B4BF5" w:rsidRDefault="00013311" w:rsidP="005E185D">
            <w:pPr>
              <w:adjustRightInd w:val="0"/>
              <w:snapToGrid w:val="0"/>
              <w:spacing w:line="360" w:lineRule="auto"/>
              <w:jc w:val="center"/>
              <w:rPr>
                <w:rFonts w:ascii="Book Antiqua" w:hAnsi="Book Antiqua"/>
                <w:sz w:val="24"/>
                <w:szCs w:val="24"/>
              </w:rPr>
            </w:pPr>
          </w:p>
        </w:tc>
      </w:tr>
      <w:tr w:rsidR="00A21785" w:rsidRPr="006B4BF5" w14:paraId="76B55A60" w14:textId="77777777" w:rsidTr="002C685F">
        <w:trPr>
          <w:gridAfter w:val="1"/>
          <w:wAfter w:w="450" w:type="dxa"/>
          <w:trHeight w:val="623"/>
        </w:trPr>
        <w:tc>
          <w:tcPr>
            <w:tcW w:w="1053" w:type="dxa"/>
          </w:tcPr>
          <w:p w14:paraId="536B1CA1"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4F361D8F"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A18E551"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16</w:t>
            </w:r>
          </w:p>
        </w:tc>
        <w:tc>
          <w:tcPr>
            <w:tcW w:w="1029" w:type="dxa"/>
          </w:tcPr>
          <w:p w14:paraId="5822439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588F38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61F2F71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0FE8CB8"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00693462" w14:textId="77777777" w:rsidR="00013311" w:rsidRPr="006B4BF5" w:rsidRDefault="00013311" w:rsidP="005E185D">
            <w:pPr>
              <w:adjustRightInd w:val="0"/>
              <w:snapToGrid w:val="0"/>
              <w:spacing w:line="360" w:lineRule="auto"/>
              <w:jc w:val="center"/>
              <w:rPr>
                <w:rFonts w:ascii="Book Antiqua" w:hAnsi="Book Antiqua"/>
                <w:sz w:val="24"/>
                <w:szCs w:val="24"/>
              </w:rPr>
            </w:pPr>
          </w:p>
        </w:tc>
        <w:tc>
          <w:tcPr>
            <w:tcW w:w="1418" w:type="dxa"/>
          </w:tcPr>
          <w:p w14:paraId="5F0B364B"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C2EB8E8"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37788675"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5CAF8B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40</w:t>
            </w:r>
          </w:p>
        </w:tc>
      </w:tr>
      <w:tr w:rsidR="00A21785" w:rsidRPr="006B4BF5" w14:paraId="46CDE20D" w14:textId="77777777" w:rsidTr="002C685F">
        <w:trPr>
          <w:gridAfter w:val="1"/>
          <w:wAfter w:w="450" w:type="dxa"/>
          <w:trHeight w:val="624"/>
        </w:trPr>
        <w:tc>
          <w:tcPr>
            <w:tcW w:w="1053" w:type="dxa"/>
          </w:tcPr>
          <w:p w14:paraId="26590E69" w14:textId="77777777" w:rsidR="00013311" w:rsidRPr="006B4BF5" w:rsidRDefault="00013311" w:rsidP="007B12C8">
            <w:pPr>
              <w:adjustRightInd w:val="0"/>
              <w:snapToGrid w:val="0"/>
              <w:spacing w:line="360" w:lineRule="auto"/>
              <w:jc w:val="both"/>
              <w:rPr>
                <w:rFonts w:ascii="Book Antiqua" w:hAnsi="Book Antiqua"/>
                <w:sz w:val="24"/>
                <w:szCs w:val="24"/>
              </w:rPr>
            </w:pPr>
          </w:p>
          <w:p w14:paraId="418A9D99" w14:textId="77777777" w:rsidR="00013311" w:rsidRPr="006B4BF5" w:rsidRDefault="00013311" w:rsidP="007B12C8">
            <w:pPr>
              <w:adjustRightInd w:val="0"/>
              <w:snapToGrid w:val="0"/>
              <w:spacing w:line="360" w:lineRule="auto"/>
              <w:jc w:val="both"/>
              <w:rPr>
                <w:rFonts w:ascii="Book Antiqua" w:hAnsi="Book Antiqua"/>
                <w:sz w:val="24"/>
                <w:szCs w:val="24"/>
              </w:rPr>
            </w:pPr>
            <w:r w:rsidRPr="006B4BF5">
              <w:rPr>
                <w:rFonts w:ascii="Book Antiqua" w:hAnsi="Book Antiqua"/>
                <w:sz w:val="24"/>
                <w:szCs w:val="24"/>
              </w:rPr>
              <w:t>5</w:t>
            </w:r>
          </w:p>
        </w:tc>
        <w:tc>
          <w:tcPr>
            <w:tcW w:w="1134" w:type="dxa"/>
            <w:gridSpan w:val="2"/>
          </w:tcPr>
          <w:p w14:paraId="7DCCCD0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4E336B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17</w:t>
            </w:r>
          </w:p>
        </w:tc>
        <w:tc>
          <w:tcPr>
            <w:tcW w:w="1029" w:type="dxa"/>
          </w:tcPr>
          <w:p w14:paraId="0BB750AB"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29E747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63E6792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BC2C668"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1A42333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8B377A1"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10</w:t>
            </w:r>
          </w:p>
        </w:tc>
        <w:tc>
          <w:tcPr>
            <w:tcW w:w="1418" w:type="dxa"/>
          </w:tcPr>
          <w:p w14:paraId="1801539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5F0F50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152" w:type="dxa"/>
            <w:gridSpan w:val="2"/>
          </w:tcPr>
          <w:p w14:paraId="07F46B87" w14:textId="77777777" w:rsidR="00013311" w:rsidRPr="006B4BF5" w:rsidRDefault="00013311" w:rsidP="005E185D">
            <w:pPr>
              <w:adjustRightInd w:val="0"/>
              <w:snapToGrid w:val="0"/>
              <w:spacing w:line="360" w:lineRule="auto"/>
              <w:jc w:val="center"/>
              <w:rPr>
                <w:rFonts w:ascii="Book Antiqua" w:hAnsi="Book Antiqua"/>
                <w:sz w:val="24"/>
                <w:szCs w:val="24"/>
              </w:rPr>
            </w:pPr>
          </w:p>
        </w:tc>
      </w:tr>
      <w:tr w:rsidR="00A21785" w:rsidRPr="006B4BF5" w14:paraId="5E144812" w14:textId="77777777" w:rsidTr="002C685F">
        <w:trPr>
          <w:gridAfter w:val="1"/>
          <w:wAfter w:w="450" w:type="dxa"/>
          <w:trHeight w:val="624"/>
        </w:trPr>
        <w:tc>
          <w:tcPr>
            <w:tcW w:w="1053" w:type="dxa"/>
          </w:tcPr>
          <w:p w14:paraId="6365D58D"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54BE715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90EFEC2"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18</w:t>
            </w:r>
          </w:p>
        </w:tc>
        <w:tc>
          <w:tcPr>
            <w:tcW w:w="1029" w:type="dxa"/>
          </w:tcPr>
          <w:p w14:paraId="3F501E63"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FAA817F"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4B36D48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1852953"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3C8F118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7A0EAC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10</w:t>
            </w:r>
          </w:p>
        </w:tc>
        <w:tc>
          <w:tcPr>
            <w:tcW w:w="1418" w:type="dxa"/>
          </w:tcPr>
          <w:p w14:paraId="535B6946"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4E276DF"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152" w:type="dxa"/>
            <w:gridSpan w:val="2"/>
          </w:tcPr>
          <w:p w14:paraId="2EF73E0D" w14:textId="77777777" w:rsidR="00013311" w:rsidRPr="006B4BF5" w:rsidRDefault="00013311" w:rsidP="005E185D">
            <w:pPr>
              <w:adjustRightInd w:val="0"/>
              <w:snapToGrid w:val="0"/>
              <w:spacing w:line="360" w:lineRule="auto"/>
              <w:jc w:val="center"/>
              <w:rPr>
                <w:rFonts w:ascii="Book Antiqua" w:hAnsi="Book Antiqua"/>
                <w:sz w:val="24"/>
                <w:szCs w:val="24"/>
              </w:rPr>
            </w:pPr>
          </w:p>
        </w:tc>
      </w:tr>
      <w:tr w:rsidR="00A21785" w:rsidRPr="006B4BF5" w14:paraId="5097C12C" w14:textId="77777777" w:rsidTr="002C685F">
        <w:trPr>
          <w:gridAfter w:val="1"/>
          <w:wAfter w:w="450" w:type="dxa"/>
          <w:trHeight w:val="624"/>
        </w:trPr>
        <w:tc>
          <w:tcPr>
            <w:tcW w:w="1053" w:type="dxa"/>
          </w:tcPr>
          <w:p w14:paraId="4B1DC217"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4FABC73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C077C07"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19</w:t>
            </w:r>
          </w:p>
        </w:tc>
        <w:tc>
          <w:tcPr>
            <w:tcW w:w="1029" w:type="dxa"/>
          </w:tcPr>
          <w:p w14:paraId="162DDE9B"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8C18D6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345B02AF"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282D210"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0FC1652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952BC53"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10</w:t>
            </w:r>
          </w:p>
        </w:tc>
        <w:tc>
          <w:tcPr>
            <w:tcW w:w="1418" w:type="dxa"/>
          </w:tcPr>
          <w:p w14:paraId="460F7B3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AF7D11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152" w:type="dxa"/>
            <w:gridSpan w:val="2"/>
          </w:tcPr>
          <w:p w14:paraId="701E2C56" w14:textId="77777777" w:rsidR="00013311" w:rsidRPr="006B4BF5" w:rsidRDefault="00013311" w:rsidP="005E185D">
            <w:pPr>
              <w:adjustRightInd w:val="0"/>
              <w:snapToGrid w:val="0"/>
              <w:spacing w:line="360" w:lineRule="auto"/>
              <w:jc w:val="center"/>
              <w:rPr>
                <w:rFonts w:ascii="Book Antiqua" w:hAnsi="Book Antiqua"/>
                <w:sz w:val="24"/>
                <w:szCs w:val="24"/>
              </w:rPr>
            </w:pPr>
          </w:p>
        </w:tc>
      </w:tr>
      <w:tr w:rsidR="00A21785" w:rsidRPr="006B4BF5" w14:paraId="55E14F98" w14:textId="77777777" w:rsidTr="002C685F">
        <w:trPr>
          <w:gridAfter w:val="1"/>
          <w:wAfter w:w="450" w:type="dxa"/>
          <w:trHeight w:val="623"/>
        </w:trPr>
        <w:tc>
          <w:tcPr>
            <w:tcW w:w="1053" w:type="dxa"/>
          </w:tcPr>
          <w:p w14:paraId="68DA9E68"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25FBEB6D"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C8380C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20</w:t>
            </w:r>
          </w:p>
        </w:tc>
        <w:tc>
          <w:tcPr>
            <w:tcW w:w="1029" w:type="dxa"/>
          </w:tcPr>
          <w:p w14:paraId="6BF107E5"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8C8CAB7"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6A157EF5"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5B46AD9"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0573EB9D"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B22A546"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9.6</w:t>
            </w:r>
          </w:p>
        </w:tc>
        <w:tc>
          <w:tcPr>
            <w:tcW w:w="1418" w:type="dxa"/>
          </w:tcPr>
          <w:p w14:paraId="0B2B53F6"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840BC91"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068EC2FF"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DDB6C9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20</w:t>
            </w:r>
          </w:p>
        </w:tc>
      </w:tr>
      <w:tr w:rsidR="00A21785" w:rsidRPr="006B4BF5" w14:paraId="6AAA449A" w14:textId="77777777" w:rsidTr="002C685F">
        <w:trPr>
          <w:gridAfter w:val="1"/>
          <w:wAfter w:w="450" w:type="dxa"/>
          <w:trHeight w:val="624"/>
        </w:trPr>
        <w:tc>
          <w:tcPr>
            <w:tcW w:w="1053" w:type="dxa"/>
          </w:tcPr>
          <w:p w14:paraId="3FB74E4A"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76433F13"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CD7C613"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21</w:t>
            </w:r>
          </w:p>
        </w:tc>
        <w:tc>
          <w:tcPr>
            <w:tcW w:w="1029" w:type="dxa"/>
          </w:tcPr>
          <w:p w14:paraId="4CD6784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AD13088"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263FAB19"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393A1D0"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01B3B09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5892B7F"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10</w:t>
            </w:r>
          </w:p>
        </w:tc>
        <w:tc>
          <w:tcPr>
            <w:tcW w:w="1418" w:type="dxa"/>
          </w:tcPr>
          <w:p w14:paraId="5A56A744"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95BBD69"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5F7E3996"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8742489"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30</w:t>
            </w:r>
          </w:p>
        </w:tc>
      </w:tr>
      <w:tr w:rsidR="00A21785" w:rsidRPr="006B4BF5" w14:paraId="6AB874F7" w14:textId="77777777" w:rsidTr="002C685F">
        <w:trPr>
          <w:gridAfter w:val="1"/>
          <w:wAfter w:w="450" w:type="dxa"/>
          <w:trHeight w:val="623"/>
        </w:trPr>
        <w:tc>
          <w:tcPr>
            <w:tcW w:w="1053" w:type="dxa"/>
          </w:tcPr>
          <w:p w14:paraId="2116C7ED"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02008BD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A028309"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22</w:t>
            </w:r>
          </w:p>
        </w:tc>
        <w:tc>
          <w:tcPr>
            <w:tcW w:w="1029" w:type="dxa"/>
          </w:tcPr>
          <w:p w14:paraId="7D69E3B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252909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RE</w:t>
            </w:r>
          </w:p>
        </w:tc>
        <w:tc>
          <w:tcPr>
            <w:tcW w:w="1108" w:type="dxa"/>
          </w:tcPr>
          <w:p w14:paraId="1482D7D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A9F0FCB"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432DE3E5"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28C997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10</w:t>
            </w:r>
          </w:p>
        </w:tc>
        <w:tc>
          <w:tcPr>
            <w:tcW w:w="1418" w:type="dxa"/>
          </w:tcPr>
          <w:p w14:paraId="76E92D51"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A7C859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461EEEB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BB8C709"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5</w:t>
            </w:r>
          </w:p>
        </w:tc>
      </w:tr>
      <w:tr w:rsidR="00A21785" w:rsidRPr="006B4BF5" w14:paraId="6FF762E6" w14:textId="77777777" w:rsidTr="002C685F">
        <w:trPr>
          <w:gridAfter w:val="1"/>
          <w:wAfter w:w="450" w:type="dxa"/>
          <w:trHeight w:val="624"/>
        </w:trPr>
        <w:tc>
          <w:tcPr>
            <w:tcW w:w="1053" w:type="dxa"/>
          </w:tcPr>
          <w:p w14:paraId="416C199F" w14:textId="77777777" w:rsidR="00013311" w:rsidRPr="006B4BF5" w:rsidRDefault="00013311" w:rsidP="007B12C8">
            <w:pPr>
              <w:adjustRightInd w:val="0"/>
              <w:snapToGrid w:val="0"/>
              <w:spacing w:line="360" w:lineRule="auto"/>
              <w:jc w:val="both"/>
              <w:rPr>
                <w:rFonts w:ascii="Book Antiqua" w:hAnsi="Book Antiqua"/>
                <w:sz w:val="24"/>
                <w:szCs w:val="24"/>
              </w:rPr>
            </w:pPr>
          </w:p>
          <w:p w14:paraId="6B1FC632" w14:textId="77777777" w:rsidR="00013311" w:rsidRPr="006B4BF5" w:rsidRDefault="00013311" w:rsidP="007B12C8">
            <w:pPr>
              <w:adjustRightInd w:val="0"/>
              <w:snapToGrid w:val="0"/>
              <w:spacing w:line="360" w:lineRule="auto"/>
              <w:jc w:val="both"/>
              <w:rPr>
                <w:rFonts w:ascii="Book Antiqua" w:hAnsi="Book Antiqua"/>
                <w:sz w:val="24"/>
                <w:szCs w:val="24"/>
              </w:rPr>
            </w:pPr>
            <w:r w:rsidRPr="006B4BF5">
              <w:rPr>
                <w:rFonts w:ascii="Book Antiqua" w:hAnsi="Book Antiqua"/>
                <w:sz w:val="24"/>
                <w:szCs w:val="24"/>
              </w:rPr>
              <w:t>6</w:t>
            </w:r>
          </w:p>
        </w:tc>
        <w:tc>
          <w:tcPr>
            <w:tcW w:w="1134" w:type="dxa"/>
            <w:gridSpan w:val="2"/>
          </w:tcPr>
          <w:p w14:paraId="3D035969"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489E4B1"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23</w:t>
            </w:r>
          </w:p>
        </w:tc>
        <w:tc>
          <w:tcPr>
            <w:tcW w:w="1029" w:type="dxa"/>
          </w:tcPr>
          <w:p w14:paraId="79172214"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78359E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551D619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334BF4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799C060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1A0FE1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11</w:t>
            </w:r>
          </w:p>
        </w:tc>
        <w:tc>
          <w:tcPr>
            <w:tcW w:w="1418" w:type="dxa"/>
          </w:tcPr>
          <w:p w14:paraId="4840520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698C89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152" w:type="dxa"/>
            <w:gridSpan w:val="2"/>
          </w:tcPr>
          <w:p w14:paraId="0E550D99" w14:textId="77777777" w:rsidR="00013311" w:rsidRPr="006B4BF5" w:rsidRDefault="00013311" w:rsidP="005E185D">
            <w:pPr>
              <w:adjustRightInd w:val="0"/>
              <w:snapToGrid w:val="0"/>
              <w:spacing w:line="360" w:lineRule="auto"/>
              <w:jc w:val="center"/>
              <w:rPr>
                <w:rFonts w:ascii="Book Antiqua" w:hAnsi="Book Antiqua"/>
                <w:sz w:val="24"/>
                <w:szCs w:val="24"/>
              </w:rPr>
            </w:pPr>
          </w:p>
        </w:tc>
      </w:tr>
      <w:tr w:rsidR="00A21785" w:rsidRPr="006B4BF5" w14:paraId="3D1A7B36" w14:textId="77777777" w:rsidTr="002C685F">
        <w:trPr>
          <w:gridAfter w:val="1"/>
          <w:wAfter w:w="450" w:type="dxa"/>
          <w:trHeight w:val="624"/>
        </w:trPr>
        <w:tc>
          <w:tcPr>
            <w:tcW w:w="1053" w:type="dxa"/>
          </w:tcPr>
          <w:p w14:paraId="0099F3DD"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2D2D24C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7E7ADD2"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24</w:t>
            </w:r>
          </w:p>
        </w:tc>
        <w:tc>
          <w:tcPr>
            <w:tcW w:w="1029" w:type="dxa"/>
          </w:tcPr>
          <w:p w14:paraId="4E042EFD"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18B6C0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2CBC841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72432A2"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22B7473F"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C34FFEB"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11</w:t>
            </w:r>
          </w:p>
        </w:tc>
        <w:tc>
          <w:tcPr>
            <w:tcW w:w="1418" w:type="dxa"/>
          </w:tcPr>
          <w:p w14:paraId="484AD7E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A488FC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152" w:type="dxa"/>
            <w:gridSpan w:val="2"/>
          </w:tcPr>
          <w:p w14:paraId="4CC1AD19" w14:textId="77777777" w:rsidR="00013311" w:rsidRPr="006B4BF5" w:rsidRDefault="00013311" w:rsidP="005E185D">
            <w:pPr>
              <w:adjustRightInd w:val="0"/>
              <w:snapToGrid w:val="0"/>
              <w:spacing w:line="360" w:lineRule="auto"/>
              <w:jc w:val="center"/>
              <w:rPr>
                <w:rFonts w:ascii="Book Antiqua" w:hAnsi="Book Antiqua"/>
                <w:sz w:val="24"/>
                <w:szCs w:val="24"/>
              </w:rPr>
            </w:pPr>
          </w:p>
        </w:tc>
      </w:tr>
      <w:tr w:rsidR="00A21785" w:rsidRPr="006B4BF5" w14:paraId="0B64CB05" w14:textId="77777777" w:rsidTr="002C685F">
        <w:trPr>
          <w:gridAfter w:val="1"/>
          <w:wAfter w:w="450" w:type="dxa"/>
          <w:trHeight w:val="623"/>
        </w:trPr>
        <w:tc>
          <w:tcPr>
            <w:tcW w:w="1053" w:type="dxa"/>
          </w:tcPr>
          <w:p w14:paraId="3BF5AC5F"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5AE2859D"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F2CAE5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25</w:t>
            </w:r>
          </w:p>
        </w:tc>
        <w:tc>
          <w:tcPr>
            <w:tcW w:w="1029" w:type="dxa"/>
          </w:tcPr>
          <w:p w14:paraId="3029962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67124E3"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7DA0FB71"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3DB1C3B"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27D6D8C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8471FD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11</w:t>
            </w:r>
          </w:p>
        </w:tc>
        <w:tc>
          <w:tcPr>
            <w:tcW w:w="1418" w:type="dxa"/>
          </w:tcPr>
          <w:p w14:paraId="5B9E2565"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D0D71E0"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67D68493"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BA8F251"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32.5</w:t>
            </w:r>
          </w:p>
        </w:tc>
      </w:tr>
      <w:tr w:rsidR="00A21785" w:rsidRPr="006B4BF5" w14:paraId="35A1815D" w14:textId="77777777" w:rsidTr="002C685F">
        <w:trPr>
          <w:gridAfter w:val="1"/>
          <w:wAfter w:w="450" w:type="dxa"/>
          <w:trHeight w:val="624"/>
        </w:trPr>
        <w:tc>
          <w:tcPr>
            <w:tcW w:w="1053" w:type="dxa"/>
          </w:tcPr>
          <w:p w14:paraId="34CD3E22"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40D5647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57CC37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26</w:t>
            </w:r>
          </w:p>
        </w:tc>
        <w:tc>
          <w:tcPr>
            <w:tcW w:w="1029" w:type="dxa"/>
          </w:tcPr>
          <w:p w14:paraId="2E644F1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93B773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5959E3A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87F79F9"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7D772C6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FEF81A6"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12.2</w:t>
            </w:r>
          </w:p>
        </w:tc>
        <w:tc>
          <w:tcPr>
            <w:tcW w:w="1418" w:type="dxa"/>
          </w:tcPr>
          <w:p w14:paraId="024D9E7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6C5EB70"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21E6133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27BE233"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50</w:t>
            </w:r>
          </w:p>
        </w:tc>
      </w:tr>
      <w:tr w:rsidR="00A21785" w:rsidRPr="006B4BF5" w14:paraId="3F447B60" w14:textId="77777777" w:rsidTr="002C685F">
        <w:trPr>
          <w:gridAfter w:val="1"/>
          <w:wAfter w:w="450" w:type="dxa"/>
          <w:trHeight w:val="624"/>
        </w:trPr>
        <w:tc>
          <w:tcPr>
            <w:tcW w:w="1053" w:type="dxa"/>
          </w:tcPr>
          <w:p w14:paraId="0FECA787"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04E3984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A547730"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27</w:t>
            </w:r>
          </w:p>
        </w:tc>
        <w:tc>
          <w:tcPr>
            <w:tcW w:w="1029" w:type="dxa"/>
          </w:tcPr>
          <w:p w14:paraId="056D3F2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B1CCFC0"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2B5ADA02"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76A4FB9"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2481539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07154A0"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11</w:t>
            </w:r>
          </w:p>
        </w:tc>
        <w:tc>
          <w:tcPr>
            <w:tcW w:w="1418" w:type="dxa"/>
          </w:tcPr>
          <w:p w14:paraId="66C84681"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C45AE89"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08459849"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0EFEC2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45</w:t>
            </w:r>
          </w:p>
        </w:tc>
      </w:tr>
      <w:tr w:rsidR="00A21785" w:rsidRPr="006B4BF5" w14:paraId="15960C28" w14:textId="77777777" w:rsidTr="002C685F">
        <w:trPr>
          <w:gridAfter w:val="1"/>
          <w:wAfter w:w="450" w:type="dxa"/>
          <w:trHeight w:val="624"/>
        </w:trPr>
        <w:tc>
          <w:tcPr>
            <w:tcW w:w="1053" w:type="dxa"/>
          </w:tcPr>
          <w:p w14:paraId="413DE39F"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7E522B1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14D0E5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28</w:t>
            </w:r>
          </w:p>
        </w:tc>
        <w:tc>
          <w:tcPr>
            <w:tcW w:w="1029" w:type="dxa"/>
          </w:tcPr>
          <w:p w14:paraId="742CF859"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C40641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4D4DC16B"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B01FCB7"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5648BFF6"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FF9252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11</w:t>
            </w:r>
          </w:p>
        </w:tc>
        <w:tc>
          <w:tcPr>
            <w:tcW w:w="1418" w:type="dxa"/>
          </w:tcPr>
          <w:p w14:paraId="5412E20B"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376A58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29B8E43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518DAF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15</w:t>
            </w:r>
          </w:p>
        </w:tc>
      </w:tr>
      <w:tr w:rsidR="00A21785" w:rsidRPr="006B4BF5" w14:paraId="7D749C67" w14:textId="77777777" w:rsidTr="002C685F">
        <w:trPr>
          <w:gridAfter w:val="1"/>
          <w:wAfter w:w="450" w:type="dxa"/>
          <w:trHeight w:val="624"/>
        </w:trPr>
        <w:tc>
          <w:tcPr>
            <w:tcW w:w="1053" w:type="dxa"/>
          </w:tcPr>
          <w:p w14:paraId="385D11C1" w14:textId="77777777" w:rsidR="00013311" w:rsidRPr="006B4BF5" w:rsidRDefault="00013311" w:rsidP="007B12C8">
            <w:pPr>
              <w:adjustRightInd w:val="0"/>
              <w:snapToGrid w:val="0"/>
              <w:spacing w:line="360" w:lineRule="auto"/>
              <w:jc w:val="both"/>
              <w:rPr>
                <w:rFonts w:ascii="Book Antiqua" w:hAnsi="Book Antiqua"/>
                <w:sz w:val="24"/>
                <w:szCs w:val="24"/>
              </w:rPr>
            </w:pPr>
          </w:p>
          <w:p w14:paraId="657EEDEE" w14:textId="77777777" w:rsidR="00013311" w:rsidRPr="006B4BF5" w:rsidRDefault="00013311" w:rsidP="007B12C8">
            <w:pPr>
              <w:adjustRightInd w:val="0"/>
              <w:snapToGrid w:val="0"/>
              <w:spacing w:line="360" w:lineRule="auto"/>
              <w:jc w:val="both"/>
              <w:rPr>
                <w:rFonts w:ascii="Book Antiqua" w:hAnsi="Book Antiqua"/>
                <w:sz w:val="24"/>
                <w:szCs w:val="24"/>
              </w:rPr>
            </w:pPr>
            <w:r w:rsidRPr="006B4BF5">
              <w:rPr>
                <w:rFonts w:ascii="Book Antiqua" w:hAnsi="Book Antiqua"/>
                <w:sz w:val="24"/>
                <w:szCs w:val="24"/>
              </w:rPr>
              <w:t>7</w:t>
            </w:r>
          </w:p>
        </w:tc>
        <w:tc>
          <w:tcPr>
            <w:tcW w:w="1134" w:type="dxa"/>
            <w:gridSpan w:val="2"/>
          </w:tcPr>
          <w:p w14:paraId="517AB4F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B7DBBC6"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29</w:t>
            </w:r>
          </w:p>
        </w:tc>
        <w:tc>
          <w:tcPr>
            <w:tcW w:w="1029" w:type="dxa"/>
          </w:tcPr>
          <w:p w14:paraId="51999CC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D207642"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31656E09"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B3B219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468575C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90422C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12</w:t>
            </w:r>
          </w:p>
        </w:tc>
        <w:tc>
          <w:tcPr>
            <w:tcW w:w="1418" w:type="dxa"/>
          </w:tcPr>
          <w:p w14:paraId="7EB794D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3D701A8"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152" w:type="dxa"/>
            <w:gridSpan w:val="2"/>
          </w:tcPr>
          <w:p w14:paraId="4A67715B" w14:textId="77777777" w:rsidR="00013311" w:rsidRPr="006B4BF5" w:rsidRDefault="00013311" w:rsidP="005E185D">
            <w:pPr>
              <w:adjustRightInd w:val="0"/>
              <w:snapToGrid w:val="0"/>
              <w:spacing w:line="360" w:lineRule="auto"/>
              <w:jc w:val="center"/>
              <w:rPr>
                <w:rFonts w:ascii="Book Antiqua" w:hAnsi="Book Antiqua"/>
                <w:sz w:val="24"/>
                <w:szCs w:val="24"/>
              </w:rPr>
            </w:pPr>
          </w:p>
        </w:tc>
      </w:tr>
      <w:tr w:rsidR="00A21785" w:rsidRPr="006B4BF5" w14:paraId="66265DD6" w14:textId="77777777" w:rsidTr="002C685F">
        <w:trPr>
          <w:gridAfter w:val="1"/>
          <w:wAfter w:w="450" w:type="dxa"/>
          <w:trHeight w:val="624"/>
        </w:trPr>
        <w:tc>
          <w:tcPr>
            <w:tcW w:w="1053" w:type="dxa"/>
          </w:tcPr>
          <w:p w14:paraId="7DA10E48"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26ADCB8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465DF1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30</w:t>
            </w:r>
          </w:p>
        </w:tc>
        <w:tc>
          <w:tcPr>
            <w:tcW w:w="1029" w:type="dxa"/>
          </w:tcPr>
          <w:p w14:paraId="032D8361"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415CEE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53AFED6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F34808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3C34657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1260BBB"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12</w:t>
            </w:r>
          </w:p>
        </w:tc>
        <w:tc>
          <w:tcPr>
            <w:tcW w:w="1418" w:type="dxa"/>
          </w:tcPr>
          <w:p w14:paraId="6B9CDBE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BADE883"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152" w:type="dxa"/>
            <w:gridSpan w:val="2"/>
          </w:tcPr>
          <w:p w14:paraId="59BDEC7D" w14:textId="77777777" w:rsidR="00013311" w:rsidRPr="006B4BF5" w:rsidRDefault="00013311" w:rsidP="005E185D">
            <w:pPr>
              <w:adjustRightInd w:val="0"/>
              <w:snapToGrid w:val="0"/>
              <w:spacing w:line="360" w:lineRule="auto"/>
              <w:jc w:val="center"/>
              <w:rPr>
                <w:rFonts w:ascii="Book Antiqua" w:hAnsi="Book Antiqua"/>
                <w:sz w:val="24"/>
                <w:szCs w:val="24"/>
              </w:rPr>
            </w:pPr>
          </w:p>
        </w:tc>
      </w:tr>
      <w:tr w:rsidR="00A21785" w:rsidRPr="006B4BF5" w14:paraId="3EE5E762" w14:textId="77777777" w:rsidTr="002C685F">
        <w:trPr>
          <w:gridAfter w:val="1"/>
          <w:wAfter w:w="450" w:type="dxa"/>
          <w:trHeight w:val="623"/>
        </w:trPr>
        <w:tc>
          <w:tcPr>
            <w:tcW w:w="1053" w:type="dxa"/>
          </w:tcPr>
          <w:p w14:paraId="68EAC031"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10DC15C2"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63B73E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31</w:t>
            </w:r>
          </w:p>
        </w:tc>
        <w:tc>
          <w:tcPr>
            <w:tcW w:w="1029" w:type="dxa"/>
          </w:tcPr>
          <w:p w14:paraId="11DAB9F1"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F1C158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43731172"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07112B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7CE8ABB5"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51030C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12</w:t>
            </w:r>
          </w:p>
        </w:tc>
        <w:tc>
          <w:tcPr>
            <w:tcW w:w="1418" w:type="dxa"/>
          </w:tcPr>
          <w:p w14:paraId="592CC744"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5E56EA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152" w:type="dxa"/>
            <w:gridSpan w:val="2"/>
          </w:tcPr>
          <w:p w14:paraId="6DD27BD7" w14:textId="77777777" w:rsidR="00013311" w:rsidRPr="006B4BF5" w:rsidRDefault="00013311" w:rsidP="005E185D">
            <w:pPr>
              <w:adjustRightInd w:val="0"/>
              <w:snapToGrid w:val="0"/>
              <w:spacing w:line="360" w:lineRule="auto"/>
              <w:jc w:val="center"/>
              <w:rPr>
                <w:rFonts w:ascii="Book Antiqua" w:hAnsi="Book Antiqua"/>
                <w:sz w:val="24"/>
                <w:szCs w:val="24"/>
              </w:rPr>
            </w:pPr>
          </w:p>
        </w:tc>
      </w:tr>
      <w:tr w:rsidR="00A21785" w:rsidRPr="006B4BF5" w14:paraId="1B20FC68" w14:textId="77777777" w:rsidTr="002C685F">
        <w:trPr>
          <w:gridAfter w:val="1"/>
          <w:wAfter w:w="450" w:type="dxa"/>
          <w:trHeight w:val="623"/>
        </w:trPr>
        <w:tc>
          <w:tcPr>
            <w:tcW w:w="1053" w:type="dxa"/>
          </w:tcPr>
          <w:p w14:paraId="14EA733F"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0153E6C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AC9C859"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32</w:t>
            </w:r>
          </w:p>
        </w:tc>
        <w:tc>
          <w:tcPr>
            <w:tcW w:w="1029" w:type="dxa"/>
          </w:tcPr>
          <w:p w14:paraId="7A17C69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D296B8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390FCB6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DFA02E9"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6B4E60B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8E20010"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12</w:t>
            </w:r>
          </w:p>
        </w:tc>
        <w:tc>
          <w:tcPr>
            <w:tcW w:w="1418" w:type="dxa"/>
          </w:tcPr>
          <w:p w14:paraId="512931B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465136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24A5E255"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AE8AC27"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25</w:t>
            </w:r>
          </w:p>
        </w:tc>
      </w:tr>
      <w:tr w:rsidR="00A21785" w:rsidRPr="006B4BF5" w14:paraId="6AD1D67E" w14:textId="77777777" w:rsidTr="002C685F">
        <w:trPr>
          <w:gridAfter w:val="1"/>
          <w:wAfter w:w="450" w:type="dxa"/>
          <w:trHeight w:val="626"/>
        </w:trPr>
        <w:tc>
          <w:tcPr>
            <w:tcW w:w="1053" w:type="dxa"/>
          </w:tcPr>
          <w:p w14:paraId="5B7FEA03"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554152D3"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6134B68"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33</w:t>
            </w:r>
          </w:p>
        </w:tc>
        <w:tc>
          <w:tcPr>
            <w:tcW w:w="1029" w:type="dxa"/>
          </w:tcPr>
          <w:p w14:paraId="6D40BE0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7C800C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7ED3403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952667B"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393225A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3DBF8A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12</w:t>
            </w:r>
          </w:p>
        </w:tc>
        <w:tc>
          <w:tcPr>
            <w:tcW w:w="1418" w:type="dxa"/>
          </w:tcPr>
          <w:p w14:paraId="38DFB96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9D75803"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55585783"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9221023"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35</w:t>
            </w:r>
          </w:p>
        </w:tc>
      </w:tr>
      <w:tr w:rsidR="00A21785" w:rsidRPr="006B4BF5" w14:paraId="5F295DEF" w14:textId="77777777" w:rsidTr="002C685F">
        <w:trPr>
          <w:gridAfter w:val="1"/>
          <w:wAfter w:w="450" w:type="dxa"/>
          <w:trHeight w:val="631"/>
        </w:trPr>
        <w:tc>
          <w:tcPr>
            <w:tcW w:w="1053" w:type="dxa"/>
          </w:tcPr>
          <w:p w14:paraId="0F1EA06E"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24FD4ACB"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42B1561"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34</w:t>
            </w:r>
          </w:p>
        </w:tc>
        <w:tc>
          <w:tcPr>
            <w:tcW w:w="1029" w:type="dxa"/>
          </w:tcPr>
          <w:p w14:paraId="23DFF69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203DC37"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49241042"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7908B7F"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4F44409B"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86F605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12</w:t>
            </w:r>
          </w:p>
        </w:tc>
        <w:tc>
          <w:tcPr>
            <w:tcW w:w="1418" w:type="dxa"/>
          </w:tcPr>
          <w:p w14:paraId="33D09266"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38D18E3"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3700A165"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E3C6CD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32.5</w:t>
            </w:r>
          </w:p>
        </w:tc>
      </w:tr>
      <w:tr w:rsidR="00A21785" w:rsidRPr="006B4BF5" w14:paraId="7D8058E4" w14:textId="77777777" w:rsidTr="002C685F">
        <w:trPr>
          <w:gridAfter w:val="1"/>
          <w:wAfter w:w="450" w:type="dxa"/>
          <w:trHeight w:val="624"/>
        </w:trPr>
        <w:tc>
          <w:tcPr>
            <w:tcW w:w="1053" w:type="dxa"/>
          </w:tcPr>
          <w:p w14:paraId="51057922"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5A04E8FD"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96B115F"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35</w:t>
            </w:r>
          </w:p>
        </w:tc>
        <w:tc>
          <w:tcPr>
            <w:tcW w:w="1029" w:type="dxa"/>
          </w:tcPr>
          <w:p w14:paraId="6B862CB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56E8C6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4D0DF58F"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B923F20"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248C6FBD"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AA7799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12</w:t>
            </w:r>
          </w:p>
        </w:tc>
        <w:tc>
          <w:tcPr>
            <w:tcW w:w="1418" w:type="dxa"/>
          </w:tcPr>
          <w:p w14:paraId="45F00D63"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53E7B03"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6901F914"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BBD700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47.5</w:t>
            </w:r>
          </w:p>
        </w:tc>
      </w:tr>
      <w:tr w:rsidR="00A21785" w:rsidRPr="006B4BF5" w14:paraId="591C6F6C" w14:textId="77777777" w:rsidTr="002C685F">
        <w:trPr>
          <w:gridAfter w:val="1"/>
          <w:wAfter w:w="450" w:type="dxa"/>
          <w:trHeight w:val="624"/>
        </w:trPr>
        <w:tc>
          <w:tcPr>
            <w:tcW w:w="1053" w:type="dxa"/>
          </w:tcPr>
          <w:p w14:paraId="3FDF2F8B"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702FC621"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3D0C9A2"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36</w:t>
            </w:r>
          </w:p>
        </w:tc>
        <w:tc>
          <w:tcPr>
            <w:tcW w:w="1029" w:type="dxa"/>
          </w:tcPr>
          <w:p w14:paraId="2BD4508D"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B22FF14"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RE</w:t>
            </w:r>
          </w:p>
        </w:tc>
        <w:tc>
          <w:tcPr>
            <w:tcW w:w="1108" w:type="dxa"/>
          </w:tcPr>
          <w:p w14:paraId="58A04B2D"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870DDEF"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3CFED27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6DD2BB9"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13.1</w:t>
            </w:r>
          </w:p>
        </w:tc>
        <w:tc>
          <w:tcPr>
            <w:tcW w:w="1418" w:type="dxa"/>
          </w:tcPr>
          <w:p w14:paraId="3DE321C9"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D940418"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426DF206"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EEA99D6"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0</w:t>
            </w:r>
          </w:p>
        </w:tc>
      </w:tr>
      <w:tr w:rsidR="00A21785" w:rsidRPr="006B4BF5" w14:paraId="2A295041" w14:textId="77777777" w:rsidTr="002C685F">
        <w:trPr>
          <w:gridAfter w:val="1"/>
          <w:wAfter w:w="450" w:type="dxa"/>
          <w:trHeight w:val="623"/>
        </w:trPr>
        <w:tc>
          <w:tcPr>
            <w:tcW w:w="1053" w:type="dxa"/>
          </w:tcPr>
          <w:p w14:paraId="32EB636B"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0B51C9E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BBB6813"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37</w:t>
            </w:r>
          </w:p>
        </w:tc>
        <w:tc>
          <w:tcPr>
            <w:tcW w:w="1029" w:type="dxa"/>
          </w:tcPr>
          <w:p w14:paraId="3F9493D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1F8915F"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UC</w:t>
            </w:r>
          </w:p>
        </w:tc>
        <w:tc>
          <w:tcPr>
            <w:tcW w:w="1108" w:type="dxa"/>
          </w:tcPr>
          <w:p w14:paraId="77EDC36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76F053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7928CA8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CED8C82"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13.1</w:t>
            </w:r>
          </w:p>
        </w:tc>
        <w:tc>
          <w:tcPr>
            <w:tcW w:w="1418" w:type="dxa"/>
          </w:tcPr>
          <w:p w14:paraId="30342262"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B17C432"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UC</w:t>
            </w:r>
          </w:p>
        </w:tc>
        <w:tc>
          <w:tcPr>
            <w:tcW w:w="1152" w:type="dxa"/>
            <w:gridSpan w:val="2"/>
          </w:tcPr>
          <w:p w14:paraId="39CE8DA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41D1131"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35</w:t>
            </w:r>
          </w:p>
        </w:tc>
      </w:tr>
      <w:tr w:rsidR="00A21785" w:rsidRPr="006B4BF5" w14:paraId="1D47F958" w14:textId="77777777" w:rsidTr="002C685F">
        <w:trPr>
          <w:gridAfter w:val="1"/>
          <w:wAfter w:w="450" w:type="dxa"/>
          <w:trHeight w:val="623"/>
        </w:trPr>
        <w:tc>
          <w:tcPr>
            <w:tcW w:w="1053" w:type="dxa"/>
          </w:tcPr>
          <w:p w14:paraId="0DF8A415"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16BB84A3"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2DC0DE0"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38</w:t>
            </w:r>
          </w:p>
        </w:tc>
        <w:tc>
          <w:tcPr>
            <w:tcW w:w="1029" w:type="dxa"/>
          </w:tcPr>
          <w:p w14:paraId="3F0D07B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1EED4CB"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UC</w:t>
            </w:r>
          </w:p>
        </w:tc>
        <w:tc>
          <w:tcPr>
            <w:tcW w:w="1108" w:type="dxa"/>
          </w:tcPr>
          <w:p w14:paraId="7266689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DC7DBB2"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57443054"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DFED93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12</w:t>
            </w:r>
          </w:p>
        </w:tc>
        <w:tc>
          <w:tcPr>
            <w:tcW w:w="1418" w:type="dxa"/>
          </w:tcPr>
          <w:p w14:paraId="64E0C104"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D5997C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UC</w:t>
            </w:r>
          </w:p>
        </w:tc>
        <w:tc>
          <w:tcPr>
            <w:tcW w:w="1152" w:type="dxa"/>
            <w:gridSpan w:val="2"/>
          </w:tcPr>
          <w:p w14:paraId="1120D1FD"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32493D4"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20</w:t>
            </w:r>
          </w:p>
        </w:tc>
      </w:tr>
      <w:tr w:rsidR="00A21785" w:rsidRPr="006B4BF5" w14:paraId="1EF1C81E" w14:textId="77777777" w:rsidTr="002C685F">
        <w:trPr>
          <w:gridAfter w:val="1"/>
          <w:wAfter w:w="450" w:type="dxa"/>
          <w:trHeight w:val="624"/>
        </w:trPr>
        <w:tc>
          <w:tcPr>
            <w:tcW w:w="1053" w:type="dxa"/>
          </w:tcPr>
          <w:p w14:paraId="6D3569D3" w14:textId="77777777" w:rsidR="00013311" w:rsidRPr="006B4BF5" w:rsidRDefault="00013311" w:rsidP="007B12C8">
            <w:pPr>
              <w:adjustRightInd w:val="0"/>
              <w:snapToGrid w:val="0"/>
              <w:spacing w:line="360" w:lineRule="auto"/>
              <w:jc w:val="both"/>
              <w:rPr>
                <w:rFonts w:ascii="Book Antiqua" w:hAnsi="Book Antiqua"/>
                <w:sz w:val="24"/>
                <w:szCs w:val="24"/>
              </w:rPr>
            </w:pPr>
          </w:p>
          <w:p w14:paraId="3529C115" w14:textId="77777777" w:rsidR="00013311" w:rsidRPr="006B4BF5" w:rsidRDefault="00013311" w:rsidP="007B12C8">
            <w:pPr>
              <w:adjustRightInd w:val="0"/>
              <w:snapToGrid w:val="0"/>
              <w:spacing w:line="360" w:lineRule="auto"/>
              <w:jc w:val="both"/>
              <w:rPr>
                <w:rFonts w:ascii="Book Antiqua" w:hAnsi="Book Antiqua"/>
                <w:sz w:val="24"/>
                <w:szCs w:val="24"/>
              </w:rPr>
            </w:pPr>
            <w:r w:rsidRPr="006B4BF5">
              <w:rPr>
                <w:rFonts w:ascii="Book Antiqua" w:hAnsi="Book Antiqua"/>
                <w:sz w:val="24"/>
                <w:szCs w:val="24"/>
              </w:rPr>
              <w:t>8</w:t>
            </w:r>
          </w:p>
        </w:tc>
        <w:tc>
          <w:tcPr>
            <w:tcW w:w="1134" w:type="dxa"/>
            <w:gridSpan w:val="2"/>
          </w:tcPr>
          <w:p w14:paraId="1DE11F2B"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075749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39</w:t>
            </w:r>
          </w:p>
        </w:tc>
        <w:tc>
          <w:tcPr>
            <w:tcW w:w="1029" w:type="dxa"/>
          </w:tcPr>
          <w:p w14:paraId="15076329"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773D13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112F1DF4"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79CD8BB"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3733558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764DC7B"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13</w:t>
            </w:r>
          </w:p>
        </w:tc>
        <w:tc>
          <w:tcPr>
            <w:tcW w:w="1418" w:type="dxa"/>
          </w:tcPr>
          <w:p w14:paraId="036B3C9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4013C62"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152" w:type="dxa"/>
            <w:gridSpan w:val="2"/>
          </w:tcPr>
          <w:p w14:paraId="7E766446" w14:textId="77777777" w:rsidR="00013311" w:rsidRPr="006B4BF5" w:rsidRDefault="00013311" w:rsidP="005E185D">
            <w:pPr>
              <w:adjustRightInd w:val="0"/>
              <w:snapToGrid w:val="0"/>
              <w:spacing w:line="360" w:lineRule="auto"/>
              <w:jc w:val="center"/>
              <w:rPr>
                <w:rFonts w:ascii="Book Antiqua" w:hAnsi="Book Antiqua"/>
                <w:sz w:val="24"/>
                <w:szCs w:val="24"/>
              </w:rPr>
            </w:pPr>
          </w:p>
        </w:tc>
      </w:tr>
      <w:tr w:rsidR="00A21785" w:rsidRPr="006B4BF5" w14:paraId="0B7BBC43" w14:textId="77777777" w:rsidTr="002C685F">
        <w:trPr>
          <w:gridAfter w:val="1"/>
          <w:wAfter w:w="450" w:type="dxa"/>
          <w:trHeight w:val="624"/>
        </w:trPr>
        <w:tc>
          <w:tcPr>
            <w:tcW w:w="1053" w:type="dxa"/>
          </w:tcPr>
          <w:p w14:paraId="3C96F5F3"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066636F5"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A571A04"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40</w:t>
            </w:r>
          </w:p>
        </w:tc>
        <w:tc>
          <w:tcPr>
            <w:tcW w:w="1029" w:type="dxa"/>
          </w:tcPr>
          <w:p w14:paraId="1A8DCA19"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C8ECED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1DA2CD74"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9B09477"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563C4AFB"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2157066"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13</w:t>
            </w:r>
          </w:p>
        </w:tc>
        <w:tc>
          <w:tcPr>
            <w:tcW w:w="1418" w:type="dxa"/>
          </w:tcPr>
          <w:p w14:paraId="6B85E48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A9BEE7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1B18680F"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25CC199"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45</w:t>
            </w:r>
          </w:p>
        </w:tc>
      </w:tr>
      <w:tr w:rsidR="00A21785" w:rsidRPr="006B4BF5" w14:paraId="76F0AD9B" w14:textId="77777777" w:rsidTr="002C685F">
        <w:trPr>
          <w:gridAfter w:val="1"/>
          <w:wAfter w:w="450" w:type="dxa"/>
          <w:trHeight w:val="624"/>
        </w:trPr>
        <w:tc>
          <w:tcPr>
            <w:tcW w:w="1053" w:type="dxa"/>
          </w:tcPr>
          <w:p w14:paraId="24F21A3A"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76E4EC46"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7492507"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41</w:t>
            </w:r>
          </w:p>
        </w:tc>
        <w:tc>
          <w:tcPr>
            <w:tcW w:w="1029" w:type="dxa"/>
          </w:tcPr>
          <w:p w14:paraId="5C1E5116"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219A724"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7D2DC40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FC52F7B"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2ABB68B6"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2ACDE96"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12.8</w:t>
            </w:r>
          </w:p>
        </w:tc>
        <w:tc>
          <w:tcPr>
            <w:tcW w:w="1418" w:type="dxa"/>
          </w:tcPr>
          <w:p w14:paraId="6CE423D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73FD8F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3773E1F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3B1615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32.5</w:t>
            </w:r>
          </w:p>
        </w:tc>
      </w:tr>
      <w:tr w:rsidR="00A21785" w:rsidRPr="006B4BF5" w14:paraId="740934FF" w14:textId="77777777" w:rsidTr="002C685F">
        <w:trPr>
          <w:gridAfter w:val="1"/>
          <w:wAfter w:w="450" w:type="dxa"/>
          <w:trHeight w:val="623"/>
        </w:trPr>
        <w:tc>
          <w:tcPr>
            <w:tcW w:w="1053" w:type="dxa"/>
          </w:tcPr>
          <w:p w14:paraId="0A411384" w14:textId="77777777" w:rsidR="00013311" w:rsidRPr="006B4BF5" w:rsidRDefault="00013311" w:rsidP="007B12C8">
            <w:pPr>
              <w:adjustRightInd w:val="0"/>
              <w:snapToGrid w:val="0"/>
              <w:spacing w:line="360" w:lineRule="auto"/>
              <w:jc w:val="both"/>
              <w:rPr>
                <w:rFonts w:ascii="Book Antiqua" w:hAnsi="Book Antiqua"/>
                <w:sz w:val="24"/>
                <w:szCs w:val="24"/>
              </w:rPr>
            </w:pPr>
          </w:p>
          <w:p w14:paraId="7D965A55" w14:textId="77777777" w:rsidR="00013311" w:rsidRPr="006B4BF5" w:rsidRDefault="00013311" w:rsidP="007B12C8">
            <w:pPr>
              <w:adjustRightInd w:val="0"/>
              <w:snapToGrid w:val="0"/>
              <w:spacing w:line="360" w:lineRule="auto"/>
              <w:jc w:val="both"/>
              <w:rPr>
                <w:rFonts w:ascii="Book Antiqua" w:hAnsi="Book Antiqua"/>
                <w:sz w:val="24"/>
                <w:szCs w:val="24"/>
              </w:rPr>
            </w:pPr>
            <w:r w:rsidRPr="006B4BF5">
              <w:rPr>
                <w:rFonts w:ascii="Book Antiqua" w:hAnsi="Book Antiqua"/>
                <w:sz w:val="24"/>
                <w:szCs w:val="24"/>
              </w:rPr>
              <w:lastRenderedPageBreak/>
              <w:t>9</w:t>
            </w:r>
          </w:p>
        </w:tc>
        <w:tc>
          <w:tcPr>
            <w:tcW w:w="1134" w:type="dxa"/>
            <w:gridSpan w:val="2"/>
          </w:tcPr>
          <w:p w14:paraId="0C14759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7F05F34"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lastRenderedPageBreak/>
              <w:t>42</w:t>
            </w:r>
          </w:p>
        </w:tc>
        <w:tc>
          <w:tcPr>
            <w:tcW w:w="1029" w:type="dxa"/>
          </w:tcPr>
          <w:p w14:paraId="2B81019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F26E470"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lastRenderedPageBreak/>
              <w:t>Control</w:t>
            </w:r>
          </w:p>
        </w:tc>
        <w:tc>
          <w:tcPr>
            <w:tcW w:w="1108" w:type="dxa"/>
          </w:tcPr>
          <w:p w14:paraId="62164359"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B22A30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lastRenderedPageBreak/>
              <w:t>F</w:t>
            </w:r>
          </w:p>
        </w:tc>
        <w:tc>
          <w:tcPr>
            <w:tcW w:w="1548" w:type="dxa"/>
          </w:tcPr>
          <w:p w14:paraId="4AD5C48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5E209C0"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lastRenderedPageBreak/>
              <w:t>14</w:t>
            </w:r>
          </w:p>
        </w:tc>
        <w:tc>
          <w:tcPr>
            <w:tcW w:w="1418" w:type="dxa"/>
          </w:tcPr>
          <w:p w14:paraId="4B9CCAE3"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92052E3"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lastRenderedPageBreak/>
              <w:t>JP</w:t>
            </w:r>
          </w:p>
        </w:tc>
        <w:tc>
          <w:tcPr>
            <w:tcW w:w="1152" w:type="dxa"/>
            <w:gridSpan w:val="2"/>
          </w:tcPr>
          <w:p w14:paraId="4818A1EF" w14:textId="77777777" w:rsidR="00013311" w:rsidRPr="006B4BF5" w:rsidRDefault="00013311" w:rsidP="005E185D">
            <w:pPr>
              <w:adjustRightInd w:val="0"/>
              <w:snapToGrid w:val="0"/>
              <w:spacing w:line="360" w:lineRule="auto"/>
              <w:jc w:val="center"/>
              <w:rPr>
                <w:rFonts w:ascii="Book Antiqua" w:hAnsi="Book Antiqua"/>
                <w:sz w:val="24"/>
                <w:szCs w:val="24"/>
              </w:rPr>
            </w:pPr>
          </w:p>
        </w:tc>
      </w:tr>
      <w:tr w:rsidR="00A21785" w:rsidRPr="006B4BF5" w14:paraId="49A45B93" w14:textId="77777777" w:rsidTr="003B7F40">
        <w:trPr>
          <w:gridAfter w:val="1"/>
          <w:wAfter w:w="450" w:type="dxa"/>
          <w:trHeight w:val="624"/>
        </w:trPr>
        <w:tc>
          <w:tcPr>
            <w:tcW w:w="1053" w:type="dxa"/>
          </w:tcPr>
          <w:p w14:paraId="20431F69"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4A18D3E3"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5859604"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43</w:t>
            </w:r>
          </w:p>
        </w:tc>
        <w:tc>
          <w:tcPr>
            <w:tcW w:w="1029" w:type="dxa"/>
          </w:tcPr>
          <w:p w14:paraId="60D8D62B"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99D0ABB"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18B1A35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1D420B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71F8CE3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10C3958"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14</w:t>
            </w:r>
          </w:p>
        </w:tc>
        <w:tc>
          <w:tcPr>
            <w:tcW w:w="1418" w:type="dxa"/>
          </w:tcPr>
          <w:p w14:paraId="7D00E0A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5B8227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241006E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5E6930F"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20</w:t>
            </w:r>
          </w:p>
        </w:tc>
      </w:tr>
      <w:tr w:rsidR="00A21785" w:rsidRPr="006B4BF5" w14:paraId="6DCD559B" w14:textId="77777777" w:rsidTr="003B7F40">
        <w:trPr>
          <w:gridAfter w:val="1"/>
          <w:wAfter w:w="450" w:type="dxa"/>
          <w:trHeight w:val="623"/>
        </w:trPr>
        <w:tc>
          <w:tcPr>
            <w:tcW w:w="1053" w:type="dxa"/>
          </w:tcPr>
          <w:p w14:paraId="4159E7ED"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31233A8D"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F8A09B1"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44</w:t>
            </w:r>
          </w:p>
        </w:tc>
        <w:tc>
          <w:tcPr>
            <w:tcW w:w="1029" w:type="dxa"/>
          </w:tcPr>
          <w:p w14:paraId="5DA2964D"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16D015B"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UC</w:t>
            </w:r>
          </w:p>
        </w:tc>
        <w:tc>
          <w:tcPr>
            <w:tcW w:w="1108" w:type="dxa"/>
          </w:tcPr>
          <w:p w14:paraId="0DD9E3CB"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B048D27"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78A80A06"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19587E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14</w:t>
            </w:r>
          </w:p>
        </w:tc>
        <w:tc>
          <w:tcPr>
            <w:tcW w:w="1418" w:type="dxa"/>
          </w:tcPr>
          <w:p w14:paraId="408CAA2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F676058"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UC</w:t>
            </w:r>
          </w:p>
        </w:tc>
        <w:tc>
          <w:tcPr>
            <w:tcW w:w="1152" w:type="dxa"/>
            <w:gridSpan w:val="2"/>
          </w:tcPr>
          <w:p w14:paraId="6BE7FE3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E0F58C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40</w:t>
            </w:r>
          </w:p>
        </w:tc>
      </w:tr>
      <w:tr w:rsidR="00A21785" w:rsidRPr="006B4BF5" w14:paraId="45E3CCBD" w14:textId="77777777" w:rsidTr="002C685F">
        <w:trPr>
          <w:gridAfter w:val="1"/>
          <w:wAfter w:w="450" w:type="dxa"/>
          <w:trHeight w:val="624"/>
        </w:trPr>
        <w:tc>
          <w:tcPr>
            <w:tcW w:w="1053" w:type="dxa"/>
          </w:tcPr>
          <w:p w14:paraId="795A058E"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0D94084F"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30F6B96"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45</w:t>
            </w:r>
          </w:p>
        </w:tc>
        <w:tc>
          <w:tcPr>
            <w:tcW w:w="1029" w:type="dxa"/>
          </w:tcPr>
          <w:p w14:paraId="019F056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C9F04D4"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RE</w:t>
            </w:r>
          </w:p>
        </w:tc>
        <w:tc>
          <w:tcPr>
            <w:tcW w:w="1108" w:type="dxa"/>
          </w:tcPr>
          <w:p w14:paraId="0B8923A3"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728D6CB"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64C4F486"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2E59D28"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14</w:t>
            </w:r>
          </w:p>
        </w:tc>
        <w:tc>
          <w:tcPr>
            <w:tcW w:w="1418" w:type="dxa"/>
          </w:tcPr>
          <w:p w14:paraId="6DCAF79F"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E8A84C7"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43147D11"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40EC68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2.5</w:t>
            </w:r>
          </w:p>
        </w:tc>
      </w:tr>
      <w:tr w:rsidR="00A21785" w:rsidRPr="006B4BF5" w14:paraId="451DE563" w14:textId="77777777" w:rsidTr="002C685F">
        <w:trPr>
          <w:gridAfter w:val="1"/>
          <w:wAfter w:w="450" w:type="dxa"/>
          <w:trHeight w:val="624"/>
        </w:trPr>
        <w:tc>
          <w:tcPr>
            <w:tcW w:w="1053" w:type="dxa"/>
          </w:tcPr>
          <w:p w14:paraId="4F324D5E" w14:textId="77777777" w:rsidR="00013311" w:rsidRPr="006B4BF5" w:rsidRDefault="00013311" w:rsidP="007B12C8">
            <w:pPr>
              <w:adjustRightInd w:val="0"/>
              <w:snapToGrid w:val="0"/>
              <w:spacing w:line="360" w:lineRule="auto"/>
              <w:jc w:val="both"/>
              <w:rPr>
                <w:rFonts w:ascii="Book Antiqua" w:hAnsi="Book Antiqua"/>
                <w:sz w:val="24"/>
                <w:szCs w:val="24"/>
              </w:rPr>
            </w:pPr>
          </w:p>
          <w:p w14:paraId="57CEFFC4" w14:textId="77777777" w:rsidR="00013311" w:rsidRPr="006B4BF5" w:rsidRDefault="00013311" w:rsidP="007B12C8">
            <w:pPr>
              <w:adjustRightInd w:val="0"/>
              <w:snapToGrid w:val="0"/>
              <w:spacing w:line="360" w:lineRule="auto"/>
              <w:jc w:val="both"/>
              <w:rPr>
                <w:rFonts w:ascii="Book Antiqua" w:hAnsi="Book Antiqua"/>
                <w:sz w:val="24"/>
                <w:szCs w:val="24"/>
              </w:rPr>
            </w:pPr>
            <w:r w:rsidRPr="006B4BF5">
              <w:rPr>
                <w:rFonts w:ascii="Book Antiqua" w:hAnsi="Book Antiqua"/>
                <w:sz w:val="24"/>
                <w:szCs w:val="24"/>
              </w:rPr>
              <w:t>10</w:t>
            </w:r>
          </w:p>
        </w:tc>
        <w:tc>
          <w:tcPr>
            <w:tcW w:w="1134" w:type="dxa"/>
            <w:gridSpan w:val="2"/>
          </w:tcPr>
          <w:p w14:paraId="3B36DC44"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2AD0348"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46</w:t>
            </w:r>
          </w:p>
        </w:tc>
        <w:tc>
          <w:tcPr>
            <w:tcW w:w="1029" w:type="dxa"/>
          </w:tcPr>
          <w:p w14:paraId="0263AE3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51E106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2D68E6C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C6A9EE9"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115F2E15"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B77A284"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14</w:t>
            </w:r>
          </w:p>
        </w:tc>
        <w:tc>
          <w:tcPr>
            <w:tcW w:w="1418" w:type="dxa"/>
          </w:tcPr>
          <w:p w14:paraId="07A24EFD"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8BCF9C0"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152" w:type="dxa"/>
            <w:gridSpan w:val="2"/>
          </w:tcPr>
          <w:p w14:paraId="04C643A6" w14:textId="77777777" w:rsidR="00013311" w:rsidRPr="006B4BF5" w:rsidRDefault="00013311" w:rsidP="005E185D">
            <w:pPr>
              <w:adjustRightInd w:val="0"/>
              <w:snapToGrid w:val="0"/>
              <w:spacing w:line="360" w:lineRule="auto"/>
              <w:jc w:val="center"/>
              <w:rPr>
                <w:rFonts w:ascii="Book Antiqua" w:hAnsi="Book Antiqua"/>
                <w:sz w:val="24"/>
                <w:szCs w:val="24"/>
              </w:rPr>
            </w:pPr>
          </w:p>
        </w:tc>
      </w:tr>
      <w:tr w:rsidR="00A21785" w:rsidRPr="006B4BF5" w14:paraId="7CF2794F" w14:textId="77777777" w:rsidTr="002C685F">
        <w:trPr>
          <w:gridAfter w:val="1"/>
          <w:wAfter w:w="450" w:type="dxa"/>
          <w:trHeight w:val="623"/>
        </w:trPr>
        <w:tc>
          <w:tcPr>
            <w:tcW w:w="1053" w:type="dxa"/>
          </w:tcPr>
          <w:p w14:paraId="26F5D5A4"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4011C3C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49082E9"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47</w:t>
            </w:r>
          </w:p>
        </w:tc>
        <w:tc>
          <w:tcPr>
            <w:tcW w:w="1029" w:type="dxa"/>
          </w:tcPr>
          <w:p w14:paraId="36FAE16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1A65EE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RE</w:t>
            </w:r>
          </w:p>
        </w:tc>
        <w:tc>
          <w:tcPr>
            <w:tcW w:w="1108" w:type="dxa"/>
          </w:tcPr>
          <w:p w14:paraId="76936AA7"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06F855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215B8AC4"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FE7361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15.1</w:t>
            </w:r>
          </w:p>
        </w:tc>
        <w:tc>
          <w:tcPr>
            <w:tcW w:w="1418" w:type="dxa"/>
          </w:tcPr>
          <w:p w14:paraId="7413666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74D3B6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58ED26D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CF84EC4"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0</w:t>
            </w:r>
          </w:p>
        </w:tc>
      </w:tr>
      <w:tr w:rsidR="00A21785" w:rsidRPr="006B4BF5" w14:paraId="6BD39B17" w14:textId="77777777" w:rsidTr="002C685F">
        <w:trPr>
          <w:gridAfter w:val="1"/>
          <w:wAfter w:w="450" w:type="dxa"/>
          <w:trHeight w:val="624"/>
        </w:trPr>
        <w:tc>
          <w:tcPr>
            <w:tcW w:w="1053" w:type="dxa"/>
          </w:tcPr>
          <w:p w14:paraId="7D24D02B"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08530739"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448C416"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48</w:t>
            </w:r>
          </w:p>
        </w:tc>
        <w:tc>
          <w:tcPr>
            <w:tcW w:w="1029" w:type="dxa"/>
          </w:tcPr>
          <w:p w14:paraId="26976A8B"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9DF155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1E435379"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7E615C3"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70DD944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F8E8211"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14</w:t>
            </w:r>
          </w:p>
        </w:tc>
        <w:tc>
          <w:tcPr>
            <w:tcW w:w="1418" w:type="dxa"/>
          </w:tcPr>
          <w:p w14:paraId="1920C661"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96748F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2A67CBE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B064D62"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30</w:t>
            </w:r>
          </w:p>
        </w:tc>
      </w:tr>
      <w:tr w:rsidR="00A21785" w:rsidRPr="006B4BF5" w14:paraId="68C09E45" w14:textId="77777777" w:rsidTr="002C685F">
        <w:trPr>
          <w:gridAfter w:val="1"/>
          <w:wAfter w:w="450" w:type="dxa"/>
          <w:trHeight w:val="624"/>
        </w:trPr>
        <w:tc>
          <w:tcPr>
            <w:tcW w:w="1053" w:type="dxa"/>
          </w:tcPr>
          <w:p w14:paraId="2FF1B02D"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66007AB3"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B700263"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49</w:t>
            </w:r>
          </w:p>
        </w:tc>
        <w:tc>
          <w:tcPr>
            <w:tcW w:w="1029" w:type="dxa"/>
          </w:tcPr>
          <w:p w14:paraId="5318763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C7D000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AC</w:t>
            </w:r>
          </w:p>
        </w:tc>
        <w:tc>
          <w:tcPr>
            <w:tcW w:w="1108" w:type="dxa"/>
          </w:tcPr>
          <w:p w14:paraId="12775F7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8963E5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06E31901"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142FD13"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14</w:t>
            </w:r>
          </w:p>
        </w:tc>
        <w:tc>
          <w:tcPr>
            <w:tcW w:w="1418" w:type="dxa"/>
          </w:tcPr>
          <w:p w14:paraId="11F3A735"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B6265E8"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18EC6454"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FD1A556"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47.5</w:t>
            </w:r>
          </w:p>
        </w:tc>
      </w:tr>
      <w:tr w:rsidR="00A21785" w:rsidRPr="006B4BF5" w14:paraId="32753BDB" w14:textId="77777777" w:rsidTr="002C685F">
        <w:trPr>
          <w:gridAfter w:val="1"/>
          <w:wAfter w:w="450" w:type="dxa"/>
          <w:trHeight w:val="624"/>
        </w:trPr>
        <w:tc>
          <w:tcPr>
            <w:tcW w:w="1053" w:type="dxa"/>
          </w:tcPr>
          <w:p w14:paraId="4084A897" w14:textId="77777777" w:rsidR="00013311" w:rsidRPr="006B4BF5" w:rsidRDefault="00013311" w:rsidP="007B12C8">
            <w:pPr>
              <w:adjustRightInd w:val="0"/>
              <w:snapToGrid w:val="0"/>
              <w:spacing w:line="360" w:lineRule="auto"/>
              <w:jc w:val="both"/>
              <w:rPr>
                <w:rFonts w:ascii="Book Antiqua" w:hAnsi="Book Antiqua"/>
                <w:sz w:val="24"/>
                <w:szCs w:val="24"/>
              </w:rPr>
            </w:pPr>
          </w:p>
          <w:p w14:paraId="3C44756F" w14:textId="77777777" w:rsidR="00013311" w:rsidRPr="006B4BF5" w:rsidRDefault="00013311" w:rsidP="007B12C8">
            <w:pPr>
              <w:adjustRightInd w:val="0"/>
              <w:snapToGrid w:val="0"/>
              <w:spacing w:line="360" w:lineRule="auto"/>
              <w:jc w:val="both"/>
              <w:rPr>
                <w:rFonts w:ascii="Book Antiqua" w:hAnsi="Book Antiqua"/>
                <w:sz w:val="24"/>
                <w:szCs w:val="24"/>
              </w:rPr>
            </w:pPr>
            <w:r w:rsidRPr="006B4BF5">
              <w:rPr>
                <w:rFonts w:ascii="Book Antiqua" w:hAnsi="Book Antiqua"/>
                <w:sz w:val="24"/>
                <w:szCs w:val="24"/>
              </w:rPr>
              <w:t>11</w:t>
            </w:r>
          </w:p>
        </w:tc>
        <w:tc>
          <w:tcPr>
            <w:tcW w:w="1134" w:type="dxa"/>
            <w:gridSpan w:val="2"/>
          </w:tcPr>
          <w:p w14:paraId="2959EF3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A3B5DFB"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50</w:t>
            </w:r>
          </w:p>
        </w:tc>
        <w:tc>
          <w:tcPr>
            <w:tcW w:w="1029" w:type="dxa"/>
          </w:tcPr>
          <w:p w14:paraId="5291653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EE3B7C8"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710E4939"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C1BFA2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685994E5"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FB1FB6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16</w:t>
            </w:r>
          </w:p>
        </w:tc>
        <w:tc>
          <w:tcPr>
            <w:tcW w:w="1418" w:type="dxa"/>
          </w:tcPr>
          <w:p w14:paraId="7A06223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85C621D"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152" w:type="dxa"/>
            <w:gridSpan w:val="2"/>
          </w:tcPr>
          <w:p w14:paraId="6B2CD85C" w14:textId="77777777" w:rsidR="00013311" w:rsidRPr="006B4BF5" w:rsidRDefault="00013311" w:rsidP="005E185D">
            <w:pPr>
              <w:adjustRightInd w:val="0"/>
              <w:snapToGrid w:val="0"/>
              <w:spacing w:line="360" w:lineRule="auto"/>
              <w:jc w:val="center"/>
              <w:rPr>
                <w:rFonts w:ascii="Book Antiqua" w:hAnsi="Book Antiqua"/>
                <w:sz w:val="24"/>
                <w:szCs w:val="24"/>
              </w:rPr>
            </w:pPr>
          </w:p>
        </w:tc>
      </w:tr>
      <w:tr w:rsidR="00A21785" w:rsidRPr="006B4BF5" w14:paraId="6C7AE3D5" w14:textId="77777777" w:rsidTr="002C685F">
        <w:trPr>
          <w:gridAfter w:val="1"/>
          <w:wAfter w:w="450" w:type="dxa"/>
          <w:trHeight w:val="624"/>
        </w:trPr>
        <w:tc>
          <w:tcPr>
            <w:tcW w:w="1053" w:type="dxa"/>
          </w:tcPr>
          <w:p w14:paraId="568612E7"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709019A8"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33537E4"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51</w:t>
            </w:r>
          </w:p>
        </w:tc>
        <w:tc>
          <w:tcPr>
            <w:tcW w:w="1029" w:type="dxa"/>
          </w:tcPr>
          <w:p w14:paraId="0BAE1B65"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15DA4F2"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 RE</w:t>
            </w:r>
          </w:p>
        </w:tc>
        <w:tc>
          <w:tcPr>
            <w:tcW w:w="1108" w:type="dxa"/>
          </w:tcPr>
          <w:p w14:paraId="708D94A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28DBCF8"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F</w:t>
            </w:r>
          </w:p>
        </w:tc>
        <w:tc>
          <w:tcPr>
            <w:tcW w:w="1548" w:type="dxa"/>
          </w:tcPr>
          <w:p w14:paraId="12971CFC"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A3FAD71"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15.8</w:t>
            </w:r>
          </w:p>
        </w:tc>
        <w:tc>
          <w:tcPr>
            <w:tcW w:w="1418" w:type="dxa"/>
          </w:tcPr>
          <w:p w14:paraId="07ED93E2"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404EF1AF"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CD</w:t>
            </w:r>
          </w:p>
        </w:tc>
        <w:tc>
          <w:tcPr>
            <w:tcW w:w="1152" w:type="dxa"/>
            <w:gridSpan w:val="2"/>
          </w:tcPr>
          <w:p w14:paraId="2F9AA356"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A78EF22"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5</w:t>
            </w:r>
          </w:p>
        </w:tc>
      </w:tr>
      <w:tr w:rsidR="00A21785" w:rsidRPr="006B4BF5" w14:paraId="1B2142BC" w14:textId="77777777" w:rsidTr="002C685F">
        <w:trPr>
          <w:gridAfter w:val="1"/>
          <w:wAfter w:w="450" w:type="dxa"/>
          <w:trHeight w:val="624"/>
        </w:trPr>
        <w:tc>
          <w:tcPr>
            <w:tcW w:w="1053" w:type="dxa"/>
          </w:tcPr>
          <w:p w14:paraId="41836594" w14:textId="77777777" w:rsidR="00013311" w:rsidRPr="006B4BF5" w:rsidRDefault="00013311" w:rsidP="007B12C8">
            <w:pPr>
              <w:adjustRightInd w:val="0"/>
              <w:snapToGrid w:val="0"/>
              <w:spacing w:line="360" w:lineRule="auto"/>
              <w:jc w:val="both"/>
              <w:rPr>
                <w:rFonts w:ascii="Book Antiqua" w:hAnsi="Book Antiqua"/>
                <w:sz w:val="24"/>
                <w:szCs w:val="24"/>
              </w:rPr>
            </w:pPr>
          </w:p>
          <w:p w14:paraId="68DCBAB3" w14:textId="77777777" w:rsidR="00013311" w:rsidRPr="006B4BF5" w:rsidRDefault="00013311" w:rsidP="007B12C8">
            <w:pPr>
              <w:adjustRightInd w:val="0"/>
              <w:snapToGrid w:val="0"/>
              <w:spacing w:line="360" w:lineRule="auto"/>
              <w:jc w:val="both"/>
              <w:rPr>
                <w:rFonts w:ascii="Book Antiqua" w:hAnsi="Book Antiqua"/>
                <w:sz w:val="24"/>
                <w:szCs w:val="24"/>
              </w:rPr>
            </w:pPr>
            <w:r w:rsidRPr="006B4BF5">
              <w:rPr>
                <w:rFonts w:ascii="Book Antiqua" w:hAnsi="Book Antiqua"/>
                <w:sz w:val="24"/>
                <w:szCs w:val="24"/>
              </w:rPr>
              <w:t>12</w:t>
            </w:r>
          </w:p>
        </w:tc>
        <w:tc>
          <w:tcPr>
            <w:tcW w:w="1134" w:type="dxa"/>
            <w:gridSpan w:val="2"/>
          </w:tcPr>
          <w:p w14:paraId="76F3605B"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1C48282"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52</w:t>
            </w:r>
          </w:p>
        </w:tc>
        <w:tc>
          <w:tcPr>
            <w:tcW w:w="1029" w:type="dxa"/>
          </w:tcPr>
          <w:p w14:paraId="1ACFB462"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2D47D08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37174BA5"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3BDBDC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71273889"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8B0E286"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5</w:t>
            </w:r>
          </w:p>
        </w:tc>
        <w:tc>
          <w:tcPr>
            <w:tcW w:w="1418" w:type="dxa"/>
          </w:tcPr>
          <w:p w14:paraId="04EEE0D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B332C88"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152" w:type="dxa"/>
            <w:gridSpan w:val="2"/>
          </w:tcPr>
          <w:p w14:paraId="5540343F" w14:textId="77777777" w:rsidR="00013311" w:rsidRPr="006B4BF5" w:rsidRDefault="00013311" w:rsidP="005E185D">
            <w:pPr>
              <w:adjustRightInd w:val="0"/>
              <w:snapToGrid w:val="0"/>
              <w:spacing w:line="360" w:lineRule="auto"/>
              <w:jc w:val="center"/>
              <w:rPr>
                <w:rFonts w:ascii="Book Antiqua" w:hAnsi="Book Antiqua"/>
                <w:sz w:val="24"/>
                <w:szCs w:val="24"/>
              </w:rPr>
            </w:pPr>
          </w:p>
        </w:tc>
      </w:tr>
      <w:tr w:rsidR="00A21785" w:rsidRPr="006B4BF5" w14:paraId="7442DF2A" w14:textId="77777777" w:rsidTr="003B7F40">
        <w:trPr>
          <w:gridAfter w:val="1"/>
          <w:wAfter w:w="450" w:type="dxa"/>
          <w:trHeight w:val="623"/>
        </w:trPr>
        <w:tc>
          <w:tcPr>
            <w:tcW w:w="1053" w:type="dxa"/>
          </w:tcPr>
          <w:p w14:paraId="6609E4B6"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Pr>
          <w:p w14:paraId="2497FFB9"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63A1B5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53</w:t>
            </w:r>
          </w:p>
        </w:tc>
        <w:tc>
          <w:tcPr>
            <w:tcW w:w="1029" w:type="dxa"/>
          </w:tcPr>
          <w:p w14:paraId="2E38EA13"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878975E"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Control</w:t>
            </w:r>
          </w:p>
        </w:tc>
        <w:tc>
          <w:tcPr>
            <w:tcW w:w="1108" w:type="dxa"/>
          </w:tcPr>
          <w:p w14:paraId="2553E165"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1DFA96EA"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Pr>
          <w:p w14:paraId="317C63D4"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0C0E872C"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5</w:t>
            </w:r>
          </w:p>
        </w:tc>
        <w:tc>
          <w:tcPr>
            <w:tcW w:w="1418" w:type="dxa"/>
          </w:tcPr>
          <w:p w14:paraId="24645D95"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966D241"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JP</w:t>
            </w:r>
          </w:p>
        </w:tc>
        <w:tc>
          <w:tcPr>
            <w:tcW w:w="1152" w:type="dxa"/>
            <w:gridSpan w:val="2"/>
          </w:tcPr>
          <w:p w14:paraId="389CD923" w14:textId="77777777" w:rsidR="00013311" w:rsidRPr="006B4BF5" w:rsidRDefault="00013311" w:rsidP="005E185D">
            <w:pPr>
              <w:adjustRightInd w:val="0"/>
              <w:snapToGrid w:val="0"/>
              <w:spacing w:line="360" w:lineRule="auto"/>
              <w:jc w:val="center"/>
              <w:rPr>
                <w:rFonts w:ascii="Book Antiqua" w:hAnsi="Book Antiqua"/>
                <w:sz w:val="24"/>
                <w:szCs w:val="24"/>
              </w:rPr>
            </w:pPr>
          </w:p>
        </w:tc>
      </w:tr>
      <w:tr w:rsidR="00A21785" w:rsidRPr="006B4BF5" w14:paraId="2584AE9A" w14:textId="77777777" w:rsidTr="003B7F40">
        <w:trPr>
          <w:gridAfter w:val="1"/>
          <w:wAfter w:w="450" w:type="dxa"/>
          <w:trHeight w:val="912"/>
        </w:trPr>
        <w:tc>
          <w:tcPr>
            <w:tcW w:w="1053" w:type="dxa"/>
            <w:tcBorders>
              <w:bottom w:val="single" w:sz="4" w:space="0" w:color="auto"/>
            </w:tcBorders>
          </w:tcPr>
          <w:p w14:paraId="44784B17" w14:textId="77777777" w:rsidR="00013311" w:rsidRPr="006B4BF5" w:rsidRDefault="00013311" w:rsidP="007B12C8">
            <w:pPr>
              <w:adjustRightInd w:val="0"/>
              <w:snapToGrid w:val="0"/>
              <w:spacing w:line="360" w:lineRule="auto"/>
              <w:jc w:val="both"/>
              <w:rPr>
                <w:rFonts w:ascii="Book Antiqua" w:hAnsi="Book Antiqua"/>
                <w:sz w:val="24"/>
                <w:szCs w:val="24"/>
              </w:rPr>
            </w:pPr>
          </w:p>
        </w:tc>
        <w:tc>
          <w:tcPr>
            <w:tcW w:w="1134" w:type="dxa"/>
            <w:gridSpan w:val="2"/>
            <w:tcBorders>
              <w:bottom w:val="single" w:sz="4" w:space="0" w:color="auto"/>
            </w:tcBorders>
          </w:tcPr>
          <w:p w14:paraId="55E57C82"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FE6682F"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54</w:t>
            </w:r>
          </w:p>
        </w:tc>
        <w:tc>
          <w:tcPr>
            <w:tcW w:w="1029" w:type="dxa"/>
            <w:tcBorders>
              <w:bottom w:val="single" w:sz="4" w:space="0" w:color="auto"/>
            </w:tcBorders>
          </w:tcPr>
          <w:p w14:paraId="2537AE90"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64309BD5"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UC</w:t>
            </w:r>
          </w:p>
        </w:tc>
        <w:tc>
          <w:tcPr>
            <w:tcW w:w="1108" w:type="dxa"/>
            <w:tcBorders>
              <w:bottom w:val="single" w:sz="4" w:space="0" w:color="auto"/>
            </w:tcBorders>
          </w:tcPr>
          <w:p w14:paraId="37D72C32"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4C750A1"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M</w:t>
            </w:r>
          </w:p>
        </w:tc>
        <w:tc>
          <w:tcPr>
            <w:tcW w:w="1548" w:type="dxa"/>
            <w:tcBorders>
              <w:bottom w:val="single" w:sz="4" w:space="0" w:color="auto"/>
            </w:tcBorders>
          </w:tcPr>
          <w:p w14:paraId="7D6D21D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5EB8A194"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6.1</w:t>
            </w:r>
          </w:p>
        </w:tc>
        <w:tc>
          <w:tcPr>
            <w:tcW w:w="1418" w:type="dxa"/>
            <w:tcBorders>
              <w:bottom w:val="single" w:sz="4" w:space="0" w:color="auto"/>
            </w:tcBorders>
          </w:tcPr>
          <w:p w14:paraId="6C1B8E7E"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78366EE8"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UC</w:t>
            </w:r>
          </w:p>
        </w:tc>
        <w:tc>
          <w:tcPr>
            <w:tcW w:w="1152" w:type="dxa"/>
            <w:gridSpan w:val="2"/>
            <w:tcBorders>
              <w:bottom w:val="single" w:sz="4" w:space="0" w:color="auto"/>
            </w:tcBorders>
          </w:tcPr>
          <w:p w14:paraId="5B49B34A" w14:textId="77777777" w:rsidR="00013311" w:rsidRPr="006B4BF5" w:rsidRDefault="00013311" w:rsidP="005E185D">
            <w:pPr>
              <w:adjustRightInd w:val="0"/>
              <w:snapToGrid w:val="0"/>
              <w:spacing w:line="360" w:lineRule="auto"/>
              <w:jc w:val="center"/>
              <w:rPr>
                <w:rFonts w:ascii="Book Antiqua" w:hAnsi="Book Antiqua"/>
                <w:sz w:val="24"/>
                <w:szCs w:val="24"/>
              </w:rPr>
            </w:pPr>
          </w:p>
          <w:p w14:paraId="35700536" w14:textId="77777777" w:rsidR="00013311" w:rsidRPr="006B4BF5" w:rsidRDefault="00013311" w:rsidP="005E185D">
            <w:pPr>
              <w:adjustRightInd w:val="0"/>
              <w:snapToGrid w:val="0"/>
              <w:spacing w:line="360" w:lineRule="auto"/>
              <w:jc w:val="center"/>
              <w:rPr>
                <w:rFonts w:ascii="Book Antiqua" w:hAnsi="Book Antiqua"/>
                <w:sz w:val="24"/>
                <w:szCs w:val="24"/>
              </w:rPr>
            </w:pPr>
            <w:r w:rsidRPr="006B4BF5">
              <w:rPr>
                <w:rFonts w:ascii="Book Antiqua" w:hAnsi="Book Antiqua"/>
                <w:sz w:val="24"/>
                <w:szCs w:val="24"/>
              </w:rPr>
              <w:t>35</w:t>
            </w:r>
          </w:p>
        </w:tc>
      </w:tr>
    </w:tbl>
    <w:p w14:paraId="2372600E" w14:textId="215619CC" w:rsidR="002A03B0" w:rsidRPr="006B4BF5" w:rsidRDefault="00D85516" w:rsidP="007B12C8">
      <w:pPr>
        <w:adjustRightInd w:val="0"/>
        <w:snapToGrid w:val="0"/>
        <w:spacing w:line="360" w:lineRule="auto"/>
        <w:jc w:val="both"/>
        <w:rPr>
          <w:rFonts w:ascii="Book Antiqua" w:hAnsi="Book Antiqua"/>
          <w:sz w:val="24"/>
          <w:szCs w:val="24"/>
          <w:lang w:val="en-US"/>
        </w:rPr>
      </w:pPr>
      <w:r w:rsidRPr="006B4BF5">
        <w:rPr>
          <w:rFonts w:ascii="Book Antiqua" w:hAnsi="Book Antiqua"/>
          <w:sz w:val="24"/>
          <w:szCs w:val="24"/>
          <w:lang w:val="en-US"/>
        </w:rPr>
        <w:t xml:space="preserve">M: Male; F: Female; </w:t>
      </w:r>
      <w:r w:rsidR="00F92BCB" w:rsidRPr="006B4BF5">
        <w:rPr>
          <w:rFonts w:ascii="Book Antiqua" w:hAnsi="Book Antiqua"/>
          <w:sz w:val="24"/>
          <w:szCs w:val="24"/>
          <w:lang w:val="en-US"/>
        </w:rPr>
        <w:t xml:space="preserve">JP: Juvenile polyps; CD: Crohn’s disease; </w:t>
      </w:r>
      <w:r w:rsidR="00093565" w:rsidRPr="006B4BF5">
        <w:rPr>
          <w:rFonts w:ascii="Book Antiqua" w:hAnsi="Book Antiqua"/>
          <w:sz w:val="24"/>
          <w:szCs w:val="24"/>
          <w:lang w:val="en-US"/>
        </w:rPr>
        <w:t xml:space="preserve">CD AC: Crohn’s disease active; CD RE: Crohn’s disease remission; </w:t>
      </w:r>
      <w:r w:rsidR="00F92BCB" w:rsidRPr="006B4BF5">
        <w:rPr>
          <w:rFonts w:ascii="Book Antiqua" w:hAnsi="Book Antiqua"/>
          <w:sz w:val="24"/>
          <w:szCs w:val="24"/>
          <w:lang w:val="en-US"/>
        </w:rPr>
        <w:t>UC: Ulcerative colitis;</w:t>
      </w:r>
      <w:r w:rsidR="00D665B5" w:rsidRPr="006B4BF5">
        <w:rPr>
          <w:rFonts w:ascii="Book Antiqua" w:hAnsi="Book Antiqua"/>
          <w:sz w:val="24"/>
          <w:szCs w:val="24"/>
          <w:lang w:val="en-US"/>
        </w:rPr>
        <w:t xml:space="preserve"> PCDAI: Pediatric </w:t>
      </w:r>
      <w:r w:rsidR="00F92BCB" w:rsidRPr="006B4BF5">
        <w:rPr>
          <w:rFonts w:ascii="Book Antiqua" w:hAnsi="Book Antiqua"/>
          <w:sz w:val="24"/>
          <w:szCs w:val="24"/>
          <w:lang w:val="en-US"/>
        </w:rPr>
        <w:t>Crohn’s Disease Activity Index; PUCAI</w:t>
      </w:r>
      <w:r w:rsidR="00D665B5" w:rsidRPr="006B4BF5">
        <w:rPr>
          <w:rFonts w:ascii="Book Antiqua" w:hAnsi="Book Antiqua"/>
          <w:sz w:val="24"/>
          <w:szCs w:val="24"/>
          <w:lang w:val="en-US"/>
        </w:rPr>
        <w:t>: Pediatric Ulcerative Colitis Activity Index</w:t>
      </w:r>
      <w:r w:rsidR="00DD683B">
        <w:rPr>
          <w:rFonts w:ascii="Book Antiqua" w:hAnsi="Book Antiqua"/>
          <w:noProof/>
          <w:sz w:val="24"/>
          <w:szCs w:val="24"/>
        </w:rPr>
        <mc:AlternateContent>
          <mc:Choice Requires="wpg">
            <w:drawing>
              <wp:anchor distT="0" distB="0" distL="114300" distR="114300" simplePos="0" relativeHeight="2200" behindDoc="0" locked="0" layoutInCell="1" allowOverlap="1" wp14:anchorId="11A68DF5" wp14:editId="54ECF3E9">
                <wp:simplePos x="0" y="0"/>
                <wp:positionH relativeFrom="page">
                  <wp:posOffset>1074420</wp:posOffset>
                </wp:positionH>
                <wp:positionV relativeFrom="page">
                  <wp:posOffset>913765</wp:posOffset>
                </wp:positionV>
                <wp:extent cx="5650865" cy="6350"/>
                <wp:effectExtent l="7620" t="8890" r="8890" b="3810"/>
                <wp:wrapNone/>
                <wp:docPr id="2"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0865" cy="6350"/>
                          <a:chOff x="1692" y="1440"/>
                          <a:chExt cx="8899" cy="10"/>
                        </a:xfrm>
                      </wpg:grpSpPr>
                      <wps:wsp>
                        <wps:cNvPr id="3" name="Line 57"/>
                        <wps:cNvCnPr>
                          <a:cxnSpLocks noChangeShapeType="1"/>
                        </wps:cNvCnPr>
                        <wps:spPr bwMode="auto">
                          <a:xfrm>
                            <a:off x="1692" y="1445"/>
                            <a:ext cx="9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 name="Rectangle 56"/>
                        <wps:cNvSpPr>
                          <a:spLocks noChangeArrowheads="1"/>
                        </wps:cNvSpPr>
                        <wps:spPr bwMode="auto">
                          <a:xfrm>
                            <a:off x="2652" y="144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 name="Line 55"/>
                        <wps:cNvCnPr>
                          <a:cxnSpLocks noChangeShapeType="1"/>
                        </wps:cNvCnPr>
                        <wps:spPr bwMode="auto">
                          <a:xfrm>
                            <a:off x="2662" y="1445"/>
                            <a:ext cx="126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2" name="Rectangle 54"/>
                        <wps:cNvSpPr>
                          <a:spLocks noChangeArrowheads="1"/>
                        </wps:cNvSpPr>
                        <wps:spPr bwMode="auto">
                          <a:xfrm>
                            <a:off x="3927" y="144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Line 53"/>
                        <wps:cNvCnPr>
                          <a:cxnSpLocks noChangeShapeType="1"/>
                        </wps:cNvCnPr>
                        <wps:spPr bwMode="auto">
                          <a:xfrm>
                            <a:off x="3937" y="1445"/>
                            <a:ext cx="11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 name="Rectangle 52"/>
                        <wps:cNvSpPr>
                          <a:spLocks noChangeArrowheads="1"/>
                        </wps:cNvSpPr>
                        <wps:spPr bwMode="auto">
                          <a:xfrm>
                            <a:off x="5062" y="144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 name="Line 51"/>
                        <wps:cNvCnPr>
                          <a:cxnSpLocks noChangeShapeType="1"/>
                        </wps:cNvCnPr>
                        <wps:spPr bwMode="auto">
                          <a:xfrm>
                            <a:off x="5072" y="1445"/>
                            <a:ext cx="1407"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 name="Rectangle 50"/>
                        <wps:cNvSpPr>
                          <a:spLocks noChangeArrowheads="1"/>
                        </wps:cNvSpPr>
                        <wps:spPr bwMode="auto">
                          <a:xfrm>
                            <a:off x="6479" y="144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Line 49"/>
                        <wps:cNvCnPr>
                          <a:cxnSpLocks noChangeShapeType="1"/>
                        </wps:cNvCnPr>
                        <wps:spPr bwMode="auto">
                          <a:xfrm>
                            <a:off x="6489" y="1445"/>
                            <a:ext cx="1267"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9" name="Rectangle 48"/>
                        <wps:cNvSpPr>
                          <a:spLocks noChangeArrowheads="1"/>
                        </wps:cNvSpPr>
                        <wps:spPr bwMode="auto">
                          <a:xfrm>
                            <a:off x="7756" y="144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 name="Line 47"/>
                        <wps:cNvCnPr>
                          <a:cxnSpLocks noChangeShapeType="1"/>
                        </wps:cNvCnPr>
                        <wps:spPr bwMode="auto">
                          <a:xfrm>
                            <a:off x="7766" y="1445"/>
                            <a:ext cx="1692"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1" name="Rectangle 46"/>
                        <wps:cNvSpPr>
                          <a:spLocks noChangeArrowheads="1"/>
                        </wps:cNvSpPr>
                        <wps:spPr bwMode="auto">
                          <a:xfrm>
                            <a:off x="9458" y="144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Line 45"/>
                        <wps:cNvCnPr>
                          <a:cxnSpLocks noChangeShapeType="1"/>
                        </wps:cNvCnPr>
                        <wps:spPr bwMode="auto">
                          <a:xfrm>
                            <a:off x="9468" y="1445"/>
                            <a:ext cx="112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8CDD51A" id="Group 44" o:spid="_x0000_s1026" style="position:absolute;margin-left:84.6pt;margin-top:71.95pt;width:444.95pt;height:.5pt;z-index:2200;mso-position-horizontal-relative:page;mso-position-vertical-relative:page" coordorigin="1692,1440" coordsize="889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">
                <v:line id="Line 57" o:spid="_x0000_s1027" style="position:absolute;visibility:visible;mso-wrap-style:square" from="1692,1445" to="2652,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OffwgAAANoAAAAPAAAAZHJzL2Rvd25yZXYueG1sRI9BawIx&#10;FITvBf9DeEJvNWsL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AXDOffwgAAANoAAAAPAAAA&#10;AAAAAAAAAAAAAAcCAABkcnMvZG93bnJldi54bWxQSwUGAAAAAAMAAwC3AAAA9gIAAAAA&#10;" strokeweight=".48pt"/>
                <v:rect id="Rectangle 56" o:spid="_x0000_s1028" style="position:absolute;left:2652;top:144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" fillcolor="black" stroked="f"/>
                <v:line id="Line 55" o:spid="_x0000_s1029" style="position:absolute;visibility:visible;mso-wrap-style:square" from="2662,1445" to="3927,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" strokeweight=".48pt"/>
                <v:rect id="Rectangle 54" o:spid="_x0000_s1030" style="position:absolute;left:3927;top:144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" fillcolor="black" stroked="f"/>
                <v:line id="Line 53" o:spid="_x0000_s1031" style="position:absolute;visibility:visible;mso-wrap-style:square" from="3937,1445" to="506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" strokeweight=".48pt"/>
                <v:rect id="Rectangle 52" o:spid="_x0000_s1032" style="position:absolute;left:5062;top:144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" fillcolor="black" stroked="f"/>
                <v:line id="Line 51" o:spid="_x0000_s1033" style="position:absolute;visibility:visible;mso-wrap-style:square" from="5072,1445" to="6479,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" strokeweight=".48pt"/>
                <v:rect id="Rectangle 50" o:spid="_x0000_s1034" style="position:absolute;left:6479;top:144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" fillcolor="black" stroked="f"/>
                <v:line id="Line 49" o:spid="_x0000_s1035" style="position:absolute;visibility:visible;mso-wrap-style:square" from="6489,1445" to="7756,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" strokeweight=".48pt"/>
                <v:rect id="Rectangle 48" o:spid="_x0000_s1036" style="position:absolute;left:7756;top:144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" fillcolor="black" stroked="f"/>
                <v:line id="Line 47" o:spid="_x0000_s1037" style="position:absolute;visibility:visible;mso-wrap-style:square" from="7766,1445" to="9458,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" strokeweight=".48pt"/>
                <v:rect id="Rectangle 46" o:spid="_x0000_s1038" style="position:absolute;left:9458;top:144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" fillcolor="black" stroked="f"/>
                <v:line id="Line 45" o:spid="_x0000_s1039" style="position:absolute;visibility:visible;mso-wrap-style:square" from="9468,1445" to="10591,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" strokeweight=".48pt"/>
                <w10:wrap anchorx="page" anchory="page"/>
              </v:group>
            </w:pict>
          </mc:Fallback>
        </mc:AlternateContent>
      </w:r>
      <w:r w:rsidR="00F92BCB" w:rsidRPr="006B4BF5">
        <w:rPr>
          <w:rFonts w:ascii="Book Antiqua" w:hAnsi="Book Antiqua"/>
          <w:sz w:val="24"/>
          <w:szCs w:val="24"/>
          <w:lang w:val="en-US"/>
        </w:rPr>
        <w:t>.</w:t>
      </w:r>
    </w:p>
    <w:sectPr w:rsidR="002A03B0" w:rsidRPr="006B4BF5" w:rsidSect="0021244D">
      <w:pgSz w:w="11910" w:h="16840"/>
      <w:pgMar w:top="1800" w:right="1440" w:bottom="180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55824A" w14:textId="77777777" w:rsidR="007B1AC9" w:rsidRDefault="007B1AC9" w:rsidP="009511EC">
      <w:r>
        <w:separator/>
      </w:r>
    </w:p>
  </w:endnote>
  <w:endnote w:type="continuationSeparator" w:id="0">
    <w:p w14:paraId="34434023" w14:textId="77777777" w:rsidR="007B1AC9" w:rsidRDefault="007B1AC9" w:rsidP="009511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Helvetica">
    <w:panose1 w:val="020B05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DCB147" w14:textId="77777777" w:rsidR="007B1AC9" w:rsidRDefault="007B1AC9" w:rsidP="009511EC">
      <w:r>
        <w:separator/>
      </w:r>
    </w:p>
  </w:footnote>
  <w:footnote w:type="continuationSeparator" w:id="0">
    <w:p w14:paraId="69D70C92" w14:textId="77777777" w:rsidR="007B1AC9" w:rsidRDefault="007B1AC9" w:rsidP="009511E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1713AE"/>
    <w:multiLevelType w:val="hybridMultilevel"/>
    <w:tmpl w:val="7E24B200"/>
    <w:lvl w:ilvl="0" w:tplc="7A86F2B4">
      <w:start w:val="1"/>
      <w:numFmt w:val="decimal"/>
      <w:lvlText w:val="%1."/>
      <w:lvlJc w:val="left"/>
      <w:pPr>
        <w:ind w:left="480" w:hanging="48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45B4479E"/>
    <w:multiLevelType w:val="hybridMultilevel"/>
    <w:tmpl w:val="79C4B1DC"/>
    <w:lvl w:ilvl="0" w:tplc="D848C8DA">
      <w:start w:val="1"/>
      <w:numFmt w:val="decimal"/>
      <w:lvlText w:val="%1."/>
      <w:lvlJc w:val="left"/>
      <w:pPr>
        <w:ind w:left="1800" w:hanging="360"/>
      </w:pPr>
      <w:rPr>
        <w:rFonts w:ascii="Georgia" w:eastAsia="Georgia" w:hAnsi="Georgia" w:cs="Georgia" w:hint="default"/>
        <w:w w:val="107"/>
        <w:sz w:val="24"/>
        <w:szCs w:val="24"/>
        <w:lang w:val="zh-CN" w:eastAsia="zh-CN" w:bidi="zh-CN"/>
      </w:rPr>
    </w:lvl>
    <w:lvl w:ilvl="1" w:tplc="F9F60BBA">
      <w:numFmt w:val="bullet"/>
      <w:lvlText w:val="•"/>
      <w:lvlJc w:val="left"/>
      <w:pPr>
        <w:ind w:left="2810" w:hanging="360"/>
      </w:pPr>
      <w:rPr>
        <w:rFonts w:hint="default"/>
        <w:lang w:val="zh-CN" w:eastAsia="zh-CN" w:bidi="zh-CN"/>
      </w:rPr>
    </w:lvl>
    <w:lvl w:ilvl="2" w:tplc="414C4CBE">
      <w:numFmt w:val="bullet"/>
      <w:lvlText w:val="•"/>
      <w:lvlJc w:val="left"/>
      <w:pPr>
        <w:ind w:left="3821" w:hanging="360"/>
      </w:pPr>
      <w:rPr>
        <w:rFonts w:hint="default"/>
        <w:lang w:val="zh-CN" w:eastAsia="zh-CN" w:bidi="zh-CN"/>
      </w:rPr>
    </w:lvl>
    <w:lvl w:ilvl="3" w:tplc="A9A21FB6">
      <w:numFmt w:val="bullet"/>
      <w:lvlText w:val="•"/>
      <w:lvlJc w:val="left"/>
      <w:pPr>
        <w:ind w:left="4831" w:hanging="360"/>
      </w:pPr>
      <w:rPr>
        <w:rFonts w:hint="default"/>
        <w:lang w:val="zh-CN" w:eastAsia="zh-CN" w:bidi="zh-CN"/>
      </w:rPr>
    </w:lvl>
    <w:lvl w:ilvl="4" w:tplc="EDE028FE">
      <w:numFmt w:val="bullet"/>
      <w:lvlText w:val="•"/>
      <w:lvlJc w:val="left"/>
      <w:pPr>
        <w:ind w:left="5842" w:hanging="360"/>
      </w:pPr>
      <w:rPr>
        <w:rFonts w:hint="default"/>
        <w:lang w:val="zh-CN" w:eastAsia="zh-CN" w:bidi="zh-CN"/>
      </w:rPr>
    </w:lvl>
    <w:lvl w:ilvl="5" w:tplc="0EA0749A">
      <w:numFmt w:val="bullet"/>
      <w:lvlText w:val="•"/>
      <w:lvlJc w:val="left"/>
      <w:pPr>
        <w:ind w:left="6853" w:hanging="360"/>
      </w:pPr>
      <w:rPr>
        <w:rFonts w:hint="default"/>
        <w:lang w:val="zh-CN" w:eastAsia="zh-CN" w:bidi="zh-CN"/>
      </w:rPr>
    </w:lvl>
    <w:lvl w:ilvl="6" w:tplc="B98A685A">
      <w:numFmt w:val="bullet"/>
      <w:lvlText w:val="•"/>
      <w:lvlJc w:val="left"/>
      <w:pPr>
        <w:ind w:left="7863" w:hanging="360"/>
      </w:pPr>
      <w:rPr>
        <w:rFonts w:hint="default"/>
        <w:lang w:val="zh-CN" w:eastAsia="zh-CN" w:bidi="zh-CN"/>
      </w:rPr>
    </w:lvl>
    <w:lvl w:ilvl="7" w:tplc="DDC6A64A">
      <w:numFmt w:val="bullet"/>
      <w:lvlText w:val="•"/>
      <w:lvlJc w:val="left"/>
      <w:pPr>
        <w:ind w:left="8874" w:hanging="360"/>
      </w:pPr>
      <w:rPr>
        <w:rFonts w:hint="default"/>
        <w:lang w:val="zh-CN" w:eastAsia="zh-CN" w:bidi="zh-CN"/>
      </w:rPr>
    </w:lvl>
    <w:lvl w:ilvl="8" w:tplc="D1182E5C">
      <w:numFmt w:val="bullet"/>
      <w:lvlText w:val="•"/>
      <w:lvlJc w:val="left"/>
      <w:pPr>
        <w:ind w:left="9885" w:hanging="360"/>
      </w:pPr>
      <w:rPr>
        <w:rFonts w:hint="default"/>
        <w:lang w:val="zh-CN" w:eastAsia="zh-CN" w:bidi="zh-CN"/>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720"/>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3B0"/>
    <w:rsid w:val="00011595"/>
    <w:rsid w:val="00013311"/>
    <w:rsid w:val="00040672"/>
    <w:rsid w:val="00074F8B"/>
    <w:rsid w:val="00093565"/>
    <w:rsid w:val="000A756F"/>
    <w:rsid w:val="000B1841"/>
    <w:rsid w:val="000E0D81"/>
    <w:rsid w:val="001035AC"/>
    <w:rsid w:val="00117652"/>
    <w:rsid w:val="00132A50"/>
    <w:rsid w:val="001361FA"/>
    <w:rsid w:val="00146E06"/>
    <w:rsid w:val="00151C69"/>
    <w:rsid w:val="00170930"/>
    <w:rsid w:val="0018318C"/>
    <w:rsid w:val="001A2DC4"/>
    <w:rsid w:val="001A5CBB"/>
    <w:rsid w:val="001D0597"/>
    <w:rsid w:val="001D2326"/>
    <w:rsid w:val="001E71D7"/>
    <w:rsid w:val="00210204"/>
    <w:rsid w:val="0021244D"/>
    <w:rsid w:val="002245FC"/>
    <w:rsid w:val="00262438"/>
    <w:rsid w:val="002A03B0"/>
    <w:rsid w:val="002C685F"/>
    <w:rsid w:val="002E32C2"/>
    <w:rsid w:val="002E4139"/>
    <w:rsid w:val="002F6F78"/>
    <w:rsid w:val="00302633"/>
    <w:rsid w:val="00326D36"/>
    <w:rsid w:val="00340C30"/>
    <w:rsid w:val="00344A9D"/>
    <w:rsid w:val="003B7F40"/>
    <w:rsid w:val="003E26E2"/>
    <w:rsid w:val="003E7990"/>
    <w:rsid w:val="00440FE3"/>
    <w:rsid w:val="004A016B"/>
    <w:rsid w:val="004B5A33"/>
    <w:rsid w:val="004C4549"/>
    <w:rsid w:val="0053118D"/>
    <w:rsid w:val="00541D92"/>
    <w:rsid w:val="005510EF"/>
    <w:rsid w:val="0055342B"/>
    <w:rsid w:val="005C3D9B"/>
    <w:rsid w:val="005E185D"/>
    <w:rsid w:val="005F6C26"/>
    <w:rsid w:val="0060495B"/>
    <w:rsid w:val="00607F67"/>
    <w:rsid w:val="00654BB3"/>
    <w:rsid w:val="0067222C"/>
    <w:rsid w:val="006A338D"/>
    <w:rsid w:val="006B2A6F"/>
    <w:rsid w:val="006B4BF5"/>
    <w:rsid w:val="006B7E60"/>
    <w:rsid w:val="006C0AC6"/>
    <w:rsid w:val="006C1567"/>
    <w:rsid w:val="006D4DA3"/>
    <w:rsid w:val="0070059B"/>
    <w:rsid w:val="00702BDF"/>
    <w:rsid w:val="00714B07"/>
    <w:rsid w:val="00716F62"/>
    <w:rsid w:val="0075035A"/>
    <w:rsid w:val="0075453E"/>
    <w:rsid w:val="0076591F"/>
    <w:rsid w:val="007849A1"/>
    <w:rsid w:val="007B12C8"/>
    <w:rsid w:val="007B1AC9"/>
    <w:rsid w:val="007C1A73"/>
    <w:rsid w:val="007C6B20"/>
    <w:rsid w:val="007C7DFC"/>
    <w:rsid w:val="00826652"/>
    <w:rsid w:val="00847867"/>
    <w:rsid w:val="00863C22"/>
    <w:rsid w:val="00872AB6"/>
    <w:rsid w:val="008C3567"/>
    <w:rsid w:val="008E567A"/>
    <w:rsid w:val="008F71AA"/>
    <w:rsid w:val="00945C4E"/>
    <w:rsid w:val="009511EC"/>
    <w:rsid w:val="00965F21"/>
    <w:rsid w:val="0098676B"/>
    <w:rsid w:val="009C697E"/>
    <w:rsid w:val="00A00E34"/>
    <w:rsid w:val="00A21785"/>
    <w:rsid w:val="00A26F27"/>
    <w:rsid w:val="00A534AB"/>
    <w:rsid w:val="00A65BEE"/>
    <w:rsid w:val="00A73CD4"/>
    <w:rsid w:val="00A85679"/>
    <w:rsid w:val="00AA5B47"/>
    <w:rsid w:val="00AB5D54"/>
    <w:rsid w:val="00AD2D1E"/>
    <w:rsid w:val="00AE2CDF"/>
    <w:rsid w:val="00AF28CE"/>
    <w:rsid w:val="00B40247"/>
    <w:rsid w:val="00B71B6A"/>
    <w:rsid w:val="00B97935"/>
    <w:rsid w:val="00BA066A"/>
    <w:rsid w:val="00BB34B9"/>
    <w:rsid w:val="00BB524F"/>
    <w:rsid w:val="00BB6FAC"/>
    <w:rsid w:val="00BC1AE6"/>
    <w:rsid w:val="00BD634A"/>
    <w:rsid w:val="00BE744E"/>
    <w:rsid w:val="00BF529C"/>
    <w:rsid w:val="00C466C9"/>
    <w:rsid w:val="00C47CA6"/>
    <w:rsid w:val="00C75C6A"/>
    <w:rsid w:val="00C8137F"/>
    <w:rsid w:val="00C87718"/>
    <w:rsid w:val="00CB7049"/>
    <w:rsid w:val="00CC24FD"/>
    <w:rsid w:val="00D04BE7"/>
    <w:rsid w:val="00D10BC0"/>
    <w:rsid w:val="00D164CB"/>
    <w:rsid w:val="00D36529"/>
    <w:rsid w:val="00D47219"/>
    <w:rsid w:val="00D665B5"/>
    <w:rsid w:val="00D8432C"/>
    <w:rsid w:val="00D85516"/>
    <w:rsid w:val="00D90624"/>
    <w:rsid w:val="00D97B17"/>
    <w:rsid w:val="00DA262C"/>
    <w:rsid w:val="00DD683B"/>
    <w:rsid w:val="00E12B93"/>
    <w:rsid w:val="00E13693"/>
    <w:rsid w:val="00E35C90"/>
    <w:rsid w:val="00E57432"/>
    <w:rsid w:val="00E8188F"/>
    <w:rsid w:val="00EB623B"/>
    <w:rsid w:val="00EC146A"/>
    <w:rsid w:val="00EC2CDE"/>
    <w:rsid w:val="00EE0E9D"/>
    <w:rsid w:val="00EF2EDE"/>
    <w:rsid w:val="00F04638"/>
    <w:rsid w:val="00F07537"/>
    <w:rsid w:val="00F35463"/>
    <w:rsid w:val="00F452D0"/>
    <w:rsid w:val="00F5731E"/>
    <w:rsid w:val="00F60C27"/>
    <w:rsid w:val="00F84728"/>
    <w:rsid w:val="00F92BCB"/>
    <w:rsid w:val="00FA2BDE"/>
    <w:rsid w:val="00FC7340"/>
    <w:rsid w:val="00FD2E37"/>
    <w:rsid w:val="00FF751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7CAB42"/>
  <w15:docId w15:val="{967D9F95-C1C0-4933-915D-83AEBD8C78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965F21"/>
    <w:rPr>
      <w:rFonts w:ascii="Georgia" w:eastAsia="Georgia" w:hAnsi="Georgia" w:cs="Georgia"/>
      <w:lang w:val="zh-CN" w:eastAsia="zh-CN" w:bidi="zh-CN"/>
    </w:rPr>
  </w:style>
  <w:style w:type="paragraph" w:styleId="Heading1">
    <w:name w:val="heading 1"/>
    <w:basedOn w:val="Normal"/>
    <w:uiPriority w:val="1"/>
    <w:qFormat/>
    <w:rsid w:val="00965F21"/>
    <w:pPr>
      <w:ind w:left="1800"/>
      <w:outlineLvl w:val="0"/>
    </w:pPr>
    <w:rPr>
      <w:rFonts w:ascii="Times New Roman" w:eastAsia="Times New Roman" w:hAnsi="Times New Roman" w:cs="Times New Roman"/>
      <w:b/>
      <w:bCs/>
      <w:sz w:val="24"/>
      <w:szCs w:val="24"/>
    </w:rPr>
  </w:style>
  <w:style w:type="paragraph" w:styleId="Heading2">
    <w:name w:val="heading 2"/>
    <w:basedOn w:val="Normal"/>
    <w:uiPriority w:val="1"/>
    <w:qFormat/>
    <w:rsid w:val="00965F21"/>
    <w:pPr>
      <w:ind w:left="1800"/>
      <w:outlineLvl w:val="1"/>
    </w:pPr>
    <w:rPr>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rsid w:val="00965F21"/>
    <w:tblPr>
      <w:tblInd w:w="0" w:type="dxa"/>
      <w:tblCellMar>
        <w:top w:w="0" w:type="dxa"/>
        <w:left w:w="0" w:type="dxa"/>
        <w:bottom w:w="0" w:type="dxa"/>
        <w:right w:w="0" w:type="dxa"/>
      </w:tblCellMar>
    </w:tblPr>
  </w:style>
  <w:style w:type="paragraph" w:styleId="BodyText">
    <w:name w:val="Body Text"/>
    <w:basedOn w:val="Normal"/>
    <w:link w:val="BodyTextChar"/>
    <w:uiPriority w:val="1"/>
    <w:qFormat/>
    <w:rsid w:val="00965F21"/>
    <w:rPr>
      <w:sz w:val="24"/>
      <w:szCs w:val="24"/>
    </w:rPr>
  </w:style>
  <w:style w:type="paragraph" w:styleId="ListParagraph">
    <w:name w:val="List Paragraph"/>
    <w:basedOn w:val="Normal"/>
    <w:uiPriority w:val="34"/>
    <w:qFormat/>
    <w:rsid w:val="00965F21"/>
    <w:pPr>
      <w:ind w:left="1800" w:right="1796" w:firstLine="480"/>
      <w:jc w:val="both"/>
    </w:pPr>
  </w:style>
  <w:style w:type="paragraph" w:customStyle="1" w:styleId="TableParagraph">
    <w:name w:val="Table Paragraph"/>
    <w:basedOn w:val="Normal"/>
    <w:uiPriority w:val="1"/>
    <w:qFormat/>
    <w:rsid w:val="00965F21"/>
  </w:style>
  <w:style w:type="paragraph" w:styleId="BalloonText">
    <w:name w:val="Balloon Text"/>
    <w:basedOn w:val="Normal"/>
    <w:link w:val="BalloonTextChar"/>
    <w:uiPriority w:val="99"/>
    <w:semiHidden/>
    <w:unhideWhenUsed/>
    <w:rsid w:val="007849A1"/>
    <w:rPr>
      <w:rFonts w:ascii="SimSun" w:eastAsia="SimSun"/>
      <w:sz w:val="18"/>
      <w:szCs w:val="18"/>
    </w:rPr>
  </w:style>
  <w:style w:type="character" w:customStyle="1" w:styleId="BalloonTextChar">
    <w:name w:val="Balloon Text Char"/>
    <w:basedOn w:val="DefaultParagraphFont"/>
    <w:link w:val="BalloonText"/>
    <w:uiPriority w:val="99"/>
    <w:semiHidden/>
    <w:rsid w:val="007849A1"/>
    <w:rPr>
      <w:rFonts w:ascii="SimSun" w:eastAsia="SimSun" w:hAnsi="Georgia" w:cs="Georgia"/>
      <w:sz w:val="18"/>
      <w:szCs w:val="18"/>
      <w:lang w:val="zh-CN" w:eastAsia="zh-CN" w:bidi="zh-CN"/>
    </w:rPr>
  </w:style>
  <w:style w:type="paragraph" w:customStyle="1" w:styleId="1">
    <w:name w:val="正文1"/>
    <w:uiPriority w:val="99"/>
    <w:rsid w:val="007849A1"/>
    <w:pPr>
      <w:widowControl/>
      <w:autoSpaceDE/>
      <w:autoSpaceDN/>
      <w:spacing w:line="276" w:lineRule="auto"/>
    </w:pPr>
    <w:rPr>
      <w:rFonts w:ascii="Arial" w:eastAsia="SimSun" w:hAnsi="Arial" w:cs="Arial"/>
      <w:color w:val="000000"/>
      <w:szCs w:val="20"/>
      <w:lang w:val="pl-PL" w:eastAsia="pl-PL"/>
    </w:rPr>
  </w:style>
  <w:style w:type="character" w:styleId="CommentReference">
    <w:name w:val="annotation reference"/>
    <w:basedOn w:val="DefaultParagraphFont"/>
    <w:uiPriority w:val="99"/>
    <w:semiHidden/>
    <w:unhideWhenUsed/>
    <w:rsid w:val="007849A1"/>
    <w:rPr>
      <w:sz w:val="21"/>
      <w:szCs w:val="21"/>
    </w:rPr>
  </w:style>
  <w:style w:type="paragraph" w:styleId="CommentText">
    <w:name w:val="annotation text"/>
    <w:basedOn w:val="Normal"/>
    <w:link w:val="CommentTextChar"/>
    <w:uiPriority w:val="99"/>
    <w:unhideWhenUsed/>
    <w:rsid w:val="007849A1"/>
  </w:style>
  <w:style w:type="character" w:customStyle="1" w:styleId="CommentTextChar">
    <w:name w:val="Comment Text Char"/>
    <w:basedOn w:val="DefaultParagraphFont"/>
    <w:link w:val="CommentText"/>
    <w:uiPriority w:val="99"/>
    <w:rsid w:val="007849A1"/>
    <w:rPr>
      <w:rFonts w:ascii="Georgia" w:eastAsia="Georgia" w:hAnsi="Georgia" w:cs="Georgia"/>
      <w:lang w:val="zh-CN" w:eastAsia="zh-CN" w:bidi="zh-CN"/>
    </w:rPr>
  </w:style>
  <w:style w:type="paragraph" w:styleId="CommentSubject">
    <w:name w:val="annotation subject"/>
    <w:basedOn w:val="CommentText"/>
    <w:next w:val="CommentText"/>
    <w:link w:val="CommentSubjectChar"/>
    <w:uiPriority w:val="99"/>
    <w:semiHidden/>
    <w:unhideWhenUsed/>
    <w:rsid w:val="007849A1"/>
    <w:rPr>
      <w:b/>
      <w:bCs/>
    </w:rPr>
  </w:style>
  <w:style w:type="character" w:customStyle="1" w:styleId="CommentSubjectChar">
    <w:name w:val="Comment Subject Char"/>
    <w:basedOn w:val="CommentTextChar"/>
    <w:link w:val="CommentSubject"/>
    <w:uiPriority w:val="99"/>
    <w:semiHidden/>
    <w:rsid w:val="007849A1"/>
    <w:rPr>
      <w:rFonts w:ascii="Georgia" w:eastAsia="Georgia" w:hAnsi="Georgia" w:cs="Georgia"/>
      <w:b/>
      <w:bCs/>
      <w:lang w:val="zh-CN" w:eastAsia="zh-CN" w:bidi="zh-CN"/>
    </w:rPr>
  </w:style>
  <w:style w:type="paragraph" w:styleId="Header">
    <w:name w:val="header"/>
    <w:basedOn w:val="Normal"/>
    <w:link w:val="HeaderChar"/>
    <w:uiPriority w:val="99"/>
    <w:semiHidden/>
    <w:unhideWhenUsed/>
    <w:rsid w:val="009511EC"/>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semiHidden/>
    <w:rsid w:val="009511EC"/>
    <w:rPr>
      <w:rFonts w:ascii="Georgia" w:eastAsia="Georgia" w:hAnsi="Georgia" w:cs="Georgia"/>
      <w:sz w:val="18"/>
      <w:szCs w:val="18"/>
      <w:lang w:val="zh-CN" w:eastAsia="zh-CN" w:bidi="zh-CN"/>
    </w:rPr>
  </w:style>
  <w:style w:type="paragraph" w:styleId="Footer">
    <w:name w:val="footer"/>
    <w:basedOn w:val="Normal"/>
    <w:link w:val="FooterChar"/>
    <w:uiPriority w:val="99"/>
    <w:semiHidden/>
    <w:unhideWhenUsed/>
    <w:rsid w:val="009511EC"/>
    <w:pPr>
      <w:tabs>
        <w:tab w:val="center" w:pos="4153"/>
        <w:tab w:val="right" w:pos="8306"/>
      </w:tabs>
      <w:snapToGrid w:val="0"/>
    </w:pPr>
    <w:rPr>
      <w:sz w:val="18"/>
      <w:szCs w:val="18"/>
    </w:rPr>
  </w:style>
  <w:style w:type="character" w:customStyle="1" w:styleId="FooterChar">
    <w:name w:val="Footer Char"/>
    <w:basedOn w:val="DefaultParagraphFont"/>
    <w:link w:val="Footer"/>
    <w:uiPriority w:val="99"/>
    <w:semiHidden/>
    <w:rsid w:val="009511EC"/>
    <w:rPr>
      <w:rFonts w:ascii="Georgia" w:eastAsia="Georgia" w:hAnsi="Georgia" w:cs="Georgia"/>
      <w:sz w:val="18"/>
      <w:szCs w:val="18"/>
      <w:lang w:val="zh-CN" w:eastAsia="zh-CN" w:bidi="zh-CN"/>
    </w:rPr>
  </w:style>
  <w:style w:type="character" w:customStyle="1" w:styleId="BodyTextChar">
    <w:name w:val="Body Text Char"/>
    <w:basedOn w:val="DefaultParagraphFont"/>
    <w:link w:val="BodyText"/>
    <w:uiPriority w:val="1"/>
    <w:rsid w:val="00EE0E9D"/>
    <w:rPr>
      <w:rFonts w:ascii="Georgia" w:eastAsia="Georgia" w:hAnsi="Georgia" w:cs="Georgia"/>
      <w:sz w:val="24"/>
      <w:szCs w:val="24"/>
      <w:lang w:val="zh-CN" w:eastAsia="zh-CN" w:bidi="zh-CN"/>
    </w:rPr>
  </w:style>
  <w:style w:type="paragraph" w:customStyle="1" w:styleId="Default">
    <w:name w:val="Default"/>
    <w:rsid w:val="00872AB6"/>
    <w:pPr>
      <w:adjustRightInd w:val="0"/>
    </w:pPr>
    <w:rPr>
      <w:rFonts w:ascii="Times New Roman" w:hAnsi="Times New Roman" w:cs="Times New Roman"/>
      <w:color w:val="000000"/>
      <w:sz w:val="24"/>
      <w:szCs w:val="24"/>
    </w:rPr>
  </w:style>
  <w:style w:type="character" w:styleId="Hyperlink">
    <w:name w:val="Hyperlink"/>
    <w:rsid w:val="00EC146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741018">
      <w:bodyDiv w:val="1"/>
      <w:marLeft w:val="0"/>
      <w:marRight w:val="0"/>
      <w:marTop w:val="0"/>
      <w:marBottom w:val="0"/>
      <w:divBdr>
        <w:top w:val="none" w:sz="0" w:space="0" w:color="auto"/>
        <w:left w:val="none" w:sz="0" w:space="0" w:color="auto"/>
        <w:bottom w:val="none" w:sz="0" w:space="0" w:color="auto"/>
        <w:right w:val="none" w:sz="0" w:space="0" w:color="auto"/>
      </w:divBdr>
    </w:div>
    <w:div w:id="478620456">
      <w:bodyDiv w:val="1"/>
      <w:marLeft w:val="0"/>
      <w:marRight w:val="0"/>
      <w:marTop w:val="0"/>
      <w:marBottom w:val="0"/>
      <w:divBdr>
        <w:top w:val="none" w:sz="0" w:space="0" w:color="auto"/>
        <w:left w:val="none" w:sz="0" w:space="0" w:color="auto"/>
        <w:bottom w:val="none" w:sz="0" w:space="0" w:color="auto"/>
        <w:right w:val="none" w:sz="0" w:space="0" w:color="auto"/>
      </w:divBdr>
    </w:div>
    <w:div w:id="738527151">
      <w:bodyDiv w:val="1"/>
      <w:marLeft w:val="0"/>
      <w:marRight w:val="0"/>
      <w:marTop w:val="0"/>
      <w:marBottom w:val="0"/>
      <w:divBdr>
        <w:top w:val="none" w:sz="0" w:space="0" w:color="auto"/>
        <w:left w:val="none" w:sz="0" w:space="0" w:color="auto"/>
        <w:bottom w:val="none" w:sz="0" w:space="0" w:color="auto"/>
        <w:right w:val="none" w:sz="0" w:space="0" w:color="auto"/>
      </w:divBdr>
    </w:div>
    <w:div w:id="765926993">
      <w:bodyDiv w:val="1"/>
      <w:marLeft w:val="0"/>
      <w:marRight w:val="0"/>
      <w:marTop w:val="0"/>
      <w:marBottom w:val="0"/>
      <w:divBdr>
        <w:top w:val="none" w:sz="0" w:space="0" w:color="auto"/>
        <w:left w:val="none" w:sz="0" w:space="0" w:color="auto"/>
        <w:bottom w:val="none" w:sz="0" w:space="0" w:color="auto"/>
        <w:right w:val="none" w:sz="0" w:space="0" w:color="auto"/>
      </w:divBdr>
    </w:div>
    <w:div w:id="787547850">
      <w:bodyDiv w:val="1"/>
      <w:marLeft w:val="0"/>
      <w:marRight w:val="0"/>
      <w:marTop w:val="0"/>
      <w:marBottom w:val="0"/>
      <w:divBdr>
        <w:top w:val="none" w:sz="0" w:space="0" w:color="auto"/>
        <w:left w:val="none" w:sz="0" w:space="0" w:color="auto"/>
        <w:bottom w:val="none" w:sz="0" w:space="0" w:color="auto"/>
        <w:right w:val="none" w:sz="0" w:space="0" w:color="auto"/>
      </w:divBdr>
    </w:div>
    <w:div w:id="1361735812">
      <w:bodyDiv w:val="1"/>
      <w:marLeft w:val="0"/>
      <w:marRight w:val="0"/>
      <w:marTop w:val="0"/>
      <w:marBottom w:val="0"/>
      <w:divBdr>
        <w:top w:val="none" w:sz="0" w:space="0" w:color="auto"/>
        <w:left w:val="none" w:sz="0" w:space="0" w:color="auto"/>
        <w:bottom w:val="none" w:sz="0" w:space="0" w:color="auto"/>
        <w:right w:val="none" w:sz="0" w:space="0" w:color="auto"/>
      </w:divBdr>
    </w:div>
    <w:div w:id="1367023543">
      <w:bodyDiv w:val="1"/>
      <w:marLeft w:val="0"/>
      <w:marRight w:val="0"/>
      <w:marTop w:val="0"/>
      <w:marBottom w:val="0"/>
      <w:divBdr>
        <w:top w:val="none" w:sz="0" w:space="0" w:color="auto"/>
        <w:left w:val="none" w:sz="0" w:space="0" w:color="auto"/>
        <w:bottom w:val="none" w:sz="0" w:space="0" w:color="auto"/>
        <w:right w:val="none" w:sz="0" w:space="0" w:color="auto"/>
      </w:divBdr>
    </w:div>
    <w:div w:id="21301225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3.tiff"/><Relationship Id="rId18" Type="http://schemas.openxmlformats.org/officeDocument/2006/relationships/image" Target="media/image8.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image" Target="media/image7.tiff"/><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targetscan.org/)" TargetMode="External"/><Relationship Id="rId5" Type="http://schemas.openxmlformats.org/officeDocument/2006/relationships/webSettings" Target="webSettings.xml"/><Relationship Id="rId15" Type="http://schemas.openxmlformats.org/officeDocument/2006/relationships/image" Target="media/image5.tiff"/><Relationship Id="rId10" Type="http://schemas.openxmlformats.org/officeDocument/2006/relationships/image" Target="media/image1.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15111240011@fudan.edu.cn" TargetMode="External"/><Relationship Id="rId14"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7868D7-6BC8-46FE-BCC1-0F4CB116CE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6698</Words>
  <Characters>38179</Characters>
  <Application>Microsoft Office Word</Application>
  <DocSecurity>0</DocSecurity>
  <Lines>318</Lines>
  <Paragraphs>89</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44788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wendy</dc:creator>
  <cp:lastModifiedBy>Lian-Sheng Ma</cp:lastModifiedBy>
  <cp:revision>2</cp:revision>
  <dcterms:created xsi:type="dcterms:W3CDTF">2018-11-08T00:20:00Z</dcterms:created>
  <dcterms:modified xsi:type="dcterms:W3CDTF">2018-11-08T00:20:00Z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2018-09-03T00:00:00Z</vt:filetime>
  </property>
  <property fmtid="{D5CDD505-2E9C-101B-9397-08002B2CF9AE}" pid="3" name="Creator">
    <vt:lpwstr>Microsoft® Office Word 2007</vt:lpwstr>
  </property>
  <property fmtid="{D5CDD505-2E9C-101B-9397-08002B2CF9AE}" pid="4" name="LastSaved">
    <vt:filetime>2018-10-09T00:00:00Z</vt:filetime>
  </property>
</Properties>
</file>