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t xml:space="preserve">Name of Journal: </w:t>
      </w:r>
      <w:r w:rsidRPr="006E1579">
        <w:rPr>
          <w:rFonts w:ascii="Book Antiqua" w:hAnsi="Book Antiqua"/>
          <w:i/>
          <w:sz w:val="24"/>
          <w:szCs w:val="24"/>
        </w:rPr>
        <w:t>World Journal of Clinical Cases</w:t>
      </w: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t xml:space="preserve">Manuscript NO: </w:t>
      </w:r>
      <w:r w:rsidRPr="006E1579">
        <w:rPr>
          <w:rFonts w:ascii="Book Antiqua" w:hAnsi="Book Antiqua"/>
          <w:sz w:val="24"/>
          <w:szCs w:val="24"/>
        </w:rPr>
        <w:t>42115</w:t>
      </w: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t xml:space="preserve">Manuscript Type: </w:t>
      </w:r>
      <w:r w:rsidRPr="006E1579">
        <w:rPr>
          <w:rFonts w:ascii="Book Antiqua" w:hAnsi="Book Antiqua"/>
          <w:sz w:val="24"/>
          <w:szCs w:val="24"/>
        </w:rPr>
        <w:t>CASE REPORT</w:t>
      </w:r>
    </w:p>
    <w:p w:rsidR="000658B7" w:rsidRPr="0068111B" w:rsidRDefault="000658B7" w:rsidP="00312F74">
      <w:pPr>
        <w:spacing w:line="360" w:lineRule="auto"/>
        <w:rPr>
          <w:rFonts w:ascii="Book Antiqua" w:eastAsiaTheme="minorEastAsia" w:hAnsi="Book Antiqua"/>
          <w:b/>
          <w:sz w:val="24"/>
          <w:szCs w:val="24"/>
        </w:rPr>
      </w:pPr>
    </w:p>
    <w:p w:rsidR="000658B7" w:rsidRPr="0068111B" w:rsidRDefault="000658B7" w:rsidP="00312F74">
      <w:pPr>
        <w:adjustRightInd w:val="0"/>
        <w:spacing w:line="360" w:lineRule="auto"/>
        <w:rPr>
          <w:rFonts w:ascii="Book Antiqua" w:hAnsi="Book Antiqua"/>
          <w:b/>
          <w:sz w:val="24"/>
          <w:szCs w:val="24"/>
        </w:rPr>
      </w:pPr>
      <w:r w:rsidRPr="0068111B">
        <w:rPr>
          <w:rFonts w:ascii="Book Antiqua" w:hAnsi="Book Antiqua"/>
          <w:b/>
          <w:sz w:val="24"/>
          <w:szCs w:val="24"/>
        </w:rPr>
        <w:t>Gangrenous cholecystitis: A silent but potential fatal disease in patients with diabetic neuropathy. A case report and review of literature</w:t>
      </w:r>
    </w:p>
    <w:p w:rsidR="000658B7" w:rsidRPr="0068111B" w:rsidRDefault="000658B7" w:rsidP="00312F74">
      <w:pPr>
        <w:spacing w:line="360" w:lineRule="auto"/>
        <w:rPr>
          <w:rFonts w:ascii="Book Antiqua" w:eastAsiaTheme="minorEastAsia" w:hAnsi="Book Antiqua"/>
          <w:b/>
          <w:sz w:val="24"/>
          <w:szCs w:val="24"/>
        </w:rPr>
      </w:pPr>
    </w:p>
    <w:p w:rsidR="006B6F00" w:rsidRPr="0068111B" w:rsidRDefault="006B6F00" w:rsidP="00312F74">
      <w:pPr>
        <w:spacing w:line="360" w:lineRule="auto"/>
        <w:rPr>
          <w:rFonts w:ascii="Book Antiqua" w:hAnsi="Book Antiqua"/>
          <w:sz w:val="24"/>
          <w:szCs w:val="24"/>
        </w:rPr>
      </w:pPr>
      <w:proofErr w:type="spellStart"/>
      <w:r w:rsidRPr="0068111B">
        <w:rPr>
          <w:rFonts w:ascii="Book Antiqua" w:hAnsi="Book Antiqua" w:cs="Garamond-Bold"/>
          <w:bCs/>
          <w:sz w:val="24"/>
          <w:szCs w:val="24"/>
        </w:rPr>
        <w:t>Mehrzad</w:t>
      </w:r>
      <w:proofErr w:type="spellEnd"/>
      <w:r w:rsidRPr="0068111B">
        <w:rPr>
          <w:rFonts w:ascii="Book Antiqua" w:hAnsi="Book Antiqua" w:cs="Garamond-Bold"/>
          <w:bCs/>
          <w:sz w:val="24"/>
          <w:szCs w:val="24"/>
        </w:rPr>
        <w:t xml:space="preserve"> M </w:t>
      </w:r>
      <w:r w:rsidRPr="0068111B">
        <w:rPr>
          <w:rFonts w:ascii="Book Antiqua" w:hAnsi="Book Antiqua" w:cs="Garamond-Bold"/>
          <w:bCs/>
          <w:i/>
          <w:sz w:val="24"/>
          <w:szCs w:val="24"/>
        </w:rPr>
        <w:t>et al.</w:t>
      </w:r>
      <w:r w:rsidRPr="0068111B">
        <w:rPr>
          <w:rFonts w:ascii="Book Antiqua" w:hAnsi="Book Antiqua"/>
          <w:sz w:val="24"/>
          <w:szCs w:val="24"/>
        </w:rPr>
        <w:t xml:space="preserve"> Gangrenous cholecystitis</w:t>
      </w:r>
    </w:p>
    <w:p w:rsidR="006B6F00" w:rsidRPr="0068111B" w:rsidRDefault="006B6F00" w:rsidP="00312F74">
      <w:pPr>
        <w:spacing w:line="360" w:lineRule="auto"/>
        <w:rPr>
          <w:rFonts w:ascii="Book Antiqua" w:eastAsiaTheme="minorEastAsia" w:hAnsi="Book Antiqua"/>
          <w:b/>
          <w:i/>
          <w:sz w:val="24"/>
          <w:szCs w:val="24"/>
        </w:rPr>
      </w:pPr>
    </w:p>
    <w:p w:rsidR="000658B7" w:rsidRPr="0068111B" w:rsidRDefault="000658B7" w:rsidP="00312F74">
      <w:pPr>
        <w:spacing w:line="360" w:lineRule="auto"/>
        <w:rPr>
          <w:rFonts w:ascii="Book Antiqua" w:hAnsi="Book Antiqua" w:cs="Garamond-Bold"/>
          <w:bCs/>
          <w:sz w:val="24"/>
          <w:szCs w:val="24"/>
        </w:rPr>
      </w:pPr>
      <w:proofErr w:type="spellStart"/>
      <w:r w:rsidRPr="0068111B">
        <w:rPr>
          <w:rFonts w:ascii="Book Antiqua" w:hAnsi="Book Antiqua" w:cs="Garamond-Bold"/>
          <w:bCs/>
          <w:sz w:val="24"/>
          <w:szCs w:val="24"/>
        </w:rPr>
        <w:t>Melorin</w:t>
      </w:r>
      <w:proofErr w:type="spellEnd"/>
      <w:r w:rsidRPr="0068111B">
        <w:rPr>
          <w:rFonts w:ascii="Book Antiqua" w:hAnsi="Book Antiqua" w:cs="Garamond-Bold"/>
          <w:bCs/>
          <w:sz w:val="24"/>
          <w:szCs w:val="24"/>
        </w:rPr>
        <w:t xml:space="preserve"> </w:t>
      </w:r>
      <w:proofErr w:type="spellStart"/>
      <w:r w:rsidRPr="0068111B">
        <w:rPr>
          <w:rFonts w:ascii="Book Antiqua" w:hAnsi="Book Antiqua" w:cs="Garamond-Bold"/>
          <w:bCs/>
          <w:sz w:val="24"/>
          <w:szCs w:val="24"/>
        </w:rPr>
        <w:t>Mehrzad</w:t>
      </w:r>
      <w:proofErr w:type="spellEnd"/>
      <w:r w:rsidR="006B6F00" w:rsidRPr="0068111B">
        <w:rPr>
          <w:rFonts w:ascii="Book Antiqua" w:hAnsi="Book Antiqua" w:cs="Garamond-Bold"/>
          <w:bCs/>
          <w:sz w:val="24"/>
          <w:szCs w:val="24"/>
        </w:rPr>
        <w:t>,</w:t>
      </w:r>
      <w:r w:rsidRPr="0068111B">
        <w:rPr>
          <w:rFonts w:ascii="Book Antiqua" w:hAnsi="Book Antiqua" w:cs="Garamond-Bold"/>
          <w:bCs/>
          <w:sz w:val="24"/>
          <w:szCs w:val="24"/>
        </w:rPr>
        <w:t xml:space="preserve"> Chris Jehle</w:t>
      </w:r>
      <w:r w:rsidR="006B6F00" w:rsidRPr="0068111B">
        <w:rPr>
          <w:rFonts w:ascii="Book Antiqua" w:hAnsi="Book Antiqua" w:cs="Garamond-Bold"/>
          <w:bCs/>
          <w:sz w:val="24"/>
          <w:szCs w:val="24"/>
        </w:rPr>
        <w:t>, Lauren O</w:t>
      </w:r>
      <w:r w:rsidRPr="0068111B">
        <w:rPr>
          <w:rFonts w:ascii="Book Antiqua" w:hAnsi="Book Antiqua" w:cs="Garamond-Bold"/>
          <w:bCs/>
          <w:sz w:val="24"/>
          <w:szCs w:val="24"/>
        </w:rPr>
        <w:t xml:space="preserve"> Roussel</w:t>
      </w:r>
      <w:r w:rsidR="006B6F00" w:rsidRPr="0068111B">
        <w:rPr>
          <w:rFonts w:ascii="Book Antiqua" w:hAnsi="Book Antiqua" w:cs="Garamond-Bold"/>
          <w:bCs/>
          <w:sz w:val="24"/>
          <w:szCs w:val="24"/>
        </w:rPr>
        <w:t>,</w:t>
      </w:r>
      <w:r w:rsidRPr="0068111B">
        <w:rPr>
          <w:rFonts w:ascii="Book Antiqua" w:hAnsi="Book Antiqua" w:cs="Garamond-Bold"/>
          <w:bCs/>
          <w:sz w:val="24"/>
          <w:szCs w:val="24"/>
        </w:rPr>
        <w:t xml:space="preserve"> Raman </w:t>
      </w:r>
      <w:proofErr w:type="spellStart"/>
      <w:r w:rsidRPr="0068111B">
        <w:rPr>
          <w:rFonts w:ascii="Book Antiqua" w:hAnsi="Book Antiqua" w:cs="Garamond-Bold"/>
          <w:bCs/>
          <w:sz w:val="24"/>
          <w:szCs w:val="24"/>
        </w:rPr>
        <w:t>Mehrzad</w:t>
      </w:r>
      <w:proofErr w:type="spellEnd"/>
    </w:p>
    <w:p w:rsidR="006B6F00" w:rsidRPr="0068111B" w:rsidRDefault="006B6F00" w:rsidP="00312F74">
      <w:pPr>
        <w:spacing w:line="360" w:lineRule="auto"/>
        <w:rPr>
          <w:rFonts w:ascii="Book Antiqua" w:hAnsi="Book Antiqua" w:cs="Garamond-Bold"/>
          <w:b/>
          <w:bCs/>
          <w:sz w:val="24"/>
          <w:szCs w:val="24"/>
        </w:rPr>
      </w:pPr>
    </w:p>
    <w:p w:rsidR="000658B7" w:rsidRPr="0068111B" w:rsidRDefault="006B6F00" w:rsidP="00312F74">
      <w:pPr>
        <w:spacing w:line="360" w:lineRule="auto"/>
        <w:rPr>
          <w:rFonts w:ascii="Book Antiqua" w:hAnsi="Book Antiqua" w:cs="Garamond-Bold"/>
          <w:b/>
          <w:bCs/>
          <w:sz w:val="24"/>
          <w:szCs w:val="24"/>
        </w:rPr>
      </w:pPr>
      <w:proofErr w:type="spellStart"/>
      <w:r w:rsidRPr="0068111B">
        <w:rPr>
          <w:rFonts w:ascii="Book Antiqua" w:hAnsi="Book Antiqua" w:cs="Garamond-Bold"/>
          <w:b/>
          <w:bCs/>
          <w:sz w:val="24"/>
          <w:szCs w:val="24"/>
        </w:rPr>
        <w:t>Melorin</w:t>
      </w:r>
      <w:proofErr w:type="spellEnd"/>
      <w:r w:rsidRPr="0068111B">
        <w:rPr>
          <w:rFonts w:ascii="Book Antiqua" w:hAnsi="Book Antiqua" w:cs="Garamond-Bold"/>
          <w:b/>
          <w:bCs/>
          <w:sz w:val="24"/>
          <w:szCs w:val="24"/>
        </w:rPr>
        <w:t xml:space="preserve"> </w:t>
      </w:r>
      <w:proofErr w:type="spellStart"/>
      <w:r w:rsidRPr="0068111B">
        <w:rPr>
          <w:rFonts w:ascii="Book Antiqua" w:hAnsi="Book Antiqua" w:cs="Garamond-Bold"/>
          <w:b/>
          <w:bCs/>
          <w:sz w:val="24"/>
          <w:szCs w:val="24"/>
        </w:rPr>
        <w:t>Mehrzad</w:t>
      </w:r>
      <w:proofErr w:type="spellEnd"/>
      <w:r w:rsidRPr="0068111B">
        <w:rPr>
          <w:rFonts w:ascii="Book Antiqua" w:hAnsi="Book Antiqua" w:cs="Garamond-Bold"/>
          <w:b/>
          <w:bCs/>
          <w:sz w:val="24"/>
          <w:szCs w:val="24"/>
        </w:rPr>
        <w:t xml:space="preserve">, Chris Jehle, Lauren O Roussel, Raman </w:t>
      </w:r>
      <w:proofErr w:type="spellStart"/>
      <w:r w:rsidRPr="0068111B">
        <w:rPr>
          <w:rFonts w:ascii="Book Antiqua" w:hAnsi="Book Antiqua" w:cs="Garamond-Bold"/>
          <w:b/>
          <w:bCs/>
          <w:sz w:val="24"/>
          <w:szCs w:val="24"/>
        </w:rPr>
        <w:t>Mehrzad</w:t>
      </w:r>
      <w:proofErr w:type="spellEnd"/>
      <w:r w:rsidRPr="0068111B">
        <w:rPr>
          <w:rFonts w:ascii="Book Antiqua" w:hAnsi="Book Antiqua" w:cs="Garamond-Bold"/>
          <w:b/>
          <w:bCs/>
          <w:sz w:val="24"/>
          <w:szCs w:val="24"/>
        </w:rPr>
        <w:t xml:space="preserve">, </w:t>
      </w:r>
      <w:r w:rsidR="000658B7" w:rsidRPr="0068111B">
        <w:rPr>
          <w:rFonts w:ascii="Book Antiqua" w:hAnsi="Book Antiqua"/>
          <w:sz w:val="24"/>
          <w:szCs w:val="24"/>
        </w:rPr>
        <w:t>Dep</w:t>
      </w:r>
      <w:r w:rsidRPr="0068111B">
        <w:rPr>
          <w:rFonts w:ascii="Book Antiqua" w:hAnsi="Book Antiqua"/>
          <w:sz w:val="24"/>
          <w:szCs w:val="24"/>
        </w:rPr>
        <w:t>artment</w:t>
      </w:r>
      <w:r w:rsidR="000658B7" w:rsidRPr="0068111B">
        <w:rPr>
          <w:rFonts w:ascii="Book Antiqua" w:hAnsi="Book Antiqua"/>
          <w:sz w:val="24"/>
          <w:szCs w:val="24"/>
        </w:rPr>
        <w:t xml:space="preserve"> of Plastic and Reconstructive Surgery, Rhode Island Hospital, Brown University, Providence, RI 02903</w:t>
      </w:r>
      <w:r w:rsidRPr="0068111B">
        <w:rPr>
          <w:rFonts w:ascii="Book Antiqua" w:hAnsi="Book Antiqua"/>
          <w:sz w:val="24"/>
          <w:szCs w:val="24"/>
        </w:rPr>
        <w:t>, United States</w:t>
      </w:r>
    </w:p>
    <w:p w:rsidR="000658B7" w:rsidRPr="0068111B" w:rsidRDefault="000658B7" w:rsidP="00312F74">
      <w:pPr>
        <w:spacing w:line="360" w:lineRule="auto"/>
        <w:rPr>
          <w:rFonts w:ascii="Book Antiqua" w:hAnsi="Book Antiqua"/>
          <w:b/>
          <w:sz w:val="24"/>
          <w:szCs w:val="24"/>
        </w:rPr>
      </w:pPr>
    </w:p>
    <w:p w:rsidR="006B6F00" w:rsidRPr="0068111B" w:rsidRDefault="006B6F00" w:rsidP="00312F74">
      <w:pPr>
        <w:spacing w:line="360" w:lineRule="auto"/>
        <w:rPr>
          <w:rFonts w:ascii="Book Antiqua" w:hAnsi="Book Antiqua" w:cs="Garamond-Bold"/>
          <w:bCs/>
          <w:sz w:val="24"/>
          <w:szCs w:val="24"/>
        </w:rPr>
      </w:pPr>
      <w:r w:rsidRPr="0068111B">
        <w:rPr>
          <w:rFonts w:ascii="Book Antiqua" w:hAnsi="Book Antiqua"/>
          <w:b/>
          <w:sz w:val="24"/>
          <w:szCs w:val="24"/>
        </w:rPr>
        <w:t>ORCID number:</w:t>
      </w:r>
      <w:r w:rsidR="00312F74" w:rsidRPr="0068111B">
        <w:rPr>
          <w:rFonts w:ascii="Book Antiqua" w:hAnsi="Book Antiqua"/>
          <w:sz w:val="24"/>
          <w:szCs w:val="24"/>
        </w:rPr>
        <w:t xml:space="preserve"> </w:t>
      </w:r>
      <w:proofErr w:type="spellStart"/>
      <w:r w:rsidRPr="0068111B">
        <w:rPr>
          <w:rFonts w:ascii="Book Antiqua" w:hAnsi="Book Antiqua" w:cs="Garamond-Bold"/>
          <w:bCs/>
          <w:sz w:val="24"/>
          <w:szCs w:val="24"/>
        </w:rPr>
        <w:t>Melorin</w:t>
      </w:r>
      <w:proofErr w:type="spellEnd"/>
      <w:r w:rsidRPr="0068111B">
        <w:rPr>
          <w:rFonts w:ascii="Book Antiqua" w:hAnsi="Book Antiqua" w:cs="Garamond-Bold"/>
          <w:bCs/>
          <w:sz w:val="24"/>
          <w:szCs w:val="24"/>
        </w:rPr>
        <w:t xml:space="preserve"> </w:t>
      </w:r>
      <w:proofErr w:type="spellStart"/>
      <w:r w:rsidRPr="0068111B">
        <w:rPr>
          <w:rFonts w:ascii="Book Antiqua" w:hAnsi="Book Antiqua" w:cs="Garamond-Bold"/>
          <w:bCs/>
          <w:sz w:val="24"/>
          <w:szCs w:val="24"/>
        </w:rPr>
        <w:t>Mehrzad</w:t>
      </w:r>
      <w:proofErr w:type="spellEnd"/>
      <w:r w:rsidRPr="0068111B">
        <w:rPr>
          <w:rFonts w:ascii="Book Antiqua" w:hAnsi="Book Antiqua" w:cs="Garamond-Bold"/>
          <w:bCs/>
          <w:sz w:val="24"/>
          <w:szCs w:val="24"/>
        </w:rPr>
        <w:t xml:space="preserve"> (</w:t>
      </w:r>
      <w:hyperlink r:id="rId7" w:tgtFrame="_blank" w:history="1">
        <w:r w:rsidRPr="0068111B">
          <w:rPr>
            <w:rStyle w:val="Hyperlink"/>
            <w:rFonts w:ascii="Book Antiqua" w:hAnsi="Book Antiqua"/>
            <w:color w:val="auto"/>
            <w:sz w:val="24"/>
            <w:szCs w:val="24"/>
            <w:u w:val="none"/>
          </w:rPr>
          <w:t>0000-0002-7578-2720</w:t>
        </w:r>
      </w:hyperlink>
      <w:r w:rsidRPr="0068111B">
        <w:rPr>
          <w:rFonts w:ascii="Book Antiqua" w:hAnsi="Book Antiqua" w:cs="Garamond-Bold"/>
          <w:bCs/>
          <w:sz w:val="24"/>
          <w:szCs w:val="24"/>
        </w:rPr>
        <w:t>); Chris Jehle (</w:t>
      </w:r>
      <w:hyperlink r:id="rId8" w:tgtFrame="_blank" w:history="1">
        <w:r w:rsidRPr="0068111B">
          <w:rPr>
            <w:rStyle w:val="Hyperlink"/>
            <w:rFonts w:ascii="Book Antiqua" w:hAnsi="Book Antiqua"/>
            <w:color w:val="auto"/>
            <w:sz w:val="24"/>
            <w:szCs w:val="24"/>
            <w:u w:val="none"/>
          </w:rPr>
          <w:t>0000-0001-7780-1074</w:t>
        </w:r>
      </w:hyperlink>
      <w:r w:rsidRPr="0068111B">
        <w:rPr>
          <w:rFonts w:ascii="Book Antiqua" w:hAnsi="Book Antiqua" w:cs="Garamond-Bold"/>
          <w:bCs/>
          <w:sz w:val="24"/>
          <w:szCs w:val="24"/>
        </w:rPr>
        <w:t>); Lauren O Roussel (</w:t>
      </w:r>
      <w:hyperlink r:id="rId9" w:tgtFrame="_blank" w:history="1">
        <w:r w:rsidRPr="0068111B">
          <w:rPr>
            <w:rStyle w:val="Hyperlink"/>
            <w:rFonts w:ascii="Book Antiqua" w:hAnsi="Book Antiqua"/>
            <w:color w:val="auto"/>
            <w:sz w:val="24"/>
            <w:szCs w:val="24"/>
            <w:u w:val="none"/>
          </w:rPr>
          <w:t>0000-0001-5991-3478</w:t>
        </w:r>
      </w:hyperlink>
      <w:r w:rsidRPr="0068111B">
        <w:rPr>
          <w:rFonts w:ascii="Book Antiqua" w:hAnsi="Book Antiqua" w:cs="Garamond-Bold"/>
          <w:bCs/>
          <w:sz w:val="24"/>
          <w:szCs w:val="24"/>
        </w:rPr>
        <w:t xml:space="preserve">); Raman </w:t>
      </w:r>
      <w:proofErr w:type="spellStart"/>
      <w:r w:rsidRPr="0068111B">
        <w:rPr>
          <w:rFonts w:ascii="Book Antiqua" w:hAnsi="Book Antiqua" w:cs="Garamond-Bold"/>
          <w:bCs/>
          <w:sz w:val="24"/>
          <w:szCs w:val="24"/>
        </w:rPr>
        <w:t>Mehrzad</w:t>
      </w:r>
      <w:proofErr w:type="spellEnd"/>
      <w:r w:rsidRPr="0068111B">
        <w:rPr>
          <w:rFonts w:ascii="Book Antiqua" w:hAnsi="Book Antiqua" w:cs="Garamond-Bold"/>
          <w:bCs/>
          <w:sz w:val="24"/>
          <w:szCs w:val="24"/>
        </w:rPr>
        <w:t xml:space="preserve"> (</w:t>
      </w:r>
      <w:hyperlink r:id="rId10" w:tgtFrame="_blank" w:history="1">
        <w:r w:rsidRPr="0068111B">
          <w:rPr>
            <w:rStyle w:val="Hyperlink"/>
            <w:rFonts w:ascii="Book Antiqua" w:hAnsi="Book Antiqua"/>
            <w:color w:val="auto"/>
            <w:sz w:val="24"/>
            <w:szCs w:val="24"/>
            <w:u w:val="none"/>
          </w:rPr>
          <w:t>0000-0002-7578-2719</w:t>
        </w:r>
      </w:hyperlink>
      <w:r w:rsidRPr="0068111B">
        <w:rPr>
          <w:rFonts w:ascii="Book Antiqua" w:hAnsi="Book Antiqua" w:cs="Garamond-Bold"/>
          <w:bCs/>
          <w:sz w:val="24"/>
          <w:szCs w:val="24"/>
        </w:rPr>
        <w:t>).</w:t>
      </w:r>
    </w:p>
    <w:p w:rsidR="006B6F00" w:rsidRPr="0068111B" w:rsidRDefault="006B6F00" w:rsidP="00312F74">
      <w:pPr>
        <w:spacing w:line="360" w:lineRule="auto"/>
        <w:rPr>
          <w:rFonts w:ascii="Book Antiqua" w:hAnsi="Book Antiqua"/>
          <w:b/>
          <w:sz w:val="24"/>
          <w:szCs w:val="24"/>
        </w:rPr>
      </w:pPr>
    </w:p>
    <w:p w:rsidR="006B6F00" w:rsidRPr="0068111B" w:rsidRDefault="006B6F00" w:rsidP="00312F74">
      <w:pPr>
        <w:spacing w:line="360" w:lineRule="auto"/>
        <w:rPr>
          <w:rFonts w:ascii="Book Antiqua" w:hAnsi="Book Antiqua"/>
          <w:sz w:val="24"/>
          <w:szCs w:val="24"/>
        </w:rPr>
      </w:pPr>
      <w:r w:rsidRPr="0068111B">
        <w:rPr>
          <w:rFonts w:ascii="Book Antiqua" w:hAnsi="Book Antiqua"/>
          <w:b/>
          <w:sz w:val="24"/>
          <w:szCs w:val="24"/>
        </w:rPr>
        <w:t xml:space="preserve">Author contributions: </w:t>
      </w:r>
      <w:r w:rsidRPr="0068111B">
        <w:rPr>
          <w:rFonts w:ascii="Book Antiqua" w:hAnsi="Book Antiqua"/>
          <w:sz w:val="24"/>
          <w:szCs w:val="24"/>
        </w:rPr>
        <w:t>All authors contributed equally to the manuscript.</w:t>
      </w:r>
    </w:p>
    <w:p w:rsidR="006B6F00" w:rsidRPr="0068111B" w:rsidRDefault="006B6F00" w:rsidP="00312F74">
      <w:pPr>
        <w:spacing w:line="360" w:lineRule="auto"/>
        <w:rPr>
          <w:rFonts w:ascii="Book Antiqua" w:hAnsi="Book Antiqua"/>
          <w:b/>
          <w:sz w:val="24"/>
          <w:szCs w:val="24"/>
        </w:rPr>
      </w:pPr>
    </w:p>
    <w:p w:rsidR="006B6F00" w:rsidRPr="0068111B" w:rsidRDefault="006B6F00" w:rsidP="00312F74">
      <w:pPr>
        <w:spacing w:line="360" w:lineRule="auto"/>
        <w:rPr>
          <w:rFonts w:ascii="Book Antiqua" w:hAnsi="Book Antiqua"/>
          <w:sz w:val="24"/>
          <w:szCs w:val="24"/>
        </w:rPr>
      </w:pPr>
      <w:r w:rsidRPr="0068111B">
        <w:rPr>
          <w:rFonts w:ascii="Book Antiqua" w:hAnsi="Book Antiqua"/>
          <w:b/>
          <w:sz w:val="24"/>
          <w:szCs w:val="24"/>
        </w:rPr>
        <w:t>Informed consent statement</w:t>
      </w:r>
      <w:r w:rsidRPr="0068111B">
        <w:rPr>
          <w:rFonts w:ascii="Book Antiqua" w:hAnsi="Book Antiqua"/>
          <w:b/>
          <w:iCs/>
          <w:sz w:val="24"/>
          <w:szCs w:val="24"/>
        </w:rPr>
        <w:t>:</w:t>
      </w:r>
      <w:r w:rsidRPr="0068111B">
        <w:rPr>
          <w:rFonts w:ascii="Book Antiqua" w:hAnsi="Book Antiqua"/>
          <w:b/>
          <w:iCs/>
          <w:kern w:val="0"/>
          <w:sz w:val="24"/>
          <w:szCs w:val="24"/>
        </w:rPr>
        <w:t xml:space="preserve"> </w:t>
      </w:r>
      <w:r w:rsidRPr="0068111B">
        <w:rPr>
          <w:rFonts w:ascii="Book Antiqua" w:hAnsi="Book Antiqua"/>
          <w:sz w:val="24"/>
          <w:szCs w:val="24"/>
        </w:rPr>
        <w:t xml:space="preserve">A signed consent was obtained and saved for this case report by the patient through the standard institutional consent document and saved by the institution. Most importantly, there are no patient identifiers on the case or the images. </w:t>
      </w:r>
      <w:r w:rsidRPr="0068111B">
        <w:rPr>
          <w:rFonts w:ascii="Book Antiqua" w:eastAsia="Times New Roman" w:hAnsi="Book Antiqua"/>
          <w:sz w:val="24"/>
          <w:szCs w:val="24"/>
        </w:rPr>
        <w:t xml:space="preserve">In American institutions, medical record from a patient is not allowed to print out and give to anyone else. This is according to the law of HIPPA. Again, there </w:t>
      </w:r>
      <w:r w:rsidR="001104BC">
        <w:rPr>
          <w:rFonts w:ascii="Book Antiqua" w:eastAsiaTheme="minorEastAsia" w:hAnsi="Book Antiqua" w:hint="eastAsia"/>
          <w:sz w:val="24"/>
          <w:szCs w:val="24"/>
        </w:rPr>
        <w:t xml:space="preserve">is </w:t>
      </w:r>
      <w:r w:rsidRPr="0068111B">
        <w:rPr>
          <w:rFonts w:ascii="Book Antiqua" w:eastAsia="Times New Roman" w:hAnsi="Book Antiqua"/>
          <w:sz w:val="24"/>
          <w:szCs w:val="24"/>
        </w:rPr>
        <w:t>no patient identifier on the entire case so this patient is completely anonymous. </w:t>
      </w:r>
    </w:p>
    <w:p w:rsidR="006B6F00" w:rsidRPr="001104BC" w:rsidRDefault="006B6F00" w:rsidP="00312F74">
      <w:pPr>
        <w:spacing w:line="360" w:lineRule="auto"/>
        <w:rPr>
          <w:rFonts w:ascii="Book Antiqua" w:hAnsi="Book Antiqua"/>
          <w:b/>
          <w:sz w:val="24"/>
          <w:szCs w:val="24"/>
        </w:rPr>
      </w:pP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Conflict-of-interest statement</w:t>
      </w:r>
      <w:r w:rsidRPr="0068111B">
        <w:rPr>
          <w:rFonts w:ascii="Book Antiqua" w:hAnsi="Book Antiqua" w:cs="TimesNewRomanPS-BoldItalicMT"/>
          <w:b/>
          <w:iCs/>
          <w:sz w:val="24"/>
          <w:szCs w:val="24"/>
        </w:rPr>
        <w:t xml:space="preserve">: </w:t>
      </w:r>
      <w:r w:rsidR="006E1579" w:rsidRPr="0068111B">
        <w:rPr>
          <w:rFonts w:ascii="Book Antiqua" w:eastAsiaTheme="minorEastAsia" w:hAnsi="Book Antiqua" w:cs="Myriad Pro"/>
          <w:kern w:val="0"/>
          <w:sz w:val="24"/>
          <w:szCs w:val="24"/>
        </w:rPr>
        <w:t xml:space="preserve">Nothing </w:t>
      </w:r>
      <w:r w:rsidRPr="0068111B">
        <w:rPr>
          <w:rFonts w:ascii="Book Antiqua" w:eastAsiaTheme="minorEastAsia" w:hAnsi="Book Antiqua" w:cs="Myriad Pro"/>
          <w:kern w:val="0"/>
          <w:sz w:val="24"/>
          <w:szCs w:val="24"/>
        </w:rPr>
        <w:t>to disclose.</w:t>
      </w:r>
    </w:p>
    <w:p w:rsidR="006B6F00" w:rsidRPr="0068111B" w:rsidRDefault="006B6F00" w:rsidP="00312F74">
      <w:pPr>
        <w:snapToGrid w:val="0"/>
        <w:spacing w:line="360" w:lineRule="auto"/>
        <w:rPr>
          <w:rFonts w:ascii="Book Antiqua" w:hAnsi="Book Antiqua" w:cs="Book Antiqua"/>
          <w:sz w:val="24"/>
          <w:szCs w:val="24"/>
        </w:rPr>
      </w:pP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lastRenderedPageBreak/>
        <w:t>CARE Checklist (2013) statement:</w:t>
      </w:r>
      <w:r w:rsidRPr="0068111B">
        <w:rPr>
          <w:rFonts w:ascii="Book Antiqua" w:hAnsi="Book Antiqua"/>
          <w:sz w:val="24"/>
          <w:szCs w:val="24"/>
        </w:rPr>
        <w:t xml:space="preserve"> The guidelines of the CARE Checklist (2013) have been adopted.</w:t>
      </w:r>
    </w:p>
    <w:p w:rsidR="006B6F00" w:rsidRPr="0068111B" w:rsidRDefault="006B6F00" w:rsidP="00312F74">
      <w:pPr>
        <w:adjustRightInd w:val="0"/>
        <w:snapToGrid w:val="0"/>
        <w:spacing w:line="360" w:lineRule="auto"/>
        <w:rPr>
          <w:rFonts w:ascii="Book Antiqua" w:hAnsi="Book Antiqua"/>
          <w:sz w:val="24"/>
          <w:szCs w:val="24"/>
        </w:rPr>
      </w:pPr>
    </w:p>
    <w:p w:rsidR="006B6F00" w:rsidRPr="0068111B" w:rsidRDefault="006B6F00" w:rsidP="00312F74">
      <w:pPr>
        <w:widowControl/>
        <w:adjustRightInd w:val="0"/>
        <w:snapToGrid w:val="0"/>
        <w:spacing w:line="360" w:lineRule="auto"/>
        <w:rPr>
          <w:rFonts w:ascii="Book Antiqua" w:hAnsi="Book Antiqua"/>
          <w:sz w:val="24"/>
          <w:szCs w:val="24"/>
        </w:rPr>
      </w:pPr>
      <w:r w:rsidRPr="0068111B">
        <w:rPr>
          <w:rFonts w:ascii="Book Antiqua" w:hAnsi="Book Antiqua"/>
          <w:b/>
          <w:kern w:val="0"/>
          <w:sz w:val="24"/>
          <w:szCs w:val="24"/>
        </w:rPr>
        <w:t xml:space="preserve">Open-Access: </w:t>
      </w:r>
      <w:r w:rsidRPr="0068111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68111B">
          <w:rPr>
            <w:rStyle w:val="Hyperlink"/>
            <w:rFonts w:ascii="Book Antiqua" w:hAnsi="Book Antiqua"/>
            <w:color w:val="auto"/>
            <w:sz w:val="24"/>
            <w:szCs w:val="24"/>
            <w:u w:val="none"/>
          </w:rPr>
          <w:t>http://creativecommons.org/licenses/by-nc/4.0/</w:t>
        </w:r>
      </w:hyperlink>
    </w:p>
    <w:p w:rsidR="006B6F00" w:rsidRPr="0068111B" w:rsidRDefault="006B6F00" w:rsidP="00312F74">
      <w:pPr>
        <w:spacing w:line="360" w:lineRule="auto"/>
        <w:rPr>
          <w:rFonts w:ascii="Book Antiqua" w:hAnsi="Book Antiqua"/>
          <w:b/>
          <w:sz w:val="24"/>
          <w:szCs w:val="24"/>
        </w:rPr>
      </w:pPr>
    </w:p>
    <w:p w:rsidR="006B6F00" w:rsidRPr="0068111B" w:rsidRDefault="006B6F00" w:rsidP="00312F74">
      <w:pPr>
        <w:spacing w:line="360" w:lineRule="auto"/>
        <w:rPr>
          <w:rFonts w:ascii="Book Antiqua" w:hAnsi="Book Antiqua" w:cs="SimSun"/>
          <w:kern w:val="0"/>
          <w:sz w:val="24"/>
          <w:szCs w:val="24"/>
        </w:rPr>
      </w:pPr>
      <w:r w:rsidRPr="0068111B">
        <w:rPr>
          <w:rFonts w:ascii="Book Antiqua" w:hAnsi="Book Antiqua" w:cs="SimSun"/>
          <w:b/>
          <w:kern w:val="0"/>
          <w:sz w:val="24"/>
          <w:szCs w:val="24"/>
        </w:rPr>
        <w:t>Manuscript source:</w:t>
      </w:r>
      <w:r w:rsidRPr="0068111B">
        <w:rPr>
          <w:rFonts w:ascii="Book Antiqua" w:hAnsi="Book Antiqua" w:cs="SimSun"/>
          <w:kern w:val="0"/>
          <w:sz w:val="24"/>
          <w:szCs w:val="24"/>
        </w:rPr>
        <w:t> Invited manuscript</w:t>
      </w:r>
    </w:p>
    <w:p w:rsidR="006B6F00" w:rsidRPr="0068111B" w:rsidRDefault="006B6F00" w:rsidP="00312F74">
      <w:pPr>
        <w:spacing w:line="360" w:lineRule="auto"/>
        <w:rPr>
          <w:rFonts w:ascii="Book Antiqua" w:hAnsi="Book Antiqua"/>
          <w:b/>
          <w:sz w:val="24"/>
          <w:szCs w:val="24"/>
        </w:rPr>
      </w:pPr>
    </w:p>
    <w:p w:rsidR="000658B7" w:rsidRPr="0068111B" w:rsidRDefault="006B6F00" w:rsidP="00312F74">
      <w:pPr>
        <w:spacing w:line="360" w:lineRule="auto"/>
        <w:rPr>
          <w:rFonts w:ascii="Book Antiqua" w:hAnsi="Book Antiqua"/>
          <w:sz w:val="24"/>
          <w:szCs w:val="24"/>
        </w:rPr>
      </w:pPr>
      <w:r w:rsidRPr="0068111B">
        <w:rPr>
          <w:rFonts w:ascii="Book Antiqua" w:hAnsi="Book Antiqua"/>
          <w:b/>
          <w:sz w:val="24"/>
          <w:szCs w:val="24"/>
        </w:rPr>
        <w:t xml:space="preserve">Correspondence to: </w:t>
      </w:r>
      <w:r w:rsidR="000658B7" w:rsidRPr="0068111B">
        <w:rPr>
          <w:rFonts w:ascii="Book Antiqua" w:hAnsi="Book Antiqua"/>
          <w:b/>
          <w:sz w:val="24"/>
          <w:szCs w:val="24"/>
        </w:rPr>
        <w:t xml:space="preserve">Raman </w:t>
      </w:r>
      <w:proofErr w:type="spellStart"/>
      <w:r w:rsidR="000658B7" w:rsidRPr="0068111B">
        <w:rPr>
          <w:rFonts w:ascii="Book Antiqua" w:hAnsi="Book Antiqua"/>
          <w:b/>
          <w:sz w:val="24"/>
          <w:szCs w:val="24"/>
        </w:rPr>
        <w:t>Mehrzad</w:t>
      </w:r>
      <w:proofErr w:type="spellEnd"/>
      <w:r w:rsidR="000658B7" w:rsidRPr="0068111B">
        <w:rPr>
          <w:rFonts w:ascii="Book Antiqua" w:hAnsi="Book Antiqua"/>
          <w:b/>
          <w:sz w:val="24"/>
          <w:szCs w:val="24"/>
        </w:rPr>
        <w:t xml:space="preserve">, </w:t>
      </w:r>
      <w:r w:rsidRPr="0068111B">
        <w:rPr>
          <w:rFonts w:ascii="Book Antiqua" w:hAnsi="Book Antiqua"/>
          <w:b/>
          <w:sz w:val="24"/>
          <w:szCs w:val="24"/>
        </w:rPr>
        <w:t xml:space="preserve">MD, Academic Fellow, Staff Physician, MD, MHL, </w:t>
      </w:r>
      <w:r w:rsidRPr="0068111B">
        <w:rPr>
          <w:rFonts w:ascii="Book Antiqua" w:hAnsi="Book Antiqua"/>
          <w:sz w:val="24"/>
          <w:szCs w:val="24"/>
        </w:rPr>
        <w:t>Department of Plastic and Reconstructive Surgery, Rhode Island Hospital, Brown University, 235 Plain St., Providence, RI 02903, United States</w:t>
      </w:r>
      <w:r w:rsidR="004A76DC">
        <w:rPr>
          <w:rFonts w:ascii="Book Antiqua" w:hAnsi="Book Antiqua" w:hint="eastAsia"/>
          <w:sz w:val="24"/>
          <w:szCs w:val="24"/>
        </w:rPr>
        <w:t>.</w:t>
      </w:r>
      <w:r w:rsidR="004A76DC" w:rsidRPr="004A76DC">
        <w:t xml:space="preserve"> </w:t>
      </w:r>
      <w:hyperlink r:id="rId12" w:history="1">
        <w:r w:rsidR="004A76DC" w:rsidRPr="00BA5153">
          <w:rPr>
            <w:rStyle w:val="Hyperlink"/>
            <w:rFonts w:ascii="Book Antiqua" w:hAnsi="Book Antiqua"/>
            <w:sz w:val="24"/>
            <w:szCs w:val="24"/>
          </w:rPr>
          <w:t>raman_m1@hotmail.com</w:t>
        </w:r>
      </w:hyperlink>
      <w:r w:rsidR="004A76DC">
        <w:rPr>
          <w:rFonts w:ascii="Book Antiqua" w:hAnsi="Book Antiqua" w:hint="eastAsia"/>
          <w:sz w:val="24"/>
          <w:szCs w:val="24"/>
        </w:rPr>
        <w:t xml:space="preserve"> </w:t>
      </w:r>
    </w:p>
    <w:p w:rsidR="006B6F00" w:rsidRPr="0068111B" w:rsidRDefault="006B6F00" w:rsidP="00312F74">
      <w:pPr>
        <w:spacing w:line="360" w:lineRule="auto"/>
        <w:rPr>
          <w:rFonts w:ascii="Book Antiqua" w:hAnsi="Book Antiqua"/>
          <w:sz w:val="24"/>
          <w:szCs w:val="24"/>
        </w:rPr>
      </w:pPr>
      <w:r w:rsidRPr="0068111B">
        <w:rPr>
          <w:rFonts w:ascii="Book Antiqua" w:hAnsi="Book Antiqua"/>
          <w:b/>
          <w:sz w:val="24"/>
          <w:szCs w:val="24"/>
        </w:rPr>
        <w:t>Telephone:</w:t>
      </w:r>
      <w:r w:rsidRPr="0068111B">
        <w:rPr>
          <w:rFonts w:ascii="Book Antiqua" w:hAnsi="Book Antiqua"/>
          <w:sz w:val="24"/>
          <w:szCs w:val="24"/>
        </w:rPr>
        <w:t xml:space="preserve"> +1-774-2400060</w:t>
      </w:r>
    </w:p>
    <w:p w:rsidR="006B6F00" w:rsidRPr="0068111B" w:rsidRDefault="006B6F00" w:rsidP="00312F74">
      <w:pPr>
        <w:spacing w:line="360" w:lineRule="auto"/>
        <w:rPr>
          <w:rFonts w:ascii="Book Antiqua" w:hAnsi="Book Antiqua"/>
          <w:sz w:val="24"/>
          <w:szCs w:val="24"/>
        </w:rPr>
      </w:pP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 xml:space="preserve">Received: </w:t>
      </w:r>
      <w:r w:rsidR="00312F74" w:rsidRPr="0068111B">
        <w:rPr>
          <w:rFonts w:ascii="Book Antiqua" w:hAnsi="Book Antiqua"/>
          <w:sz w:val="24"/>
          <w:szCs w:val="24"/>
        </w:rPr>
        <w:t xml:space="preserve">September 19, 2018 </w:t>
      </w: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Peer-review started:</w:t>
      </w:r>
      <w:r w:rsidR="00312F74" w:rsidRPr="0068111B">
        <w:rPr>
          <w:rFonts w:ascii="Book Antiqua" w:hAnsi="Book Antiqua"/>
          <w:sz w:val="24"/>
          <w:szCs w:val="24"/>
        </w:rPr>
        <w:t xml:space="preserve"> September 19, 2018 </w:t>
      </w: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First decision:</w:t>
      </w:r>
      <w:r w:rsidR="00312F74" w:rsidRPr="0068111B">
        <w:rPr>
          <w:rFonts w:ascii="Book Antiqua" w:hAnsi="Book Antiqua"/>
          <w:sz w:val="24"/>
          <w:szCs w:val="24"/>
        </w:rPr>
        <w:t xml:space="preserve"> October 4, 2018 </w:t>
      </w: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Revised:</w:t>
      </w:r>
      <w:r w:rsidR="00312F74" w:rsidRPr="0068111B">
        <w:rPr>
          <w:rFonts w:ascii="Book Antiqua" w:hAnsi="Book Antiqua"/>
          <w:b/>
          <w:sz w:val="24"/>
          <w:szCs w:val="24"/>
        </w:rPr>
        <w:t xml:space="preserve"> </w:t>
      </w:r>
      <w:r w:rsidR="00312F74" w:rsidRPr="0068111B">
        <w:rPr>
          <w:rFonts w:ascii="Book Antiqua" w:hAnsi="Book Antiqua"/>
          <w:sz w:val="24"/>
          <w:szCs w:val="24"/>
        </w:rPr>
        <w:t xml:space="preserve">November 8, 2018 </w:t>
      </w: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Accepted:</w:t>
      </w:r>
      <w:r w:rsidR="00867EED" w:rsidRPr="00867EED">
        <w:t xml:space="preserve"> </w:t>
      </w:r>
      <w:r w:rsidR="00867EED" w:rsidRPr="00867EED">
        <w:rPr>
          <w:rFonts w:ascii="Book Antiqua" w:hAnsi="Book Antiqua"/>
          <w:sz w:val="24"/>
          <w:szCs w:val="24"/>
        </w:rPr>
        <w:t>November 14, 2018</w:t>
      </w:r>
      <w:r w:rsidR="00312F74" w:rsidRPr="0068111B">
        <w:rPr>
          <w:rFonts w:ascii="Book Antiqua" w:hAnsi="Book Antiqua"/>
          <w:b/>
          <w:sz w:val="24"/>
          <w:szCs w:val="24"/>
        </w:rPr>
        <w:t xml:space="preserve"> </w:t>
      </w:r>
    </w:p>
    <w:p w:rsidR="006B6F00" w:rsidRPr="0068111B" w:rsidRDefault="006B6F00" w:rsidP="00312F74">
      <w:pPr>
        <w:spacing w:line="360" w:lineRule="auto"/>
        <w:rPr>
          <w:rFonts w:ascii="Book Antiqua" w:hAnsi="Book Antiqua"/>
          <w:sz w:val="24"/>
          <w:szCs w:val="24"/>
        </w:rPr>
      </w:pPr>
      <w:r w:rsidRPr="0068111B">
        <w:rPr>
          <w:rFonts w:ascii="Book Antiqua" w:hAnsi="Book Antiqua"/>
          <w:b/>
          <w:sz w:val="24"/>
          <w:szCs w:val="24"/>
        </w:rPr>
        <w:t>Article in press:</w:t>
      </w:r>
      <w:r w:rsidR="00312F74" w:rsidRPr="0068111B">
        <w:rPr>
          <w:rFonts w:ascii="Book Antiqua" w:hAnsi="Book Antiqua"/>
          <w:sz w:val="24"/>
          <w:szCs w:val="24"/>
        </w:rPr>
        <w:t xml:space="preserve">  </w:t>
      </w:r>
    </w:p>
    <w:p w:rsidR="006B6F00" w:rsidRPr="0068111B" w:rsidRDefault="006B6F00" w:rsidP="00312F74">
      <w:pPr>
        <w:spacing w:line="360" w:lineRule="auto"/>
        <w:rPr>
          <w:rFonts w:ascii="Book Antiqua" w:hAnsi="Book Antiqua"/>
          <w:b/>
          <w:sz w:val="24"/>
          <w:szCs w:val="24"/>
        </w:rPr>
      </w:pPr>
      <w:r w:rsidRPr="0068111B">
        <w:rPr>
          <w:rFonts w:ascii="Book Antiqua" w:hAnsi="Book Antiqua"/>
          <w:b/>
          <w:sz w:val="24"/>
          <w:szCs w:val="24"/>
        </w:rPr>
        <w:t xml:space="preserve">Published online: </w:t>
      </w:r>
    </w:p>
    <w:p w:rsidR="00312F74" w:rsidRPr="0068111B" w:rsidRDefault="00312F74" w:rsidP="00312F74">
      <w:pPr>
        <w:widowControl/>
        <w:spacing w:line="360" w:lineRule="auto"/>
        <w:rPr>
          <w:rFonts w:ascii="Book Antiqua" w:hAnsi="Book Antiqua"/>
          <w:sz w:val="24"/>
          <w:szCs w:val="24"/>
        </w:rPr>
      </w:pPr>
      <w:r w:rsidRPr="0068111B">
        <w:rPr>
          <w:rFonts w:ascii="Book Antiqua" w:hAnsi="Book Antiqua"/>
          <w:sz w:val="24"/>
          <w:szCs w:val="24"/>
        </w:rPr>
        <w:br w:type="page"/>
      </w: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lastRenderedPageBreak/>
        <w:t>Abstract</w:t>
      </w:r>
      <w:r w:rsidRPr="0068111B">
        <w:rPr>
          <w:rFonts w:ascii="Book Antiqua" w:eastAsiaTheme="minorEastAsia" w:hAnsi="Book Antiqua"/>
          <w:b/>
          <w:sz w:val="24"/>
          <w:szCs w:val="24"/>
        </w:rPr>
        <w:t xml:space="preserve"> </w:t>
      </w:r>
    </w:p>
    <w:p w:rsidR="000658B7" w:rsidRPr="0068111B" w:rsidRDefault="000658B7" w:rsidP="00312F74">
      <w:pPr>
        <w:spacing w:line="360" w:lineRule="auto"/>
        <w:rPr>
          <w:rFonts w:ascii="Book Antiqua" w:hAnsi="Book Antiqua"/>
          <w:sz w:val="24"/>
          <w:szCs w:val="24"/>
        </w:rPr>
      </w:pPr>
      <w:r w:rsidRPr="0068111B">
        <w:rPr>
          <w:rFonts w:ascii="Book Antiqua" w:hAnsi="Book Antiqua"/>
          <w:sz w:val="24"/>
          <w:szCs w:val="24"/>
        </w:rPr>
        <w:t xml:space="preserve">Gangrenous cholecystitis </w:t>
      </w:r>
      <w:r w:rsidR="001104BC">
        <w:rPr>
          <w:rFonts w:ascii="Book Antiqua" w:hAnsi="Book Antiqua" w:hint="eastAsia"/>
          <w:sz w:val="24"/>
          <w:szCs w:val="24"/>
        </w:rPr>
        <w:t>(</w:t>
      </w:r>
      <w:r w:rsidR="001104BC" w:rsidRPr="0068111B">
        <w:rPr>
          <w:rFonts w:ascii="Book Antiqua" w:hAnsi="Book Antiqua"/>
          <w:sz w:val="24"/>
          <w:szCs w:val="24"/>
        </w:rPr>
        <w:t>GC</w:t>
      </w:r>
      <w:r w:rsidR="001104BC">
        <w:rPr>
          <w:rFonts w:ascii="Book Antiqua" w:hAnsi="Book Antiqua" w:hint="eastAsia"/>
          <w:sz w:val="24"/>
          <w:szCs w:val="24"/>
        </w:rPr>
        <w:t xml:space="preserve">) </w:t>
      </w:r>
      <w:r w:rsidRPr="0068111B">
        <w:rPr>
          <w:rFonts w:ascii="Book Antiqua" w:hAnsi="Book Antiqua"/>
          <w:sz w:val="24"/>
          <w:szCs w:val="24"/>
        </w:rPr>
        <w:t xml:space="preserve">is a severe and potentially deadly complication of acute cholecystitis. We present </w:t>
      </w:r>
      <w:proofErr w:type="gramStart"/>
      <w:r w:rsidRPr="0068111B">
        <w:rPr>
          <w:rFonts w:ascii="Book Antiqua" w:hAnsi="Book Antiqua"/>
          <w:sz w:val="24"/>
          <w:szCs w:val="24"/>
        </w:rPr>
        <w:t>a</w:t>
      </w:r>
      <w:proofErr w:type="gramEnd"/>
      <w:r w:rsidRPr="0068111B">
        <w:rPr>
          <w:rFonts w:ascii="Book Antiqua" w:hAnsi="Book Antiqua"/>
          <w:sz w:val="24"/>
          <w:szCs w:val="24"/>
        </w:rPr>
        <w:t xml:space="preserve"> 83</w:t>
      </w:r>
      <w:r w:rsidR="00312F74" w:rsidRPr="0068111B">
        <w:rPr>
          <w:rFonts w:ascii="Book Antiqua" w:hAnsi="Book Antiqua"/>
          <w:sz w:val="24"/>
          <w:szCs w:val="24"/>
        </w:rPr>
        <w:t>-</w:t>
      </w:r>
      <w:r w:rsidRPr="0068111B">
        <w:rPr>
          <w:rFonts w:ascii="Book Antiqua" w:hAnsi="Book Antiqua"/>
          <w:sz w:val="24"/>
          <w:szCs w:val="24"/>
        </w:rPr>
        <w:t xml:space="preserve">year-old gentleman with a past medical history of type 2 diabetes mellitus with significant associated neuropathy, presenting to a community hospital in a major metropolitan hospital with 10 days nausea and vomiting and a benign abdominal exam. While the patient was admitted for hyperglycemia, he was subsequently found to have severe </w:t>
      </w:r>
      <w:r w:rsidR="001104BC" w:rsidRPr="0068111B">
        <w:rPr>
          <w:rFonts w:ascii="Book Antiqua" w:hAnsi="Book Antiqua"/>
          <w:sz w:val="24"/>
          <w:szCs w:val="24"/>
        </w:rPr>
        <w:t>GC</w:t>
      </w:r>
      <w:r w:rsidRPr="0068111B">
        <w:rPr>
          <w:rFonts w:ascii="Book Antiqua" w:hAnsi="Book Antiqua"/>
          <w:sz w:val="24"/>
          <w:szCs w:val="24"/>
        </w:rPr>
        <w:t xml:space="preserve"> requiring urgent surgical intervention.</w:t>
      </w:r>
      <w:r w:rsidR="00312F74" w:rsidRPr="0068111B">
        <w:rPr>
          <w:rFonts w:ascii="Book Antiqua" w:hAnsi="Book Antiqua"/>
          <w:sz w:val="24"/>
          <w:szCs w:val="24"/>
        </w:rPr>
        <w:t xml:space="preserve"> </w:t>
      </w:r>
    </w:p>
    <w:p w:rsidR="000658B7" w:rsidRPr="0068111B" w:rsidRDefault="000658B7" w:rsidP="00312F74">
      <w:pPr>
        <w:spacing w:line="360" w:lineRule="auto"/>
        <w:rPr>
          <w:rFonts w:ascii="Book Antiqua" w:hAnsi="Book Antiqua"/>
          <w:sz w:val="24"/>
          <w:szCs w:val="24"/>
        </w:rPr>
      </w:pP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t>Key</w:t>
      </w:r>
      <w:r w:rsidR="00312F74" w:rsidRPr="0068111B">
        <w:rPr>
          <w:rFonts w:ascii="Book Antiqua" w:hAnsi="Book Antiqua"/>
          <w:b/>
          <w:sz w:val="24"/>
          <w:szCs w:val="24"/>
        </w:rPr>
        <w:t xml:space="preserve"> </w:t>
      </w:r>
      <w:r w:rsidRPr="0068111B">
        <w:rPr>
          <w:rFonts w:ascii="Book Antiqua" w:hAnsi="Book Antiqua"/>
          <w:b/>
          <w:sz w:val="24"/>
          <w:szCs w:val="24"/>
        </w:rPr>
        <w:t>words:</w:t>
      </w:r>
      <w:r w:rsidR="00312F74" w:rsidRPr="0068111B">
        <w:rPr>
          <w:rFonts w:ascii="Book Antiqua" w:hAnsi="Book Antiqua"/>
          <w:b/>
          <w:sz w:val="24"/>
          <w:szCs w:val="24"/>
        </w:rPr>
        <w:t xml:space="preserve"> </w:t>
      </w:r>
      <w:r w:rsidRPr="0068111B">
        <w:rPr>
          <w:rFonts w:ascii="Book Antiqua" w:hAnsi="Book Antiqua"/>
          <w:sz w:val="24"/>
          <w:szCs w:val="24"/>
        </w:rPr>
        <w:t xml:space="preserve">Gangrenous </w:t>
      </w:r>
      <w:r w:rsidR="00312F74" w:rsidRPr="0068111B">
        <w:rPr>
          <w:rFonts w:ascii="Book Antiqua" w:hAnsi="Book Antiqua"/>
          <w:sz w:val="24"/>
          <w:szCs w:val="24"/>
        </w:rPr>
        <w:t>c</w:t>
      </w:r>
      <w:r w:rsidRPr="0068111B">
        <w:rPr>
          <w:rFonts w:ascii="Book Antiqua" w:hAnsi="Book Antiqua"/>
          <w:sz w:val="24"/>
          <w:szCs w:val="24"/>
        </w:rPr>
        <w:t xml:space="preserve">holecystitis; Diabetes mellitus; </w:t>
      </w:r>
      <w:r w:rsidR="00312F74" w:rsidRPr="0068111B">
        <w:rPr>
          <w:rFonts w:ascii="Book Antiqua" w:hAnsi="Book Antiqua"/>
          <w:sz w:val="24"/>
          <w:szCs w:val="24"/>
        </w:rPr>
        <w:t>Hyperglycemia; Complications; Case report</w:t>
      </w:r>
    </w:p>
    <w:p w:rsidR="000658B7" w:rsidRPr="0068111B" w:rsidRDefault="000658B7" w:rsidP="00312F74">
      <w:pPr>
        <w:spacing w:line="360" w:lineRule="auto"/>
        <w:rPr>
          <w:rFonts w:ascii="Book Antiqua" w:hAnsi="Book Antiqua"/>
          <w:sz w:val="24"/>
          <w:szCs w:val="24"/>
        </w:rPr>
      </w:pPr>
    </w:p>
    <w:p w:rsidR="00312F74" w:rsidRPr="0068111B" w:rsidRDefault="00312F74" w:rsidP="00312F74">
      <w:pPr>
        <w:spacing w:line="360" w:lineRule="auto"/>
        <w:rPr>
          <w:rFonts w:ascii="Book Antiqua" w:hAnsi="Book Antiqua" w:cs="Arial"/>
          <w:sz w:val="24"/>
          <w:szCs w:val="24"/>
        </w:rPr>
      </w:pPr>
      <w:r w:rsidRPr="0068111B">
        <w:rPr>
          <w:rFonts w:ascii="Book Antiqua" w:hAnsi="Book Antiqua"/>
          <w:b/>
          <w:sz w:val="24"/>
          <w:szCs w:val="24"/>
        </w:rPr>
        <w:t xml:space="preserve">© </w:t>
      </w:r>
      <w:r w:rsidRPr="0068111B">
        <w:rPr>
          <w:rFonts w:ascii="Book Antiqua" w:hAnsi="Book Antiqua" w:cs="Arial"/>
          <w:b/>
          <w:sz w:val="24"/>
          <w:szCs w:val="24"/>
        </w:rPr>
        <w:t>The Author(s) 2018.</w:t>
      </w:r>
      <w:r w:rsidRPr="0068111B">
        <w:rPr>
          <w:rFonts w:ascii="Book Antiqua" w:hAnsi="Book Antiqua" w:cs="Arial"/>
          <w:sz w:val="24"/>
          <w:szCs w:val="24"/>
        </w:rPr>
        <w:t xml:space="preserve"> Published by </w:t>
      </w:r>
      <w:proofErr w:type="spellStart"/>
      <w:r w:rsidRPr="0068111B">
        <w:rPr>
          <w:rFonts w:ascii="Book Antiqua" w:hAnsi="Book Antiqua" w:cs="Arial"/>
          <w:sz w:val="24"/>
          <w:szCs w:val="24"/>
        </w:rPr>
        <w:t>Baishideng</w:t>
      </w:r>
      <w:proofErr w:type="spellEnd"/>
      <w:r w:rsidRPr="0068111B">
        <w:rPr>
          <w:rFonts w:ascii="Book Antiqua" w:hAnsi="Book Antiqua" w:cs="Arial"/>
          <w:sz w:val="24"/>
          <w:szCs w:val="24"/>
        </w:rPr>
        <w:t xml:space="preserve"> Publishing Group Inc. All rights reserved.</w:t>
      </w:r>
    </w:p>
    <w:p w:rsidR="00312F74" w:rsidRPr="0068111B" w:rsidRDefault="00312F74" w:rsidP="00312F74">
      <w:pPr>
        <w:spacing w:line="360" w:lineRule="auto"/>
        <w:rPr>
          <w:rFonts w:ascii="Book Antiqua" w:hAnsi="Book Antiqua"/>
          <w:sz w:val="24"/>
          <w:szCs w:val="24"/>
        </w:rPr>
      </w:pPr>
    </w:p>
    <w:p w:rsidR="000658B7" w:rsidRPr="0068111B" w:rsidRDefault="000658B7" w:rsidP="00312F74">
      <w:pPr>
        <w:spacing w:line="360" w:lineRule="auto"/>
        <w:rPr>
          <w:rFonts w:ascii="Book Antiqua" w:hAnsi="Book Antiqua"/>
          <w:sz w:val="24"/>
          <w:szCs w:val="24"/>
        </w:rPr>
      </w:pPr>
      <w:r w:rsidRPr="0068111B">
        <w:rPr>
          <w:rFonts w:ascii="Book Antiqua" w:hAnsi="Book Antiqua"/>
          <w:b/>
          <w:sz w:val="24"/>
          <w:szCs w:val="24"/>
        </w:rPr>
        <w:t>Core tip:</w:t>
      </w:r>
      <w:r w:rsidR="00312F74" w:rsidRPr="0068111B">
        <w:rPr>
          <w:rFonts w:ascii="Book Antiqua" w:hAnsi="Book Antiqua"/>
          <w:b/>
          <w:sz w:val="24"/>
          <w:szCs w:val="24"/>
        </w:rPr>
        <w:t xml:space="preserve"> </w:t>
      </w:r>
      <w:r w:rsidRPr="0068111B">
        <w:rPr>
          <w:rFonts w:ascii="Book Antiqua" w:hAnsi="Book Antiqua"/>
          <w:sz w:val="24"/>
          <w:szCs w:val="24"/>
        </w:rPr>
        <w:t>We present a</w:t>
      </w:r>
      <w:r w:rsidR="004A76DC">
        <w:rPr>
          <w:rFonts w:ascii="Book Antiqua" w:hAnsi="Book Antiqua" w:hint="eastAsia"/>
          <w:sz w:val="24"/>
          <w:szCs w:val="24"/>
        </w:rPr>
        <w:t>n</w:t>
      </w:r>
      <w:r w:rsidRPr="0068111B">
        <w:rPr>
          <w:rFonts w:ascii="Book Antiqua" w:hAnsi="Book Antiqua"/>
          <w:sz w:val="24"/>
          <w:szCs w:val="24"/>
        </w:rPr>
        <w:t xml:space="preserve"> 83</w:t>
      </w:r>
      <w:r w:rsidR="00312F74" w:rsidRPr="0068111B">
        <w:rPr>
          <w:rFonts w:ascii="Book Antiqua" w:hAnsi="Book Antiqua"/>
          <w:sz w:val="24"/>
          <w:szCs w:val="24"/>
        </w:rPr>
        <w:t>-</w:t>
      </w:r>
      <w:r w:rsidRPr="0068111B">
        <w:rPr>
          <w:rFonts w:ascii="Book Antiqua" w:hAnsi="Book Antiqua"/>
          <w:sz w:val="24"/>
          <w:szCs w:val="24"/>
        </w:rPr>
        <w:t xml:space="preserve">year-old gentleman with type 2 diabetes mellitus and associated neuropathy who was found to have severe gangrenous cholecystitis </w:t>
      </w:r>
      <w:r w:rsidR="001104BC">
        <w:rPr>
          <w:rFonts w:ascii="Book Antiqua" w:hAnsi="Book Antiqua" w:hint="eastAsia"/>
          <w:sz w:val="24"/>
          <w:szCs w:val="24"/>
        </w:rPr>
        <w:t>(</w:t>
      </w:r>
      <w:r w:rsidR="001104BC" w:rsidRPr="0068111B">
        <w:rPr>
          <w:rFonts w:ascii="Book Antiqua" w:hAnsi="Book Antiqua"/>
          <w:sz w:val="24"/>
          <w:szCs w:val="24"/>
        </w:rPr>
        <w:t>GC</w:t>
      </w:r>
      <w:r w:rsidR="001104BC">
        <w:rPr>
          <w:rFonts w:ascii="Book Antiqua" w:hAnsi="Book Antiqua" w:hint="eastAsia"/>
          <w:sz w:val="24"/>
          <w:szCs w:val="24"/>
        </w:rPr>
        <w:t xml:space="preserve">) </w:t>
      </w:r>
      <w:r w:rsidRPr="0068111B">
        <w:rPr>
          <w:rFonts w:ascii="Book Antiqua" w:hAnsi="Book Antiqua"/>
          <w:sz w:val="24"/>
          <w:szCs w:val="24"/>
        </w:rPr>
        <w:t xml:space="preserve">requiring urgent surgical intervention but without any of the cardinal symptoms of </w:t>
      </w:r>
      <w:r w:rsidR="001104BC" w:rsidRPr="0068111B">
        <w:rPr>
          <w:rFonts w:ascii="Book Antiqua" w:hAnsi="Book Antiqua"/>
          <w:sz w:val="24"/>
          <w:szCs w:val="24"/>
        </w:rPr>
        <w:t>GC</w:t>
      </w:r>
      <w:r w:rsidRPr="0068111B">
        <w:rPr>
          <w:rFonts w:ascii="Book Antiqua" w:hAnsi="Book Antiqua"/>
          <w:sz w:val="24"/>
          <w:szCs w:val="24"/>
        </w:rPr>
        <w:t>.</w:t>
      </w:r>
    </w:p>
    <w:p w:rsidR="00312F74" w:rsidRPr="004A76DC" w:rsidRDefault="00312F74" w:rsidP="00312F74">
      <w:pPr>
        <w:spacing w:line="360" w:lineRule="auto"/>
        <w:rPr>
          <w:rFonts w:ascii="Book Antiqua" w:eastAsiaTheme="minorEastAsia" w:hAnsi="Book Antiqua"/>
          <w:b/>
          <w:i/>
          <w:sz w:val="24"/>
          <w:szCs w:val="24"/>
        </w:rPr>
      </w:pPr>
    </w:p>
    <w:p w:rsidR="00312F74" w:rsidRPr="0068111B" w:rsidRDefault="00312F74" w:rsidP="00312F74">
      <w:pPr>
        <w:adjustRightInd w:val="0"/>
        <w:spacing w:line="360" w:lineRule="auto"/>
        <w:rPr>
          <w:rFonts w:ascii="Book Antiqua" w:hAnsi="Book Antiqua"/>
          <w:sz w:val="24"/>
          <w:szCs w:val="24"/>
        </w:rPr>
      </w:pPr>
      <w:proofErr w:type="spellStart"/>
      <w:r w:rsidRPr="0068111B">
        <w:rPr>
          <w:rFonts w:ascii="Book Antiqua" w:hAnsi="Book Antiqua" w:cs="Garamond-Bold"/>
          <w:bCs/>
          <w:sz w:val="24"/>
          <w:szCs w:val="24"/>
        </w:rPr>
        <w:t>Mehrzad</w:t>
      </w:r>
      <w:proofErr w:type="spellEnd"/>
      <w:r w:rsidRPr="0068111B">
        <w:rPr>
          <w:rFonts w:ascii="Book Antiqua" w:hAnsi="Book Antiqua" w:cs="Garamond-Bold"/>
          <w:bCs/>
          <w:sz w:val="24"/>
          <w:szCs w:val="24"/>
        </w:rPr>
        <w:t xml:space="preserve"> M, Jehle C, Roussel LO, </w:t>
      </w:r>
      <w:proofErr w:type="spellStart"/>
      <w:r w:rsidRPr="0068111B">
        <w:rPr>
          <w:rFonts w:ascii="Book Antiqua" w:hAnsi="Book Antiqua" w:cs="Garamond-Bold"/>
          <w:bCs/>
          <w:sz w:val="24"/>
          <w:szCs w:val="24"/>
        </w:rPr>
        <w:t>Mehrzad</w:t>
      </w:r>
      <w:proofErr w:type="spellEnd"/>
      <w:r w:rsidRPr="0068111B">
        <w:rPr>
          <w:rFonts w:ascii="Book Antiqua" w:hAnsi="Book Antiqua" w:cs="Garamond-Bold"/>
          <w:bCs/>
          <w:sz w:val="24"/>
          <w:szCs w:val="24"/>
        </w:rPr>
        <w:t xml:space="preserve"> R.</w:t>
      </w:r>
      <w:r w:rsidRPr="0068111B">
        <w:rPr>
          <w:rFonts w:ascii="Book Antiqua" w:hAnsi="Book Antiqua"/>
          <w:sz w:val="24"/>
          <w:szCs w:val="24"/>
        </w:rPr>
        <w:t xml:space="preserve"> Gangrenous cholecystitis: A silent but potential fatal disease in patients with diabetic neuropathy. A case report and review of literature. </w:t>
      </w:r>
      <w:r w:rsidRPr="0068111B">
        <w:rPr>
          <w:rFonts w:ascii="Book Antiqua" w:hAnsi="Book Antiqua"/>
          <w:i/>
          <w:iCs/>
          <w:sz w:val="24"/>
          <w:szCs w:val="24"/>
        </w:rPr>
        <w:t xml:space="preserve">World J Clin Cases </w:t>
      </w:r>
      <w:r w:rsidRPr="0068111B">
        <w:rPr>
          <w:rFonts w:ascii="Book Antiqua" w:hAnsi="Book Antiqua"/>
          <w:iCs/>
          <w:sz w:val="24"/>
          <w:szCs w:val="24"/>
        </w:rPr>
        <w:t>2018; In press</w:t>
      </w:r>
    </w:p>
    <w:p w:rsidR="00312F74" w:rsidRPr="0068111B" w:rsidRDefault="00312F74" w:rsidP="00312F74">
      <w:pPr>
        <w:widowControl/>
        <w:spacing w:line="360" w:lineRule="auto"/>
        <w:rPr>
          <w:rFonts w:ascii="Book Antiqua" w:hAnsi="Book Antiqua" w:cs="Garamond-Bold"/>
          <w:bCs/>
          <w:sz w:val="24"/>
          <w:szCs w:val="24"/>
        </w:rPr>
      </w:pPr>
      <w:r w:rsidRPr="0068111B">
        <w:rPr>
          <w:rFonts w:ascii="Book Antiqua" w:hAnsi="Book Antiqua" w:cs="Garamond-Bold"/>
          <w:bCs/>
          <w:sz w:val="24"/>
          <w:szCs w:val="24"/>
        </w:rPr>
        <w:br w:type="page"/>
      </w: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lastRenderedPageBreak/>
        <w:t>INTRODUCTION</w:t>
      </w:r>
    </w:p>
    <w:p w:rsidR="000658B7" w:rsidRPr="0068111B" w:rsidRDefault="000658B7" w:rsidP="00312F74">
      <w:pPr>
        <w:spacing w:line="360" w:lineRule="auto"/>
        <w:rPr>
          <w:rFonts w:ascii="Book Antiqua" w:hAnsi="Book Antiqua"/>
          <w:sz w:val="24"/>
          <w:szCs w:val="24"/>
        </w:rPr>
      </w:pPr>
      <w:r w:rsidRPr="0068111B">
        <w:rPr>
          <w:rFonts w:ascii="Book Antiqua" w:hAnsi="Book Antiqua"/>
          <w:sz w:val="24"/>
          <w:szCs w:val="24"/>
        </w:rPr>
        <w:t>Diabetes mellitus (DM) is a chronic disease caused by inherited and/or acquired deficiency in production of insulin by the pancreas, or by the ineffectiveness of the insulin produced. This subsequently leads to an increased concentrations of g</w:t>
      </w:r>
      <w:r w:rsidR="001104BC">
        <w:rPr>
          <w:rFonts w:ascii="Book Antiqua" w:hAnsi="Book Antiqua"/>
          <w:sz w:val="24"/>
          <w:szCs w:val="24"/>
        </w:rPr>
        <w:t xml:space="preserve">lucose in the </w:t>
      </w:r>
      <w:proofErr w:type="gramStart"/>
      <w:r w:rsidR="001104BC">
        <w:rPr>
          <w:rFonts w:ascii="Book Antiqua" w:hAnsi="Book Antiqua"/>
          <w:sz w:val="24"/>
          <w:szCs w:val="24"/>
        </w:rPr>
        <w:t>blood</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1]</w:t>
      </w:r>
      <w:r w:rsidRPr="0068111B">
        <w:rPr>
          <w:rFonts w:ascii="Book Antiqua" w:hAnsi="Book Antiqua"/>
          <w:sz w:val="24"/>
          <w:szCs w:val="24"/>
        </w:rPr>
        <w:t>. The prevalence of DM has markedly increased over the past few decades with nearly 300 million people w</w:t>
      </w:r>
      <w:r w:rsidR="001104BC">
        <w:rPr>
          <w:rFonts w:ascii="Book Antiqua" w:hAnsi="Book Antiqua"/>
          <w:sz w:val="24"/>
          <w:szCs w:val="24"/>
        </w:rPr>
        <w:t xml:space="preserve">orldwide with the disease </w:t>
      </w:r>
      <w:proofErr w:type="gramStart"/>
      <w:r w:rsidR="001104BC">
        <w:rPr>
          <w:rFonts w:ascii="Book Antiqua" w:hAnsi="Book Antiqua"/>
          <w:sz w:val="24"/>
          <w:szCs w:val="24"/>
        </w:rPr>
        <w:t>today</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2]</w:t>
      </w:r>
      <w:r w:rsidRPr="0068111B">
        <w:rPr>
          <w:rFonts w:ascii="Book Antiqua" w:hAnsi="Book Antiqua"/>
          <w:sz w:val="24"/>
          <w:szCs w:val="24"/>
        </w:rPr>
        <w:t>. DM is itself a specific group of metabolic disorders that share common phenotype of hyperglycemia. The two broad categories, or types, of DM are classified by the underlying pathogenic process leading to elevated blood sugar levels. Type 1 DM exhibits almost complete insulin deficiency, while type 2 DM is an intricate constellation of pathology including insulin resistance, increased glucose production</w:t>
      </w:r>
      <w:r w:rsidR="001104BC">
        <w:rPr>
          <w:rFonts w:ascii="Book Antiqua" w:hAnsi="Book Antiqua"/>
          <w:sz w:val="24"/>
          <w:szCs w:val="24"/>
        </w:rPr>
        <w:t xml:space="preserve"> and impaired insulin </w:t>
      </w:r>
      <w:proofErr w:type="gramStart"/>
      <w:r w:rsidR="001104BC">
        <w:rPr>
          <w:rFonts w:ascii="Book Antiqua" w:hAnsi="Book Antiqua"/>
          <w:sz w:val="24"/>
          <w:szCs w:val="24"/>
        </w:rPr>
        <w:t>secretion</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3]</w:t>
      </w:r>
      <w:r w:rsidRPr="0068111B">
        <w:rPr>
          <w:rFonts w:ascii="Book Antiqua" w:hAnsi="Book Antiqua"/>
          <w:sz w:val="24"/>
          <w:szCs w:val="24"/>
        </w:rPr>
        <w:t>. Important complications from DM include cardiovascular disease, stroke, diabetes retinopath</w:t>
      </w:r>
      <w:r w:rsidR="001104BC">
        <w:rPr>
          <w:rFonts w:ascii="Book Antiqua" w:hAnsi="Book Antiqua"/>
          <w:sz w:val="24"/>
          <w:szCs w:val="24"/>
        </w:rPr>
        <w:t xml:space="preserve">y, renal failure and </w:t>
      </w:r>
      <w:proofErr w:type="gramStart"/>
      <w:r w:rsidR="001104BC">
        <w:rPr>
          <w:rFonts w:ascii="Book Antiqua" w:hAnsi="Book Antiqua"/>
          <w:sz w:val="24"/>
          <w:szCs w:val="24"/>
        </w:rPr>
        <w:t>neuropathy</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4]</w:t>
      </w:r>
      <w:r w:rsidRPr="0068111B">
        <w:rPr>
          <w:rFonts w:ascii="Book Antiqua" w:hAnsi="Book Antiqua"/>
          <w:sz w:val="24"/>
          <w:szCs w:val="24"/>
        </w:rPr>
        <w:t xml:space="preserve">. </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Gangrenous cholecystitis (GC) is a severe and potentially deadly progression of acute cholecystitis tha</w:t>
      </w:r>
      <w:r w:rsidR="001104BC">
        <w:rPr>
          <w:rFonts w:ascii="Book Antiqua" w:hAnsi="Book Antiqua"/>
          <w:sz w:val="24"/>
          <w:szCs w:val="24"/>
        </w:rPr>
        <w:t xml:space="preserve">t occurs in up to 30% of </w:t>
      </w:r>
      <w:proofErr w:type="gramStart"/>
      <w:r w:rsidR="001104BC">
        <w:rPr>
          <w:rFonts w:ascii="Book Antiqua" w:hAnsi="Book Antiqua"/>
          <w:sz w:val="24"/>
          <w:szCs w:val="24"/>
        </w:rPr>
        <w:t>cases</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5]</w:t>
      </w:r>
      <w:r w:rsidRPr="0068111B">
        <w:rPr>
          <w:rFonts w:ascii="Book Antiqua" w:hAnsi="Book Antiqua"/>
          <w:sz w:val="24"/>
          <w:szCs w:val="24"/>
        </w:rPr>
        <w:t xml:space="preserve">. It is the end result of persistent and severe inflammation, where there is such significant distension of the gallbladder that the wall becomes </w:t>
      </w:r>
      <w:proofErr w:type="gramStart"/>
      <w:r w:rsidRPr="0068111B">
        <w:rPr>
          <w:rFonts w:ascii="Book Antiqua" w:hAnsi="Book Antiqua"/>
          <w:sz w:val="24"/>
          <w:szCs w:val="24"/>
        </w:rPr>
        <w:t>ischemic</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6]</w:t>
      </w:r>
      <w:r w:rsidRPr="0068111B">
        <w:rPr>
          <w:rFonts w:ascii="Book Antiqua" w:hAnsi="Book Antiqua"/>
          <w:sz w:val="24"/>
          <w:szCs w:val="24"/>
        </w:rPr>
        <w:t>. Risk factors include male gender, age &gt;</w:t>
      </w:r>
      <w:r w:rsidR="001104BC">
        <w:rPr>
          <w:rFonts w:ascii="Book Antiqua" w:hAnsi="Book Antiqua" w:hint="eastAsia"/>
          <w:sz w:val="24"/>
          <w:szCs w:val="24"/>
        </w:rPr>
        <w:t xml:space="preserve"> </w:t>
      </w:r>
      <w:r w:rsidRPr="0068111B">
        <w:rPr>
          <w:rFonts w:ascii="Book Antiqua" w:hAnsi="Book Antiqua"/>
          <w:sz w:val="24"/>
          <w:szCs w:val="24"/>
        </w:rPr>
        <w:t>45 years, histor</w:t>
      </w:r>
      <w:r w:rsidR="001104BC">
        <w:rPr>
          <w:rFonts w:ascii="Book Antiqua" w:hAnsi="Book Antiqua"/>
          <w:sz w:val="24"/>
          <w:szCs w:val="24"/>
        </w:rPr>
        <w:t xml:space="preserve">y of diabetes and heart </w:t>
      </w:r>
      <w:proofErr w:type="gramStart"/>
      <w:r w:rsidR="001104BC">
        <w:rPr>
          <w:rFonts w:ascii="Book Antiqua" w:hAnsi="Book Antiqua"/>
          <w:sz w:val="24"/>
          <w:szCs w:val="24"/>
        </w:rPr>
        <w:t>disease</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7]</w:t>
      </w:r>
      <w:r w:rsidRPr="0068111B">
        <w:rPr>
          <w:rFonts w:ascii="Book Antiqua" w:hAnsi="Book Antiqua"/>
          <w:sz w:val="24"/>
          <w:szCs w:val="24"/>
        </w:rPr>
        <w:t>. Although clinical signs of peritonitis are sometimes absent, these patients typically present with at least one or more of the following symptoms: right upper quadrant abdominal pain, loss of a</w:t>
      </w:r>
      <w:r w:rsidR="001104BC">
        <w:rPr>
          <w:rFonts w:ascii="Book Antiqua" w:hAnsi="Book Antiqua"/>
          <w:sz w:val="24"/>
          <w:szCs w:val="24"/>
        </w:rPr>
        <w:t xml:space="preserve">ppetite, jaundice, and/or </w:t>
      </w:r>
      <w:proofErr w:type="gramStart"/>
      <w:r w:rsidR="001104BC">
        <w:rPr>
          <w:rFonts w:ascii="Book Antiqua" w:hAnsi="Book Antiqua"/>
          <w:sz w:val="24"/>
          <w:szCs w:val="24"/>
        </w:rPr>
        <w:t>fever</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8]</w:t>
      </w:r>
      <w:r w:rsidRPr="0068111B">
        <w:rPr>
          <w:rFonts w:ascii="Book Antiqua" w:hAnsi="Book Antiqua"/>
          <w:sz w:val="24"/>
          <w:szCs w:val="24"/>
        </w:rPr>
        <w:t>. These patients almost universally undergo emergent cholecystecto</w:t>
      </w:r>
      <w:r w:rsidR="001104BC">
        <w:rPr>
          <w:rFonts w:ascii="Book Antiqua" w:hAnsi="Book Antiqua"/>
          <w:sz w:val="24"/>
          <w:szCs w:val="24"/>
        </w:rPr>
        <w:t xml:space="preserve">my to avoid fatal </w:t>
      </w:r>
      <w:proofErr w:type="gramStart"/>
      <w:r w:rsidR="001104BC">
        <w:rPr>
          <w:rFonts w:ascii="Book Antiqua" w:hAnsi="Book Antiqua"/>
          <w:sz w:val="24"/>
          <w:szCs w:val="24"/>
        </w:rPr>
        <w:t>complications</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6]</w:t>
      </w:r>
      <w:r w:rsidRPr="0068111B">
        <w:rPr>
          <w:rFonts w:ascii="Book Antiqua" w:hAnsi="Book Antiqua"/>
          <w:sz w:val="24"/>
          <w:szCs w:val="24"/>
        </w:rPr>
        <w:t xml:space="preserve">. </w:t>
      </w:r>
    </w:p>
    <w:p w:rsidR="000658B7"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Diabetic neuropathy is among the most common complications of DM, and is clinically important because it can diminish symptoms of life-threaten</w:t>
      </w:r>
      <w:r w:rsidR="001104BC">
        <w:rPr>
          <w:rFonts w:ascii="Book Antiqua" w:hAnsi="Book Antiqua"/>
          <w:sz w:val="24"/>
          <w:szCs w:val="24"/>
        </w:rPr>
        <w:t xml:space="preserve">ing such as myocardial </w:t>
      </w:r>
      <w:proofErr w:type="gramStart"/>
      <w:r w:rsidR="001104BC">
        <w:rPr>
          <w:rFonts w:ascii="Book Antiqua" w:hAnsi="Book Antiqua"/>
          <w:sz w:val="24"/>
          <w:szCs w:val="24"/>
        </w:rPr>
        <w:t>ischemia</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9]</w:t>
      </w:r>
      <w:r w:rsidRPr="0068111B">
        <w:rPr>
          <w:rFonts w:ascii="Book Antiqua" w:hAnsi="Book Antiqua"/>
          <w:sz w:val="24"/>
          <w:szCs w:val="24"/>
        </w:rPr>
        <w:t xml:space="preserve">. We present </w:t>
      </w:r>
      <w:proofErr w:type="gramStart"/>
      <w:r w:rsidRPr="0068111B">
        <w:rPr>
          <w:rFonts w:ascii="Book Antiqua" w:hAnsi="Book Antiqua"/>
          <w:sz w:val="24"/>
          <w:szCs w:val="24"/>
        </w:rPr>
        <w:t>a</w:t>
      </w:r>
      <w:proofErr w:type="gramEnd"/>
      <w:r w:rsidRPr="0068111B">
        <w:rPr>
          <w:rFonts w:ascii="Book Antiqua" w:hAnsi="Book Antiqua"/>
          <w:sz w:val="24"/>
          <w:szCs w:val="24"/>
        </w:rPr>
        <w:t xml:space="preserve"> 83</w:t>
      </w:r>
      <w:r w:rsidR="001104BC">
        <w:rPr>
          <w:rFonts w:ascii="Book Antiqua" w:hAnsi="Book Antiqua" w:hint="eastAsia"/>
          <w:sz w:val="24"/>
          <w:szCs w:val="24"/>
        </w:rPr>
        <w:t>-</w:t>
      </w:r>
      <w:r w:rsidRPr="0068111B">
        <w:rPr>
          <w:rFonts w:ascii="Book Antiqua" w:hAnsi="Book Antiqua"/>
          <w:sz w:val="24"/>
          <w:szCs w:val="24"/>
        </w:rPr>
        <w:t xml:space="preserve">year-old gentleman who was admitted for hyperglycemia but was later found to have a severe </w:t>
      </w:r>
      <w:r w:rsidR="001104BC" w:rsidRPr="0068111B">
        <w:rPr>
          <w:rFonts w:ascii="Book Antiqua" w:hAnsi="Book Antiqua"/>
          <w:sz w:val="24"/>
          <w:szCs w:val="24"/>
        </w:rPr>
        <w:t>GC</w:t>
      </w:r>
      <w:r w:rsidRPr="0068111B">
        <w:rPr>
          <w:rFonts w:ascii="Book Antiqua" w:hAnsi="Book Antiqua"/>
          <w:sz w:val="24"/>
          <w:szCs w:val="24"/>
        </w:rPr>
        <w:t xml:space="preserve"> without an exam findings concerning for peritonitis. To our knowledge, this is the fourth case ever reported of GC in a patient with DM presenting with non-specific abdominal symptoms and reassuring physical </w:t>
      </w:r>
      <w:proofErr w:type="gramStart"/>
      <w:r w:rsidRPr="0068111B">
        <w:rPr>
          <w:rFonts w:ascii="Book Antiqua" w:hAnsi="Book Antiqua"/>
          <w:sz w:val="24"/>
          <w:szCs w:val="24"/>
        </w:rPr>
        <w:t>exam</w:t>
      </w:r>
      <w:r w:rsidRPr="001104BC">
        <w:rPr>
          <w:rFonts w:ascii="Book Antiqua" w:hAnsi="Book Antiqua"/>
          <w:sz w:val="24"/>
          <w:szCs w:val="24"/>
          <w:vertAlign w:val="superscript"/>
        </w:rPr>
        <w:t>[</w:t>
      </w:r>
      <w:proofErr w:type="gramEnd"/>
      <w:r w:rsidRPr="001104BC">
        <w:rPr>
          <w:rFonts w:ascii="Book Antiqua" w:hAnsi="Book Antiqua"/>
          <w:sz w:val="24"/>
          <w:szCs w:val="24"/>
          <w:vertAlign w:val="superscript"/>
        </w:rPr>
        <w:t>10</w:t>
      </w:r>
      <w:r w:rsidR="001104BC" w:rsidRPr="001104BC">
        <w:rPr>
          <w:rFonts w:ascii="Book Antiqua" w:hAnsi="Book Antiqua" w:hint="eastAsia"/>
          <w:sz w:val="24"/>
          <w:szCs w:val="24"/>
          <w:vertAlign w:val="superscript"/>
        </w:rPr>
        <w:t>-</w:t>
      </w:r>
      <w:r w:rsidRPr="001104BC">
        <w:rPr>
          <w:rFonts w:ascii="Book Antiqua" w:hAnsi="Book Antiqua"/>
          <w:sz w:val="24"/>
          <w:szCs w:val="24"/>
          <w:vertAlign w:val="superscript"/>
        </w:rPr>
        <w:t>12]</w:t>
      </w:r>
      <w:r w:rsidRPr="0068111B">
        <w:rPr>
          <w:rFonts w:ascii="Book Antiqua" w:hAnsi="Book Antiqua"/>
          <w:sz w:val="24"/>
          <w:szCs w:val="24"/>
        </w:rPr>
        <w:t>.</w:t>
      </w:r>
    </w:p>
    <w:p w:rsidR="001104BC" w:rsidRPr="0068111B" w:rsidRDefault="001104BC" w:rsidP="001104BC">
      <w:pPr>
        <w:spacing w:line="360" w:lineRule="auto"/>
        <w:ind w:firstLineChars="100" w:firstLine="240"/>
        <w:rPr>
          <w:rFonts w:ascii="Book Antiqua" w:hAnsi="Book Antiqua"/>
          <w:sz w:val="24"/>
          <w:szCs w:val="24"/>
        </w:rPr>
      </w:pPr>
    </w:p>
    <w:p w:rsidR="000658B7" w:rsidRPr="0068111B" w:rsidRDefault="000658B7" w:rsidP="00312F74">
      <w:pPr>
        <w:spacing w:line="360" w:lineRule="auto"/>
        <w:rPr>
          <w:rFonts w:ascii="Book Antiqua" w:hAnsi="Book Antiqua"/>
          <w:sz w:val="24"/>
          <w:szCs w:val="24"/>
        </w:rPr>
      </w:pPr>
      <w:r w:rsidRPr="0068111B">
        <w:rPr>
          <w:rFonts w:ascii="Book Antiqua" w:hAnsi="Book Antiqua"/>
          <w:b/>
          <w:sz w:val="24"/>
          <w:szCs w:val="24"/>
        </w:rPr>
        <w:t>CASE PRESENTATION</w:t>
      </w:r>
      <w:r w:rsidRPr="0068111B">
        <w:rPr>
          <w:rFonts w:ascii="Book Antiqua" w:hAnsi="Book Antiqua"/>
          <w:sz w:val="24"/>
          <w:szCs w:val="24"/>
        </w:rPr>
        <w:t xml:space="preserve"> </w:t>
      </w:r>
    </w:p>
    <w:p w:rsidR="000658B7" w:rsidRPr="0068111B" w:rsidRDefault="000658B7" w:rsidP="00312F74">
      <w:pPr>
        <w:spacing w:line="360" w:lineRule="auto"/>
        <w:rPr>
          <w:rFonts w:ascii="Book Antiqua" w:hAnsi="Book Antiqua"/>
          <w:sz w:val="24"/>
          <w:szCs w:val="24"/>
        </w:rPr>
      </w:pPr>
      <w:r w:rsidRPr="0068111B">
        <w:rPr>
          <w:rFonts w:ascii="Book Antiqua" w:hAnsi="Book Antiqua"/>
          <w:sz w:val="24"/>
          <w:szCs w:val="24"/>
        </w:rPr>
        <w:t>An 83-year-old male with a past medical history of type 2 DM since twenty years back, with advanced diabetic neuropathy, hypertension and hyperlipidemia presented to his primary care physician’s office with a chief complaint of nausea, vomiting, and diarrhea for 10 d. Point of care glucose monitor showed the patient’s blood sugar to be &gt;</w:t>
      </w:r>
      <w:r w:rsidR="001104BC">
        <w:rPr>
          <w:rFonts w:ascii="Book Antiqua" w:hAnsi="Book Antiqua" w:hint="eastAsia"/>
          <w:sz w:val="24"/>
          <w:szCs w:val="24"/>
        </w:rPr>
        <w:t xml:space="preserve"> </w:t>
      </w:r>
      <w:r w:rsidRPr="0068111B">
        <w:rPr>
          <w:rFonts w:ascii="Book Antiqua" w:hAnsi="Book Antiqua"/>
          <w:sz w:val="24"/>
          <w:szCs w:val="24"/>
        </w:rPr>
        <w:t>600</w:t>
      </w:r>
      <w:r w:rsidR="001104BC">
        <w:rPr>
          <w:rFonts w:ascii="Book Antiqua" w:hAnsi="Book Antiqua" w:hint="eastAsia"/>
          <w:sz w:val="24"/>
          <w:szCs w:val="24"/>
        </w:rPr>
        <w:t xml:space="preserve"> </w:t>
      </w:r>
      <w:r w:rsidRPr="0068111B">
        <w:rPr>
          <w:rFonts w:ascii="Book Antiqua" w:hAnsi="Book Antiqua"/>
          <w:sz w:val="24"/>
          <w:szCs w:val="24"/>
        </w:rPr>
        <w:t>mg/d</w:t>
      </w:r>
      <w:r w:rsidR="001104BC" w:rsidRPr="0068111B">
        <w:rPr>
          <w:rFonts w:ascii="Book Antiqua" w:hAnsi="Book Antiqua"/>
          <w:sz w:val="24"/>
          <w:szCs w:val="24"/>
        </w:rPr>
        <w:t>L</w:t>
      </w:r>
      <w:r w:rsidRPr="0068111B">
        <w:rPr>
          <w:rFonts w:ascii="Book Antiqua" w:hAnsi="Book Antiqua"/>
          <w:sz w:val="24"/>
          <w:szCs w:val="24"/>
        </w:rPr>
        <w:t xml:space="preserve">, and the patient was transferred to the emergency department (ED) of the associated community hospital. </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The patient attributed the nausea and vomiting to a beef sandwich he ate four days preceding the symptoms. He had not been able tolerate food and reported very limited fluid intake. Additionally the patient noted three loose brown bowel movements daily without gross blood or melena which resolved three days prior to admission. The patient denied abdominal pain, hematemesis, chest pain, shortness of breath or any other associated symptoms. A complete review of systems was otherwise negative.</w:t>
      </w:r>
    </w:p>
    <w:p w:rsidR="001104BC"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The patient had a strong family history of both </w:t>
      </w:r>
      <w:r w:rsidR="001104BC" w:rsidRPr="0068111B">
        <w:rPr>
          <w:rFonts w:ascii="Book Antiqua" w:hAnsi="Book Antiqua"/>
          <w:sz w:val="24"/>
          <w:szCs w:val="24"/>
        </w:rPr>
        <w:t>t</w:t>
      </w:r>
      <w:r w:rsidRPr="0068111B">
        <w:rPr>
          <w:rFonts w:ascii="Book Antiqua" w:hAnsi="Book Antiqua"/>
          <w:sz w:val="24"/>
          <w:szCs w:val="24"/>
        </w:rPr>
        <w:t>ype 1 and 2 DM including his mother, two brothers, and other distant relatives. The patient’s social history was significant for occasional alcohol use of 2-3 beers per month. The patient denied tobacco and illicit drug use. The patient’s home medications were Pravastatin 20</w:t>
      </w:r>
      <w:r w:rsidR="001104BC">
        <w:rPr>
          <w:rFonts w:ascii="Book Antiqua" w:hAnsi="Book Antiqua" w:hint="eastAsia"/>
          <w:sz w:val="24"/>
          <w:szCs w:val="24"/>
        </w:rPr>
        <w:t xml:space="preserve"> </w:t>
      </w:r>
      <w:r w:rsidRPr="0068111B">
        <w:rPr>
          <w:rFonts w:ascii="Book Antiqua" w:hAnsi="Book Antiqua"/>
          <w:sz w:val="24"/>
          <w:szCs w:val="24"/>
        </w:rPr>
        <w:t>mg PO daily, Glyburide 1.25</w:t>
      </w:r>
      <w:r w:rsidR="001104BC">
        <w:rPr>
          <w:rFonts w:ascii="Book Antiqua" w:hAnsi="Book Antiqua" w:hint="eastAsia"/>
          <w:sz w:val="24"/>
          <w:szCs w:val="24"/>
        </w:rPr>
        <w:t xml:space="preserve"> </w:t>
      </w:r>
      <w:r w:rsidRPr="0068111B">
        <w:rPr>
          <w:rFonts w:ascii="Book Antiqua" w:hAnsi="Book Antiqua"/>
          <w:sz w:val="24"/>
          <w:szCs w:val="24"/>
        </w:rPr>
        <w:t>mg PO daily, Lisinopril 10</w:t>
      </w:r>
      <w:r w:rsidR="001104BC">
        <w:rPr>
          <w:rFonts w:ascii="Book Antiqua" w:hAnsi="Book Antiqua" w:hint="eastAsia"/>
          <w:sz w:val="24"/>
          <w:szCs w:val="24"/>
        </w:rPr>
        <w:t xml:space="preserve"> </w:t>
      </w:r>
      <w:r w:rsidRPr="0068111B">
        <w:rPr>
          <w:rFonts w:ascii="Book Antiqua" w:hAnsi="Book Antiqua"/>
          <w:sz w:val="24"/>
          <w:szCs w:val="24"/>
        </w:rPr>
        <w:t>mg PO daily, and Omeprazole 20</w:t>
      </w:r>
      <w:r w:rsidR="001104BC">
        <w:rPr>
          <w:rFonts w:ascii="Book Antiqua" w:hAnsi="Book Antiqua" w:hint="eastAsia"/>
          <w:sz w:val="24"/>
          <w:szCs w:val="24"/>
        </w:rPr>
        <w:t xml:space="preserve"> </w:t>
      </w:r>
      <w:r w:rsidRPr="0068111B">
        <w:rPr>
          <w:rFonts w:ascii="Book Antiqua" w:hAnsi="Book Antiqua"/>
          <w:sz w:val="24"/>
          <w:szCs w:val="24"/>
        </w:rPr>
        <w:t>mg PO daily.</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In the </w:t>
      </w:r>
      <w:r w:rsidR="001104BC" w:rsidRPr="0068111B">
        <w:rPr>
          <w:rFonts w:ascii="Book Antiqua" w:hAnsi="Book Antiqua"/>
          <w:sz w:val="24"/>
          <w:szCs w:val="24"/>
        </w:rPr>
        <w:t>ED</w:t>
      </w:r>
      <w:r w:rsidRPr="0068111B">
        <w:rPr>
          <w:rFonts w:ascii="Book Antiqua" w:hAnsi="Book Antiqua"/>
          <w:sz w:val="24"/>
          <w:szCs w:val="24"/>
        </w:rPr>
        <w:t xml:space="preserve"> his vital signs were a temperature of 98.2 F, heart rate of 89/min, respiratory rate of 18/min, blood pressure 147/79</w:t>
      </w:r>
      <w:r w:rsidR="001104BC">
        <w:rPr>
          <w:rFonts w:ascii="Book Antiqua" w:hAnsi="Book Antiqua" w:hint="eastAsia"/>
          <w:sz w:val="24"/>
          <w:szCs w:val="24"/>
        </w:rPr>
        <w:t xml:space="preserve"> </w:t>
      </w:r>
      <w:r w:rsidRPr="0068111B">
        <w:rPr>
          <w:rFonts w:ascii="Book Antiqua" w:hAnsi="Book Antiqua"/>
          <w:sz w:val="24"/>
          <w:szCs w:val="24"/>
        </w:rPr>
        <w:t>mmHg, and O2 Saturation by pulse oximetry 93% on room air. Laboratory results were significant for a white blood count (WBC) of 16.5 k/</w:t>
      </w:r>
      <w:proofErr w:type="spellStart"/>
      <w:r w:rsidRPr="0068111B">
        <w:rPr>
          <w:rFonts w:ascii="Book Antiqua" w:hAnsi="Book Antiqua"/>
          <w:sz w:val="24"/>
          <w:szCs w:val="24"/>
        </w:rPr>
        <w:t>u</w:t>
      </w:r>
      <w:r w:rsidR="001104BC" w:rsidRPr="0068111B">
        <w:rPr>
          <w:rFonts w:ascii="Book Antiqua" w:hAnsi="Book Antiqua"/>
          <w:sz w:val="24"/>
          <w:szCs w:val="24"/>
        </w:rPr>
        <w:t>L</w:t>
      </w:r>
      <w:proofErr w:type="spellEnd"/>
      <w:r w:rsidRPr="0068111B">
        <w:rPr>
          <w:rFonts w:ascii="Book Antiqua" w:hAnsi="Book Antiqua"/>
          <w:sz w:val="24"/>
          <w:szCs w:val="24"/>
        </w:rPr>
        <w:t xml:space="preserve">, Sodium 132 </w:t>
      </w:r>
      <w:r w:rsidR="001104BC" w:rsidRPr="0068111B">
        <w:rPr>
          <w:rFonts w:ascii="Book Antiqua" w:hAnsi="Book Antiqua"/>
          <w:sz w:val="24"/>
          <w:szCs w:val="24"/>
        </w:rPr>
        <w:t>m</w:t>
      </w:r>
      <w:r w:rsidRPr="0068111B">
        <w:rPr>
          <w:rFonts w:ascii="Book Antiqua" w:hAnsi="Book Antiqua"/>
          <w:sz w:val="24"/>
          <w:szCs w:val="24"/>
        </w:rPr>
        <w:t xml:space="preserve">mol/L, Chloride 93 </w:t>
      </w:r>
      <w:r w:rsidR="001104BC" w:rsidRPr="0068111B">
        <w:rPr>
          <w:rFonts w:ascii="Book Antiqua" w:hAnsi="Book Antiqua"/>
          <w:sz w:val="24"/>
          <w:szCs w:val="24"/>
        </w:rPr>
        <w:t>m</w:t>
      </w:r>
      <w:r w:rsidRPr="0068111B">
        <w:rPr>
          <w:rFonts w:ascii="Book Antiqua" w:hAnsi="Book Antiqua"/>
          <w:sz w:val="24"/>
          <w:szCs w:val="24"/>
        </w:rPr>
        <w:t>mol/L, Glucose 598 mg/d</w:t>
      </w:r>
      <w:r w:rsidR="001104BC" w:rsidRPr="0068111B">
        <w:rPr>
          <w:rFonts w:ascii="Book Antiqua" w:hAnsi="Book Antiqua"/>
          <w:sz w:val="24"/>
          <w:szCs w:val="24"/>
        </w:rPr>
        <w:t>L</w:t>
      </w:r>
      <w:r w:rsidRPr="0068111B">
        <w:rPr>
          <w:rFonts w:ascii="Book Antiqua" w:hAnsi="Book Antiqua"/>
          <w:sz w:val="24"/>
          <w:szCs w:val="24"/>
        </w:rPr>
        <w:t>, AST 49 U/L, Alkaline Phosphatase 196 U/L, Albumin 3.1 g/d</w:t>
      </w:r>
      <w:r w:rsidR="001104BC" w:rsidRPr="0068111B">
        <w:rPr>
          <w:rFonts w:ascii="Book Antiqua" w:hAnsi="Book Antiqua"/>
          <w:sz w:val="24"/>
          <w:szCs w:val="24"/>
        </w:rPr>
        <w:t>L</w:t>
      </w:r>
      <w:r w:rsidRPr="0068111B">
        <w:rPr>
          <w:rFonts w:ascii="Book Antiqua" w:hAnsi="Book Antiqua"/>
          <w:sz w:val="24"/>
          <w:szCs w:val="24"/>
        </w:rPr>
        <w:t xml:space="preserve">, Albumin/Globulin Ratio 0.6 L. Other labs were within normal limits, and urinalysis was negative for ketones. </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Physical examination was documented as normal. The patient was alert and oriented to person, time and place. Respiratory exam was clear to auscultation bilaterally. Cardiovascular exam revealed regular rate and rhythm, with no murmurs, rubs or gallop. Abdomen was soft, non-tender, non-distended, with normal bowel sounds, and </w:t>
      </w:r>
      <w:r w:rsidRPr="0068111B">
        <w:rPr>
          <w:rFonts w:ascii="Book Antiqua" w:hAnsi="Book Antiqua"/>
          <w:sz w:val="24"/>
          <w:szCs w:val="24"/>
        </w:rPr>
        <w:lastRenderedPageBreak/>
        <w:t>no organomegaly. Neurological exam showed intact cranial nerves 2-12, reflexes were 2+ and symmetric at the biceps, triceps, knees, and ankles. Plantar responses for flexor, light touch, pinprick, position sense, and vibration sense was impaired in fingers and toes, Rapid alternating movements and fine finger movements are intact. There was no dysmetria on finger-to-nose and heel-knee-shin. There w</w:t>
      </w:r>
      <w:r w:rsidR="001104BC">
        <w:rPr>
          <w:rFonts w:ascii="Book Antiqua" w:hAnsi="Book Antiqua" w:hint="eastAsia"/>
          <w:sz w:val="24"/>
          <w:szCs w:val="24"/>
        </w:rPr>
        <w:t>ere</w:t>
      </w:r>
      <w:r w:rsidRPr="0068111B">
        <w:rPr>
          <w:rFonts w:ascii="Book Antiqua" w:hAnsi="Book Antiqua"/>
          <w:sz w:val="24"/>
          <w:szCs w:val="24"/>
        </w:rPr>
        <w:t xml:space="preserve"> no abnormal or extraneous movements. Romberg was absent.</w:t>
      </w:r>
      <w:r w:rsidR="00312F74" w:rsidRPr="0068111B">
        <w:rPr>
          <w:rFonts w:ascii="Book Antiqua" w:hAnsi="Book Antiqua"/>
          <w:sz w:val="24"/>
          <w:szCs w:val="24"/>
        </w:rPr>
        <w:t xml:space="preserve"> </w:t>
      </w:r>
      <w:r w:rsidRPr="0068111B">
        <w:rPr>
          <w:rFonts w:ascii="Book Antiqua" w:hAnsi="Book Antiqua"/>
          <w:sz w:val="24"/>
          <w:szCs w:val="24"/>
        </w:rPr>
        <w:t>The skin was warm, dry, with no identified rashes.</w:t>
      </w:r>
      <w:r w:rsidR="00312F74" w:rsidRPr="0068111B">
        <w:rPr>
          <w:rFonts w:ascii="Book Antiqua" w:hAnsi="Book Antiqua"/>
          <w:sz w:val="24"/>
          <w:szCs w:val="24"/>
        </w:rPr>
        <w:t xml:space="preserve"> </w:t>
      </w:r>
      <w:r w:rsidRPr="0068111B">
        <w:rPr>
          <w:rFonts w:ascii="Book Antiqua" w:hAnsi="Book Antiqua"/>
          <w:sz w:val="24"/>
          <w:szCs w:val="24"/>
        </w:rPr>
        <w:t xml:space="preserve">Imaging in the </w:t>
      </w:r>
      <w:r w:rsidR="001104BC" w:rsidRPr="0068111B">
        <w:rPr>
          <w:rFonts w:ascii="Book Antiqua" w:hAnsi="Book Antiqua"/>
          <w:sz w:val="24"/>
          <w:szCs w:val="24"/>
        </w:rPr>
        <w:t>ED</w:t>
      </w:r>
      <w:r w:rsidRPr="0068111B">
        <w:rPr>
          <w:rFonts w:ascii="Book Antiqua" w:hAnsi="Book Antiqua"/>
          <w:sz w:val="24"/>
          <w:szCs w:val="24"/>
        </w:rPr>
        <w:t xml:space="preserve"> was limited to a plain film of the chest which demonstrated atelectasis </w:t>
      </w:r>
      <w:r w:rsidRPr="001104BC">
        <w:rPr>
          <w:rFonts w:ascii="Book Antiqua" w:hAnsi="Book Antiqua"/>
          <w:i/>
          <w:sz w:val="24"/>
          <w:szCs w:val="24"/>
        </w:rPr>
        <w:t xml:space="preserve">vs </w:t>
      </w:r>
      <w:r w:rsidRPr="0068111B">
        <w:rPr>
          <w:rFonts w:ascii="Book Antiqua" w:hAnsi="Book Antiqua"/>
          <w:sz w:val="24"/>
          <w:szCs w:val="24"/>
        </w:rPr>
        <w:t xml:space="preserve">scarring in the lateral left base, without infiltrates. </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The patient was admitted to the general medicine ward for treatment of hyperglycemia. He was initially given 0.2 units/kg of Lantus once, and then put on insulin sliding scale with blood glucose measurements every 6 h. A second abdominal examination was performed several hours after admission because of an elevated alkaline phosphatase, without any concerning findings. Additionally, an abdominal ultrasound was performed which exhibited hepatomegaly with the liver measuring to 18cm in length. While no hepatic biliary tract obstruction was noted on ultrasound, his gallbladder was found to have a thickened wall, with pericholecystic fluid an</w:t>
      </w:r>
      <w:r w:rsidR="004E738B">
        <w:rPr>
          <w:rFonts w:ascii="Book Antiqua" w:hAnsi="Book Antiqua"/>
          <w:sz w:val="24"/>
          <w:szCs w:val="24"/>
        </w:rPr>
        <w:t>d multiple hyper-echoic calculi</w:t>
      </w:r>
      <w:r w:rsidRPr="0068111B">
        <w:rPr>
          <w:rFonts w:ascii="Book Antiqua" w:hAnsi="Book Antiqua"/>
          <w:sz w:val="24"/>
          <w:szCs w:val="24"/>
        </w:rPr>
        <w:t xml:space="preserve"> (Figure 1)</w:t>
      </w:r>
      <w:r w:rsidR="004E738B">
        <w:rPr>
          <w:rFonts w:ascii="Book Antiqua" w:hAnsi="Book Antiqua" w:hint="eastAsia"/>
          <w:sz w:val="24"/>
          <w:szCs w:val="24"/>
        </w:rPr>
        <w:t>.</w:t>
      </w:r>
      <w:r w:rsidRPr="0068111B">
        <w:rPr>
          <w:rFonts w:ascii="Book Antiqua" w:hAnsi="Book Antiqua"/>
          <w:sz w:val="24"/>
          <w:szCs w:val="24"/>
        </w:rPr>
        <w:t xml:space="preserve"> These findings were strongly concerning for acute cholecystitis.</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The patient was started on 3.375 g of Piperacillin/Tazobactam, every 6 h IV.</w:t>
      </w:r>
      <w:r w:rsidR="00312F74" w:rsidRPr="0068111B">
        <w:rPr>
          <w:rFonts w:ascii="Book Antiqua" w:hAnsi="Book Antiqua"/>
          <w:sz w:val="24"/>
          <w:szCs w:val="24"/>
        </w:rPr>
        <w:t xml:space="preserve"> </w:t>
      </w:r>
      <w:r w:rsidRPr="0068111B">
        <w:rPr>
          <w:rFonts w:ascii="Book Antiqua" w:hAnsi="Book Antiqua"/>
          <w:sz w:val="24"/>
          <w:szCs w:val="24"/>
        </w:rPr>
        <w:t>The patient’s condition improved overall by hospital day two. He denied nausea, vomiting and abdominal pain. Given his reassuring vials, exam and symptomatology in the face of an abnormal ultrasound a HIDA scan was ordered which also suggested acute cholecystitis</w:t>
      </w:r>
      <w:r w:rsidR="004E738B">
        <w:rPr>
          <w:rFonts w:ascii="Book Antiqua" w:hAnsi="Book Antiqua" w:hint="eastAsia"/>
          <w:sz w:val="24"/>
          <w:szCs w:val="24"/>
        </w:rPr>
        <w:t xml:space="preserve"> (</w:t>
      </w:r>
      <w:r w:rsidR="004E738B" w:rsidRPr="0068111B">
        <w:rPr>
          <w:rFonts w:ascii="Book Antiqua" w:hAnsi="Book Antiqua"/>
          <w:sz w:val="24"/>
          <w:szCs w:val="24"/>
        </w:rPr>
        <w:t>Figure</w:t>
      </w:r>
      <w:r w:rsidR="004E738B">
        <w:rPr>
          <w:rFonts w:ascii="Book Antiqua" w:hAnsi="Book Antiqua"/>
          <w:sz w:val="24"/>
          <w:szCs w:val="24"/>
        </w:rPr>
        <w:t xml:space="preserve"> </w:t>
      </w:r>
      <w:r w:rsidR="004E738B">
        <w:rPr>
          <w:rFonts w:ascii="Book Antiqua" w:hAnsi="Book Antiqua" w:hint="eastAsia"/>
          <w:sz w:val="24"/>
          <w:szCs w:val="24"/>
        </w:rPr>
        <w:t>2)</w:t>
      </w:r>
      <w:r w:rsidRPr="0068111B">
        <w:rPr>
          <w:rFonts w:ascii="Book Antiqua" w:hAnsi="Book Antiqua"/>
          <w:sz w:val="24"/>
          <w:szCs w:val="24"/>
        </w:rPr>
        <w:t xml:space="preserve">. </w:t>
      </w:r>
    </w:p>
    <w:p w:rsidR="000658B7" w:rsidRPr="0068111B"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Soon after, the patient developed a low-grade fever of 100.4 F, with chills and rigors. A set of blood cultures was obtained, and general surgery was consulted. They recommended continuing IV antibiotics and preparation for surgery. Demerol (Meperidine) and Tylenol (acetaminophen) were added for fever and pain.</w:t>
      </w:r>
      <w:r w:rsidR="00312F74" w:rsidRPr="0068111B">
        <w:rPr>
          <w:rFonts w:ascii="Book Antiqua" w:hAnsi="Book Antiqua"/>
          <w:sz w:val="24"/>
          <w:szCs w:val="24"/>
        </w:rPr>
        <w:t xml:space="preserve"> </w:t>
      </w:r>
    </w:p>
    <w:p w:rsidR="001104BC"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The patient thereafter underwent a laparoscopic cholecystectomy. The findings were significant for a </w:t>
      </w:r>
      <w:proofErr w:type="spellStart"/>
      <w:r w:rsidRPr="0068111B">
        <w:rPr>
          <w:rFonts w:ascii="Book Antiqua" w:hAnsi="Book Antiqua"/>
          <w:sz w:val="24"/>
          <w:szCs w:val="24"/>
        </w:rPr>
        <w:t>severly</w:t>
      </w:r>
      <w:proofErr w:type="spellEnd"/>
      <w:r w:rsidRPr="0068111B">
        <w:rPr>
          <w:rFonts w:ascii="Book Antiqua" w:hAnsi="Book Antiqua"/>
          <w:sz w:val="24"/>
          <w:szCs w:val="24"/>
        </w:rPr>
        <w:t xml:space="preserve"> gangrenous gallbladder, with copious purulent drainage from </w:t>
      </w:r>
      <w:r w:rsidRPr="0068111B">
        <w:rPr>
          <w:rFonts w:ascii="Book Antiqua" w:hAnsi="Book Antiqua"/>
          <w:sz w:val="24"/>
          <w:szCs w:val="24"/>
        </w:rPr>
        <w:lastRenderedPageBreak/>
        <w:t>gallbladder, subhepatic abscess, and cholelithiasis, and this was confirmed in post-ope</w:t>
      </w:r>
      <w:r w:rsidR="001104BC">
        <w:rPr>
          <w:rFonts w:ascii="Book Antiqua" w:hAnsi="Book Antiqua"/>
          <w:sz w:val="24"/>
          <w:szCs w:val="24"/>
        </w:rPr>
        <w:t>rative histopathology</w:t>
      </w:r>
      <w:r w:rsidRPr="0068111B">
        <w:rPr>
          <w:rFonts w:ascii="Book Antiqua" w:hAnsi="Book Antiqua"/>
          <w:sz w:val="24"/>
          <w:szCs w:val="24"/>
        </w:rPr>
        <w:t xml:space="preserve">. The patient’s abdomen was irrigated copiously during the procedure. There were no perioperative complications. </w:t>
      </w:r>
    </w:p>
    <w:p w:rsidR="001104BC"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On the next hospital day, the patient was feeling well without complaints including no abdominal pain, fevers, rigors or chills. Abdominal examination continued to be benign, and the surgical wound was well approximated. WBC trended down to normal limits. Alkaline phosphatase had down trended from 196 U/L on admission to as low as 127</w:t>
      </w:r>
      <w:r w:rsidR="001104BC">
        <w:rPr>
          <w:rFonts w:ascii="Book Antiqua" w:hAnsi="Book Antiqua" w:hint="eastAsia"/>
          <w:sz w:val="24"/>
          <w:szCs w:val="24"/>
        </w:rPr>
        <w:t xml:space="preserve"> </w:t>
      </w:r>
      <w:r w:rsidRPr="0068111B">
        <w:rPr>
          <w:rFonts w:ascii="Book Antiqua" w:hAnsi="Book Antiqua"/>
          <w:sz w:val="24"/>
          <w:szCs w:val="24"/>
        </w:rPr>
        <w:t>U/L post-operatively. The patient’s diet was advanced to regular diabetic diet, which he tolerated well, and he was later discharged home.</w:t>
      </w:r>
    </w:p>
    <w:p w:rsidR="000658B7" w:rsidRDefault="000658B7" w:rsidP="001104BC">
      <w:pPr>
        <w:spacing w:line="360" w:lineRule="auto"/>
        <w:ind w:firstLineChars="100" w:firstLine="240"/>
        <w:rPr>
          <w:rFonts w:ascii="Book Antiqua" w:hAnsi="Book Antiqua"/>
          <w:sz w:val="24"/>
          <w:szCs w:val="24"/>
        </w:rPr>
      </w:pPr>
      <w:r w:rsidRPr="0068111B">
        <w:rPr>
          <w:rFonts w:ascii="Book Antiqua" w:hAnsi="Book Antiqua"/>
          <w:sz w:val="24"/>
          <w:szCs w:val="24"/>
        </w:rPr>
        <w:t>The hyperglycemia seen in this patient was likely multifactorial, due to chronically poor compliance with diabetic medications and diet as well as acute infection. The patient’s HbA1c was 10.5% during this hospitalization and an endocrinologist was consulted who started the patient on an insulin regimen on discharge with regular follow ups.</w:t>
      </w:r>
    </w:p>
    <w:p w:rsidR="001104BC" w:rsidRPr="0068111B" w:rsidRDefault="001104BC" w:rsidP="001104BC">
      <w:pPr>
        <w:spacing w:line="360" w:lineRule="auto"/>
        <w:ind w:firstLineChars="100" w:firstLine="240"/>
        <w:rPr>
          <w:rFonts w:ascii="Book Antiqua" w:hAnsi="Book Antiqua"/>
          <w:sz w:val="24"/>
          <w:szCs w:val="24"/>
        </w:rPr>
      </w:pPr>
    </w:p>
    <w:p w:rsidR="001104BC" w:rsidRDefault="000658B7" w:rsidP="00312F74">
      <w:pPr>
        <w:spacing w:line="360" w:lineRule="auto"/>
        <w:rPr>
          <w:rFonts w:ascii="Book Antiqua" w:eastAsiaTheme="minorEastAsia" w:hAnsi="Book Antiqua"/>
          <w:b/>
          <w:sz w:val="24"/>
          <w:szCs w:val="24"/>
        </w:rPr>
      </w:pPr>
      <w:r w:rsidRPr="0068111B">
        <w:rPr>
          <w:rFonts w:ascii="Book Antiqua" w:eastAsiaTheme="minorEastAsia" w:hAnsi="Book Antiqua"/>
          <w:b/>
          <w:sz w:val="24"/>
          <w:szCs w:val="24"/>
        </w:rPr>
        <w:t>FINAL DIAGNOSIS</w:t>
      </w:r>
    </w:p>
    <w:p w:rsidR="000658B7" w:rsidRDefault="001104BC" w:rsidP="00312F74">
      <w:pPr>
        <w:spacing w:line="360" w:lineRule="auto"/>
        <w:rPr>
          <w:rFonts w:ascii="Book Antiqua" w:hAnsi="Book Antiqua"/>
          <w:sz w:val="24"/>
          <w:szCs w:val="24"/>
        </w:rPr>
      </w:pPr>
      <w:r w:rsidRPr="0068111B">
        <w:rPr>
          <w:rFonts w:ascii="Book Antiqua" w:hAnsi="Book Antiqua"/>
          <w:sz w:val="24"/>
          <w:szCs w:val="24"/>
        </w:rPr>
        <w:t>GC</w:t>
      </w:r>
      <w:r>
        <w:rPr>
          <w:rFonts w:ascii="Book Antiqua" w:hAnsi="Book Antiqua" w:hint="eastAsia"/>
          <w:sz w:val="24"/>
          <w:szCs w:val="24"/>
        </w:rPr>
        <w:t>.</w:t>
      </w:r>
    </w:p>
    <w:p w:rsidR="001104BC" w:rsidRPr="0068111B" w:rsidRDefault="001104BC" w:rsidP="00312F74">
      <w:pPr>
        <w:spacing w:line="360" w:lineRule="auto"/>
        <w:rPr>
          <w:rFonts w:ascii="Book Antiqua" w:eastAsiaTheme="minorEastAsia" w:hAnsi="Book Antiqua"/>
          <w:b/>
          <w:sz w:val="24"/>
          <w:szCs w:val="24"/>
        </w:rPr>
      </w:pPr>
    </w:p>
    <w:p w:rsidR="001104BC" w:rsidRDefault="000658B7" w:rsidP="00312F74">
      <w:pPr>
        <w:spacing w:line="360" w:lineRule="auto"/>
        <w:rPr>
          <w:rFonts w:ascii="Book Antiqua" w:hAnsi="Book Antiqua"/>
          <w:b/>
          <w:sz w:val="24"/>
          <w:szCs w:val="24"/>
        </w:rPr>
      </w:pPr>
      <w:r w:rsidRPr="0068111B">
        <w:rPr>
          <w:rFonts w:ascii="Book Antiqua" w:hAnsi="Book Antiqua"/>
          <w:b/>
          <w:sz w:val="24"/>
          <w:szCs w:val="24"/>
        </w:rPr>
        <w:t>TREATMENT</w:t>
      </w:r>
    </w:p>
    <w:p w:rsidR="000658B7" w:rsidRDefault="000658B7" w:rsidP="00312F74">
      <w:pPr>
        <w:spacing w:line="360" w:lineRule="auto"/>
        <w:rPr>
          <w:rFonts w:ascii="Book Antiqua" w:hAnsi="Book Antiqua"/>
          <w:sz w:val="24"/>
          <w:szCs w:val="24"/>
        </w:rPr>
      </w:pPr>
      <w:r w:rsidRPr="001104BC">
        <w:rPr>
          <w:rFonts w:ascii="Book Antiqua" w:hAnsi="Book Antiqua"/>
          <w:sz w:val="24"/>
          <w:szCs w:val="24"/>
        </w:rPr>
        <w:t>Cholecystectomy</w:t>
      </w:r>
      <w:r w:rsidR="001104BC" w:rsidRPr="001104BC">
        <w:rPr>
          <w:rFonts w:ascii="Book Antiqua" w:hAnsi="Book Antiqua" w:hint="eastAsia"/>
          <w:sz w:val="24"/>
          <w:szCs w:val="24"/>
        </w:rPr>
        <w:t>.</w:t>
      </w:r>
    </w:p>
    <w:p w:rsidR="001104BC" w:rsidRPr="001104BC" w:rsidRDefault="001104BC" w:rsidP="00312F74">
      <w:pPr>
        <w:spacing w:line="360" w:lineRule="auto"/>
        <w:rPr>
          <w:rFonts w:ascii="Book Antiqua" w:hAnsi="Book Antiqua"/>
          <w:sz w:val="24"/>
          <w:szCs w:val="24"/>
        </w:rPr>
      </w:pPr>
    </w:p>
    <w:p w:rsidR="001104BC" w:rsidRDefault="001104BC" w:rsidP="00312F74">
      <w:pPr>
        <w:spacing w:line="360" w:lineRule="auto"/>
        <w:rPr>
          <w:rFonts w:ascii="Book Antiqua" w:hAnsi="Book Antiqua"/>
          <w:b/>
          <w:sz w:val="24"/>
          <w:szCs w:val="24"/>
        </w:rPr>
      </w:pPr>
      <w:r>
        <w:rPr>
          <w:rFonts w:ascii="Book Antiqua" w:hAnsi="Book Antiqua"/>
          <w:b/>
          <w:sz w:val="24"/>
          <w:szCs w:val="24"/>
        </w:rPr>
        <w:t>OUTCOME AND FOLLOW-UP</w:t>
      </w:r>
    </w:p>
    <w:p w:rsidR="000658B7" w:rsidRPr="001104BC" w:rsidRDefault="000658B7" w:rsidP="00312F74">
      <w:pPr>
        <w:spacing w:line="360" w:lineRule="auto"/>
        <w:rPr>
          <w:rFonts w:ascii="Book Antiqua" w:hAnsi="Book Antiqua"/>
          <w:sz w:val="24"/>
          <w:szCs w:val="24"/>
        </w:rPr>
      </w:pPr>
      <w:r w:rsidRPr="001104BC">
        <w:rPr>
          <w:rFonts w:ascii="Book Antiqua" w:hAnsi="Book Antiqua"/>
          <w:sz w:val="24"/>
          <w:szCs w:val="24"/>
        </w:rPr>
        <w:t>Clinic follow up</w:t>
      </w:r>
      <w:r w:rsidR="001104BC" w:rsidRPr="001104BC">
        <w:rPr>
          <w:rFonts w:ascii="Book Antiqua" w:hAnsi="Book Antiqua" w:hint="eastAsia"/>
          <w:sz w:val="24"/>
          <w:szCs w:val="24"/>
        </w:rPr>
        <w:t>.</w:t>
      </w:r>
    </w:p>
    <w:p w:rsidR="001104BC" w:rsidRPr="0068111B" w:rsidRDefault="001104BC" w:rsidP="00312F74">
      <w:pPr>
        <w:spacing w:line="360" w:lineRule="auto"/>
        <w:rPr>
          <w:rFonts w:ascii="Book Antiqua" w:hAnsi="Book Antiqua"/>
          <w:b/>
          <w:sz w:val="24"/>
          <w:szCs w:val="24"/>
        </w:rPr>
      </w:pPr>
    </w:p>
    <w:p w:rsidR="000658B7" w:rsidRPr="0068111B" w:rsidRDefault="000658B7" w:rsidP="00312F74">
      <w:pPr>
        <w:spacing w:line="360" w:lineRule="auto"/>
        <w:rPr>
          <w:rFonts w:ascii="Book Antiqua" w:hAnsi="Book Antiqua"/>
          <w:b/>
          <w:sz w:val="24"/>
          <w:szCs w:val="24"/>
        </w:rPr>
      </w:pPr>
      <w:r w:rsidRPr="0068111B">
        <w:rPr>
          <w:rFonts w:ascii="Book Antiqua" w:hAnsi="Book Antiqua"/>
          <w:b/>
          <w:sz w:val="24"/>
          <w:szCs w:val="24"/>
        </w:rPr>
        <w:t>DISCUSSION</w:t>
      </w:r>
    </w:p>
    <w:p w:rsidR="000658B7" w:rsidRPr="0068111B" w:rsidRDefault="000658B7" w:rsidP="00312F74">
      <w:pPr>
        <w:spacing w:line="360" w:lineRule="auto"/>
        <w:rPr>
          <w:rFonts w:ascii="Book Antiqua" w:hAnsi="Book Antiqua"/>
          <w:sz w:val="24"/>
          <w:szCs w:val="24"/>
        </w:rPr>
      </w:pPr>
      <w:r w:rsidRPr="0068111B">
        <w:rPr>
          <w:rFonts w:ascii="Book Antiqua" w:hAnsi="Book Antiqua"/>
          <w:sz w:val="24"/>
          <w:szCs w:val="24"/>
        </w:rPr>
        <w:t>This case illustrates the sometimes difficult nature of identifying underlying diseases in patients with severe diabetes and associated complications. This patient had an elevated Alkaline Phosphatase and a mild leukocytosis in the setting of nausea and vomiting.</w:t>
      </w:r>
      <w:r w:rsidR="00312F74" w:rsidRPr="0068111B">
        <w:rPr>
          <w:rFonts w:ascii="Book Antiqua" w:hAnsi="Book Antiqua"/>
          <w:sz w:val="24"/>
          <w:szCs w:val="24"/>
        </w:rPr>
        <w:t xml:space="preserve"> </w:t>
      </w:r>
      <w:r w:rsidRPr="0068111B">
        <w:rPr>
          <w:rFonts w:ascii="Book Antiqua" w:hAnsi="Book Antiqua"/>
          <w:sz w:val="24"/>
          <w:szCs w:val="24"/>
        </w:rPr>
        <w:t xml:space="preserve">This prompted further investigation in the form of medical imaging despite benign </w:t>
      </w:r>
      <w:r w:rsidRPr="0068111B">
        <w:rPr>
          <w:rFonts w:ascii="Book Antiqua" w:hAnsi="Book Antiqua"/>
          <w:sz w:val="24"/>
          <w:szCs w:val="24"/>
        </w:rPr>
        <w:lastRenderedPageBreak/>
        <w:t>abdominal exam ultimately leading to diagnosis of acute cholecystitis with gangrenous gallbladder.</w:t>
      </w:r>
      <w:r w:rsidR="00312F74" w:rsidRPr="0068111B">
        <w:rPr>
          <w:rFonts w:ascii="Book Antiqua" w:hAnsi="Book Antiqua"/>
          <w:sz w:val="24"/>
          <w:szCs w:val="24"/>
        </w:rPr>
        <w:t xml:space="preserve"> </w:t>
      </w:r>
      <w:r w:rsidRPr="0068111B">
        <w:rPr>
          <w:rFonts w:ascii="Book Antiqua" w:hAnsi="Book Antiqua"/>
          <w:sz w:val="24"/>
          <w:szCs w:val="24"/>
        </w:rPr>
        <w:t>This joins the ranks of three similar cases which have been reported in the liter</w:t>
      </w:r>
      <w:r w:rsidR="001A4926">
        <w:rPr>
          <w:rFonts w:ascii="Book Antiqua" w:hAnsi="Book Antiqua"/>
          <w:sz w:val="24"/>
          <w:szCs w:val="24"/>
        </w:rPr>
        <w:t xml:space="preserve">ature, all with a history of </w:t>
      </w:r>
      <w:proofErr w:type="gramStart"/>
      <w:r w:rsidR="001A4926">
        <w:rPr>
          <w:rFonts w:ascii="Book Antiqua" w:hAnsi="Book Antiqua"/>
          <w:sz w:val="24"/>
          <w:szCs w:val="24"/>
        </w:rPr>
        <w:t>DM</w:t>
      </w:r>
      <w:r w:rsidRPr="001A4926">
        <w:rPr>
          <w:rFonts w:ascii="Book Antiqua" w:hAnsi="Book Antiqua"/>
          <w:sz w:val="24"/>
          <w:szCs w:val="24"/>
          <w:vertAlign w:val="superscript"/>
        </w:rPr>
        <w:t>[</w:t>
      </w:r>
      <w:proofErr w:type="gramEnd"/>
      <w:r w:rsidRPr="001A4926">
        <w:rPr>
          <w:rFonts w:ascii="Book Antiqua" w:hAnsi="Book Antiqua"/>
          <w:sz w:val="24"/>
          <w:szCs w:val="24"/>
          <w:vertAlign w:val="superscript"/>
        </w:rPr>
        <w:t>10</w:t>
      </w:r>
      <w:r w:rsidR="001A4926" w:rsidRPr="001A4926">
        <w:rPr>
          <w:rFonts w:ascii="Book Antiqua" w:hAnsi="Book Antiqua" w:hint="eastAsia"/>
          <w:sz w:val="24"/>
          <w:szCs w:val="24"/>
          <w:vertAlign w:val="superscript"/>
        </w:rPr>
        <w:t>-</w:t>
      </w:r>
      <w:r w:rsidRPr="001A4926">
        <w:rPr>
          <w:rFonts w:ascii="Book Antiqua" w:hAnsi="Book Antiqua"/>
          <w:sz w:val="24"/>
          <w:szCs w:val="24"/>
          <w:vertAlign w:val="superscript"/>
        </w:rPr>
        <w:t>12]</w:t>
      </w:r>
      <w:r w:rsidRPr="0068111B">
        <w:rPr>
          <w:rFonts w:ascii="Book Antiqua" w:hAnsi="Book Antiqua"/>
          <w:sz w:val="24"/>
          <w:szCs w:val="24"/>
        </w:rPr>
        <w:t xml:space="preserve">. </w:t>
      </w:r>
    </w:p>
    <w:p w:rsidR="000658B7" w:rsidRPr="0068111B" w:rsidRDefault="000658B7" w:rsidP="001A4926">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Fagan </w:t>
      </w:r>
      <w:r w:rsidRPr="001A4926">
        <w:rPr>
          <w:rFonts w:ascii="Book Antiqua" w:hAnsi="Book Antiqua"/>
          <w:i/>
          <w:sz w:val="24"/>
          <w:szCs w:val="24"/>
        </w:rPr>
        <w:t>et al</w:t>
      </w:r>
      <w:r w:rsidR="001A4926" w:rsidRPr="001A4926">
        <w:rPr>
          <w:rFonts w:ascii="Book Antiqua" w:hAnsi="Book Antiqua"/>
          <w:sz w:val="24"/>
          <w:szCs w:val="24"/>
          <w:vertAlign w:val="superscript"/>
        </w:rPr>
        <w:t>[13]</w:t>
      </w:r>
      <w:r w:rsidRPr="0068111B">
        <w:rPr>
          <w:rFonts w:ascii="Book Antiqua" w:hAnsi="Book Antiqua"/>
          <w:sz w:val="24"/>
          <w:szCs w:val="24"/>
        </w:rPr>
        <w:t xml:space="preserve"> asserted that several variables, including </w:t>
      </w:r>
      <w:r w:rsidR="001104BC" w:rsidRPr="0068111B">
        <w:rPr>
          <w:rFonts w:ascii="Book Antiqua" w:hAnsi="Book Antiqua"/>
          <w:sz w:val="24"/>
          <w:szCs w:val="24"/>
        </w:rPr>
        <w:t>WBC</w:t>
      </w:r>
      <w:r w:rsidRPr="0068111B">
        <w:rPr>
          <w:rFonts w:ascii="Book Antiqua" w:hAnsi="Book Antiqua"/>
          <w:sz w:val="24"/>
          <w:szCs w:val="24"/>
        </w:rPr>
        <w:t xml:space="preserve"> &gt;</w:t>
      </w:r>
      <w:r w:rsidR="001A4926">
        <w:rPr>
          <w:rFonts w:ascii="Book Antiqua" w:hAnsi="Book Antiqua" w:hint="eastAsia"/>
          <w:sz w:val="24"/>
          <w:szCs w:val="24"/>
        </w:rPr>
        <w:t xml:space="preserve"> </w:t>
      </w:r>
      <w:r w:rsidR="001A4926">
        <w:rPr>
          <w:rFonts w:ascii="Book Antiqua" w:hAnsi="Book Antiqua"/>
          <w:sz w:val="24"/>
          <w:szCs w:val="24"/>
        </w:rPr>
        <w:t>15</w:t>
      </w:r>
      <w:r w:rsidRPr="0068111B">
        <w:rPr>
          <w:rFonts w:ascii="Book Antiqua" w:hAnsi="Book Antiqua"/>
          <w:sz w:val="24"/>
          <w:szCs w:val="24"/>
        </w:rPr>
        <w:t xml:space="preserve">000, history of diabetes, African American race, abnormal liver function tests (elevated ALT, AST, ALP, lipase levels) and pericholecystic fluid were associated with GC. An additional study found after multivariate analysis that in </w:t>
      </w:r>
      <w:proofErr w:type="spellStart"/>
      <w:r w:rsidRPr="0068111B">
        <w:rPr>
          <w:rFonts w:ascii="Book Antiqua" w:hAnsi="Book Antiqua"/>
          <w:sz w:val="24"/>
          <w:szCs w:val="24"/>
        </w:rPr>
        <w:t>patient’s</w:t>
      </w:r>
      <w:proofErr w:type="spellEnd"/>
      <w:r w:rsidRPr="0068111B">
        <w:rPr>
          <w:rFonts w:ascii="Book Antiqua" w:hAnsi="Book Antiqua"/>
          <w:sz w:val="24"/>
          <w:szCs w:val="24"/>
        </w:rPr>
        <w:t xml:space="preserve"> with cholecystitis those with history of diabetes and leukocytosis were significantly more likely to have a gangrenous gallbladder. Finally, </w:t>
      </w:r>
      <w:proofErr w:type="spellStart"/>
      <w:r w:rsidRPr="0068111B">
        <w:rPr>
          <w:rFonts w:ascii="Book Antiqua" w:hAnsi="Book Antiqua"/>
          <w:sz w:val="24"/>
          <w:szCs w:val="24"/>
        </w:rPr>
        <w:t>Contini</w:t>
      </w:r>
      <w:proofErr w:type="spellEnd"/>
      <w:r w:rsidRPr="0068111B">
        <w:rPr>
          <w:rFonts w:ascii="Book Antiqua" w:hAnsi="Book Antiqua"/>
          <w:sz w:val="24"/>
          <w:szCs w:val="24"/>
        </w:rPr>
        <w:t xml:space="preserve"> </w:t>
      </w:r>
      <w:r w:rsidRPr="001A4926">
        <w:rPr>
          <w:rFonts w:ascii="Book Antiqua" w:hAnsi="Book Antiqua"/>
          <w:i/>
          <w:sz w:val="24"/>
          <w:szCs w:val="24"/>
        </w:rPr>
        <w:t xml:space="preserve">et </w:t>
      </w:r>
      <w:proofErr w:type="gramStart"/>
      <w:r w:rsidRPr="001A4926">
        <w:rPr>
          <w:rFonts w:ascii="Book Antiqua" w:hAnsi="Book Antiqua"/>
          <w:i/>
          <w:sz w:val="24"/>
          <w:szCs w:val="24"/>
        </w:rPr>
        <w:t>al</w:t>
      </w:r>
      <w:r w:rsidR="001A4926" w:rsidRPr="001A4926">
        <w:rPr>
          <w:rFonts w:ascii="Book Antiqua" w:hAnsi="Book Antiqua"/>
          <w:sz w:val="24"/>
          <w:szCs w:val="24"/>
          <w:vertAlign w:val="superscript"/>
        </w:rPr>
        <w:t>[</w:t>
      </w:r>
      <w:proofErr w:type="gramEnd"/>
      <w:r w:rsidR="001A4926" w:rsidRPr="001A4926">
        <w:rPr>
          <w:rFonts w:ascii="Book Antiqua" w:hAnsi="Book Antiqua"/>
          <w:sz w:val="24"/>
          <w:szCs w:val="24"/>
          <w:vertAlign w:val="superscript"/>
        </w:rPr>
        <w:t>7]</w:t>
      </w:r>
      <w:r w:rsidRPr="0068111B">
        <w:rPr>
          <w:rFonts w:ascii="Book Antiqua" w:hAnsi="Book Antiqua"/>
          <w:sz w:val="24"/>
          <w:szCs w:val="24"/>
        </w:rPr>
        <w:t xml:space="preserve"> have implicated that WBC count was the strongest pre</w:t>
      </w:r>
      <w:r w:rsidR="001A4926">
        <w:rPr>
          <w:rFonts w:ascii="Book Antiqua" w:hAnsi="Book Antiqua"/>
          <w:sz w:val="24"/>
          <w:szCs w:val="24"/>
        </w:rPr>
        <w:t>dictor for presence of gangrene</w:t>
      </w:r>
      <w:r w:rsidRPr="0068111B">
        <w:rPr>
          <w:rFonts w:ascii="Book Antiqua" w:hAnsi="Book Antiqua"/>
          <w:sz w:val="24"/>
          <w:szCs w:val="24"/>
        </w:rPr>
        <w:t>. The patient reported appears to support these findings given his history of diabetes as well as leukocytosis and elevated alkal</w:t>
      </w:r>
      <w:r w:rsidR="001A4926">
        <w:rPr>
          <w:rFonts w:ascii="Book Antiqua" w:hAnsi="Book Antiqua"/>
          <w:sz w:val="24"/>
          <w:szCs w:val="24"/>
        </w:rPr>
        <w:t>ine phosphatase on presentation</w:t>
      </w:r>
      <w:r w:rsidRPr="0068111B">
        <w:rPr>
          <w:rFonts w:ascii="Book Antiqua" w:hAnsi="Book Antiqua"/>
          <w:sz w:val="24"/>
          <w:szCs w:val="24"/>
        </w:rPr>
        <w:t>.</w:t>
      </w:r>
    </w:p>
    <w:p w:rsidR="001A4926" w:rsidRDefault="000658B7" w:rsidP="001A4926">
      <w:pPr>
        <w:spacing w:line="360" w:lineRule="auto"/>
        <w:ind w:firstLineChars="100" w:firstLine="240"/>
        <w:rPr>
          <w:rFonts w:ascii="Book Antiqua" w:hAnsi="Book Antiqua"/>
          <w:sz w:val="24"/>
          <w:szCs w:val="24"/>
        </w:rPr>
      </w:pPr>
      <w:r w:rsidRPr="0068111B">
        <w:rPr>
          <w:rFonts w:ascii="Book Antiqua" w:hAnsi="Book Antiqua"/>
          <w:sz w:val="24"/>
          <w:szCs w:val="24"/>
        </w:rPr>
        <w:t>It is important to recognize the natural history and life-threatening complications of GC. A gangrenous gallbladder almost invariably goes on to perforate and once gangrenous,</w:t>
      </w:r>
      <w:r w:rsidR="00312F74" w:rsidRPr="0068111B">
        <w:rPr>
          <w:rFonts w:ascii="Book Antiqua" w:hAnsi="Book Antiqua"/>
          <w:sz w:val="24"/>
          <w:szCs w:val="24"/>
        </w:rPr>
        <w:t xml:space="preserve"> </w:t>
      </w:r>
      <w:r w:rsidRPr="0068111B">
        <w:rPr>
          <w:rFonts w:ascii="Book Antiqua" w:hAnsi="Book Antiqua"/>
          <w:sz w:val="24"/>
          <w:szCs w:val="24"/>
        </w:rPr>
        <w:t>the overall complication rate approaches 25%. Perforation can lead to abscess formation and peritonitis. Ultimately, mortality rates in GC ar</w:t>
      </w:r>
      <w:r w:rsidR="001A4926">
        <w:rPr>
          <w:rFonts w:ascii="Book Antiqua" w:hAnsi="Book Antiqua"/>
          <w:sz w:val="24"/>
          <w:szCs w:val="24"/>
        </w:rPr>
        <w:t>e reported to be as high as 22</w:t>
      </w:r>
      <w:proofErr w:type="gramStart"/>
      <w:r w:rsidR="001A4926">
        <w:rPr>
          <w:rFonts w:ascii="Book Antiqua" w:hAnsi="Book Antiqua"/>
          <w:sz w:val="24"/>
          <w:szCs w:val="24"/>
        </w:rPr>
        <w:t>%</w:t>
      </w:r>
      <w:r w:rsidRPr="001A4926">
        <w:rPr>
          <w:rFonts w:ascii="Book Antiqua" w:hAnsi="Book Antiqua"/>
          <w:sz w:val="24"/>
          <w:szCs w:val="24"/>
          <w:vertAlign w:val="superscript"/>
        </w:rPr>
        <w:t>[</w:t>
      </w:r>
      <w:proofErr w:type="gramEnd"/>
      <w:r w:rsidRPr="001A4926">
        <w:rPr>
          <w:rFonts w:ascii="Book Antiqua" w:hAnsi="Book Antiqua"/>
          <w:sz w:val="24"/>
          <w:szCs w:val="24"/>
          <w:vertAlign w:val="superscript"/>
        </w:rPr>
        <w:t>7,14]</w:t>
      </w:r>
      <w:r w:rsidRPr="0068111B">
        <w:rPr>
          <w:rFonts w:ascii="Book Antiqua" w:hAnsi="Book Antiqua"/>
          <w:sz w:val="24"/>
          <w:szCs w:val="24"/>
        </w:rPr>
        <w:t xml:space="preserve">. Accordingly, early diagnosis and surgical treatment is critical to mitigate serious complications including mortality in these </w:t>
      </w:r>
      <w:proofErr w:type="gramStart"/>
      <w:r w:rsidRPr="0068111B">
        <w:rPr>
          <w:rFonts w:ascii="Book Antiqua" w:hAnsi="Book Antiqua"/>
          <w:sz w:val="24"/>
          <w:szCs w:val="24"/>
        </w:rPr>
        <w:t>patients</w:t>
      </w:r>
      <w:r w:rsidR="001A4926" w:rsidRPr="001A4926">
        <w:rPr>
          <w:rFonts w:ascii="Book Antiqua" w:hAnsi="Book Antiqua"/>
          <w:sz w:val="24"/>
          <w:szCs w:val="24"/>
          <w:vertAlign w:val="superscript"/>
        </w:rPr>
        <w:t>[</w:t>
      </w:r>
      <w:proofErr w:type="gramEnd"/>
      <w:r w:rsidR="001A4926" w:rsidRPr="001A4926">
        <w:rPr>
          <w:rFonts w:ascii="Book Antiqua" w:hAnsi="Book Antiqua"/>
          <w:sz w:val="24"/>
          <w:szCs w:val="24"/>
          <w:vertAlign w:val="superscript"/>
        </w:rPr>
        <w:t>7,14]</w:t>
      </w:r>
      <w:r w:rsidRPr="0068111B">
        <w:rPr>
          <w:rFonts w:ascii="Book Antiqua" w:hAnsi="Book Antiqua"/>
          <w:sz w:val="24"/>
          <w:szCs w:val="24"/>
        </w:rPr>
        <w:t xml:space="preserve">. </w:t>
      </w:r>
    </w:p>
    <w:p w:rsidR="000658B7" w:rsidRPr="0068111B" w:rsidRDefault="000658B7" w:rsidP="001A4926">
      <w:pPr>
        <w:spacing w:line="360" w:lineRule="auto"/>
        <w:ind w:firstLineChars="100" w:firstLine="240"/>
        <w:rPr>
          <w:rFonts w:ascii="Book Antiqua" w:hAnsi="Book Antiqua"/>
          <w:sz w:val="24"/>
          <w:szCs w:val="24"/>
        </w:rPr>
      </w:pPr>
      <w:r w:rsidRPr="0068111B">
        <w:rPr>
          <w:rFonts w:ascii="Book Antiqua" w:hAnsi="Book Antiqua"/>
          <w:sz w:val="24"/>
          <w:szCs w:val="24"/>
        </w:rPr>
        <w:t xml:space="preserve">The reason for the insidious nature of this patient’s presentation was presumably driven by his neuropathy. Neuropathy leads to a host of consequences including intrabdominal manifestations such as impaired gastric motility and inability to appreciate abdominal pain. While not fully understood, diabetics exhibit complex changes of metabolic, vascular and hormonal factors which both increase nerve fiber damage and diminish the body’s ability to repair these </w:t>
      </w:r>
      <w:proofErr w:type="gramStart"/>
      <w:r w:rsidRPr="0068111B">
        <w:rPr>
          <w:rFonts w:ascii="Book Antiqua" w:hAnsi="Book Antiqua"/>
          <w:sz w:val="24"/>
          <w:szCs w:val="24"/>
        </w:rPr>
        <w:t>nerves</w:t>
      </w:r>
      <w:r w:rsidR="001A4926" w:rsidRPr="001A4926">
        <w:rPr>
          <w:rFonts w:ascii="Book Antiqua" w:hAnsi="Book Antiqua"/>
          <w:sz w:val="24"/>
          <w:szCs w:val="24"/>
          <w:vertAlign w:val="superscript"/>
        </w:rPr>
        <w:t>[</w:t>
      </w:r>
      <w:proofErr w:type="gramEnd"/>
      <w:r w:rsidR="001A4926" w:rsidRPr="001A4926">
        <w:rPr>
          <w:rFonts w:ascii="Book Antiqua" w:hAnsi="Book Antiqua"/>
          <w:sz w:val="24"/>
          <w:szCs w:val="24"/>
          <w:vertAlign w:val="superscript"/>
        </w:rPr>
        <w:t>15,16]</w:t>
      </w:r>
      <w:r w:rsidRPr="0068111B">
        <w:rPr>
          <w:rFonts w:ascii="Book Antiqua" w:hAnsi="Book Antiqua"/>
          <w:sz w:val="24"/>
          <w:szCs w:val="24"/>
        </w:rPr>
        <w:t>. Nerve damage from ischemia is thought to contribute to the development of diabetic neuropathy.</w:t>
      </w:r>
      <w:r w:rsidR="00312F74" w:rsidRPr="0068111B">
        <w:rPr>
          <w:rFonts w:ascii="Book Antiqua" w:hAnsi="Book Antiqua"/>
          <w:sz w:val="24"/>
          <w:szCs w:val="24"/>
        </w:rPr>
        <w:t xml:space="preserve"> </w:t>
      </w:r>
      <w:r w:rsidRPr="0068111B">
        <w:rPr>
          <w:rFonts w:ascii="Book Antiqua" w:hAnsi="Book Antiqua"/>
          <w:sz w:val="24"/>
          <w:szCs w:val="24"/>
        </w:rPr>
        <w:t xml:space="preserve">In autopsies of patients with diabetic neuropathy thickened </w:t>
      </w:r>
      <w:proofErr w:type="spellStart"/>
      <w:r w:rsidRPr="0068111B">
        <w:rPr>
          <w:rFonts w:ascii="Book Antiqua" w:hAnsi="Book Antiqua"/>
          <w:sz w:val="24"/>
          <w:szCs w:val="24"/>
        </w:rPr>
        <w:t>endoneuronal</w:t>
      </w:r>
      <w:proofErr w:type="spellEnd"/>
      <w:r w:rsidRPr="0068111B">
        <w:rPr>
          <w:rFonts w:ascii="Book Antiqua" w:hAnsi="Book Antiqua"/>
          <w:sz w:val="24"/>
          <w:szCs w:val="24"/>
        </w:rPr>
        <w:t xml:space="preserve"> blood vessel walls and vascular occlusions are commonly </w:t>
      </w:r>
      <w:proofErr w:type="gramStart"/>
      <w:r w:rsidRPr="0068111B">
        <w:rPr>
          <w:rFonts w:ascii="Book Antiqua" w:hAnsi="Book Antiqua"/>
          <w:sz w:val="24"/>
          <w:szCs w:val="24"/>
        </w:rPr>
        <w:t>found</w:t>
      </w:r>
      <w:r w:rsidRPr="001A4926">
        <w:rPr>
          <w:rFonts w:ascii="Book Antiqua" w:hAnsi="Book Antiqua"/>
          <w:sz w:val="24"/>
          <w:szCs w:val="24"/>
          <w:vertAlign w:val="superscript"/>
        </w:rPr>
        <w:t>[</w:t>
      </w:r>
      <w:proofErr w:type="gramEnd"/>
      <w:r w:rsidRPr="001A4926">
        <w:rPr>
          <w:rFonts w:ascii="Book Antiqua" w:hAnsi="Book Antiqua"/>
          <w:sz w:val="24"/>
          <w:szCs w:val="24"/>
          <w:vertAlign w:val="superscript"/>
        </w:rPr>
        <w:t>17]</w:t>
      </w:r>
      <w:r w:rsidRPr="0068111B">
        <w:rPr>
          <w:rFonts w:ascii="Book Antiqua" w:hAnsi="Book Antiqua"/>
          <w:sz w:val="24"/>
          <w:szCs w:val="24"/>
        </w:rPr>
        <w:t xml:space="preserve">. This is also supported by decreased </w:t>
      </w:r>
      <w:proofErr w:type="spellStart"/>
      <w:r w:rsidRPr="0068111B">
        <w:rPr>
          <w:rFonts w:ascii="Book Antiqua" w:hAnsi="Book Antiqua"/>
          <w:sz w:val="24"/>
          <w:szCs w:val="24"/>
        </w:rPr>
        <w:t>endoneurinal</w:t>
      </w:r>
      <w:proofErr w:type="spellEnd"/>
      <w:r w:rsidRPr="0068111B">
        <w:rPr>
          <w:rFonts w:ascii="Book Antiqua" w:hAnsi="Book Antiqua"/>
          <w:sz w:val="24"/>
          <w:szCs w:val="24"/>
        </w:rPr>
        <w:t xml:space="preserve"> oxygen tension measured in sural nerves of the patien</w:t>
      </w:r>
      <w:r w:rsidR="001A4926">
        <w:rPr>
          <w:rFonts w:ascii="Book Antiqua" w:hAnsi="Book Antiqua"/>
          <w:sz w:val="24"/>
          <w:szCs w:val="24"/>
        </w:rPr>
        <w:t xml:space="preserve">ts with advanced </w:t>
      </w:r>
      <w:proofErr w:type="gramStart"/>
      <w:r w:rsidR="001A4926">
        <w:rPr>
          <w:rFonts w:ascii="Book Antiqua" w:hAnsi="Book Antiqua"/>
          <w:sz w:val="24"/>
          <w:szCs w:val="24"/>
        </w:rPr>
        <w:t>polyneuropathy</w:t>
      </w:r>
      <w:r w:rsidRPr="001A4926">
        <w:rPr>
          <w:rFonts w:ascii="Book Antiqua" w:hAnsi="Book Antiqua"/>
          <w:sz w:val="24"/>
          <w:szCs w:val="24"/>
          <w:vertAlign w:val="superscript"/>
        </w:rPr>
        <w:t>[</w:t>
      </w:r>
      <w:proofErr w:type="gramEnd"/>
      <w:r w:rsidRPr="001A4926">
        <w:rPr>
          <w:rFonts w:ascii="Book Antiqua" w:hAnsi="Book Antiqua"/>
          <w:sz w:val="24"/>
          <w:szCs w:val="24"/>
          <w:vertAlign w:val="superscript"/>
        </w:rPr>
        <w:t>18]</w:t>
      </w:r>
      <w:r w:rsidRPr="0068111B">
        <w:rPr>
          <w:rFonts w:ascii="Book Antiqua" w:hAnsi="Book Antiqua"/>
          <w:sz w:val="24"/>
          <w:szCs w:val="24"/>
        </w:rPr>
        <w:t>.</w:t>
      </w:r>
    </w:p>
    <w:p w:rsidR="000658B7" w:rsidRPr="0068111B" w:rsidRDefault="000658B7" w:rsidP="001A4926">
      <w:pPr>
        <w:spacing w:line="360" w:lineRule="auto"/>
        <w:ind w:firstLineChars="100" w:firstLine="240"/>
        <w:rPr>
          <w:rFonts w:ascii="Book Antiqua" w:hAnsi="Book Antiqua"/>
          <w:sz w:val="24"/>
          <w:szCs w:val="24"/>
        </w:rPr>
      </w:pPr>
      <w:r w:rsidRPr="0068111B">
        <w:rPr>
          <w:rFonts w:ascii="Book Antiqua" w:hAnsi="Book Antiqua"/>
          <w:sz w:val="24"/>
          <w:szCs w:val="24"/>
        </w:rPr>
        <w:lastRenderedPageBreak/>
        <w:t>Impaired neuronal repair is also thought to contri</w:t>
      </w:r>
      <w:r w:rsidR="001A4926">
        <w:rPr>
          <w:rFonts w:ascii="Book Antiqua" w:hAnsi="Book Antiqua"/>
          <w:sz w:val="24"/>
          <w:szCs w:val="24"/>
        </w:rPr>
        <w:t xml:space="preserve">bute to diabetic </w:t>
      </w:r>
      <w:proofErr w:type="gramStart"/>
      <w:r w:rsidR="001A4926">
        <w:rPr>
          <w:rFonts w:ascii="Book Antiqua" w:hAnsi="Book Antiqua"/>
          <w:sz w:val="24"/>
          <w:szCs w:val="24"/>
        </w:rPr>
        <w:t>neuropathy</w:t>
      </w:r>
      <w:r w:rsidR="001A4926" w:rsidRPr="001A4926">
        <w:rPr>
          <w:rFonts w:ascii="Book Antiqua" w:hAnsi="Book Antiqua"/>
          <w:sz w:val="24"/>
          <w:szCs w:val="24"/>
          <w:vertAlign w:val="superscript"/>
        </w:rPr>
        <w:t>[</w:t>
      </w:r>
      <w:proofErr w:type="gramEnd"/>
      <w:r w:rsidR="001A4926" w:rsidRPr="001A4926">
        <w:rPr>
          <w:rFonts w:ascii="Book Antiqua" w:hAnsi="Book Antiqua"/>
          <w:sz w:val="24"/>
          <w:szCs w:val="24"/>
          <w:vertAlign w:val="superscript"/>
        </w:rPr>
        <w:t>19,</w:t>
      </w:r>
      <w:r w:rsidRPr="001A4926">
        <w:rPr>
          <w:rFonts w:ascii="Book Antiqua" w:hAnsi="Book Antiqua"/>
          <w:sz w:val="24"/>
          <w:szCs w:val="24"/>
          <w:vertAlign w:val="superscript"/>
        </w:rPr>
        <w:t>20]</w:t>
      </w:r>
      <w:r w:rsidRPr="0068111B">
        <w:rPr>
          <w:rFonts w:ascii="Book Antiqua" w:hAnsi="Book Antiqua"/>
          <w:sz w:val="24"/>
          <w:szCs w:val="24"/>
        </w:rPr>
        <w:t xml:space="preserve">. This may be due in part to a decrease of neurotrophic peptides which mediate nerve maintenance, repair and regeneration. Specifically, nerve growth factor, brain-derived neurotrophic factor, neurotrophin-3, insulin-like growth factors, and vascular endothelial growth factor have all found to contribute to nerve </w:t>
      </w:r>
      <w:proofErr w:type="gramStart"/>
      <w:r w:rsidRPr="0068111B">
        <w:rPr>
          <w:rFonts w:ascii="Book Antiqua" w:hAnsi="Book Antiqua"/>
          <w:sz w:val="24"/>
          <w:szCs w:val="24"/>
        </w:rPr>
        <w:t>health</w:t>
      </w:r>
      <w:r w:rsidRPr="001A4926">
        <w:rPr>
          <w:rFonts w:ascii="Book Antiqua" w:hAnsi="Book Antiqua"/>
          <w:sz w:val="24"/>
          <w:szCs w:val="24"/>
          <w:vertAlign w:val="superscript"/>
        </w:rPr>
        <w:t>[</w:t>
      </w:r>
      <w:proofErr w:type="gramEnd"/>
      <w:r w:rsidRPr="001A4926">
        <w:rPr>
          <w:rFonts w:ascii="Book Antiqua" w:hAnsi="Book Antiqua"/>
          <w:sz w:val="24"/>
          <w:szCs w:val="24"/>
          <w:vertAlign w:val="superscript"/>
        </w:rPr>
        <w:t>20]</w:t>
      </w:r>
      <w:r w:rsidRPr="0068111B">
        <w:rPr>
          <w:rFonts w:ascii="Book Antiqua" w:hAnsi="Book Antiqua"/>
          <w:sz w:val="24"/>
          <w:szCs w:val="24"/>
        </w:rPr>
        <w:t>. Moreover, insulin itself plays an important role as a neurotrophic factor to peripheral neurons; and</w:t>
      </w:r>
      <w:r w:rsidR="00312F74" w:rsidRPr="0068111B">
        <w:rPr>
          <w:rFonts w:ascii="Book Antiqua" w:hAnsi="Book Antiqua"/>
          <w:sz w:val="24"/>
          <w:szCs w:val="24"/>
        </w:rPr>
        <w:t xml:space="preserve"> </w:t>
      </w:r>
      <w:r w:rsidRPr="0068111B">
        <w:rPr>
          <w:rFonts w:ascii="Book Antiqua" w:hAnsi="Book Antiqua"/>
          <w:sz w:val="24"/>
          <w:szCs w:val="24"/>
        </w:rPr>
        <w:t>the low insulin state present in type 1 diabetes may be particularly detrimen</w:t>
      </w:r>
      <w:r w:rsidR="001A4926">
        <w:rPr>
          <w:rFonts w:ascii="Book Antiqua" w:hAnsi="Book Antiqua"/>
          <w:sz w:val="24"/>
          <w:szCs w:val="24"/>
        </w:rPr>
        <w:t xml:space="preserve">tal to overall nerve </w:t>
      </w:r>
      <w:proofErr w:type="gramStart"/>
      <w:r w:rsidR="001A4926">
        <w:rPr>
          <w:rFonts w:ascii="Book Antiqua" w:hAnsi="Book Antiqua"/>
          <w:sz w:val="24"/>
          <w:szCs w:val="24"/>
        </w:rPr>
        <w:t>health</w:t>
      </w:r>
      <w:r w:rsidR="001A4926" w:rsidRPr="001A4926">
        <w:rPr>
          <w:rFonts w:ascii="Book Antiqua" w:hAnsi="Book Antiqua"/>
          <w:sz w:val="24"/>
          <w:szCs w:val="24"/>
          <w:vertAlign w:val="superscript"/>
        </w:rPr>
        <w:t>[</w:t>
      </w:r>
      <w:proofErr w:type="gramEnd"/>
      <w:r w:rsidR="001A4926" w:rsidRPr="001A4926">
        <w:rPr>
          <w:rFonts w:ascii="Book Antiqua" w:hAnsi="Book Antiqua"/>
          <w:sz w:val="24"/>
          <w:szCs w:val="24"/>
          <w:vertAlign w:val="superscript"/>
        </w:rPr>
        <w:t>15,</w:t>
      </w:r>
      <w:r w:rsidRPr="001A4926">
        <w:rPr>
          <w:rFonts w:ascii="Book Antiqua" w:hAnsi="Book Antiqua"/>
          <w:sz w:val="24"/>
          <w:szCs w:val="24"/>
          <w:vertAlign w:val="superscript"/>
        </w:rPr>
        <w:t>21]</w:t>
      </w:r>
      <w:r w:rsidRPr="0068111B">
        <w:rPr>
          <w:rFonts w:ascii="Book Antiqua" w:hAnsi="Book Antiqua"/>
          <w:sz w:val="24"/>
          <w:szCs w:val="24"/>
        </w:rPr>
        <w:t xml:space="preserve">. </w:t>
      </w:r>
    </w:p>
    <w:p w:rsidR="000658B7" w:rsidRPr="0068111B" w:rsidRDefault="000658B7" w:rsidP="001A4926">
      <w:pPr>
        <w:spacing w:line="360" w:lineRule="auto"/>
        <w:ind w:firstLineChars="100" w:firstLine="240"/>
        <w:rPr>
          <w:rFonts w:ascii="Book Antiqua" w:hAnsi="Book Antiqua"/>
          <w:sz w:val="24"/>
          <w:szCs w:val="24"/>
        </w:rPr>
      </w:pPr>
      <w:r w:rsidRPr="0068111B">
        <w:rPr>
          <w:rFonts w:ascii="Book Antiqua" w:hAnsi="Book Antiqua"/>
          <w:sz w:val="24"/>
          <w:szCs w:val="24"/>
        </w:rPr>
        <w:t>In conclusion, this case illustrates the insidious presentation of a life-threatening surgical disease in a patient admitted for medical management of hyperglycemia. Gangrenous gallbladder is a serious complication of acute cholecystitis which was largely masked by a benign abdominal exam in a patient with severe diabetic neuropathy. This is similar to diabetic patients presenting with “silent” acute coronary syndrome.</w:t>
      </w:r>
      <w:r w:rsidR="00312F74" w:rsidRPr="0068111B">
        <w:rPr>
          <w:rFonts w:ascii="Book Antiqua" w:hAnsi="Book Antiqua"/>
          <w:sz w:val="24"/>
          <w:szCs w:val="24"/>
        </w:rPr>
        <w:t xml:space="preserve"> </w:t>
      </w:r>
      <w:r w:rsidRPr="0068111B">
        <w:rPr>
          <w:rFonts w:ascii="Book Antiqua" w:hAnsi="Book Antiqua"/>
          <w:sz w:val="24"/>
          <w:szCs w:val="24"/>
        </w:rPr>
        <w:t xml:space="preserve">In conclusion, it is important that in patients with a history of poorly controlled diabetes, a higher index of suspicion should be raised for severe intraabdominal pathology even in the setting of a benign abdominal exam. </w:t>
      </w:r>
    </w:p>
    <w:p w:rsidR="000658B7" w:rsidRPr="0068111B" w:rsidRDefault="000658B7" w:rsidP="00312F74">
      <w:pPr>
        <w:spacing w:line="360" w:lineRule="auto"/>
        <w:rPr>
          <w:rFonts w:ascii="Book Antiqua" w:hAnsi="Book Antiqua"/>
          <w:sz w:val="24"/>
          <w:szCs w:val="24"/>
        </w:rPr>
      </w:pPr>
    </w:p>
    <w:p w:rsidR="000658B7" w:rsidRPr="0068111B" w:rsidRDefault="000658B7" w:rsidP="00312F74">
      <w:pPr>
        <w:spacing w:line="360" w:lineRule="auto"/>
        <w:rPr>
          <w:rFonts w:ascii="Book Antiqua" w:hAnsi="Book Antiqua"/>
          <w:b/>
          <w:sz w:val="24"/>
          <w:szCs w:val="24"/>
        </w:rPr>
      </w:pPr>
      <w:r w:rsidRPr="0068111B">
        <w:rPr>
          <w:rFonts w:ascii="Book Antiqua" w:eastAsiaTheme="minorEastAsia" w:hAnsi="Book Antiqua"/>
          <w:b/>
          <w:sz w:val="24"/>
          <w:szCs w:val="24"/>
        </w:rPr>
        <w:t xml:space="preserve">EXPERIENCES AND LESSONS </w:t>
      </w:r>
    </w:p>
    <w:p w:rsidR="000658B7" w:rsidRPr="0068111B" w:rsidRDefault="001104BC" w:rsidP="001A4926">
      <w:pPr>
        <w:widowControl/>
        <w:spacing w:line="360" w:lineRule="auto"/>
        <w:rPr>
          <w:rFonts w:ascii="Book Antiqua" w:hAnsi="Book Antiqua"/>
          <w:sz w:val="24"/>
          <w:szCs w:val="24"/>
        </w:rPr>
      </w:pPr>
      <w:r w:rsidRPr="0068111B">
        <w:rPr>
          <w:rFonts w:ascii="Book Antiqua" w:hAnsi="Book Antiqua"/>
          <w:sz w:val="24"/>
          <w:szCs w:val="24"/>
        </w:rPr>
        <w:t>GC</w:t>
      </w:r>
      <w:r w:rsidR="000658B7" w:rsidRPr="0068111B">
        <w:rPr>
          <w:rFonts w:ascii="Book Antiqua" w:hAnsi="Book Antiqua"/>
          <w:sz w:val="24"/>
          <w:szCs w:val="24"/>
        </w:rPr>
        <w:t xml:space="preserve"> is a severe and potentially life-threatening complication of acute cholecystitis that occurs in up to 30% of cases. Risk factors of GC include male gender, age &gt;</w:t>
      </w:r>
      <w:r w:rsidR="001A4926">
        <w:rPr>
          <w:rFonts w:ascii="Book Antiqua" w:hAnsi="Book Antiqua" w:hint="eastAsia"/>
          <w:sz w:val="24"/>
          <w:szCs w:val="24"/>
        </w:rPr>
        <w:t xml:space="preserve"> </w:t>
      </w:r>
      <w:r w:rsidR="000658B7" w:rsidRPr="0068111B">
        <w:rPr>
          <w:rFonts w:ascii="Book Antiqua" w:hAnsi="Book Antiqua"/>
          <w:sz w:val="24"/>
          <w:szCs w:val="24"/>
        </w:rPr>
        <w:t>45 years, history of diabetes and heart disease</w:t>
      </w:r>
      <w:r w:rsidR="001A4926">
        <w:rPr>
          <w:rFonts w:ascii="Book Antiqua" w:hAnsi="Book Antiqua" w:hint="eastAsia"/>
          <w:sz w:val="24"/>
          <w:szCs w:val="24"/>
        </w:rPr>
        <w:t xml:space="preserve">. </w:t>
      </w:r>
      <w:r w:rsidRPr="0068111B">
        <w:rPr>
          <w:rFonts w:ascii="Book Antiqua" w:hAnsi="Book Antiqua"/>
          <w:sz w:val="24"/>
          <w:szCs w:val="24"/>
        </w:rPr>
        <w:t>GC</w:t>
      </w:r>
      <w:r w:rsidR="000658B7" w:rsidRPr="0068111B">
        <w:rPr>
          <w:rFonts w:ascii="Book Antiqua" w:hAnsi="Book Antiqua"/>
          <w:sz w:val="24"/>
          <w:szCs w:val="24"/>
        </w:rPr>
        <w:t xml:space="preserve"> can be asymptomatic in patients with </w:t>
      </w:r>
      <w:r w:rsidRPr="0068111B">
        <w:rPr>
          <w:rFonts w:ascii="Book Antiqua" w:hAnsi="Book Antiqua"/>
          <w:sz w:val="24"/>
          <w:szCs w:val="24"/>
        </w:rPr>
        <w:t>DM</w:t>
      </w:r>
      <w:r w:rsidR="000658B7" w:rsidRPr="0068111B">
        <w:rPr>
          <w:rFonts w:ascii="Book Antiqua" w:hAnsi="Book Antiqua"/>
          <w:sz w:val="24"/>
          <w:szCs w:val="24"/>
        </w:rPr>
        <w:t>.</w:t>
      </w:r>
      <w:r w:rsidR="001A4926">
        <w:rPr>
          <w:rFonts w:ascii="Book Antiqua" w:hAnsi="Book Antiqua" w:hint="eastAsia"/>
          <w:sz w:val="24"/>
          <w:szCs w:val="24"/>
        </w:rPr>
        <w:t xml:space="preserve"> </w:t>
      </w:r>
      <w:r w:rsidR="000658B7" w:rsidRPr="0068111B">
        <w:rPr>
          <w:rFonts w:ascii="Book Antiqua" w:hAnsi="Book Antiqua"/>
          <w:sz w:val="24"/>
          <w:szCs w:val="24"/>
        </w:rPr>
        <w:t>Patients with leukocytosis and/or abnormal liver function tests with a history of DM should be considered for further work up, regardless of symptoms or physical examination.</w:t>
      </w:r>
    </w:p>
    <w:p w:rsidR="000658B7" w:rsidRPr="0068111B" w:rsidRDefault="000658B7" w:rsidP="00312F74">
      <w:pPr>
        <w:pStyle w:val="ListParagraph"/>
        <w:spacing w:line="360" w:lineRule="auto"/>
        <w:ind w:left="0"/>
        <w:rPr>
          <w:rFonts w:ascii="Book Antiqua" w:hAnsi="Book Antiqua"/>
          <w:sz w:val="24"/>
          <w:szCs w:val="24"/>
        </w:rPr>
      </w:pPr>
      <w:bookmarkStart w:id="0" w:name="_GoBack"/>
      <w:bookmarkEnd w:id="0"/>
    </w:p>
    <w:p w:rsidR="001A4926" w:rsidRDefault="001A4926">
      <w:pPr>
        <w:widowControl/>
        <w:spacing w:after="160" w:line="259" w:lineRule="auto"/>
        <w:jc w:val="left"/>
        <w:rPr>
          <w:rFonts w:ascii="Book Antiqua" w:hAnsi="Book Antiqua"/>
          <w:b/>
          <w:bCs/>
          <w:snapToGrid w:val="0"/>
          <w:kern w:val="10"/>
          <w:sz w:val="24"/>
          <w:szCs w:val="24"/>
        </w:rPr>
      </w:pPr>
      <w:r>
        <w:rPr>
          <w:rFonts w:ascii="Book Antiqua" w:hAnsi="Book Antiqua"/>
          <w:b/>
          <w:bCs/>
          <w:snapToGrid w:val="0"/>
          <w:kern w:val="10"/>
          <w:sz w:val="24"/>
          <w:szCs w:val="24"/>
        </w:rPr>
        <w:br w:type="page"/>
      </w:r>
    </w:p>
    <w:p w:rsidR="000658B7" w:rsidRPr="00ED5264" w:rsidRDefault="000658B7" w:rsidP="00ED5264">
      <w:pPr>
        <w:spacing w:line="360" w:lineRule="auto"/>
        <w:rPr>
          <w:rFonts w:ascii="Book Antiqua" w:hAnsi="Book Antiqua"/>
          <w:b/>
          <w:bCs/>
          <w:snapToGrid w:val="0"/>
          <w:kern w:val="10"/>
          <w:sz w:val="24"/>
          <w:szCs w:val="24"/>
        </w:rPr>
      </w:pPr>
      <w:r w:rsidRPr="00ED5264">
        <w:rPr>
          <w:rFonts w:ascii="Book Antiqua" w:hAnsi="Book Antiqua"/>
          <w:b/>
          <w:bCs/>
          <w:snapToGrid w:val="0"/>
          <w:kern w:val="10"/>
          <w:sz w:val="24"/>
          <w:szCs w:val="24"/>
        </w:rPr>
        <w:lastRenderedPageBreak/>
        <w:t>REFERENCES</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 </w:t>
      </w:r>
      <w:r w:rsidRPr="00ED5264">
        <w:rPr>
          <w:rFonts w:ascii="Book Antiqua" w:hAnsi="Book Antiqua"/>
          <w:b/>
          <w:sz w:val="24"/>
          <w:szCs w:val="24"/>
        </w:rPr>
        <w:t>Kumar V</w:t>
      </w:r>
      <w:r w:rsidRPr="00ED5264">
        <w:rPr>
          <w:rFonts w:ascii="Book Antiqua" w:hAnsi="Book Antiqua"/>
          <w:sz w:val="24"/>
          <w:szCs w:val="24"/>
        </w:rPr>
        <w:t xml:space="preserve">, Abbas AK, Aster JC. Robbins and </w:t>
      </w:r>
      <w:proofErr w:type="spellStart"/>
      <w:r w:rsidRPr="00ED5264">
        <w:rPr>
          <w:rFonts w:ascii="Book Antiqua" w:hAnsi="Book Antiqua"/>
          <w:sz w:val="24"/>
          <w:szCs w:val="24"/>
        </w:rPr>
        <w:t>Cotran</w:t>
      </w:r>
      <w:proofErr w:type="spellEnd"/>
      <w:r w:rsidRPr="00ED5264">
        <w:rPr>
          <w:rFonts w:ascii="Book Antiqua" w:hAnsi="Book Antiqua"/>
          <w:sz w:val="24"/>
          <w:szCs w:val="24"/>
        </w:rPr>
        <w:t xml:space="preserve"> Pathologic Basis of Disease. 7th ed. Philadelphia, Pa: Saunders, 2005: 1194</w:t>
      </w:r>
      <w:r>
        <w:rPr>
          <w:rFonts w:ascii="Book Antiqua" w:hAnsi="Book Antiqua" w:hint="eastAsia"/>
          <w:sz w:val="24"/>
          <w:szCs w:val="24"/>
        </w:rPr>
        <w:t>-</w:t>
      </w:r>
      <w:r w:rsidRPr="00ED5264">
        <w:rPr>
          <w:rFonts w:ascii="Book Antiqua" w:hAnsi="Book Antiqua"/>
          <w:sz w:val="24"/>
          <w:szCs w:val="24"/>
        </w:rPr>
        <w:t>1195</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2 </w:t>
      </w:r>
      <w:r w:rsidRPr="00ED5264">
        <w:rPr>
          <w:rFonts w:ascii="Book Antiqua" w:hAnsi="Book Antiqua"/>
          <w:b/>
          <w:sz w:val="24"/>
          <w:szCs w:val="24"/>
        </w:rPr>
        <w:t>Smyth S</w:t>
      </w:r>
      <w:r w:rsidRPr="00ED5264">
        <w:rPr>
          <w:rFonts w:ascii="Book Antiqua" w:hAnsi="Book Antiqua"/>
          <w:sz w:val="24"/>
          <w:szCs w:val="24"/>
        </w:rPr>
        <w:t xml:space="preserve">, Heron A. Diabetes and obesity: the twin epidemics. </w:t>
      </w:r>
      <w:r w:rsidRPr="00ED5264">
        <w:rPr>
          <w:rFonts w:ascii="Book Antiqua" w:hAnsi="Book Antiqua"/>
          <w:i/>
          <w:sz w:val="24"/>
          <w:szCs w:val="24"/>
        </w:rPr>
        <w:t>Nat Med</w:t>
      </w:r>
      <w:r w:rsidRPr="00ED5264">
        <w:rPr>
          <w:rFonts w:ascii="Book Antiqua" w:hAnsi="Book Antiqua"/>
          <w:sz w:val="24"/>
          <w:szCs w:val="24"/>
        </w:rPr>
        <w:t xml:space="preserve"> 2006; </w:t>
      </w:r>
      <w:r w:rsidRPr="00ED5264">
        <w:rPr>
          <w:rFonts w:ascii="Book Antiqua" w:hAnsi="Book Antiqua"/>
          <w:b/>
          <w:sz w:val="24"/>
          <w:szCs w:val="24"/>
        </w:rPr>
        <w:t>12</w:t>
      </w:r>
      <w:r w:rsidRPr="00ED5264">
        <w:rPr>
          <w:rFonts w:ascii="Book Antiqua" w:hAnsi="Book Antiqua"/>
          <w:sz w:val="24"/>
          <w:szCs w:val="24"/>
        </w:rPr>
        <w:t>: 75-80 [PMID: 16397575 DOI: 10.1038/nm0106-75]</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3 </w:t>
      </w:r>
      <w:r w:rsidRPr="00ED5264">
        <w:rPr>
          <w:rFonts w:ascii="Book Antiqua" w:hAnsi="Book Antiqua"/>
          <w:b/>
          <w:sz w:val="24"/>
          <w:szCs w:val="24"/>
        </w:rPr>
        <w:t>Powers AC</w:t>
      </w:r>
      <w:r w:rsidRPr="00ED5264">
        <w:rPr>
          <w:rFonts w:ascii="Book Antiqua" w:hAnsi="Book Antiqua"/>
          <w:sz w:val="24"/>
          <w:szCs w:val="24"/>
        </w:rPr>
        <w:t xml:space="preserve">. Harrison's Principles of Internal medicine. In: </w:t>
      </w:r>
      <w:proofErr w:type="spellStart"/>
      <w:r w:rsidRPr="00ED5264">
        <w:rPr>
          <w:rFonts w:ascii="Book Antiqua" w:hAnsi="Book Antiqua"/>
          <w:sz w:val="24"/>
          <w:szCs w:val="24"/>
        </w:rPr>
        <w:t>Braunwald</w:t>
      </w:r>
      <w:proofErr w:type="spellEnd"/>
      <w:r w:rsidRPr="00ED5264">
        <w:rPr>
          <w:rFonts w:ascii="Book Antiqua" w:hAnsi="Book Antiqua"/>
          <w:sz w:val="24"/>
          <w:szCs w:val="24"/>
        </w:rPr>
        <w:t xml:space="preserve"> BE, </w:t>
      </w:r>
      <w:proofErr w:type="spellStart"/>
      <w:r w:rsidRPr="00ED5264">
        <w:rPr>
          <w:rFonts w:ascii="Book Antiqua" w:hAnsi="Book Antiqua"/>
          <w:sz w:val="24"/>
          <w:szCs w:val="24"/>
        </w:rPr>
        <w:t>Fauci</w:t>
      </w:r>
      <w:proofErr w:type="spellEnd"/>
      <w:r>
        <w:rPr>
          <w:rFonts w:ascii="Book Antiqua" w:hAnsi="Book Antiqua"/>
          <w:sz w:val="24"/>
          <w:szCs w:val="24"/>
        </w:rPr>
        <w:t xml:space="preserve"> AS, Kasper DL, Hauser SL (eds)</w:t>
      </w:r>
      <w:r w:rsidRPr="00ED5264">
        <w:rPr>
          <w:rFonts w:ascii="Book Antiqua" w:hAnsi="Book Antiqua"/>
          <w:sz w:val="24"/>
          <w:szCs w:val="24"/>
        </w:rPr>
        <w:t>.</w:t>
      </w:r>
      <w:r>
        <w:rPr>
          <w:rFonts w:ascii="Book Antiqua" w:hAnsi="Book Antiqua" w:hint="eastAsia"/>
          <w:sz w:val="24"/>
          <w:szCs w:val="24"/>
        </w:rPr>
        <w:t xml:space="preserve"> </w:t>
      </w:r>
      <w:r w:rsidRPr="00ED5264">
        <w:rPr>
          <w:rFonts w:ascii="Book Antiqua" w:hAnsi="Book Antiqua"/>
          <w:sz w:val="24"/>
          <w:szCs w:val="24"/>
        </w:rPr>
        <w:t>18</w:t>
      </w:r>
      <w:r w:rsidRPr="00ED5264">
        <w:rPr>
          <w:rFonts w:ascii="Book Antiqua" w:hAnsi="Book Antiqua"/>
          <w:sz w:val="24"/>
          <w:szCs w:val="24"/>
          <w:vertAlign w:val="superscript"/>
        </w:rPr>
        <w:t>th</w:t>
      </w:r>
      <w:r w:rsidRPr="00ED5264">
        <w:rPr>
          <w:rFonts w:ascii="Book Antiqua" w:hAnsi="Book Antiqua"/>
          <w:sz w:val="24"/>
          <w:szCs w:val="24"/>
        </w:rPr>
        <w:t xml:space="preserve"> ed. Chapter 344-Classification. New York: McGraw Hill</w:t>
      </w:r>
      <w:r>
        <w:rPr>
          <w:rFonts w:ascii="Book Antiqua" w:hAnsi="Book Antiqua" w:hint="eastAsia"/>
          <w:sz w:val="24"/>
          <w:szCs w:val="24"/>
        </w:rPr>
        <w:t xml:space="preserve">, </w:t>
      </w:r>
      <w:r w:rsidRPr="00ED5264">
        <w:rPr>
          <w:rFonts w:ascii="Book Antiqua" w:hAnsi="Book Antiqua"/>
          <w:sz w:val="24"/>
          <w:szCs w:val="24"/>
        </w:rPr>
        <w:t>2012</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4 </w:t>
      </w:r>
      <w:r w:rsidRPr="00ED5264">
        <w:rPr>
          <w:rFonts w:ascii="Book Antiqua" w:hAnsi="Book Antiqua"/>
          <w:b/>
          <w:sz w:val="24"/>
          <w:szCs w:val="24"/>
        </w:rPr>
        <w:t>Centers for Disease Control and Prevention</w:t>
      </w:r>
      <w:r w:rsidRPr="00ED5264">
        <w:rPr>
          <w:rFonts w:ascii="Book Antiqua" w:hAnsi="Book Antiqua"/>
          <w:sz w:val="24"/>
          <w:szCs w:val="24"/>
        </w:rPr>
        <w:t>. National diabetes fact sheet: national estimates and general information on diabetes and prediabetes</w:t>
      </w:r>
      <w:r>
        <w:rPr>
          <w:rFonts w:ascii="Book Antiqua" w:hAnsi="Book Antiqua" w:hint="eastAsia"/>
          <w:sz w:val="24"/>
          <w:szCs w:val="24"/>
        </w:rPr>
        <w:t xml:space="preserve"> in the</w:t>
      </w:r>
      <w:r w:rsidRPr="00ED5264">
        <w:rPr>
          <w:rFonts w:ascii="Book Antiqua" w:hAnsi="Book Antiqua"/>
          <w:sz w:val="24"/>
          <w:szCs w:val="24"/>
        </w:rPr>
        <w:t xml:space="preserve"> United States, Atlanta, GA, 2011. Available from: URL: http://www.cdc.gov/diabetes/pubs/pdf/ndfs_2011.pdf</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5 </w:t>
      </w:r>
      <w:proofErr w:type="spellStart"/>
      <w:r w:rsidRPr="00ED5264">
        <w:rPr>
          <w:rFonts w:ascii="Book Antiqua" w:hAnsi="Book Antiqua"/>
          <w:b/>
          <w:sz w:val="24"/>
          <w:szCs w:val="24"/>
        </w:rPr>
        <w:t>Bingener</w:t>
      </w:r>
      <w:proofErr w:type="spellEnd"/>
      <w:r w:rsidRPr="00ED5264">
        <w:rPr>
          <w:rFonts w:ascii="Book Antiqua" w:hAnsi="Book Antiqua"/>
          <w:b/>
          <w:sz w:val="24"/>
          <w:szCs w:val="24"/>
        </w:rPr>
        <w:t xml:space="preserve"> J</w:t>
      </w:r>
      <w:r w:rsidRPr="00ED5264">
        <w:rPr>
          <w:rFonts w:ascii="Book Antiqua" w:hAnsi="Book Antiqua"/>
          <w:sz w:val="24"/>
          <w:szCs w:val="24"/>
        </w:rPr>
        <w:t xml:space="preserve">, </w:t>
      </w:r>
      <w:proofErr w:type="spellStart"/>
      <w:r w:rsidRPr="00ED5264">
        <w:rPr>
          <w:rFonts w:ascii="Book Antiqua" w:hAnsi="Book Antiqua"/>
          <w:sz w:val="24"/>
          <w:szCs w:val="24"/>
        </w:rPr>
        <w:t>Stefanidis</w:t>
      </w:r>
      <w:proofErr w:type="spellEnd"/>
      <w:r w:rsidRPr="00ED5264">
        <w:rPr>
          <w:rFonts w:ascii="Book Antiqua" w:hAnsi="Book Antiqua"/>
          <w:sz w:val="24"/>
          <w:szCs w:val="24"/>
        </w:rPr>
        <w:t xml:space="preserve"> D, Richards ML, </w:t>
      </w:r>
      <w:proofErr w:type="spellStart"/>
      <w:r w:rsidRPr="00ED5264">
        <w:rPr>
          <w:rFonts w:ascii="Book Antiqua" w:hAnsi="Book Antiqua"/>
          <w:sz w:val="24"/>
          <w:szCs w:val="24"/>
        </w:rPr>
        <w:t>Schwesinger</w:t>
      </w:r>
      <w:proofErr w:type="spellEnd"/>
      <w:r w:rsidRPr="00ED5264">
        <w:rPr>
          <w:rFonts w:ascii="Book Antiqua" w:hAnsi="Book Antiqua"/>
          <w:sz w:val="24"/>
          <w:szCs w:val="24"/>
        </w:rPr>
        <w:t xml:space="preserve"> WH, </w:t>
      </w:r>
      <w:proofErr w:type="spellStart"/>
      <w:r w:rsidRPr="00ED5264">
        <w:rPr>
          <w:rFonts w:ascii="Book Antiqua" w:hAnsi="Book Antiqua"/>
          <w:sz w:val="24"/>
          <w:szCs w:val="24"/>
        </w:rPr>
        <w:t>Sirinek</w:t>
      </w:r>
      <w:proofErr w:type="spellEnd"/>
      <w:r w:rsidRPr="00ED5264">
        <w:rPr>
          <w:rFonts w:ascii="Book Antiqua" w:hAnsi="Book Antiqua"/>
          <w:sz w:val="24"/>
          <w:szCs w:val="24"/>
        </w:rPr>
        <w:t xml:space="preserve"> KR. Early conversion for gangrenous cholecystitis: impact on outcome. </w:t>
      </w:r>
      <w:r w:rsidRPr="00ED5264">
        <w:rPr>
          <w:rFonts w:ascii="Book Antiqua" w:hAnsi="Book Antiqua"/>
          <w:i/>
          <w:sz w:val="24"/>
          <w:szCs w:val="24"/>
        </w:rPr>
        <w:t xml:space="preserve">Surg </w:t>
      </w:r>
      <w:proofErr w:type="spellStart"/>
      <w:r w:rsidRPr="00ED5264">
        <w:rPr>
          <w:rFonts w:ascii="Book Antiqua" w:hAnsi="Book Antiqua"/>
          <w:i/>
          <w:sz w:val="24"/>
          <w:szCs w:val="24"/>
        </w:rPr>
        <w:t>Endosc</w:t>
      </w:r>
      <w:proofErr w:type="spellEnd"/>
      <w:r w:rsidRPr="00ED5264">
        <w:rPr>
          <w:rFonts w:ascii="Book Antiqua" w:hAnsi="Book Antiqua"/>
          <w:sz w:val="24"/>
          <w:szCs w:val="24"/>
        </w:rPr>
        <w:t xml:space="preserve"> 2005; </w:t>
      </w:r>
      <w:r w:rsidRPr="00ED5264">
        <w:rPr>
          <w:rFonts w:ascii="Book Antiqua" w:hAnsi="Book Antiqua"/>
          <w:b/>
          <w:sz w:val="24"/>
          <w:szCs w:val="24"/>
        </w:rPr>
        <w:t>19</w:t>
      </w:r>
      <w:r w:rsidRPr="00ED5264">
        <w:rPr>
          <w:rFonts w:ascii="Book Antiqua" w:hAnsi="Book Antiqua"/>
          <w:sz w:val="24"/>
          <w:szCs w:val="24"/>
        </w:rPr>
        <w:t>: 1139-1141 [PMID: 16021370 DOI: 10.1007/s00464-004-8190-9]</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6 </w:t>
      </w:r>
      <w:r w:rsidRPr="00ED5264">
        <w:rPr>
          <w:rFonts w:ascii="Book Antiqua" w:hAnsi="Book Antiqua"/>
          <w:b/>
          <w:sz w:val="24"/>
          <w:szCs w:val="24"/>
        </w:rPr>
        <w:t>Bennett GL</w:t>
      </w:r>
      <w:r w:rsidRPr="00ED5264">
        <w:rPr>
          <w:rFonts w:ascii="Book Antiqua" w:hAnsi="Book Antiqua"/>
          <w:sz w:val="24"/>
          <w:szCs w:val="24"/>
        </w:rPr>
        <w:t xml:space="preserve">, </w:t>
      </w:r>
      <w:proofErr w:type="spellStart"/>
      <w:r w:rsidRPr="00ED5264">
        <w:rPr>
          <w:rFonts w:ascii="Book Antiqua" w:hAnsi="Book Antiqua"/>
          <w:sz w:val="24"/>
          <w:szCs w:val="24"/>
        </w:rPr>
        <w:t>Rusinek</w:t>
      </w:r>
      <w:proofErr w:type="spellEnd"/>
      <w:r w:rsidRPr="00ED5264">
        <w:rPr>
          <w:rFonts w:ascii="Book Antiqua" w:hAnsi="Book Antiqua"/>
          <w:sz w:val="24"/>
          <w:szCs w:val="24"/>
        </w:rPr>
        <w:t xml:space="preserve"> H, </w:t>
      </w:r>
      <w:proofErr w:type="spellStart"/>
      <w:r w:rsidRPr="00ED5264">
        <w:rPr>
          <w:rFonts w:ascii="Book Antiqua" w:hAnsi="Book Antiqua"/>
          <w:sz w:val="24"/>
          <w:szCs w:val="24"/>
        </w:rPr>
        <w:t>Lisi</w:t>
      </w:r>
      <w:proofErr w:type="spellEnd"/>
      <w:r w:rsidRPr="00ED5264">
        <w:rPr>
          <w:rFonts w:ascii="Book Antiqua" w:hAnsi="Book Antiqua"/>
          <w:sz w:val="24"/>
          <w:szCs w:val="24"/>
        </w:rPr>
        <w:t xml:space="preserve"> V, Israel GM, </w:t>
      </w:r>
      <w:proofErr w:type="spellStart"/>
      <w:r w:rsidRPr="00ED5264">
        <w:rPr>
          <w:rFonts w:ascii="Book Antiqua" w:hAnsi="Book Antiqua"/>
          <w:sz w:val="24"/>
          <w:szCs w:val="24"/>
        </w:rPr>
        <w:t>Krinsky</w:t>
      </w:r>
      <w:proofErr w:type="spellEnd"/>
      <w:r w:rsidRPr="00ED5264">
        <w:rPr>
          <w:rFonts w:ascii="Book Antiqua" w:hAnsi="Book Antiqua"/>
          <w:sz w:val="24"/>
          <w:szCs w:val="24"/>
        </w:rPr>
        <w:t xml:space="preserve"> GA, </w:t>
      </w:r>
      <w:proofErr w:type="spellStart"/>
      <w:r w:rsidRPr="00ED5264">
        <w:rPr>
          <w:rFonts w:ascii="Book Antiqua" w:hAnsi="Book Antiqua"/>
          <w:sz w:val="24"/>
          <w:szCs w:val="24"/>
        </w:rPr>
        <w:t>Slywotzky</w:t>
      </w:r>
      <w:proofErr w:type="spellEnd"/>
      <w:r w:rsidRPr="00ED5264">
        <w:rPr>
          <w:rFonts w:ascii="Book Antiqua" w:hAnsi="Book Antiqua"/>
          <w:sz w:val="24"/>
          <w:szCs w:val="24"/>
        </w:rPr>
        <w:t xml:space="preserve"> CM, </w:t>
      </w:r>
      <w:proofErr w:type="spellStart"/>
      <w:r w:rsidRPr="00ED5264">
        <w:rPr>
          <w:rFonts w:ascii="Book Antiqua" w:hAnsi="Book Antiqua"/>
          <w:sz w:val="24"/>
          <w:szCs w:val="24"/>
        </w:rPr>
        <w:t>Megibow</w:t>
      </w:r>
      <w:proofErr w:type="spellEnd"/>
      <w:r w:rsidRPr="00ED5264">
        <w:rPr>
          <w:rFonts w:ascii="Book Antiqua" w:hAnsi="Book Antiqua"/>
          <w:sz w:val="24"/>
          <w:szCs w:val="24"/>
        </w:rPr>
        <w:t xml:space="preserve"> A. CT findings in acute gangrenous cholecystitis. </w:t>
      </w:r>
      <w:r w:rsidRPr="00ED5264">
        <w:rPr>
          <w:rFonts w:ascii="Book Antiqua" w:hAnsi="Book Antiqua"/>
          <w:i/>
          <w:sz w:val="24"/>
          <w:szCs w:val="24"/>
        </w:rPr>
        <w:t xml:space="preserve">AJR Am J </w:t>
      </w:r>
      <w:proofErr w:type="spellStart"/>
      <w:r w:rsidRPr="00ED5264">
        <w:rPr>
          <w:rFonts w:ascii="Book Antiqua" w:hAnsi="Book Antiqua"/>
          <w:i/>
          <w:sz w:val="24"/>
          <w:szCs w:val="24"/>
        </w:rPr>
        <w:t>Roentgenol</w:t>
      </w:r>
      <w:proofErr w:type="spellEnd"/>
      <w:r w:rsidRPr="00ED5264">
        <w:rPr>
          <w:rFonts w:ascii="Book Antiqua" w:hAnsi="Book Antiqua"/>
          <w:sz w:val="24"/>
          <w:szCs w:val="24"/>
        </w:rPr>
        <w:t xml:space="preserve"> 2002; </w:t>
      </w:r>
      <w:r w:rsidRPr="00ED5264">
        <w:rPr>
          <w:rFonts w:ascii="Book Antiqua" w:hAnsi="Book Antiqua"/>
          <w:b/>
          <w:sz w:val="24"/>
          <w:szCs w:val="24"/>
        </w:rPr>
        <w:t>178</w:t>
      </w:r>
      <w:r w:rsidRPr="00ED5264">
        <w:rPr>
          <w:rFonts w:ascii="Book Antiqua" w:hAnsi="Book Antiqua"/>
          <w:sz w:val="24"/>
          <w:szCs w:val="24"/>
        </w:rPr>
        <w:t>: 275-281 [PMID: 11804880 DOI: 10.2214/ajr.178.2.1780275]</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7 </w:t>
      </w:r>
      <w:proofErr w:type="spellStart"/>
      <w:r w:rsidRPr="00ED5264">
        <w:rPr>
          <w:rFonts w:ascii="Book Antiqua" w:hAnsi="Book Antiqua"/>
          <w:b/>
          <w:sz w:val="24"/>
          <w:szCs w:val="24"/>
        </w:rPr>
        <w:t>Contini</w:t>
      </w:r>
      <w:proofErr w:type="spellEnd"/>
      <w:r w:rsidRPr="00ED5264">
        <w:rPr>
          <w:rFonts w:ascii="Book Antiqua" w:hAnsi="Book Antiqua"/>
          <w:b/>
          <w:sz w:val="24"/>
          <w:szCs w:val="24"/>
        </w:rPr>
        <w:t xml:space="preserve"> S</w:t>
      </w:r>
      <w:r w:rsidRPr="00ED5264">
        <w:rPr>
          <w:rFonts w:ascii="Book Antiqua" w:hAnsi="Book Antiqua"/>
          <w:sz w:val="24"/>
          <w:szCs w:val="24"/>
        </w:rPr>
        <w:t xml:space="preserve">, </w:t>
      </w:r>
      <w:proofErr w:type="spellStart"/>
      <w:r w:rsidRPr="00ED5264">
        <w:rPr>
          <w:rFonts w:ascii="Book Antiqua" w:hAnsi="Book Antiqua"/>
          <w:sz w:val="24"/>
          <w:szCs w:val="24"/>
        </w:rPr>
        <w:t>Corradi</w:t>
      </w:r>
      <w:proofErr w:type="spellEnd"/>
      <w:r w:rsidRPr="00ED5264">
        <w:rPr>
          <w:rFonts w:ascii="Book Antiqua" w:hAnsi="Book Antiqua"/>
          <w:sz w:val="24"/>
          <w:szCs w:val="24"/>
        </w:rPr>
        <w:t xml:space="preserve"> D, </w:t>
      </w:r>
      <w:proofErr w:type="spellStart"/>
      <w:r w:rsidRPr="00ED5264">
        <w:rPr>
          <w:rFonts w:ascii="Book Antiqua" w:hAnsi="Book Antiqua"/>
          <w:sz w:val="24"/>
          <w:szCs w:val="24"/>
        </w:rPr>
        <w:t>Busi</w:t>
      </w:r>
      <w:proofErr w:type="spellEnd"/>
      <w:r w:rsidRPr="00ED5264">
        <w:rPr>
          <w:rFonts w:ascii="Book Antiqua" w:hAnsi="Book Antiqua"/>
          <w:sz w:val="24"/>
          <w:szCs w:val="24"/>
        </w:rPr>
        <w:t xml:space="preserve"> N, </w:t>
      </w:r>
      <w:proofErr w:type="spellStart"/>
      <w:r w:rsidRPr="00ED5264">
        <w:rPr>
          <w:rFonts w:ascii="Book Antiqua" w:hAnsi="Book Antiqua"/>
          <w:sz w:val="24"/>
          <w:szCs w:val="24"/>
        </w:rPr>
        <w:t>Alessandri</w:t>
      </w:r>
      <w:proofErr w:type="spellEnd"/>
      <w:r w:rsidRPr="00ED5264">
        <w:rPr>
          <w:rFonts w:ascii="Book Antiqua" w:hAnsi="Book Antiqua"/>
          <w:sz w:val="24"/>
          <w:szCs w:val="24"/>
        </w:rPr>
        <w:t xml:space="preserve"> L, </w:t>
      </w:r>
      <w:proofErr w:type="spellStart"/>
      <w:r w:rsidRPr="00ED5264">
        <w:rPr>
          <w:rFonts w:ascii="Book Antiqua" w:hAnsi="Book Antiqua"/>
          <w:sz w:val="24"/>
          <w:szCs w:val="24"/>
        </w:rPr>
        <w:t>Pezzarossa</w:t>
      </w:r>
      <w:proofErr w:type="spellEnd"/>
      <w:r w:rsidRPr="00ED5264">
        <w:rPr>
          <w:rFonts w:ascii="Book Antiqua" w:hAnsi="Book Antiqua"/>
          <w:sz w:val="24"/>
          <w:szCs w:val="24"/>
        </w:rPr>
        <w:t xml:space="preserve"> A, </w:t>
      </w:r>
      <w:proofErr w:type="spellStart"/>
      <w:r w:rsidRPr="00ED5264">
        <w:rPr>
          <w:rFonts w:ascii="Book Antiqua" w:hAnsi="Book Antiqua"/>
          <w:sz w:val="24"/>
          <w:szCs w:val="24"/>
        </w:rPr>
        <w:t>Scarpignato</w:t>
      </w:r>
      <w:proofErr w:type="spellEnd"/>
      <w:r w:rsidRPr="00ED5264">
        <w:rPr>
          <w:rFonts w:ascii="Book Antiqua" w:hAnsi="Book Antiqua"/>
          <w:sz w:val="24"/>
          <w:szCs w:val="24"/>
        </w:rPr>
        <w:t xml:space="preserve"> C. Can gangrenous cholecystitis be </w:t>
      </w:r>
      <w:proofErr w:type="gramStart"/>
      <w:r w:rsidRPr="00ED5264">
        <w:rPr>
          <w:rFonts w:ascii="Book Antiqua" w:hAnsi="Book Antiqua"/>
          <w:sz w:val="24"/>
          <w:szCs w:val="24"/>
        </w:rPr>
        <w:t>prevented?:</w:t>
      </w:r>
      <w:proofErr w:type="gramEnd"/>
      <w:r w:rsidRPr="00ED5264">
        <w:rPr>
          <w:rFonts w:ascii="Book Antiqua" w:hAnsi="Book Antiqua"/>
          <w:sz w:val="24"/>
          <w:szCs w:val="24"/>
        </w:rPr>
        <w:t xml:space="preserve"> a plea against a "wait and see" attitude. </w:t>
      </w:r>
      <w:r w:rsidRPr="00ED5264">
        <w:rPr>
          <w:rFonts w:ascii="Book Antiqua" w:hAnsi="Book Antiqua"/>
          <w:i/>
          <w:sz w:val="24"/>
          <w:szCs w:val="24"/>
        </w:rPr>
        <w:t>J Clin Gastroenterol</w:t>
      </w:r>
      <w:r w:rsidRPr="00ED5264">
        <w:rPr>
          <w:rFonts w:ascii="Book Antiqua" w:hAnsi="Book Antiqua"/>
          <w:sz w:val="24"/>
          <w:szCs w:val="24"/>
        </w:rPr>
        <w:t xml:space="preserve"> 2004; </w:t>
      </w:r>
      <w:r w:rsidRPr="00ED5264">
        <w:rPr>
          <w:rFonts w:ascii="Book Antiqua" w:hAnsi="Book Antiqua"/>
          <w:b/>
          <w:sz w:val="24"/>
          <w:szCs w:val="24"/>
        </w:rPr>
        <w:t>38</w:t>
      </w:r>
      <w:r w:rsidRPr="00ED5264">
        <w:rPr>
          <w:rFonts w:ascii="Book Antiqua" w:hAnsi="Book Antiqua"/>
          <w:sz w:val="24"/>
          <w:szCs w:val="24"/>
        </w:rPr>
        <w:t>: 710-716 [PMID: 15319657 DOI: 10.1097/01.mcg.0000135898.68155.88]</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8 </w:t>
      </w:r>
      <w:r w:rsidRPr="00ED5264">
        <w:rPr>
          <w:rFonts w:ascii="Book Antiqua" w:hAnsi="Book Antiqua"/>
          <w:b/>
          <w:sz w:val="24"/>
          <w:szCs w:val="24"/>
        </w:rPr>
        <w:t>Joshi N</w:t>
      </w:r>
      <w:r w:rsidRPr="00ED5264">
        <w:rPr>
          <w:rFonts w:ascii="Book Antiqua" w:hAnsi="Book Antiqua"/>
          <w:sz w:val="24"/>
          <w:szCs w:val="24"/>
        </w:rPr>
        <w:t xml:space="preserve">, Caputo GM, </w:t>
      </w:r>
      <w:proofErr w:type="spellStart"/>
      <w:r w:rsidRPr="00ED5264">
        <w:rPr>
          <w:rFonts w:ascii="Book Antiqua" w:hAnsi="Book Antiqua"/>
          <w:sz w:val="24"/>
          <w:szCs w:val="24"/>
        </w:rPr>
        <w:t>Weitekamp</w:t>
      </w:r>
      <w:proofErr w:type="spellEnd"/>
      <w:r w:rsidRPr="00ED5264">
        <w:rPr>
          <w:rFonts w:ascii="Book Antiqua" w:hAnsi="Book Antiqua"/>
          <w:sz w:val="24"/>
          <w:szCs w:val="24"/>
        </w:rPr>
        <w:t xml:space="preserve"> MR, </w:t>
      </w:r>
      <w:proofErr w:type="spellStart"/>
      <w:r w:rsidRPr="00ED5264">
        <w:rPr>
          <w:rFonts w:ascii="Book Antiqua" w:hAnsi="Book Antiqua"/>
          <w:sz w:val="24"/>
          <w:szCs w:val="24"/>
        </w:rPr>
        <w:t>Karchmer</w:t>
      </w:r>
      <w:proofErr w:type="spellEnd"/>
      <w:r w:rsidRPr="00ED5264">
        <w:rPr>
          <w:rFonts w:ascii="Book Antiqua" w:hAnsi="Book Antiqua"/>
          <w:sz w:val="24"/>
          <w:szCs w:val="24"/>
        </w:rPr>
        <w:t xml:space="preserve"> AW. Infections in patients with diabetes mellitus. </w:t>
      </w:r>
      <w:r w:rsidRPr="00ED5264">
        <w:rPr>
          <w:rFonts w:ascii="Book Antiqua" w:hAnsi="Book Antiqua"/>
          <w:i/>
          <w:sz w:val="24"/>
          <w:szCs w:val="24"/>
        </w:rPr>
        <w:t xml:space="preserve">N </w:t>
      </w:r>
      <w:proofErr w:type="spellStart"/>
      <w:r w:rsidRPr="00ED5264">
        <w:rPr>
          <w:rFonts w:ascii="Book Antiqua" w:hAnsi="Book Antiqua"/>
          <w:i/>
          <w:sz w:val="24"/>
          <w:szCs w:val="24"/>
        </w:rPr>
        <w:t>Engl</w:t>
      </w:r>
      <w:proofErr w:type="spellEnd"/>
      <w:r w:rsidRPr="00ED5264">
        <w:rPr>
          <w:rFonts w:ascii="Book Antiqua" w:hAnsi="Book Antiqua"/>
          <w:i/>
          <w:sz w:val="24"/>
          <w:szCs w:val="24"/>
        </w:rPr>
        <w:t xml:space="preserve"> J Med</w:t>
      </w:r>
      <w:r w:rsidRPr="00ED5264">
        <w:rPr>
          <w:rFonts w:ascii="Book Antiqua" w:hAnsi="Book Antiqua"/>
          <w:sz w:val="24"/>
          <w:szCs w:val="24"/>
        </w:rPr>
        <w:t xml:space="preserve"> 1999; </w:t>
      </w:r>
      <w:r w:rsidRPr="00ED5264">
        <w:rPr>
          <w:rFonts w:ascii="Book Antiqua" w:hAnsi="Book Antiqua"/>
          <w:b/>
          <w:sz w:val="24"/>
          <w:szCs w:val="24"/>
        </w:rPr>
        <w:t>341</w:t>
      </w:r>
      <w:r w:rsidRPr="00ED5264">
        <w:rPr>
          <w:rFonts w:ascii="Book Antiqua" w:hAnsi="Book Antiqua"/>
          <w:sz w:val="24"/>
          <w:szCs w:val="24"/>
        </w:rPr>
        <w:t>: 1906-1912 [PMID: 10601511 DOI: 10.1056/nejm199912163412507]</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9 </w:t>
      </w:r>
      <w:r w:rsidRPr="00ED5264">
        <w:rPr>
          <w:rFonts w:ascii="Book Antiqua" w:hAnsi="Book Antiqua"/>
          <w:b/>
          <w:sz w:val="24"/>
          <w:szCs w:val="24"/>
        </w:rPr>
        <w:t>Chico A</w:t>
      </w:r>
      <w:r w:rsidRPr="00ED5264">
        <w:rPr>
          <w:rFonts w:ascii="Book Antiqua" w:hAnsi="Book Antiqua"/>
          <w:sz w:val="24"/>
          <w:szCs w:val="24"/>
        </w:rPr>
        <w:t xml:space="preserve">, Tomás A, </w:t>
      </w:r>
      <w:proofErr w:type="spellStart"/>
      <w:r w:rsidRPr="00ED5264">
        <w:rPr>
          <w:rFonts w:ascii="Book Antiqua" w:hAnsi="Book Antiqua"/>
          <w:sz w:val="24"/>
          <w:szCs w:val="24"/>
        </w:rPr>
        <w:t>Novials</w:t>
      </w:r>
      <w:proofErr w:type="spellEnd"/>
      <w:r w:rsidRPr="00ED5264">
        <w:rPr>
          <w:rFonts w:ascii="Book Antiqua" w:hAnsi="Book Antiqua"/>
          <w:sz w:val="24"/>
          <w:szCs w:val="24"/>
        </w:rPr>
        <w:t xml:space="preserve"> A. Silent myocardial ischemia is associated with autonomic neuropathy and other cardiovascular risk factors in type 1 and type 2 diabetic subjects, especially in those with microalbuminuria. </w:t>
      </w:r>
      <w:r w:rsidRPr="00ED5264">
        <w:rPr>
          <w:rFonts w:ascii="Book Antiqua" w:hAnsi="Book Antiqua"/>
          <w:i/>
          <w:sz w:val="24"/>
          <w:szCs w:val="24"/>
        </w:rPr>
        <w:t>Endocrine</w:t>
      </w:r>
      <w:r w:rsidRPr="00ED5264">
        <w:rPr>
          <w:rFonts w:ascii="Book Antiqua" w:hAnsi="Book Antiqua"/>
          <w:sz w:val="24"/>
          <w:szCs w:val="24"/>
        </w:rPr>
        <w:t xml:space="preserve"> 2005; </w:t>
      </w:r>
      <w:r w:rsidRPr="00ED5264">
        <w:rPr>
          <w:rFonts w:ascii="Book Antiqua" w:hAnsi="Book Antiqua"/>
          <w:b/>
          <w:sz w:val="24"/>
          <w:szCs w:val="24"/>
        </w:rPr>
        <w:t>27</w:t>
      </w:r>
      <w:r w:rsidRPr="00ED5264">
        <w:rPr>
          <w:rFonts w:ascii="Book Antiqua" w:hAnsi="Book Antiqua"/>
          <w:sz w:val="24"/>
          <w:szCs w:val="24"/>
        </w:rPr>
        <w:t>: 213-217 [PMID: 16230776 DOI: 10.1385/ENDO:27:3:213]</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lastRenderedPageBreak/>
        <w:t xml:space="preserve">10 </w:t>
      </w:r>
      <w:r w:rsidRPr="00ED5264">
        <w:rPr>
          <w:rFonts w:ascii="Book Antiqua" w:hAnsi="Book Antiqua"/>
          <w:b/>
          <w:sz w:val="24"/>
          <w:szCs w:val="24"/>
        </w:rPr>
        <w:t>Chaudhry S</w:t>
      </w:r>
      <w:r w:rsidRPr="00ED5264">
        <w:rPr>
          <w:rFonts w:ascii="Book Antiqua" w:hAnsi="Book Antiqua"/>
          <w:sz w:val="24"/>
          <w:szCs w:val="24"/>
        </w:rPr>
        <w:t xml:space="preserve">, Hussain R, </w:t>
      </w:r>
      <w:proofErr w:type="spellStart"/>
      <w:r w:rsidRPr="00ED5264">
        <w:rPr>
          <w:rFonts w:ascii="Book Antiqua" w:hAnsi="Book Antiqua"/>
          <w:sz w:val="24"/>
          <w:szCs w:val="24"/>
        </w:rPr>
        <w:t>Rajasundaram</w:t>
      </w:r>
      <w:proofErr w:type="spellEnd"/>
      <w:r w:rsidRPr="00ED5264">
        <w:rPr>
          <w:rFonts w:ascii="Book Antiqua" w:hAnsi="Book Antiqua"/>
          <w:sz w:val="24"/>
          <w:szCs w:val="24"/>
        </w:rPr>
        <w:t xml:space="preserve"> R, </w:t>
      </w:r>
      <w:proofErr w:type="spellStart"/>
      <w:r w:rsidRPr="00ED5264">
        <w:rPr>
          <w:rFonts w:ascii="Book Antiqua" w:hAnsi="Book Antiqua"/>
          <w:sz w:val="24"/>
          <w:szCs w:val="24"/>
        </w:rPr>
        <w:t>Corless</w:t>
      </w:r>
      <w:proofErr w:type="spellEnd"/>
      <w:r w:rsidRPr="00ED5264">
        <w:rPr>
          <w:rFonts w:ascii="Book Antiqua" w:hAnsi="Book Antiqua"/>
          <w:sz w:val="24"/>
          <w:szCs w:val="24"/>
        </w:rPr>
        <w:t xml:space="preserve"> D. Gangrenous cholecystitis in an asymptomatic patient found during an elective laparoscopic cholecystectomy: a case report. </w:t>
      </w:r>
      <w:r w:rsidRPr="00ED5264">
        <w:rPr>
          <w:rFonts w:ascii="Book Antiqua" w:hAnsi="Book Antiqua"/>
          <w:i/>
          <w:sz w:val="24"/>
          <w:szCs w:val="24"/>
        </w:rPr>
        <w:t>J Med Case Rep</w:t>
      </w:r>
      <w:r w:rsidRPr="00ED5264">
        <w:rPr>
          <w:rFonts w:ascii="Book Antiqua" w:hAnsi="Book Antiqua"/>
          <w:sz w:val="24"/>
          <w:szCs w:val="24"/>
        </w:rPr>
        <w:t xml:space="preserve"> 2011; </w:t>
      </w:r>
      <w:r w:rsidRPr="00ED5264">
        <w:rPr>
          <w:rFonts w:ascii="Book Antiqua" w:hAnsi="Book Antiqua"/>
          <w:b/>
          <w:sz w:val="24"/>
          <w:szCs w:val="24"/>
        </w:rPr>
        <w:t>5</w:t>
      </w:r>
      <w:r w:rsidRPr="00ED5264">
        <w:rPr>
          <w:rFonts w:ascii="Book Antiqua" w:hAnsi="Book Antiqua"/>
          <w:sz w:val="24"/>
          <w:szCs w:val="24"/>
        </w:rPr>
        <w:t>: 199 [PMID: 21600009 DOI: 10.1186/1752-1947-5-199]</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11 </w:t>
      </w:r>
      <w:proofErr w:type="spellStart"/>
      <w:r w:rsidRPr="00ED5264">
        <w:rPr>
          <w:rFonts w:ascii="Book Antiqua" w:hAnsi="Book Antiqua"/>
          <w:b/>
          <w:sz w:val="24"/>
          <w:szCs w:val="24"/>
        </w:rPr>
        <w:t>Nidimusili</w:t>
      </w:r>
      <w:proofErr w:type="spellEnd"/>
      <w:r w:rsidRPr="00ED5264">
        <w:rPr>
          <w:rFonts w:ascii="Book Antiqua" w:hAnsi="Book Antiqua"/>
          <w:b/>
          <w:sz w:val="24"/>
          <w:szCs w:val="24"/>
        </w:rPr>
        <w:t xml:space="preserve"> AJ</w:t>
      </w:r>
      <w:r w:rsidRPr="00ED5264">
        <w:rPr>
          <w:rFonts w:ascii="Book Antiqua" w:hAnsi="Book Antiqua"/>
          <w:sz w:val="24"/>
          <w:szCs w:val="24"/>
        </w:rPr>
        <w:t xml:space="preserve">, </w:t>
      </w:r>
      <w:proofErr w:type="spellStart"/>
      <w:r w:rsidRPr="00ED5264">
        <w:rPr>
          <w:rFonts w:ascii="Book Antiqua" w:hAnsi="Book Antiqua"/>
          <w:sz w:val="24"/>
          <w:szCs w:val="24"/>
        </w:rPr>
        <w:t>Alraies</w:t>
      </w:r>
      <w:proofErr w:type="spellEnd"/>
      <w:r w:rsidRPr="00ED5264">
        <w:rPr>
          <w:rFonts w:ascii="Book Antiqua" w:hAnsi="Book Antiqua"/>
          <w:sz w:val="24"/>
          <w:szCs w:val="24"/>
        </w:rPr>
        <w:t xml:space="preserve"> MC, </w:t>
      </w:r>
      <w:proofErr w:type="spellStart"/>
      <w:r w:rsidRPr="00ED5264">
        <w:rPr>
          <w:rFonts w:ascii="Book Antiqua" w:hAnsi="Book Antiqua"/>
          <w:sz w:val="24"/>
          <w:szCs w:val="24"/>
        </w:rPr>
        <w:t>Eisa</w:t>
      </w:r>
      <w:proofErr w:type="spellEnd"/>
      <w:r w:rsidRPr="00ED5264">
        <w:rPr>
          <w:rFonts w:ascii="Book Antiqua" w:hAnsi="Book Antiqua"/>
          <w:sz w:val="24"/>
          <w:szCs w:val="24"/>
        </w:rPr>
        <w:t xml:space="preserve"> N, </w:t>
      </w:r>
      <w:proofErr w:type="spellStart"/>
      <w:r w:rsidRPr="00ED5264">
        <w:rPr>
          <w:rFonts w:ascii="Book Antiqua" w:hAnsi="Book Antiqua"/>
          <w:sz w:val="24"/>
          <w:szCs w:val="24"/>
        </w:rPr>
        <w:t>Alraiyes</w:t>
      </w:r>
      <w:proofErr w:type="spellEnd"/>
      <w:r w:rsidRPr="00ED5264">
        <w:rPr>
          <w:rFonts w:ascii="Book Antiqua" w:hAnsi="Book Antiqua"/>
          <w:sz w:val="24"/>
          <w:szCs w:val="24"/>
        </w:rPr>
        <w:t xml:space="preserve"> AH, </w:t>
      </w:r>
      <w:proofErr w:type="spellStart"/>
      <w:r w:rsidRPr="00ED5264">
        <w:rPr>
          <w:rFonts w:ascii="Book Antiqua" w:hAnsi="Book Antiqua"/>
          <w:sz w:val="24"/>
          <w:szCs w:val="24"/>
        </w:rPr>
        <w:t>Shaheen</w:t>
      </w:r>
      <w:proofErr w:type="spellEnd"/>
      <w:r w:rsidRPr="00ED5264">
        <w:rPr>
          <w:rFonts w:ascii="Book Antiqua" w:hAnsi="Book Antiqua"/>
          <w:sz w:val="24"/>
          <w:szCs w:val="24"/>
        </w:rPr>
        <w:t xml:space="preserve"> K. Leukocytosis of unknown origin: gangrenous cholecystitis. </w:t>
      </w:r>
      <w:r w:rsidRPr="00ED5264">
        <w:rPr>
          <w:rFonts w:ascii="Book Antiqua" w:hAnsi="Book Antiqua"/>
          <w:i/>
          <w:sz w:val="24"/>
          <w:szCs w:val="24"/>
        </w:rPr>
        <w:t>Case Rep Med</w:t>
      </w:r>
      <w:r w:rsidRPr="00ED5264">
        <w:rPr>
          <w:rFonts w:ascii="Book Antiqua" w:hAnsi="Book Antiqua"/>
          <w:sz w:val="24"/>
          <w:szCs w:val="24"/>
        </w:rPr>
        <w:t xml:space="preserve"> 2013; </w:t>
      </w:r>
      <w:r w:rsidRPr="00ED5264">
        <w:rPr>
          <w:rFonts w:ascii="Book Antiqua" w:hAnsi="Book Antiqua"/>
          <w:b/>
          <w:sz w:val="24"/>
          <w:szCs w:val="24"/>
        </w:rPr>
        <w:t>2013</w:t>
      </w:r>
      <w:r w:rsidRPr="00ED5264">
        <w:rPr>
          <w:rFonts w:ascii="Book Antiqua" w:hAnsi="Book Antiqua"/>
          <w:sz w:val="24"/>
          <w:szCs w:val="24"/>
        </w:rPr>
        <w:t>: 418014 [PMID: 23606852 DOI: 10.1155/2013/418014]</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12 </w:t>
      </w:r>
      <w:r w:rsidRPr="00ED5264">
        <w:rPr>
          <w:rFonts w:ascii="Book Antiqua" w:hAnsi="Book Antiqua"/>
          <w:b/>
          <w:sz w:val="24"/>
          <w:szCs w:val="24"/>
        </w:rPr>
        <w:t>Grant RL</w:t>
      </w:r>
      <w:r w:rsidRPr="00ED5264">
        <w:rPr>
          <w:rFonts w:ascii="Book Antiqua" w:hAnsi="Book Antiqua"/>
          <w:sz w:val="24"/>
          <w:szCs w:val="24"/>
        </w:rPr>
        <w:t xml:space="preserve">, Tie ML. False negative biliary scintigraphy in gangrenous cholecystitis. </w:t>
      </w:r>
      <w:proofErr w:type="spellStart"/>
      <w:r w:rsidRPr="00ED5264">
        <w:rPr>
          <w:rFonts w:ascii="Book Antiqua" w:hAnsi="Book Antiqua"/>
          <w:i/>
          <w:sz w:val="24"/>
          <w:szCs w:val="24"/>
        </w:rPr>
        <w:t>Australas</w:t>
      </w:r>
      <w:proofErr w:type="spellEnd"/>
      <w:r w:rsidRPr="00ED5264">
        <w:rPr>
          <w:rFonts w:ascii="Book Antiqua" w:hAnsi="Book Antiqua"/>
          <w:i/>
          <w:sz w:val="24"/>
          <w:szCs w:val="24"/>
        </w:rPr>
        <w:t xml:space="preserve"> </w:t>
      </w:r>
      <w:proofErr w:type="spellStart"/>
      <w:r w:rsidRPr="00ED5264">
        <w:rPr>
          <w:rFonts w:ascii="Book Antiqua" w:hAnsi="Book Antiqua"/>
          <w:i/>
          <w:sz w:val="24"/>
          <w:szCs w:val="24"/>
        </w:rPr>
        <w:t>Radiol</w:t>
      </w:r>
      <w:proofErr w:type="spellEnd"/>
      <w:r w:rsidRPr="00ED5264">
        <w:rPr>
          <w:rFonts w:ascii="Book Antiqua" w:hAnsi="Book Antiqua"/>
          <w:sz w:val="24"/>
          <w:szCs w:val="24"/>
        </w:rPr>
        <w:t xml:space="preserve"> 2002; </w:t>
      </w:r>
      <w:r w:rsidRPr="00ED5264">
        <w:rPr>
          <w:rFonts w:ascii="Book Antiqua" w:hAnsi="Book Antiqua"/>
          <w:b/>
          <w:sz w:val="24"/>
          <w:szCs w:val="24"/>
        </w:rPr>
        <w:t>46</w:t>
      </w:r>
      <w:r w:rsidRPr="00ED5264">
        <w:rPr>
          <w:rFonts w:ascii="Book Antiqua" w:hAnsi="Book Antiqua"/>
          <w:sz w:val="24"/>
          <w:szCs w:val="24"/>
        </w:rPr>
        <w:t>: 73-75 [PMID: 11966592 DOI: 10.1046/j.1440-1673.2001.00998.x]</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13 </w:t>
      </w:r>
      <w:r w:rsidRPr="00ED5264">
        <w:rPr>
          <w:rFonts w:ascii="Book Antiqua" w:hAnsi="Book Antiqua"/>
          <w:b/>
          <w:sz w:val="24"/>
          <w:szCs w:val="24"/>
        </w:rPr>
        <w:t>Fagan SP</w:t>
      </w:r>
      <w:r w:rsidRPr="00ED5264">
        <w:rPr>
          <w:rFonts w:ascii="Book Antiqua" w:hAnsi="Book Antiqua"/>
          <w:sz w:val="24"/>
          <w:szCs w:val="24"/>
        </w:rPr>
        <w:t xml:space="preserve">, </w:t>
      </w:r>
      <w:proofErr w:type="spellStart"/>
      <w:r w:rsidRPr="00ED5264">
        <w:rPr>
          <w:rFonts w:ascii="Book Antiqua" w:hAnsi="Book Antiqua"/>
          <w:sz w:val="24"/>
          <w:szCs w:val="24"/>
        </w:rPr>
        <w:t>Awad</w:t>
      </w:r>
      <w:proofErr w:type="spellEnd"/>
      <w:r w:rsidRPr="00ED5264">
        <w:rPr>
          <w:rFonts w:ascii="Book Antiqua" w:hAnsi="Book Antiqua"/>
          <w:sz w:val="24"/>
          <w:szCs w:val="24"/>
        </w:rPr>
        <w:t xml:space="preserve"> SS, </w:t>
      </w:r>
      <w:proofErr w:type="spellStart"/>
      <w:r w:rsidRPr="00ED5264">
        <w:rPr>
          <w:rFonts w:ascii="Book Antiqua" w:hAnsi="Book Antiqua"/>
          <w:sz w:val="24"/>
          <w:szCs w:val="24"/>
        </w:rPr>
        <w:t>Rahwan</w:t>
      </w:r>
      <w:proofErr w:type="spellEnd"/>
      <w:r w:rsidRPr="00ED5264">
        <w:rPr>
          <w:rFonts w:ascii="Book Antiqua" w:hAnsi="Book Antiqua"/>
          <w:sz w:val="24"/>
          <w:szCs w:val="24"/>
        </w:rPr>
        <w:t xml:space="preserve"> K, Hira K, Aoki N, </w:t>
      </w:r>
      <w:proofErr w:type="spellStart"/>
      <w:r w:rsidRPr="00ED5264">
        <w:rPr>
          <w:rFonts w:ascii="Book Antiqua" w:hAnsi="Book Antiqua"/>
          <w:sz w:val="24"/>
          <w:szCs w:val="24"/>
        </w:rPr>
        <w:t>Itani</w:t>
      </w:r>
      <w:proofErr w:type="spellEnd"/>
      <w:r w:rsidRPr="00ED5264">
        <w:rPr>
          <w:rFonts w:ascii="Book Antiqua" w:hAnsi="Book Antiqua"/>
          <w:sz w:val="24"/>
          <w:szCs w:val="24"/>
        </w:rPr>
        <w:t xml:space="preserve"> KM, Berger DH. Prognostic factors for the development of gangrenous cholecystitis. </w:t>
      </w:r>
      <w:r w:rsidRPr="00ED5264">
        <w:rPr>
          <w:rFonts w:ascii="Book Antiqua" w:hAnsi="Book Antiqua"/>
          <w:i/>
          <w:sz w:val="24"/>
          <w:szCs w:val="24"/>
        </w:rPr>
        <w:t>Am J Surg</w:t>
      </w:r>
      <w:r w:rsidRPr="00ED5264">
        <w:rPr>
          <w:rFonts w:ascii="Book Antiqua" w:hAnsi="Book Antiqua"/>
          <w:sz w:val="24"/>
          <w:szCs w:val="24"/>
        </w:rPr>
        <w:t xml:space="preserve"> 2003; </w:t>
      </w:r>
      <w:r w:rsidRPr="00ED5264">
        <w:rPr>
          <w:rFonts w:ascii="Book Antiqua" w:hAnsi="Book Antiqua"/>
          <w:b/>
          <w:sz w:val="24"/>
          <w:szCs w:val="24"/>
        </w:rPr>
        <w:t>186</w:t>
      </w:r>
      <w:r w:rsidRPr="00ED5264">
        <w:rPr>
          <w:rFonts w:ascii="Book Antiqua" w:hAnsi="Book Antiqua"/>
          <w:sz w:val="24"/>
          <w:szCs w:val="24"/>
        </w:rPr>
        <w:t>: 481-485 [PMID: 14599611 DOI: 10.1016/j.amjsurg.2003.08.001]</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14 </w:t>
      </w:r>
      <w:r w:rsidRPr="00ED5264">
        <w:rPr>
          <w:rFonts w:ascii="Book Antiqua" w:hAnsi="Book Antiqua"/>
          <w:b/>
          <w:sz w:val="24"/>
          <w:szCs w:val="24"/>
        </w:rPr>
        <w:t>Yamashita Y</w:t>
      </w:r>
      <w:r w:rsidRPr="00ED5264">
        <w:rPr>
          <w:rFonts w:ascii="Book Antiqua" w:hAnsi="Book Antiqua"/>
          <w:sz w:val="24"/>
          <w:szCs w:val="24"/>
        </w:rPr>
        <w:t xml:space="preserve">, </w:t>
      </w:r>
      <w:proofErr w:type="spellStart"/>
      <w:r w:rsidRPr="00ED5264">
        <w:rPr>
          <w:rFonts w:ascii="Book Antiqua" w:hAnsi="Book Antiqua"/>
          <w:sz w:val="24"/>
          <w:szCs w:val="24"/>
        </w:rPr>
        <w:t>Noritomi</w:t>
      </w:r>
      <w:proofErr w:type="spellEnd"/>
      <w:r w:rsidRPr="00ED5264">
        <w:rPr>
          <w:rFonts w:ascii="Book Antiqua" w:hAnsi="Book Antiqua"/>
          <w:sz w:val="24"/>
          <w:szCs w:val="24"/>
        </w:rPr>
        <w:t xml:space="preserve"> T, Matsuoka N, </w:t>
      </w:r>
      <w:proofErr w:type="spellStart"/>
      <w:r w:rsidRPr="00ED5264">
        <w:rPr>
          <w:rFonts w:ascii="Book Antiqua" w:hAnsi="Book Antiqua"/>
          <w:sz w:val="24"/>
          <w:szCs w:val="24"/>
        </w:rPr>
        <w:t>Sinya</w:t>
      </w:r>
      <w:proofErr w:type="spellEnd"/>
      <w:r w:rsidRPr="00ED5264">
        <w:rPr>
          <w:rFonts w:ascii="Book Antiqua" w:hAnsi="Book Antiqua"/>
          <w:sz w:val="24"/>
          <w:szCs w:val="24"/>
        </w:rPr>
        <w:t xml:space="preserve"> T, </w:t>
      </w:r>
      <w:proofErr w:type="spellStart"/>
      <w:r w:rsidRPr="00ED5264">
        <w:rPr>
          <w:rFonts w:ascii="Book Antiqua" w:hAnsi="Book Antiqua"/>
          <w:sz w:val="24"/>
          <w:szCs w:val="24"/>
        </w:rPr>
        <w:t>Sugi</w:t>
      </w:r>
      <w:proofErr w:type="spellEnd"/>
      <w:r w:rsidRPr="00ED5264">
        <w:rPr>
          <w:rFonts w:ascii="Book Antiqua" w:hAnsi="Book Antiqua"/>
          <w:sz w:val="24"/>
          <w:szCs w:val="24"/>
        </w:rPr>
        <w:t xml:space="preserve"> Y, </w:t>
      </w:r>
      <w:proofErr w:type="spellStart"/>
      <w:r w:rsidRPr="00ED5264">
        <w:rPr>
          <w:rFonts w:ascii="Book Antiqua" w:hAnsi="Book Antiqua"/>
          <w:sz w:val="24"/>
          <w:szCs w:val="24"/>
        </w:rPr>
        <w:t>Higa</w:t>
      </w:r>
      <w:proofErr w:type="spellEnd"/>
      <w:r w:rsidRPr="00ED5264">
        <w:rPr>
          <w:rFonts w:ascii="Book Antiqua" w:hAnsi="Book Antiqua"/>
          <w:sz w:val="24"/>
          <w:szCs w:val="24"/>
        </w:rPr>
        <w:t xml:space="preserve"> K, </w:t>
      </w:r>
      <w:proofErr w:type="spellStart"/>
      <w:r w:rsidRPr="00ED5264">
        <w:rPr>
          <w:rFonts w:ascii="Book Antiqua" w:hAnsi="Book Antiqua"/>
          <w:sz w:val="24"/>
          <w:szCs w:val="24"/>
        </w:rPr>
        <w:t>Kusumoto</w:t>
      </w:r>
      <w:proofErr w:type="spellEnd"/>
      <w:r w:rsidRPr="00ED5264">
        <w:rPr>
          <w:rFonts w:ascii="Book Antiqua" w:hAnsi="Book Antiqua"/>
          <w:sz w:val="24"/>
          <w:szCs w:val="24"/>
        </w:rPr>
        <w:t xml:space="preserve"> G, </w:t>
      </w:r>
      <w:proofErr w:type="spellStart"/>
      <w:r w:rsidRPr="00ED5264">
        <w:rPr>
          <w:rFonts w:ascii="Book Antiqua" w:hAnsi="Book Antiqua"/>
          <w:sz w:val="24"/>
          <w:szCs w:val="24"/>
        </w:rPr>
        <w:t>Nitahara</w:t>
      </w:r>
      <w:proofErr w:type="spellEnd"/>
      <w:r w:rsidRPr="00ED5264">
        <w:rPr>
          <w:rFonts w:ascii="Book Antiqua" w:hAnsi="Book Antiqua"/>
          <w:sz w:val="24"/>
          <w:szCs w:val="24"/>
        </w:rPr>
        <w:t xml:space="preserve"> K. [Surgical treatment of acute cholecystitis]. </w:t>
      </w:r>
      <w:r w:rsidRPr="00ED5264">
        <w:rPr>
          <w:rFonts w:ascii="Book Antiqua" w:hAnsi="Book Antiqua"/>
          <w:i/>
          <w:sz w:val="24"/>
          <w:szCs w:val="24"/>
        </w:rPr>
        <w:t>Masui</w:t>
      </w:r>
      <w:r w:rsidRPr="00ED5264">
        <w:rPr>
          <w:rFonts w:ascii="Book Antiqua" w:hAnsi="Book Antiqua"/>
          <w:sz w:val="24"/>
          <w:szCs w:val="24"/>
        </w:rPr>
        <w:t xml:space="preserve"> 2012; </w:t>
      </w:r>
      <w:r w:rsidRPr="00ED5264">
        <w:rPr>
          <w:rFonts w:ascii="Book Antiqua" w:hAnsi="Book Antiqua"/>
          <w:b/>
          <w:sz w:val="24"/>
          <w:szCs w:val="24"/>
        </w:rPr>
        <w:t>61</w:t>
      </w:r>
      <w:r w:rsidRPr="00ED5264">
        <w:rPr>
          <w:rFonts w:ascii="Book Antiqua" w:hAnsi="Book Antiqua"/>
          <w:sz w:val="24"/>
          <w:szCs w:val="24"/>
        </w:rPr>
        <w:t>: 944-</w:t>
      </w:r>
      <w:r w:rsidR="00843DC3">
        <w:rPr>
          <w:rFonts w:ascii="Book Antiqua" w:hAnsi="Book Antiqua" w:hint="eastAsia"/>
          <w:sz w:val="24"/>
          <w:szCs w:val="24"/>
        </w:rPr>
        <w:t>9</w:t>
      </w:r>
      <w:r w:rsidRPr="00ED5264">
        <w:rPr>
          <w:rFonts w:ascii="Book Antiqua" w:hAnsi="Book Antiqua"/>
          <w:sz w:val="24"/>
          <w:szCs w:val="24"/>
        </w:rPr>
        <w:t>50; discussion 951-</w:t>
      </w:r>
      <w:r w:rsidR="00843DC3">
        <w:rPr>
          <w:rFonts w:ascii="Book Antiqua" w:hAnsi="Book Antiqua" w:hint="eastAsia"/>
          <w:sz w:val="24"/>
          <w:szCs w:val="24"/>
        </w:rPr>
        <w:t>95</w:t>
      </w:r>
      <w:r w:rsidRPr="00ED5264">
        <w:rPr>
          <w:rFonts w:ascii="Book Antiqua" w:hAnsi="Book Antiqua"/>
          <w:sz w:val="24"/>
          <w:szCs w:val="24"/>
        </w:rPr>
        <w:t>2 [PMID: 23012831]</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15 </w:t>
      </w:r>
      <w:r w:rsidRPr="00ED5264">
        <w:rPr>
          <w:rFonts w:ascii="Book Antiqua" w:hAnsi="Book Antiqua"/>
          <w:b/>
          <w:sz w:val="24"/>
          <w:szCs w:val="24"/>
        </w:rPr>
        <w:t>Edwards JL</w:t>
      </w:r>
      <w:r w:rsidRPr="00ED5264">
        <w:rPr>
          <w:rFonts w:ascii="Book Antiqua" w:hAnsi="Book Antiqua"/>
          <w:sz w:val="24"/>
          <w:szCs w:val="24"/>
        </w:rPr>
        <w:t xml:space="preserve">, Vincent AM, Cheng HT, Feldman EL. Diabetic neuropathy: mechanisms to management. </w:t>
      </w:r>
      <w:proofErr w:type="spellStart"/>
      <w:r w:rsidRPr="00ED5264">
        <w:rPr>
          <w:rFonts w:ascii="Book Antiqua" w:hAnsi="Book Antiqua"/>
          <w:i/>
          <w:sz w:val="24"/>
          <w:szCs w:val="24"/>
        </w:rPr>
        <w:t>Pharmacol</w:t>
      </w:r>
      <w:proofErr w:type="spellEnd"/>
      <w:r w:rsidRPr="00ED5264">
        <w:rPr>
          <w:rFonts w:ascii="Book Antiqua" w:hAnsi="Book Antiqua"/>
          <w:i/>
          <w:sz w:val="24"/>
          <w:szCs w:val="24"/>
        </w:rPr>
        <w:t xml:space="preserve"> </w:t>
      </w:r>
      <w:proofErr w:type="spellStart"/>
      <w:r w:rsidRPr="00ED5264">
        <w:rPr>
          <w:rFonts w:ascii="Book Antiqua" w:hAnsi="Book Antiqua"/>
          <w:i/>
          <w:sz w:val="24"/>
          <w:szCs w:val="24"/>
        </w:rPr>
        <w:t>Ther</w:t>
      </w:r>
      <w:proofErr w:type="spellEnd"/>
      <w:r w:rsidRPr="00ED5264">
        <w:rPr>
          <w:rFonts w:ascii="Book Antiqua" w:hAnsi="Book Antiqua"/>
          <w:sz w:val="24"/>
          <w:szCs w:val="24"/>
        </w:rPr>
        <w:t xml:space="preserve"> 2008; </w:t>
      </w:r>
      <w:r w:rsidRPr="00ED5264">
        <w:rPr>
          <w:rFonts w:ascii="Book Antiqua" w:hAnsi="Book Antiqua"/>
          <w:b/>
          <w:sz w:val="24"/>
          <w:szCs w:val="24"/>
        </w:rPr>
        <w:t>120</w:t>
      </w:r>
      <w:r w:rsidRPr="00ED5264">
        <w:rPr>
          <w:rFonts w:ascii="Book Antiqua" w:hAnsi="Book Antiqua"/>
          <w:sz w:val="24"/>
          <w:szCs w:val="24"/>
        </w:rPr>
        <w:t>: 1-34 [PMID: 18616962 DOI: 10.1016/j.pharmthera.2008.05.005]</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16 </w:t>
      </w:r>
      <w:r w:rsidRPr="00ED5264">
        <w:rPr>
          <w:rFonts w:ascii="Book Antiqua" w:hAnsi="Book Antiqua"/>
          <w:b/>
          <w:sz w:val="24"/>
          <w:szCs w:val="24"/>
        </w:rPr>
        <w:t>Callaghan BC</w:t>
      </w:r>
      <w:r w:rsidRPr="00ED5264">
        <w:rPr>
          <w:rFonts w:ascii="Book Antiqua" w:hAnsi="Book Antiqua"/>
          <w:sz w:val="24"/>
          <w:szCs w:val="24"/>
        </w:rPr>
        <w:t xml:space="preserve">, Cheng HT, Stables CL, Smith AL, Feldman EL. Diabetic neuropathy: clinical manifestations and current treatments. </w:t>
      </w:r>
      <w:r w:rsidRPr="00ED5264">
        <w:rPr>
          <w:rFonts w:ascii="Book Antiqua" w:hAnsi="Book Antiqua"/>
          <w:i/>
          <w:sz w:val="24"/>
          <w:szCs w:val="24"/>
        </w:rPr>
        <w:t>Lancet Neurol</w:t>
      </w:r>
      <w:r w:rsidRPr="00ED5264">
        <w:rPr>
          <w:rFonts w:ascii="Book Antiqua" w:hAnsi="Book Antiqua"/>
          <w:sz w:val="24"/>
          <w:szCs w:val="24"/>
        </w:rPr>
        <w:t xml:space="preserve"> 2012; </w:t>
      </w:r>
      <w:r w:rsidRPr="00ED5264">
        <w:rPr>
          <w:rFonts w:ascii="Book Antiqua" w:hAnsi="Book Antiqua"/>
          <w:b/>
          <w:sz w:val="24"/>
          <w:szCs w:val="24"/>
        </w:rPr>
        <w:t>11</w:t>
      </w:r>
      <w:r w:rsidRPr="00ED5264">
        <w:rPr>
          <w:rFonts w:ascii="Book Antiqua" w:hAnsi="Book Antiqua"/>
          <w:sz w:val="24"/>
          <w:szCs w:val="24"/>
        </w:rPr>
        <w:t>: 521-534 [PMID: 22608666 DOI: 10.1016/S1474-4422(12)70065-0]</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17 </w:t>
      </w:r>
      <w:r w:rsidRPr="00ED5264">
        <w:rPr>
          <w:rFonts w:ascii="Book Antiqua" w:hAnsi="Book Antiqua"/>
          <w:b/>
          <w:sz w:val="24"/>
          <w:szCs w:val="24"/>
        </w:rPr>
        <w:t>Feldman EL.</w:t>
      </w:r>
      <w:r w:rsidRPr="00ED5264">
        <w:rPr>
          <w:rFonts w:ascii="Book Antiqua" w:hAnsi="Book Antiqua"/>
          <w:sz w:val="24"/>
          <w:szCs w:val="24"/>
        </w:rPr>
        <w:t xml:space="preserve"> Pathogenesis and prevention of diabetic polyneuropathy. Available from: URL: https://www.uptodate.com/contents/pathogenesis-and-prevention-of-diabetic-polyneuropathy/print</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18 </w:t>
      </w:r>
      <w:proofErr w:type="spellStart"/>
      <w:r w:rsidRPr="00ED5264">
        <w:rPr>
          <w:rFonts w:ascii="Book Antiqua" w:hAnsi="Book Antiqua"/>
          <w:b/>
          <w:sz w:val="24"/>
          <w:szCs w:val="24"/>
        </w:rPr>
        <w:t>Newrick</w:t>
      </w:r>
      <w:proofErr w:type="spellEnd"/>
      <w:r w:rsidRPr="00ED5264">
        <w:rPr>
          <w:rFonts w:ascii="Book Antiqua" w:hAnsi="Book Antiqua"/>
          <w:b/>
          <w:sz w:val="24"/>
          <w:szCs w:val="24"/>
        </w:rPr>
        <w:t xml:space="preserve"> PG</w:t>
      </w:r>
      <w:r w:rsidRPr="00ED5264">
        <w:rPr>
          <w:rFonts w:ascii="Book Antiqua" w:hAnsi="Book Antiqua"/>
          <w:sz w:val="24"/>
          <w:szCs w:val="24"/>
        </w:rPr>
        <w:t xml:space="preserve">, Wilson AJ, Jakubowski J, Boulton AJ, Ward JD. Sural nerve oxygen tension in diabetes. </w:t>
      </w:r>
      <w:r w:rsidRPr="00ED5264">
        <w:rPr>
          <w:rFonts w:ascii="Book Antiqua" w:hAnsi="Book Antiqua"/>
          <w:i/>
          <w:sz w:val="24"/>
          <w:szCs w:val="24"/>
        </w:rPr>
        <w:t xml:space="preserve">Br Med J </w:t>
      </w:r>
      <w:r w:rsidRPr="00ED5264">
        <w:rPr>
          <w:rFonts w:ascii="Book Antiqua" w:hAnsi="Book Antiqua"/>
          <w:sz w:val="24"/>
          <w:szCs w:val="24"/>
        </w:rPr>
        <w:t xml:space="preserve">(Clin Res Ed) 1986; </w:t>
      </w:r>
      <w:r w:rsidRPr="00ED5264">
        <w:rPr>
          <w:rFonts w:ascii="Book Antiqua" w:hAnsi="Book Antiqua"/>
          <w:b/>
          <w:sz w:val="24"/>
          <w:szCs w:val="24"/>
        </w:rPr>
        <w:t>293</w:t>
      </w:r>
      <w:r w:rsidRPr="00ED5264">
        <w:rPr>
          <w:rFonts w:ascii="Book Antiqua" w:hAnsi="Book Antiqua"/>
          <w:sz w:val="24"/>
          <w:szCs w:val="24"/>
        </w:rPr>
        <w:t>: 1053-1054 [PMID: 3094772 DOI: 10.1136/bmj.293.6554.1053]</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19 </w:t>
      </w:r>
      <w:r w:rsidRPr="00ED5264">
        <w:rPr>
          <w:rFonts w:ascii="Book Antiqua" w:hAnsi="Book Antiqua"/>
          <w:b/>
          <w:sz w:val="24"/>
          <w:szCs w:val="24"/>
        </w:rPr>
        <w:t>Kennedy JM</w:t>
      </w:r>
      <w:r w:rsidRPr="00ED5264">
        <w:rPr>
          <w:rFonts w:ascii="Book Antiqua" w:hAnsi="Book Antiqua"/>
          <w:sz w:val="24"/>
          <w:szCs w:val="24"/>
        </w:rPr>
        <w:t xml:space="preserve">, </w:t>
      </w:r>
      <w:proofErr w:type="spellStart"/>
      <w:r w:rsidRPr="00ED5264">
        <w:rPr>
          <w:rFonts w:ascii="Book Antiqua" w:hAnsi="Book Antiqua"/>
          <w:sz w:val="24"/>
          <w:szCs w:val="24"/>
        </w:rPr>
        <w:t>Zochodne</w:t>
      </w:r>
      <w:proofErr w:type="spellEnd"/>
      <w:r w:rsidRPr="00ED5264">
        <w:rPr>
          <w:rFonts w:ascii="Book Antiqua" w:hAnsi="Book Antiqua"/>
          <w:sz w:val="24"/>
          <w:szCs w:val="24"/>
        </w:rPr>
        <w:t xml:space="preserve"> DW. The regenerative deficit of peripheral nerves in experimental diabetes: its extent, timing and possible mechanisms. </w:t>
      </w:r>
      <w:r w:rsidRPr="00ED5264">
        <w:rPr>
          <w:rFonts w:ascii="Book Antiqua" w:hAnsi="Book Antiqua"/>
          <w:i/>
          <w:sz w:val="24"/>
          <w:szCs w:val="24"/>
        </w:rPr>
        <w:t>Brain</w:t>
      </w:r>
      <w:r w:rsidRPr="00ED5264">
        <w:rPr>
          <w:rFonts w:ascii="Book Antiqua" w:hAnsi="Book Antiqua"/>
          <w:sz w:val="24"/>
          <w:szCs w:val="24"/>
        </w:rPr>
        <w:t xml:space="preserve"> 2000; </w:t>
      </w:r>
      <w:r w:rsidRPr="00ED5264">
        <w:rPr>
          <w:rFonts w:ascii="Book Antiqua" w:hAnsi="Book Antiqua"/>
          <w:b/>
          <w:sz w:val="24"/>
          <w:szCs w:val="24"/>
        </w:rPr>
        <w:t xml:space="preserve">123 </w:t>
      </w:r>
      <w:proofErr w:type="gramStart"/>
      <w:r w:rsidRPr="00ED5264">
        <w:rPr>
          <w:rFonts w:ascii="Book Antiqua" w:hAnsi="Book Antiqua"/>
          <w:b/>
          <w:sz w:val="24"/>
          <w:szCs w:val="24"/>
        </w:rPr>
        <w:t>( Pt</w:t>
      </w:r>
      <w:proofErr w:type="gramEnd"/>
      <w:r w:rsidRPr="00ED5264">
        <w:rPr>
          <w:rFonts w:ascii="Book Antiqua" w:hAnsi="Book Antiqua"/>
          <w:b/>
          <w:sz w:val="24"/>
          <w:szCs w:val="24"/>
        </w:rPr>
        <w:t xml:space="preserve"> 10)</w:t>
      </w:r>
      <w:r w:rsidRPr="00ED5264">
        <w:rPr>
          <w:rFonts w:ascii="Book Antiqua" w:hAnsi="Book Antiqua"/>
          <w:sz w:val="24"/>
          <w:szCs w:val="24"/>
        </w:rPr>
        <w:t>: 2118-2129 [PMID: 11004128 DOI: 10.1093/brain/123.10.2118]</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lastRenderedPageBreak/>
        <w:t xml:space="preserve">20 </w:t>
      </w:r>
      <w:r w:rsidRPr="00ED5264">
        <w:rPr>
          <w:rFonts w:ascii="Book Antiqua" w:hAnsi="Book Antiqua"/>
          <w:b/>
          <w:sz w:val="24"/>
          <w:szCs w:val="24"/>
        </w:rPr>
        <w:t>Kennedy JM</w:t>
      </w:r>
      <w:r w:rsidRPr="00ED5264">
        <w:rPr>
          <w:rFonts w:ascii="Book Antiqua" w:hAnsi="Book Antiqua"/>
          <w:sz w:val="24"/>
          <w:szCs w:val="24"/>
        </w:rPr>
        <w:t xml:space="preserve">, </w:t>
      </w:r>
      <w:proofErr w:type="spellStart"/>
      <w:r w:rsidRPr="00ED5264">
        <w:rPr>
          <w:rFonts w:ascii="Book Antiqua" w:hAnsi="Book Antiqua"/>
          <w:sz w:val="24"/>
          <w:szCs w:val="24"/>
        </w:rPr>
        <w:t>Zochodne</w:t>
      </w:r>
      <w:proofErr w:type="spellEnd"/>
      <w:r w:rsidRPr="00ED5264">
        <w:rPr>
          <w:rFonts w:ascii="Book Antiqua" w:hAnsi="Book Antiqua"/>
          <w:sz w:val="24"/>
          <w:szCs w:val="24"/>
        </w:rPr>
        <w:t xml:space="preserve"> DW. Impaired peripheral nerve regeneration in diabetes mellitus. </w:t>
      </w:r>
      <w:r w:rsidRPr="00ED5264">
        <w:rPr>
          <w:rFonts w:ascii="Book Antiqua" w:hAnsi="Book Antiqua"/>
          <w:i/>
          <w:sz w:val="24"/>
          <w:szCs w:val="24"/>
        </w:rPr>
        <w:t xml:space="preserve">J </w:t>
      </w:r>
      <w:proofErr w:type="spellStart"/>
      <w:r w:rsidRPr="00ED5264">
        <w:rPr>
          <w:rFonts w:ascii="Book Antiqua" w:hAnsi="Book Antiqua"/>
          <w:i/>
          <w:sz w:val="24"/>
          <w:szCs w:val="24"/>
        </w:rPr>
        <w:t>Peripher</w:t>
      </w:r>
      <w:proofErr w:type="spellEnd"/>
      <w:r w:rsidRPr="00ED5264">
        <w:rPr>
          <w:rFonts w:ascii="Book Antiqua" w:hAnsi="Book Antiqua"/>
          <w:i/>
          <w:sz w:val="24"/>
          <w:szCs w:val="24"/>
        </w:rPr>
        <w:t xml:space="preserve"> </w:t>
      </w:r>
      <w:proofErr w:type="spellStart"/>
      <w:r w:rsidRPr="00ED5264">
        <w:rPr>
          <w:rFonts w:ascii="Book Antiqua" w:hAnsi="Book Antiqua"/>
          <w:i/>
          <w:sz w:val="24"/>
          <w:szCs w:val="24"/>
        </w:rPr>
        <w:t>Nerv</w:t>
      </w:r>
      <w:proofErr w:type="spellEnd"/>
      <w:r w:rsidRPr="00ED5264">
        <w:rPr>
          <w:rFonts w:ascii="Book Antiqua" w:hAnsi="Book Antiqua"/>
          <w:i/>
          <w:sz w:val="24"/>
          <w:szCs w:val="24"/>
        </w:rPr>
        <w:t xml:space="preserve"> Syst</w:t>
      </w:r>
      <w:r w:rsidRPr="00ED5264">
        <w:rPr>
          <w:rFonts w:ascii="Book Antiqua" w:hAnsi="Book Antiqua"/>
          <w:sz w:val="24"/>
          <w:szCs w:val="24"/>
        </w:rPr>
        <w:t xml:space="preserve"> 2005; </w:t>
      </w:r>
      <w:r w:rsidRPr="00ED5264">
        <w:rPr>
          <w:rFonts w:ascii="Book Antiqua" w:hAnsi="Book Antiqua"/>
          <w:b/>
          <w:sz w:val="24"/>
          <w:szCs w:val="24"/>
        </w:rPr>
        <w:t>10</w:t>
      </w:r>
      <w:r w:rsidRPr="00ED5264">
        <w:rPr>
          <w:rFonts w:ascii="Book Antiqua" w:hAnsi="Book Antiqua"/>
          <w:sz w:val="24"/>
          <w:szCs w:val="24"/>
        </w:rPr>
        <w:t>: 144-157 [PMID: 15958126 DOI: 10.1111/j.1085-9489.2005.0010205.x]</w:t>
      </w:r>
    </w:p>
    <w:p w:rsidR="00ED5264" w:rsidRPr="00ED5264" w:rsidRDefault="00ED5264" w:rsidP="00ED5264">
      <w:pPr>
        <w:spacing w:line="360" w:lineRule="auto"/>
        <w:rPr>
          <w:rFonts w:ascii="Book Antiqua" w:hAnsi="Book Antiqua"/>
          <w:sz w:val="24"/>
          <w:szCs w:val="24"/>
        </w:rPr>
      </w:pPr>
      <w:r w:rsidRPr="00ED5264">
        <w:rPr>
          <w:rFonts w:ascii="Book Antiqua" w:hAnsi="Book Antiqua"/>
          <w:sz w:val="24"/>
          <w:szCs w:val="24"/>
        </w:rPr>
        <w:t xml:space="preserve">21 </w:t>
      </w:r>
      <w:proofErr w:type="spellStart"/>
      <w:r w:rsidRPr="00ED5264">
        <w:rPr>
          <w:rFonts w:ascii="Book Antiqua" w:hAnsi="Book Antiqua"/>
          <w:b/>
          <w:sz w:val="24"/>
          <w:szCs w:val="24"/>
        </w:rPr>
        <w:t>Brussee</w:t>
      </w:r>
      <w:proofErr w:type="spellEnd"/>
      <w:r w:rsidRPr="00ED5264">
        <w:rPr>
          <w:rFonts w:ascii="Book Antiqua" w:hAnsi="Book Antiqua"/>
          <w:b/>
          <w:sz w:val="24"/>
          <w:szCs w:val="24"/>
        </w:rPr>
        <w:t xml:space="preserve"> V</w:t>
      </w:r>
      <w:r w:rsidRPr="00ED5264">
        <w:rPr>
          <w:rFonts w:ascii="Book Antiqua" w:hAnsi="Book Antiqua"/>
          <w:sz w:val="24"/>
          <w:szCs w:val="24"/>
        </w:rPr>
        <w:t xml:space="preserve">, Cunningham FA, </w:t>
      </w:r>
      <w:proofErr w:type="spellStart"/>
      <w:r w:rsidRPr="00ED5264">
        <w:rPr>
          <w:rFonts w:ascii="Book Antiqua" w:hAnsi="Book Antiqua"/>
          <w:sz w:val="24"/>
          <w:szCs w:val="24"/>
        </w:rPr>
        <w:t>Zochodne</w:t>
      </w:r>
      <w:proofErr w:type="spellEnd"/>
      <w:r w:rsidRPr="00ED5264">
        <w:rPr>
          <w:rFonts w:ascii="Book Antiqua" w:hAnsi="Book Antiqua"/>
          <w:sz w:val="24"/>
          <w:szCs w:val="24"/>
        </w:rPr>
        <w:t xml:space="preserve"> DW. Direct insulin signaling of neurons reverses diabetic neuropathy. </w:t>
      </w:r>
      <w:r w:rsidRPr="00ED5264">
        <w:rPr>
          <w:rFonts w:ascii="Book Antiqua" w:hAnsi="Book Antiqua"/>
          <w:i/>
          <w:sz w:val="24"/>
          <w:szCs w:val="24"/>
        </w:rPr>
        <w:t>Diabetes</w:t>
      </w:r>
      <w:r w:rsidRPr="00ED5264">
        <w:rPr>
          <w:rFonts w:ascii="Book Antiqua" w:hAnsi="Book Antiqua"/>
          <w:sz w:val="24"/>
          <w:szCs w:val="24"/>
        </w:rPr>
        <w:t xml:space="preserve"> 2004; </w:t>
      </w:r>
      <w:r w:rsidRPr="00ED5264">
        <w:rPr>
          <w:rFonts w:ascii="Book Antiqua" w:hAnsi="Book Antiqua"/>
          <w:b/>
          <w:sz w:val="24"/>
          <w:szCs w:val="24"/>
        </w:rPr>
        <w:t>53</w:t>
      </w:r>
      <w:r w:rsidRPr="00ED5264">
        <w:rPr>
          <w:rFonts w:ascii="Book Antiqua" w:hAnsi="Book Antiqua"/>
          <w:sz w:val="24"/>
          <w:szCs w:val="24"/>
        </w:rPr>
        <w:t>: 1824-1830 [PMID: 15220207 DOI: 10.2337/diabetes.53.7.1824]</w:t>
      </w:r>
    </w:p>
    <w:p w:rsidR="000658B7" w:rsidRPr="00ED5264" w:rsidRDefault="000658B7" w:rsidP="00ED5264">
      <w:pPr>
        <w:widowControl/>
        <w:spacing w:line="360" w:lineRule="auto"/>
        <w:rPr>
          <w:rFonts w:ascii="Book Antiqua" w:hAnsi="Book Antiqua"/>
          <w:sz w:val="24"/>
          <w:szCs w:val="24"/>
        </w:rPr>
      </w:pPr>
    </w:p>
    <w:p w:rsidR="0033782C" w:rsidRPr="00ED5264" w:rsidRDefault="0033782C" w:rsidP="00ED5264">
      <w:pPr>
        <w:pStyle w:val="PlainText"/>
        <w:spacing w:line="360" w:lineRule="auto"/>
        <w:jc w:val="right"/>
        <w:rPr>
          <w:rFonts w:ascii="Book Antiqua" w:hAnsi="Book Antiqua"/>
          <w:b/>
          <w:sz w:val="24"/>
          <w:szCs w:val="24"/>
        </w:rPr>
      </w:pPr>
      <w:r w:rsidRPr="00ED5264">
        <w:rPr>
          <w:rFonts w:ascii="Book Antiqua" w:hAnsi="Book Antiqua"/>
          <w:b/>
          <w:sz w:val="24"/>
          <w:szCs w:val="24"/>
        </w:rPr>
        <w:t xml:space="preserve">P-Reviewer: </w:t>
      </w:r>
      <w:proofErr w:type="spellStart"/>
      <w:r w:rsidRPr="00ED5264">
        <w:rPr>
          <w:rFonts w:ascii="Book Antiqua" w:hAnsi="Book Antiqua"/>
          <w:color w:val="000000"/>
          <w:sz w:val="24"/>
          <w:szCs w:val="24"/>
        </w:rPr>
        <w:t>Avtanski</w:t>
      </w:r>
      <w:proofErr w:type="spellEnd"/>
      <w:r w:rsidRPr="00ED5264">
        <w:rPr>
          <w:rFonts w:ascii="Book Antiqua" w:hAnsi="Book Antiqua"/>
          <w:color w:val="000000"/>
          <w:sz w:val="24"/>
          <w:szCs w:val="24"/>
        </w:rPr>
        <w:t xml:space="preserve"> D, Sahoo J, </w:t>
      </w:r>
      <w:proofErr w:type="spellStart"/>
      <w:r w:rsidRPr="00ED5264">
        <w:rPr>
          <w:rFonts w:ascii="Book Antiqua" w:hAnsi="Book Antiqua"/>
          <w:color w:val="000000"/>
          <w:sz w:val="24"/>
          <w:szCs w:val="24"/>
        </w:rPr>
        <w:t>Saisho</w:t>
      </w:r>
      <w:proofErr w:type="spellEnd"/>
      <w:r w:rsidRPr="00ED5264">
        <w:rPr>
          <w:rFonts w:ascii="Book Antiqua" w:hAnsi="Book Antiqua"/>
          <w:color w:val="000000"/>
          <w:sz w:val="24"/>
          <w:szCs w:val="24"/>
        </w:rPr>
        <w:t xml:space="preserve"> Y </w:t>
      </w:r>
      <w:r w:rsidRPr="00ED5264">
        <w:rPr>
          <w:rFonts w:ascii="Book Antiqua" w:hAnsi="Book Antiqua"/>
          <w:b/>
          <w:sz w:val="24"/>
          <w:szCs w:val="24"/>
        </w:rPr>
        <w:t xml:space="preserve">S-Editor: </w:t>
      </w:r>
      <w:r w:rsidRPr="00ED5264">
        <w:rPr>
          <w:rFonts w:ascii="Book Antiqua" w:hAnsi="Book Antiqua"/>
          <w:sz w:val="24"/>
          <w:szCs w:val="24"/>
        </w:rPr>
        <w:t>Ji FF</w:t>
      </w:r>
      <w:r w:rsidRPr="00ED5264">
        <w:rPr>
          <w:rFonts w:ascii="Book Antiqua" w:hAnsi="Book Antiqua"/>
          <w:b/>
          <w:sz w:val="24"/>
          <w:szCs w:val="24"/>
        </w:rPr>
        <w:t xml:space="preserve"> L-Editor: E-Editor: </w:t>
      </w:r>
    </w:p>
    <w:p w:rsidR="0033782C" w:rsidRPr="00ED5264" w:rsidRDefault="0033782C" w:rsidP="00ED5264">
      <w:pPr>
        <w:pStyle w:val="PlainText"/>
        <w:spacing w:line="360" w:lineRule="auto"/>
        <w:rPr>
          <w:rFonts w:ascii="Book Antiqua" w:hAnsi="Book Antiqua"/>
          <w:b/>
          <w:sz w:val="24"/>
          <w:szCs w:val="24"/>
        </w:rPr>
      </w:pPr>
      <w:r w:rsidRPr="00ED5264">
        <w:rPr>
          <w:rFonts w:ascii="Book Antiqua" w:hAnsi="Book Antiqua"/>
          <w:b/>
          <w:sz w:val="24"/>
          <w:szCs w:val="24"/>
        </w:rPr>
        <w:t xml:space="preserve"> </w:t>
      </w:r>
    </w:p>
    <w:p w:rsidR="0033782C" w:rsidRPr="00ED5264" w:rsidRDefault="0033782C" w:rsidP="00ED5264">
      <w:pPr>
        <w:widowControl/>
        <w:snapToGrid w:val="0"/>
        <w:spacing w:line="360" w:lineRule="auto"/>
        <w:rPr>
          <w:rFonts w:ascii="Book Antiqua" w:hAnsi="Book Antiqua" w:cs="Helvetica"/>
          <w:b/>
          <w:kern w:val="0"/>
          <w:sz w:val="24"/>
          <w:szCs w:val="24"/>
        </w:rPr>
      </w:pPr>
      <w:r w:rsidRPr="00ED5264">
        <w:rPr>
          <w:rFonts w:ascii="Book Antiqua" w:hAnsi="Book Antiqua" w:cs="Helvetica"/>
          <w:b/>
          <w:kern w:val="0"/>
          <w:sz w:val="24"/>
          <w:szCs w:val="24"/>
        </w:rPr>
        <w:t xml:space="preserve">Specialty type: </w:t>
      </w:r>
      <w:r w:rsidRPr="00ED5264">
        <w:rPr>
          <w:rFonts w:ascii="Book Antiqua" w:eastAsia="Microsoft YaHei" w:hAnsi="Book Antiqua" w:cs="SimSun"/>
          <w:kern w:val="0"/>
          <w:sz w:val="24"/>
          <w:szCs w:val="24"/>
        </w:rPr>
        <w:t>Medicine, research and experimental</w:t>
      </w:r>
    </w:p>
    <w:p w:rsidR="0033782C" w:rsidRPr="00ED5264" w:rsidRDefault="0033782C" w:rsidP="00ED5264">
      <w:pPr>
        <w:widowControl/>
        <w:snapToGrid w:val="0"/>
        <w:spacing w:line="360" w:lineRule="auto"/>
        <w:rPr>
          <w:rFonts w:ascii="Book Antiqua" w:hAnsi="Book Antiqua" w:cs="Helvetica"/>
          <w:b/>
          <w:kern w:val="0"/>
          <w:sz w:val="24"/>
          <w:szCs w:val="24"/>
        </w:rPr>
      </w:pPr>
      <w:r w:rsidRPr="00ED5264">
        <w:rPr>
          <w:rFonts w:ascii="Book Antiqua" w:hAnsi="Book Antiqua" w:cs="Helvetica"/>
          <w:b/>
          <w:kern w:val="0"/>
          <w:sz w:val="24"/>
          <w:szCs w:val="24"/>
        </w:rPr>
        <w:t xml:space="preserve">Country of origin: </w:t>
      </w:r>
      <w:r w:rsidRPr="00ED5264">
        <w:rPr>
          <w:rFonts w:ascii="Book Antiqua" w:hAnsi="Book Antiqua"/>
          <w:kern w:val="0"/>
          <w:sz w:val="24"/>
          <w:szCs w:val="24"/>
        </w:rPr>
        <w:t>United States</w:t>
      </w:r>
    </w:p>
    <w:p w:rsidR="0033782C" w:rsidRPr="00ED5264" w:rsidRDefault="0033782C" w:rsidP="00ED5264">
      <w:pPr>
        <w:widowControl/>
        <w:snapToGrid w:val="0"/>
        <w:spacing w:line="360" w:lineRule="auto"/>
        <w:rPr>
          <w:rFonts w:ascii="Book Antiqua" w:hAnsi="Book Antiqua" w:cs="Helvetica"/>
          <w:b/>
          <w:kern w:val="0"/>
          <w:sz w:val="24"/>
          <w:szCs w:val="24"/>
        </w:rPr>
      </w:pPr>
      <w:r w:rsidRPr="00ED5264">
        <w:rPr>
          <w:rFonts w:ascii="Book Antiqua" w:hAnsi="Book Antiqua" w:cs="Helvetica"/>
          <w:b/>
          <w:kern w:val="0"/>
          <w:sz w:val="24"/>
          <w:szCs w:val="24"/>
        </w:rPr>
        <w:t>Peer-review report classification</w:t>
      </w:r>
    </w:p>
    <w:p w:rsidR="0033782C" w:rsidRPr="00ED5264" w:rsidRDefault="0033782C" w:rsidP="00ED5264">
      <w:pPr>
        <w:widowControl/>
        <w:snapToGrid w:val="0"/>
        <w:spacing w:line="360" w:lineRule="auto"/>
        <w:rPr>
          <w:rFonts w:ascii="Book Antiqua" w:hAnsi="Book Antiqua" w:cs="Helvetica"/>
          <w:kern w:val="0"/>
          <w:sz w:val="24"/>
          <w:szCs w:val="24"/>
        </w:rPr>
      </w:pPr>
      <w:r w:rsidRPr="00ED5264">
        <w:rPr>
          <w:rFonts w:ascii="Book Antiqua" w:hAnsi="Book Antiqua" w:cs="Helvetica"/>
          <w:kern w:val="0"/>
          <w:sz w:val="24"/>
          <w:szCs w:val="24"/>
        </w:rPr>
        <w:t>Grade A (Excellent): 0</w:t>
      </w:r>
    </w:p>
    <w:p w:rsidR="0033782C" w:rsidRPr="00ED5264" w:rsidRDefault="0033782C" w:rsidP="00ED5264">
      <w:pPr>
        <w:widowControl/>
        <w:snapToGrid w:val="0"/>
        <w:spacing w:line="360" w:lineRule="auto"/>
        <w:rPr>
          <w:rFonts w:ascii="Book Antiqua" w:hAnsi="Book Antiqua" w:cs="Helvetica"/>
          <w:kern w:val="0"/>
          <w:sz w:val="24"/>
          <w:szCs w:val="24"/>
        </w:rPr>
      </w:pPr>
      <w:r w:rsidRPr="00ED5264">
        <w:rPr>
          <w:rFonts w:ascii="Book Antiqua" w:hAnsi="Book Antiqua" w:cs="Helvetica"/>
          <w:kern w:val="0"/>
          <w:sz w:val="24"/>
          <w:szCs w:val="24"/>
        </w:rPr>
        <w:t>Grade B (Very good): B</w:t>
      </w:r>
    </w:p>
    <w:p w:rsidR="0033782C" w:rsidRPr="00ED5264" w:rsidRDefault="0033782C" w:rsidP="00ED5264">
      <w:pPr>
        <w:widowControl/>
        <w:snapToGrid w:val="0"/>
        <w:spacing w:line="360" w:lineRule="auto"/>
        <w:rPr>
          <w:rFonts w:ascii="Book Antiqua" w:hAnsi="Book Antiqua" w:cs="Helvetica"/>
          <w:kern w:val="0"/>
          <w:sz w:val="24"/>
          <w:szCs w:val="24"/>
        </w:rPr>
      </w:pPr>
      <w:r w:rsidRPr="00ED5264">
        <w:rPr>
          <w:rFonts w:ascii="Book Antiqua" w:hAnsi="Book Antiqua" w:cs="Helvetica"/>
          <w:kern w:val="0"/>
          <w:sz w:val="24"/>
          <w:szCs w:val="24"/>
        </w:rPr>
        <w:t>Grade C (Good): C</w:t>
      </w:r>
    </w:p>
    <w:p w:rsidR="0033782C" w:rsidRPr="00ED5264" w:rsidRDefault="0033782C" w:rsidP="00ED5264">
      <w:pPr>
        <w:widowControl/>
        <w:snapToGrid w:val="0"/>
        <w:spacing w:line="360" w:lineRule="auto"/>
        <w:rPr>
          <w:rFonts w:ascii="Book Antiqua" w:hAnsi="Book Antiqua" w:cs="Helvetica"/>
          <w:kern w:val="0"/>
          <w:sz w:val="24"/>
          <w:szCs w:val="24"/>
        </w:rPr>
      </w:pPr>
      <w:r w:rsidRPr="00ED5264">
        <w:rPr>
          <w:rFonts w:ascii="Book Antiqua" w:hAnsi="Book Antiqua" w:cs="Helvetica"/>
          <w:kern w:val="0"/>
          <w:sz w:val="24"/>
          <w:szCs w:val="24"/>
        </w:rPr>
        <w:t>Grade D (Fair): D</w:t>
      </w:r>
    </w:p>
    <w:p w:rsidR="000658B7" w:rsidRPr="00ED5264" w:rsidRDefault="0033782C" w:rsidP="00ED5264">
      <w:pPr>
        <w:spacing w:line="360" w:lineRule="auto"/>
        <w:rPr>
          <w:rFonts w:ascii="Book Antiqua" w:hAnsi="Book Antiqua"/>
          <w:sz w:val="24"/>
          <w:szCs w:val="24"/>
        </w:rPr>
      </w:pPr>
      <w:r w:rsidRPr="00ED5264">
        <w:rPr>
          <w:rFonts w:ascii="Book Antiqua" w:hAnsi="Book Antiqua" w:cs="Helvetica"/>
          <w:kern w:val="0"/>
          <w:sz w:val="24"/>
          <w:szCs w:val="24"/>
        </w:rPr>
        <w:t>Grade E (Poor): 0</w:t>
      </w:r>
    </w:p>
    <w:p w:rsidR="004E738B" w:rsidRPr="00ED5264" w:rsidRDefault="004E738B" w:rsidP="00ED5264">
      <w:pPr>
        <w:widowControl/>
        <w:spacing w:line="360" w:lineRule="auto"/>
        <w:rPr>
          <w:rFonts w:ascii="Book Antiqua" w:hAnsi="Book Antiqua"/>
          <w:sz w:val="24"/>
          <w:szCs w:val="24"/>
        </w:rPr>
      </w:pPr>
      <w:r w:rsidRPr="00ED5264">
        <w:rPr>
          <w:rFonts w:ascii="Book Antiqua" w:hAnsi="Book Antiqua"/>
          <w:sz w:val="24"/>
          <w:szCs w:val="24"/>
        </w:rPr>
        <w:br w:type="page"/>
      </w:r>
    </w:p>
    <w:p w:rsidR="004E738B" w:rsidRPr="004E738B" w:rsidRDefault="004E738B" w:rsidP="004E738B">
      <w:pPr>
        <w:spacing w:line="360" w:lineRule="auto"/>
        <w:rPr>
          <w:rFonts w:ascii="Book Antiqua" w:hAnsi="Book Antiqua"/>
          <w:b/>
          <w:sz w:val="24"/>
          <w:szCs w:val="24"/>
        </w:rPr>
      </w:pPr>
      <w:r w:rsidRPr="004E738B">
        <w:rPr>
          <w:rFonts w:ascii="Book Antiqua" w:hAnsi="Book Antiqua"/>
          <w:b/>
          <w:noProof/>
          <w:sz w:val="24"/>
          <w:szCs w:val="24"/>
        </w:rPr>
        <w:lastRenderedPageBreak/>
        <w:drawing>
          <wp:inline distT="0" distB="0" distL="0" distR="0" wp14:anchorId="605B5B6C" wp14:editId="2BCF2BC8">
            <wp:extent cx="5477510" cy="3657600"/>
            <wp:effectExtent l="0" t="0" r="8890" b="0"/>
            <wp:docPr id="1" name="Picture 1" descr="Macintosh HD:Users:ramanmehrzad:Desktop:USB:Gangrenous cholecystitis case: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manmehrzad:Desktop:USB:Gangrenous cholecystitis case:imag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510" cy="3657600"/>
                    </a:xfrm>
                    <a:prstGeom prst="rect">
                      <a:avLst/>
                    </a:prstGeom>
                    <a:noFill/>
                    <a:ln>
                      <a:noFill/>
                    </a:ln>
                  </pic:spPr>
                </pic:pic>
              </a:graphicData>
            </a:graphic>
          </wp:inline>
        </w:drawing>
      </w:r>
    </w:p>
    <w:p w:rsidR="004E738B" w:rsidRPr="004E738B" w:rsidRDefault="004E738B" w:rsidP="004E738B">
      <w:pPr>
        <w:spacing w:line="360" w:lineRule="auto"/>
        <w:rPr>
          <w:rFonts w:ascii="Book Antiqua" w:hAnsi="Book Antiqua" w:cs="Calibri"/>
          <w:b/>
          <w:iCs/>
          <w:sz w:val="24"/>
          <w:szCs w:val="24"/>
        </w:rPr>
      </w:pPr>
      <w:r>
        <w:rPr>
          <w:rFonts w:ascii="Book Antiqua" w:hAnsi="Book Antiqua"/>
          <w:b/>
          <w:sz w:val="24"/>
          <w:szCs w:val="24"/>
        </w:rPr>
        <w:t>Figure 1</w:t>
      </w:r>
      <w:r w:rsidRPr="004E738B">
        <w:rPr>
          <w:rFonts w:ascii="Book Antiqua" w:hAnsi="Book Antiqua"/>
          <w:b/>
          <w:sz w:val="24"/>
          <w:szCs w:val="24"/>
        </w:rPr>
        <w:t xml:space="preserve"> </w:t>
      </w:r>
      <w:r w:rsidRPr="004E738B">
        <w:rPr>
          <w:rFonts w:ascii="Book Antiqua" w:hAnsi="Book Antiqua" w:cs="Calibri"/>
          <w:b/>
          <w:bCs/>
          <w:sz w:val="24"/>
          <w:szCs w:val="24"/>
        </w:rPr>
        <w:t xml:space="preserve">Ultrasound image </w:t>
      </w:r>
      <w:r w:rsidRPr="004E738B">
        <w:rPr>
          <w:rFonts w:ascii="Book Antiqua" w:hAnsi="Book Antiqua" w:cs="Calibri"/>
          <w:b/>
          <w:sz w:val="24"/>
          <w:szCs w:val="24"/>
        </w:rPr>
        <w:t>demonstrating a</w:t>
      </w:r>
      <w:r w:rsidRPr="004E738B">
        <w:rPr>
          <w:rFonts w:ascii="Book Antiqua" w:hAnsi="Book Antiqua" w:cs="Calibri"/>
          <w:b/>
          <w:iCs/>
          <w:sz w:val="24"/>
          <w:szCs w:val="24"/>
        </w:rPr>
        <w:t xml:space="preserve"> pronounced gallbladder wall thickening and stones, consistent with acute </w:t>
      </w:r>
      <w:proofErr w:type="spellStart"/>
      <w:r w:rsidRPr="004E738B">
        <w:rPr>
          <w:rFonts w:ascii="Book Antiqua" w:hAnsi="Book Antiqua" w:cs="Calibri"/>
          <w:b/>
          <w:iCs/>
          <w:sz w:val="24"/>
          <w:szCs w:val="24"/>
        </w:rPr>
        <w:t>colecystitis</w:t>
      </w:r>
      <w:proofErr w:type="spellEnd"/>
      <w:r w:rsidRPr="004E738B">
        <w:rPr>
          <w:rFonts w:ascii="Book Antiqua" w:hAnsi="Book Antiqua" w:cs="Calibri"/>
          <w:b/>
          <w:iCs/>
          <w:sz w:val="24"/>
          <w:szCs w:val="24"/>
        </w:rPr>
        <w:t>.</w:t>
      </w:r>
    </w:p>
    <w:p w:rsidR="004E738B" w:rsidRPr="004E738B" w:rsidRDefault="004E738B" w:rsidP="004E738B">
      <w:pPr>
        <w:spacing w:line="360" w:lineRule="auto"/>
        <w:rPr>
          <w:rFonts w:ascii="Book Antiqua" w:hAnsi="Book Antiqua"/>
          <w:sz w:val="24"/>
          <w:szCs w:val="24"/>
        </w:rPr>
      </w:pPr>
    </w:p>
    <w:p w:rsidR="004E738B" w:rsidRDefault="004E738B" w:rsidP="004E738B">
      <w:r>
        <w:rPr>
          <w:noProof/>
        </w:rPr>
        <w:lastRenderedPageBreak/>
        <w:drawing>
          <wp:inline distT="0" distB="0" distL="0" distR="0" wp14:anchorId="458C6901" wp14:editId="36A51744">
            <wp:extent cx="5477510" cy="5477510"/>
            <wp:effectExtent l="0" t="0" r="8890" b="8890"/>
            <wp:docPr id="2" name="Picture 2" descr="Macintosh HD:Users:ramanmehrzad:Desktop:USB:Gangrenous cholecystitis case: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manmehrzad:Desktop:USB:Gangrenous cholecystitis case:imag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510" cy="5477510"/>
                    </a:xfrm>
                    <a:prstGeom prst="rect">
                      <a:avLst/>
                    </a:prstGeom>
                    <a:noFill/>
                    <a:ln>
                      <a:noFill/>
                    </a:ln>
                  </pic:spPr>
                </pic:pic>
              </a:graphicData>
            </a:graphic>
          </wp:inline>
        </w:drawing>
      </w:r>
    </w:p>
    <w:p w:rsidR="004E738B" w:rsidRPr="00B12416" w:rsidRDefault="004E738B" w:rsidP="004E738B">
      <w:pPr>
        <w:rPr>
          <w:b/>
          <w:color w:val="000000"/>
        </w:rPr>
      </w:pPr>
    </w:p>
    <w:p w:rsidR="004E738B" w:rsidRPr="00B12416" w:rsidRDefault="004E738B" w:rsidP="004E738B">
      <w:pPr>
        <w:spacing w:line="360" w:lineRule="auto"/>
        <w:rPr>
          <w:rFonts w:ascii="Book Antiqua" w:hAnsi="Book Antiqua"/>
          <w:b/>
          <w:sz w:val="24"/>
          <w:szCs w:val="24"/>
        </w:rPr>
      </w:pPr>
      <w:r w:rsidRPr="00B12416">
        <w:rPr>
          <w:rFonts w:ascii="Book Antiqua" w:hAnsi="Book Antiqua"/>
          <w:b/>
          <w:sz w:val="24"/>
          <w:szCs w:val="24"/>
        </w:rPr>
        <w:t xml:space="preserve">Figure 2 </w:t>
      </w:r>
      <w:r w:rsidRPr="00B12416">
        <w:rPr>
          <w:rFonts w:ascii="Book Antiqua" w:hAnsi="Book Antiqua" w:cs="Calibri"/>
          <w:b/>
          <w:bCs/>
          <w:sz w:val="24"/>
          <w:szCs w:val="24"/>
        </w:rPr>
        <w:t>HIDA scan image</w:t>
      </w:r>
      <w:r w:rsidRPr="00B12416">
        <w:rPr>
          <w:rFonts w:ascii="Book Antiqua" w:hAnsi="Book Antiqua" w:cs="Calibri"/>
          <w:b/>
          <w:sz w:val="24"/>
          <w:szCs w:val="24"/>
        </w:rPr>
        <w:t xml:space="preserve"> demonstrates </w:t>
      </w:r>
      <w:r w:rsidRPr="00B12416">
        <w:rPr>
          <w:rFonts w:ascii="Book Antiqua" w:hAnsi="Book Antiqua" w:cs="Calibri"/>
          <w:b/>
          <w:iCs/>
          <w:sz w:val="24"/>
          <w:szCs w:val="24"/>
        </w:rPr>
        <w:t>non-visualization of the gallbladder one hour after radiotracer injection, consistent with cystic duct obstruction.</w:t>
      </w:r>
    </w:p>
    <w:p w:rsidR="004E738B" w:rsidRPr="004E738B" w:rsidRDefault="004E738B" w:rsidP="004E738B">
      <w:pPr>
        <w:rPr>
          <w:b/>
          <w:color w:val="000000"/>
        </w:rPr>
      </w:pPr>
    </w:p>
    <w:p w:rsidR="0068111B" w:rsidRPr="0068111B" w:rsidRDefault="0068111B">
      <w:pPr>
        <w:spacing w:line="360" w:lineRule="auto"/>
        <w:rPr>
          <w:rFonts w:ascii="Book Antiqua" w:hAnsi="Book Antiqua"/>
          <w:sz w:val="24"/>
          <w:szCs w:val="24"/>
        </w:rPr>
      </w:pPr>
    </w:p>
    <w:sectPr w:rsidR="0068111B" w:rsidRPr="0068111B" w:rsidSect="00A21CED">
      <w:headerReference w:type="default" r:id="rId15"/>
      <w:footerReference w:type="default" r:id="rId16"/>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FC" w:rsidRDefault="00FA6BFC">
      <w:r>
        <w:separator/>
      </w:r>
    </w:p>
  </w:endnote>
  <w:endnote w:type="continuationSeparator" w:id="0">
    <w:p w:rsidR="00FA6BFC" w:rsidRDefault="00FA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72688"/>
      <w:docPartObj>
        <w:docPartGallery w:val="Page Numbers (Bottom of Page)"/>
        <w:docPartUnique/>
      </w:docPartObj>
    </w:sdtPr>
    <w:sdtEndPr>
      <w:rPr>
        <w:noProof/>
      </w:rPr>
    </w:sdtEndPr>
    <w:sdtContent>
      <w:p w:rsidR="009A5137" w:rsidRDefault="006E6869">
        <w:pPr>
          <w:pStyle w:val="Footer"/>
          <w:jc w:val="right"/>
        </w:pPr>
        <w:r>
          <w:fldChar w:fldCharType="begin"/>
        </w:r>
        <w:r>
          <w:instrText xml:space="preserve"> PAGE   \* MERGEFORMAT </w:instrText>
        </w:r>
        <w:r>
          <w:fldChar w:fldCharType="separate"/>
        </w:r>
        <w:r w:rsidR="004A76DC">
          <w:rPr>
            <w:noProof/>
          </w:rPr>
          <w:t>14</w:t>
        </w:r>
        <w:r>
          <w:rPr>
            <w:noProof/>
          </w:rPr>
          <w:fldChar w:fldCharType="end"/>
        </w:r>
      </w:p>
    </w:sdtContent>
  </w:sdt>
  <w:p w:rsidR="009A5137" w:rsidRDefault="00FA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FC" w:rsidRDefault="00FA6BFC">
      <w:r>
        <w:separator/>
      </w:r>
    </w:p>
  </w:footnote>
  <w:footnote w:type="continuationSeparator" w:id="0">
    <w:p w:rsidR="00FA6BFC" w:rsidRDefault="00FA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AA4" w:rsidRDefault="006E6869" w:rsidP="005F5D79">
    <w:pPr>
      <w:tabs>
        <w:tab w:val="left" w:pos="5784"/>
      </w:tabs>
      <w:spacing w:line="360" w:lineRule="auto"/>
      <w:rPr>
        <w:rFonts w:ascii="Book Antiqua" w:eastAsia="SimHei" w:hAnsi="Book Antiqua"/>
        <w:color w:val="000000"/>
        <w:sz w:val="36"/>
        <w:szCs w:val="36"/>
      </w:rPr>
    </w:pPr>
    <w:r>
      <w:rPr>
        <w:rFonts w:ascii="Book Antiqua" w:eastAsia="SimHei"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35147583"/>
    <w:multiLevelType w:val="hybridMultilevel"/>
    <w:tmpl w:val="649AFE38"/>
    <w:lvl w:ilvl="0" w:tplc="B986D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554D1"/>
    <w:multiLevelType w:val="hybridMultilevel"/>
    <w:tmpl w:val="960E4600"/>
    <w:lvl w:ilvl="0" w:tplc="4622D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F780D"/>
    <w:multiLevelType w:val="hybridMultilevel"/>
    <w:tmpl w:val="BF70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6CEA0F64"/>
    <w:multiLevelType w:val="hybridMultilevel"/>
    <w:tmpl w:val="38CA0BA4"/>
    <w:lvl w:ilvl="0" w:tplc="460A7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73482"/>
    <w:multiLevelType w:val="hybridMultilevel"/>
    <w:tmpl w:val="1F961EFC"/>
    <w:lvl w:ilvl="0" w:tplc="EB56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69"/>
    <w:rsid w:val="00020014"/>
    <w:rsid w:val="00051D25"/>
    <w:rsid w:val="000658B7"/>
    <w:rsid w:val="00084853"/>
    <w:rsid w:val="000C4B74"/>
    <w:rsid w:val="000F10BC"/>
    <w:rsid w:val="001104BC"/>
    <w:rsid w:val="00150F8F"/>
    <w:rsid w:val="00175A2E"/>
    <w:rsid w:val="001A238B"/>
    <w:rsid w:val="001A38F4"/>
    <w:rsid w:val="001A4926"/>
    <w:rsid w:val="002447FE"/>
    <w:rsid w:val="002F618E"/>
    <w:rsid w:val="00312F74"/>
    <w:rsid w:val="00335865"/>
    <w:rsid w:val="0033782C"/>
    <w:rsid w:val="00363D0B"/>
    <w:rsid w:val="003737D1"/>
    <w:rsid w:val="00402E61"/>
    <w:rsid w:val="00431208"/>
    <w:rsid w:val="00431D53"/>
    <w:rsid w:val="00484F56"/>
    <w:rsid w:val="00486B49"/>
    <w:rsid w:val="004A76DC"/>
    <w:rsid w:val="004B0AC9"/>
    <w:rsid w:val="004E738B"/>
    <w:rsid w:val="004F537A"/>
    <w:rsid w:val="00533B7F"/>
    <w:rsid w:val="005A5E32"/>
    <w:rsid w:val="00613A89"/>
    <w:rsid w:val="0068111B"/>
    <w:rsid w:val="006B6F00"/>
    <w:rsid w:val="006E1579"/>
    <w:rsid w:val="006E6869"/>
    <w:rsid w:val="007300C6"/>
    <w:rsid w:val="007F3A64"/>
    <w:rsid w:val="008352A3"/>
    <w:rsid w:val="00843DC3"/>
    <w:rsid w:val="00863CC6"/>
    <w:rsid w:val="00867EED"/>
    <w:rsid w:val="008C3942"/>
    <w:rsid w:val="008F53B7"/>
    <w:rsid w:val="00912C5C"/>
    <w:rsid w:val="00947F8B"/>
    <w:rsid w:val="00976E7B"/>
    <w:rsid w:val="009B2640"/>
    <w:rsid w:val="009F2213"/>
    <w:rsid w:val="00A26BCA"/>
    <w:rsid w:val="00AA0AE8"/>
    <w:rsid w:val="00AC7B16"/>
    <w:rsid w:val="00B12416"/>
    <w:rsid w:val="00B265D0"/>
    <w:rsid w:val="00B50919"/>
    <w:rsid w:val="00BC3E00"/>
    <w:rsid w:val="00C01693"/>
    <w:rsid w:val="00CD4310"/>
    <w:rsid w:val="00CE0681"/>
    <w:rsid w:val="00D34012"/>
    <w:rsid w:val="00D56B82"/>
    <w:rsid w:val="00DF5B64"/>
    <w:rsid w:val="00E16CC6"/>
    <w:rsid w:val="00E879E7"/>
    <w:rsid w:val="00EA6FB5"/>
    <w:rsid w:val="00EB0BAF"/>
    <w:rsid w:val="00ED3569"/>
    <w:rsid w:val="00ED5264"/>
    <w:rsid w:val="00EF3602"/>
    <w:rsid w:val="00F24C87"/>
    <w:rsid w:val="00F57D8A"/>
    <w:rsid w:val="00F7244E"/>
    <w:rsid w:val="00F83F5B"/>
    <w:rsid w:val="00FA6BFC"/>
    <w:rsid w:val="00FD0F29"/>
    <w:rsid w:val="00FD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4A5C36-E553-4D21-B6F5-C7B8BF19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869"/>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uiPriority w:val="99"/>
    <w:qFormat/>
    <w:rsid w:val="006E6869"/>
    <w:pPr>
      <w:keepNext/>
      <w:framePr w:hSpace="180" w:wrap="around" w:vAnchor="page" w:hAnchor="margin" w:y="1753"/>
      <w:spacing w:line="360" w:lineRule="auto"/>
      <w:outlineLvl w:val="0"/>
    </w:pPr>
    <w:rPr>
      <w:b/>
      <w:bCs/>
      <w:kern w:val="44"/>
      <w:sz w:val="44"/>
      <w:szCs w:val="44"/>
    </w:rPr>
  </w:style>
  <w:style w:type="paragraph" w:styleId="Heading3">
    <w:name w:val="heading 3"/>
    <w:basedOn w:val="Normal"/>
    <w:next w:val="Normal"/>
    <w:link w:val="Heading3Char"/>
    <w:uiPriority w:val="99"/>
    <w:qFormat/>
    <w:rsid w:val="006E6869"/>
    <w:pPr>
      <w:keepNext/>
      <w:outlineLvl w:val="2"/>
    </w:pPr>
    <w:rPr>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869"/>
    <w:rPr>
      <w:rFonts w:ascii="Times New Roman" w:eastAsia="SimSun" w:hAnsi="Times New Roman" w:cs="Times New Roman"/>
      <w:b/>
      <w:bCs/>
      <w:kern w:val="44"/>
      <w:sz w:val="44"/>
      <w:szCs w:val="44"/>
    </w:rPr>
  </w:style>
  <w:style w:type="character" w:customStyle="1" w:styleId="Heading3Char">
    <w:name w:val="Heading 3 Char"/>
    <w:basedOn w:val="DefaultParagraphFont"/>
    <w:link w:val="Heading3"/>
    <w:uiPriority w:val="99"/>
    <w:rsid w:val="006E6869"/>
    <w:rPr>
      <w:rFonts w:ascii="Times New Roman" w:eastAsia="SimSun" w:hAnsi="Times New Roman" w:cs="Times New Roman"/>
      <w:b/>
      <w:bCs/>
      <w:sz w:val="32"/>
      <w:szCs w:val="32"/>
    </w:rPr>
  </w:style>
  <w:style w:type="paragraph" w:styleId="Header">
    <w:name w:val="header"/>
    <w:basedOn w:val="Normal"/>
    <w:link w:val="HeaderChar"/>
    <w:uiPriority w:val="99"/>
    <w:rsid w:val="006E686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rsid w:val="006E6869"/>
    <w:rPr>
      <w:rFonts w:ascii="Times New Roman" w:eastAsia="SimSun" w:hAnsi="Times New Roman" w:cs="Times New Roman"/>
      <w:sz w:val="18"/>
      <w:szCs w:val="18"/>
    </w:rPr>
  </w:style>
  <w:style w:type="paragraph" w:styleId="PlainText">
    <w:name w:val="Plain Text"/>
    <w:basedOn w:val="Normal"/>
    <w:link w:val="PlainTextChar"/>
    <w:rsid w:val="006E6869"/>
    <w:rPr>
      <w:rFonts w:ascii="SimSun" w:hAnsi="Courier New"/>
      <w:kern w:val="0"/>
      <w:sz w:val="20"/>
      <w:szCs w:val="21"/>
    </w:rPr>
  </w:style>
  <w:style w:type="character" w:customStyle="1" w:styleId="PlainTextChar">
    <w:name w:val="Plain Text Char"/>
    <w:basedOn w:val="DefaultParagraphFont"/>
    <w:link w:val="PlainText"/>
    <w:rsid w:val="006E6869"/>
    <w:rPr>
      <w:rFonts w:ascii="SimSun" w:eastAsia="SimSun" w:hAnsi="Courier New" w:cs="Times New Roman"/>
      <w:sz w:val="20"/>
      <w:szCs w:val="21"/>
    </w:rPr>
  </w:style>
  <w:style w:type="paragraph" w:styleId="Date">
    <w:name w:val="Date"/>
    <w:basedOn w:val="Normal"/>
    <w:next w:val="Normal"/>
    <w:link w:val="DateChar"/>
    <w:uiPriority w:val="99"/>
    <w:rsid w:val="006E6869"/>
    <w:pPr>
      <w:ind w:leftChars="2500" w:left="100"/>
    </w:pPr>
    <w:rPr>
      <w:kern w:val="0"/>
      <w:sz w:val="20"/>
    </w:rPr>
  </w:style>
  <w:style w:type="character" w:customStyle="1" w:styleId="DateChar">
    <w:name w:val="Date Char"/>
    <w:basedOn w:val="DefaultParagraphFont"/>
    <w:link w:val="Date"/>
    <w:uiPriority w:val="99"/>
    <w:rsid w:val="006E6869"/>
    <w:rPr>
      <w:rFonts w:ascii="Times New Roman" w:eastAsia="SimSun" w:hAnsi="Times New Roman" w:cs="Times New Roman"/>
      <w:sz w:val="20"/>
      <w:szCs w:val="20"/>
    </w:rPr>
  </w:style>
  <w:style w:type="character" w:styleId="Hyperlink">
    <w:name w:val="Hyperlink"/>
    <w:uiPriority w:val="99"/>
    <w:rsid w:val="006E6869"/>
    <w:rPr>
      <w:rFonts w:cs="Times New Roman"/>
      <w:color w:val="0000FF"/>
      <w:u w:val="single"/>
    </w:rPr>
  </w:style>
  <w:style w:type="paragraph" w:styleId="BodyText">
    <w:name w:val="Body Text"/>
    <w:basedOn w:val="Normal"/>
    <w:link w:val="BodyTextChar"/>
    <w:uiPriority w:val="99"/>
    <w:rsid w:val="006E6869"/>
    <w:rPr>
      <w:kern w:val="0"/>
      <w:sz w:val="20"/>
    </w:rPr>
  </w:style>
  <w:style w:type="character" w:customStyle="1" w:styleId="BodyTextChar">
    <w:name w:val="Body Text Char"/>
    <w:basedOn w:val="DefaultParagraphFont"/>
    <w:link w:val="BodyText"/>
    <w:uiPriority w:val="99"/>
    <w:rsid w:val="006E6869"/>
    <w:rPr>
      <w:rFonts w:ascii="Times New Roman" w:eastAsia="SimSun" w:hAnsi="Times New Roman" w:cs="Times New Roman"/>
      <w:sz w:val="20"/>
      <w:szCs w:val="20"/>
    </w:rPr>
  </w:style>
  <w:style w:type="paragraph" w:styleId="Footer">
    <w:name w:val="footer"/>
    <w:basedOn w:val="Normal"/>
    <w:link w:val="FooterChar"/>
    <w:uiPriority w:val="99"/>
    <w:rsid w:val="006E686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rsid w:val="006E6869"/>
    <w:rPr>
      <w:rFonts w:ascii="Times New Roman" w:eastAsia="SimSun" w:hAnsi="Times New Roman" w:cs="Times New Roman"/>
      <w:sz w:val="18"/>
      <w:szCs w:val="18"/>
    </w:rPr>
  </w:style>
  <w:style w:type="character" w:styleId="PageNumber">
    <w:name w:val="page number"/>
    <w:uiPriority w:val="99"/>
    <w:rsid w:val="006E6869"/>
    <w:rPr>
      <w:rFonts w:cs="Times New Roman"/>
    </w:rPr>
  </w:style>
  <w:style w:type="paragraph" w:styleId="BalloonText">
    <w:name w:val="Balloon Text"/>
    <w:basedOn w:val="Normal"/>
    <w:link w:val="BalloonTextChar"/>
    <w:uiPriority w:val="99"/>
    <w:semiHidden/>
    <w:rsid w:val="006E6869"/>
    <w:rPr>
      <w:kern w:val="0"/>
      <w:sz w:val="2"/>
    </w:rPr>
  </w:style>
  <w:style w:type="character" w:customStyle="1" w:styleId="BalloonTextChar">
    <w:name w:val="Balloon Text Char"/>
    <w:basedOn w:val="DefaultParagraphFont"/>
    <w:link w:val="BalloonText"/>
    <w:uiPriority w:val="99"/>
    <w:semiHidden/>
    <w:rsid w:val="006E6869"/>
    <w:rPr>
      <w:rFonts w:ascii="Times New Roman" w:eastAsia="SimSun" w:hAnsi="Times New Roman" w:cs="Times New Roman"/>
      <w:sz w:val="2"/>
      <w:szCs w:val="20"/>
    </w:rPr>
  </w:style>
  <w:style w:type="character" w:styleId="Strong">
    <w:name w:val="Strong"/>
    <w:uiPriority w:val="22"/>
    <w:qFormat/>
    <w:rsid w:val="006E6869"/>
    <w:rPr>
      <w:rFonts w:cs="Times New Roman"/>
      <w:b/>
    </w:rPr>
  </w:style>
  <w:style w:type="table" w:styleId="TableGrid">
    <w:name w:val="Table Grid"/>
    <w:basedOn w:val="TableNormal"/>
    <w:uiPriority w:val="39"/>
    <w:rsid w:val="006E686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869"/>
    <w:pPr>
      <w:spacing w:after="0" w:line="240" w:lineRule="auto"/>
    </w:pPr>
    <w:rPr>
      <w:rFonts w:ascii="Calibri" w:eastAsia="SimSun" w:hAnsi="Calibri" w:cs="Times New Roman"/>
    </w:rPr>
  </w:style>
  <w:style w:type="character" w:styleId="Emphasis">
    <w:name w:val="Emphasis"/>
    <w:qFormat/>
    <w:rsid w:val="006E6869"/>
    <w:rPr>
      <w:i/>
      <w:iCs/>
    </w:rPr>
  </w:style>
  <w:style w:type="character" w:styleId="CommentReference">
    <w:name w:val="annotation reference"/>
    <w:uiPriority w:val="99"/>
    <w:semiHidden/>
    <w:unhideWhenUsed/>
    <w:rsid w:val="006E6869"/>
    <w:rPr>
      <w:sz w:val="21"/>
      <w:szCs w:val="21"/>
    </w:rPr>
  </w:style>
  <w:style w:type="paragraph" w:styleId="CommentText">
    <w:name w:val="annotation text"/>
    <w:basedOn w:val="Normal"/>
    <w:link w:val="CommentTextChar"/>
    <w:uiPriority w:val="99"/>
    <w:semiHidden/>
    <w:unhideWhenUsed/>
    <w:rsid w:val="006E6869"/>
    <w:pPr>
      <w:jc w:val="left"/>
    </w:pPr>
  </w:style>
  <w:style w:type="character" w:customStyle="1" w:styleId="CommentTextChar">
    <w:name w:val="Comment Text Char"/>
    <w:basedOn w:val="DefaultParagraphFont"/>
    <w:link w:val="CommentText"/>
    <w:uiPriority w:val="99"/>
    <w:semiHidden/>
    <w:rsid w:val="006E6869"/>
    <w:rPr>
      <w:rFonts w:ascii="Times New Roman" w:eastAsia="SimSun" w:hAnsi="Times New Roman" w:cs="Times New Roman"/>
      <w:kern w:val="2"/>
      <w:sz w:val="21"/>
      <w:szCs w:val="20"/>
    </w:rPr>
  </w:style>
  <w:style w:type="paragraph" w:styleId="CommentSubject">
    <w:name w:val="annotation subject"/>
    <w:basedOn w:val="CommentText"/>
    <w:next w:val="CommentText"/>
    <w:link w:val="CommentSubjectChar"/>
    <w:uiPriority w:val="99"/>
    <w:semiHidden/>
    <w:unhideWhenUsed/>
    <w:rsid w:val="006E6869"/>
    <w:rPr>
      <w:b/>
      <w:bCs/>
    </w:rPr>
  </w:style>
  <w:style w:type="character" w:customStyle="1" w:styleId="CommentSubjectChar">
    <w:name w:val="Comment Subject Char"/>
    <w:basedOn w:val="CommentTextChar"/>
    <w:link w:val="CommentSubject"/>
    <w:uiPriority w:val="99"/>
    <w:semiHidden/>
    <w:rsid w:val="006E6869"/>
    <w:rPr>
      <w:rFonts w:ascii="Times New Roman" w:eastAsia="SimSun" w:hAnsi="Times New Roman" w:cs="Times New Roman"/>
      <w:b/>
      <w:bCs/>
      <w:kern w:val="2"/>
      <w:sz w:val="21"/>
      <w:szCs w:val="20"/>
    </w:rPr>
  </w:style>
  <w:style w:type="paragraph" w:styleId="NormalWeb">
    <w:name w:val="Normal (Web)"/>
    <w:basedOn w:val="Normal"/>
    <w:uiPriority w:val="99"/>
    <w:unhideWhenUsed/>
    <w:rsid w:val="006E6869"/>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6E6869"/>
  </w:style>
  <w:style w:type="character" w:customStyle="1" w:styleId="nobrwithwbr">
    <w:name w:val="nobrwithwbr"/>
    <w:basedOn w:val="DefaultParagraphFont"/>
    <w:rsid w:val="006E6869"/>
  </w:style>
  <w:style w:type="character" w:customStyle="1" w:styleId="Char">
    <w:name w:val="纯文本 Char"/>
    <w:link w:val="PlainText1"/>
    <w:rsid w:val="006E6869"/>
    <w:rPr>
      <w:rFonts w:ascii="SimSun" w:hAnsi="Courier New" w:cs="Courier New"/>
      <w:kern w:val="2"/>
      <w:sz w:val="21"/>
      <w:szCs w:val="21"/>
    </w:rPr>
  </w:style>
  <w:style w:type="paragraph" w:customStyle="1" w:styleId="PlainText1">
    <w:name w:val="Plain Text1"/>
    <w:basedOn w:val="Normal"/>
    <w:link w:val="Char"/>
    <w:rsid w:val="006E6869"/>
    <w:rPr>
      <w:rFonts w:ascii="SimSun" w:eastAsiaTheme="minorEastAsia" w:hAnsi="Courier New" w:cs="Courier New"/>
      <w:szCs w:val="21"/>
    </w:rPr>
  </w:style>
  <w:style w:type="paragraph" w:styleId="ListParagraph">
    <w:name w:val="List Paragraph"/>
    <w:basedOn w:val="Normal"/>
    <w:uiPriority w:val="34"/>
    <w:qFormat/>
    <w:rsid w:val="006E6869"/>
    <w:pPr>
      <w:ind w:left="720"/>
      <w:contextualSpacing/>
    </w:pPr>
  </w:style>
  <w:style w:type="paragraph" w:styleId="Revision">
    <w:name w:val="Revision"/>
    <w:hidden/>
    <w:uiPriority w:val="99"/>
    <w:semiHidden/>
    <w:rsid w:val="006E6869"/>
    <w:pPr>
      <w:spacing w:after="0" w:line="240" w:lineRule="auto"/>
    </w:pPr>
    <w:rPr>
      <w:rFonts w:ascii="Times New Roman" w:eastAsia="SimSun" w:hAnsi="Times New Roman" w:cs="Times New Roman"/>
      <w:kern w:val="2"/>
      <w:sz w:val="21"/>
      <w:szCs w:val="20"/>
    </w:rPr>
  </w:style>
  <w:style w:type="character" w:styleId="FollowedHyperlink">
    <w:name w:val="FollowedHyperlink"/>
    <w:basedOn w:val="DefaultParagraphFont"/>
    <w:uiPriority w:val="99"/>
    <w:semiHidden/>
    <w:unhideWhenUsed/>
    <w:rsid w:val="006E6869"/>
    <w:rPr>
      <w:color w:val="954F72" w:themeColor="followedHyperlink"/>
      <w:u w:val="single"/>
    </w:rPr>
  </w:style>
  <w:style w:type="paragraph" w:customStyle="1" w:styleId="default">
    <w:name w:val="default"/>
    <w:basedOn w:val="Normal"/>
    <w:rsid w:val="006E6869"/>
    <w:pPr>
      <w:widowControl/>
      <w:spacing w:before="100" w:beforeAutospacing="1" w:after="100" w:afterAutospacing="1"/>
      <w:jc w:val="left"/>
    </w:pPr>
    <w:rPr>
      <w:rFonts w:ascii="SimSun" w:hAnsi="SimSun" w:cs="SimSun"/>
      <w:kern w:val="0"/>
      <w:sz w:val="24"/>
      <w:szCs w:val="24"/>
    </w:rPr>
  </w:style>
  <w:style w:type="paragraph" w:customStyle="1" w:styleId="Default0">
    <w:name w:val="Default"/>
    <w:rsid w:val="006E6869"/>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165">
      <w:bodyDiv w:val="1"/>
      <w:marLeft w:val="0"/>
      <w:marRight w:val="0"/>
      <w:marTop w:val="0"/>
      <w:marBottom w:val="0"/>
      <w:divBdr>
        <w:top w:val="none" w:sz="0" w:space="0" w:color="auto"/>
        <w:left w:val="none" w:sz="0" w:space="0" w:color="auto"/>
        <w:bottom w:val="none" w:sz="0" w:space="0" w:color="auto"/>
        <w:right w:val="none" w:sz="0" w:space="0" w:color="auto"/>
      </w:divBdr>
    </w:div>
    <w:div w:id="276565017">
      <w:bodyDiv w:val="1"/>
      <w:marLeft w:val="0"/>
      <w:marRight w:val="0"/>
      <w:marTop w:val="0"/>
      <w:marBottom w:val="0"/>
      <w:divBdr>
        <w:top w:val="none" w:sz="0" w:space="0" w:color="auto"/>
        <w:left w:val="none" w:sz="0" w:space="0" w:color="auto"/>
        <w:bottom w:val="none" w:sz="0" w:space="0" w:color="auto"/>
        <w:right w:val="none" w:sz="0" w:space="0" w:color="auto"/>
      </w:divBdr>
    </w:div>
    <w:div w:id="360595846">
      <w:bodyDiv w:val="1"/>
      <w:marLeft w:val="0"/>
      <w:marRight w:val="0"/>
      <w:marTop w:val="0"/>
      <w:marBottom w:val="0"/>
      <w:divBdr>
        <w:top w:val="none" w:sz="0" w:space="0" w:color="auto"/>
        <w:left w:val="none" w:sz="0" w:space="0" w:color="auto"/>
        <w:bottom w:val="none" w:sz="0" w:space="0" w:color="auto"/>
        <w:right w:val="none" w:sz="0" w:space="0" w:color="auto"/>
      </w:divBdr>
    </w:div>
    <w:div w:id="897206705">
      <w:bodyDiv w:val="1"/>
      <w:marLeft w:val="0"/>
      <w:marRight w:val="0"/>
      <w:marTop w:val="0"/>
      <w:marBottom w:val="0"/>
      <w:divBdr>
        <w:top w:val="none" w:sz="0" w:space="0" w:color="auto"/>
        <w:left w:val="none" w:sz="0" w:space="0" w:color="auto"/>
        <w:bottom w:val="none" w:sz="0" w:space="0" w:color="auto"/>
        <w:right w:val="none" w:sz="0" w:space="0" w:color="auto"/>
      </w:divBdr>
    </w:div>
    <w:div w:id="1002703611">
      <w:bodyDiv w:val="1"/>
      <w:marLeft w:val="0"/>
      <w:marRight w:val="0"/>
      <w:marTop w:val="0"/>
      <w:marBottom w:val="0"/>
      <w:divBdr>
        <w:top w:val="none" w:sz="0" w:space="0" w:color="auto"/>
        <w:left w:val="none" w:sz="0" w:space="0" w:color="auto"/>
        <w:bottom w:val="none" w:sz="0" w:space="0" w:color="auto"/>
        <w:right w:val="none" w:sz="0" w:space="0" w:color="auto"/>
      </w:divBdr>
    </w:div>
    <w:div w:id="1542594512">
      <w:bodyDiv w:val="1"/>
      <w:marLeft w:val="0"/>
      <w:marRight w:val="0"/>
      <w:marTop w:val="0"/>
      <w:marBottom w:val="0"/>
      <w:divBdr>
        <w:top w:val="none" w:sz="0" w:space="0" w:color="auto"/>
        <w:left w:val="none" w:sz="0" w:space="0" w:color="auto"/>
        <w:bottom w:val="none" w:sz="0" w:space="0" w:color="auto"/>
        <w:right w:val="none" w:sz="0" w:space="0" w:color="auto"/>
      </w:divBdr>
    </w:div>
    <w:div w:id="1824616943">
      <w:bodyDiv w:val="1"/>
      <w:marLeft w:val="0"/>
      <w:marRight w:val="0"/>
      <w:marTop w:val="0"/>
      <w:marBottom w:val="0"/>
      <w:divBdr>
        <w:top w:val="none" w:sz="0" w:space="0" w:color="auto"/>
        <w:left w:val="none" w:sz="0" w:space="0" w:color="auto"/>
        <w:bottom w:val="none" w:sz="0" w:space="0" w:color="auto"/>
        <w:right w:val="none" w:sz="0" w:space="0" w:color="auto"/>
      </w:divBdr>
    </w:div>
    <w:div w:id="1889563526">
      <w:bodyDiv w:val="1"/>
      <w:marLeft w:val="0"/>
      <w:marRight w:val="0"/>
      <w:marTop w:val="0"/>
      <w:marBottom w:val="0"/>
      <w:divBdr>
        <w:top w:val="none" w:sz="0" w:space="0" w:color="auto"/>
        <w:left w:val="none" w:sz="0" w:space="0" w:color="auto"/>
        <w:bottom w:val="none" w:sz="0" w:space="0" w:color="auto"/>
        <w:right w:val="none" w:sz="0" w:space="0" w:color="auto"/>
      </w:divBdr>
    </w:div>
    <w:div w:id="20805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780-1074"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7578-2720" TargetMode="External"/><Relationship Id="rId12" Type="http://schemas.openxmlformats.org/officeDocument/2006/relationships/hyperlink" Target="mailto:raman_m1@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2-7578-2719" TargetMode="External"/><Relationship Id="rId4" Type="http://schemas.openxmlformats.org/officeDocument/2006/relationships/webSettings" Target="webSettings.xml"/><Relationship Id="rId9" Type="http://schemas.openxmlformats.org/officeDocument/2006/relationships/hyperlink" Target="http://orcid.org/0000-0001-5991-347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Ma</dc:creator>
  <cp:lastModifiedBy>Lian-Sheng Ma</cp:lastModifiedBy>
  <cp:revision>2</cp:revision>
  <cp:lastPrinted>2018-10-22T02:50:00Z</cp:lastPrinted>
  <dcterms:created xsi:type="dcterms:W3CDTF">2018-11-15T02:11:00Z</dcterms:created>
  <dcterms:modified xsi:type="dcterms:W3CDTF">2018-11-15T02:11:00Z</dcterms:modified>
</cp:coreProperties>
</file>