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D3865" w14:textId="2E25A9BA" w:rsidR="00BD4BB0" w:rsidRPr="007966B6" w:rsidRDefault="00BD4BB0" w:rsidP="005831C8">
      <w:pPr>
        <w:spacing w:after="0" w:line="360" w:lineRule="auto"/>
        <w:jc w:val="both"/>
        <w:rPr>
          <w:rFonts w:ascii="Book Antiqua" w:hAnsi="Book Antiqua"/>
          <w:sz w:val="24"/>
          <w:szCs w:val="24"/>
        </w:rPr>
      </w:pPr>
      <w:r w:rsidRPr="007966B6">
        <w:rPr>
          <w:rFonts w:ascii="Book Antiqua" w:hAnsi="Book Antiqua"/>
          <w:b/>
          <w:sz w:val="24"/>
          <w:szCs w:val="24"/>
        </w:rPr>
        <w:t xml:space="preserve">Name of Journal: </w:t>
      </w:r>
      <w:r w:rsidRPr="007966B6">
        <w:rPr>
          <w:rFonts w:ascii="Book Antiqua" w:hAnsi="Book Antiqua"/>
          <w:b/>
          <w:i/>
          <w:sz w:val="24"/>
          <w:szCs w:val="24"/>
        </w:rPr>
        <w:t>World Journal of Clinical Oncology</w:t>
      </w:r>
    </w:p>
    <w:p w14:paraId="35F94EB0" w14:textId="5C8AB435" w:rsidR="00BD4BB0" w:rsidRPr="007966B6" w:rsidRDefault="00BD4BB0" w:rsidP="005831C8">
      <w:pPr>
        <w:spacing w:after="0" w:line="360" w:lineRule="auto"/>
        <w:jc w:val="both"/>
        <w:rPr>
          <w:rFonts w:ascii="Book Antiqua" w:hAnsi="Book Antiqua"/>
          <w:b/>
          <w:sz w:val="24"/>
          <w:szCs w:val="24"/>
          <w:lang w:eastAsia="zh-CN"/>
        </w:rPr>
      </w:pPr>
      <w:r w:rsidRPr="007966B6">
        <w:rPr>
          <w:rFonts w:ascii="Book Antiqua" w:hAnsi="Book Antiqua"/>
          <w:b/>
          <w:sz w:val="24"/>
          <w:szCs w:val="24"/>
        </w:rPr>
        <w:t xml:space="preserve">Manuscript NO: </w:t>
      </w:r>
      <w:r w:rsidRPr="007966B6">
        <w:rPr>
          <w:rFonts w:ascii="Book Antiqua" w:hAnsi="Book Antiqua"/>
          <w:b/>
          <w:sz w:val="24"/>
          <w:szCs w:val="24"/>
          <w:lang w:eastAsia="zh-CN"/>
        </w:rPr>
        <w:t>42410</w:t>
      </w:r>
    </w:p>
    <w:p w14:paraId="6A04102E" w14:textId="511B4B18" w:rsidR="00BD4BB0" w:rsidRPr="007966B6" w:rsidRDefault="00BD4BB0" w:rsidP="005831C8">
      <w:pPr>
        <w:spacing w:after="0" w:line="360" w:lineRule="auto"/>
        <w:jc w:val="both"/>
        <w:rPr>
          <w:rFonts w:ascii="Book Antiqua" w:hAnsi="Book Antiqua"/>
          <w:b/>
          <w:sz w:val="24"/>
          <w:szCs w:val="24"/>
          <w:lang w:eastAsia="zh-CN"/>
        </w:rPr>
      </w:pPr>
      <w:r w:rsidRPr="007966B6">
        <w:rPr>
          <w:rFonts w:ascii="Book Antiqua" w:hAnsi="Book Antiqua"/>
          <w:b/>
          <w:sz w:val="24"/>
          <w:szCs w:val="24"/>
        </w:rPr>
        <w:t>Manuscript Type:</w:t>
      </w:r>
      <w:r w:rsidRPr="007966B6">
        <w:rPr>
          <w:rFonts w:ascii="Book Antiqua" w:hAnsi="Book Antiqua"/>
          <w:sz w:val="24"/>
          <w:szCs w:val="24"/>
        </w:rPr>
        <w:t xml:space="preserve"> </w:t>
      </w:r>
      <w:r w:rsidRPr="007966B6">
        <w:rPr>
          <w:rFonts w:ascii="Book Antiqua" w:hAnsi="Book Antiqua"/>
          <w:b/>
          <w:sz w:val="24"/>
          <w:szCs w:val="24"/>
        </w:rPr>
        <w:t>M</w:t>
      </w:r>
      <w:r w:rsidR="003173B7" w:rsidRPr="007966B6">
        <w:rPr>
          <w:rFonts w:ascii="Book Antiqua" w:hAnsi="Book Antiqua"/>
          <w:b/>
          <w:sz w:val="24"/>
          <w:szCs w:val="24"/>
          <w:lang w:eastAsia="zh-CN"/>
        </w:rPr>
        <w:t>I</w:t>
      </w:r>
      <w:r w:rsidRPr="007966B6">
        <w:rPr>
          <w:rFonts w:ascii="Book Antiqua" w:hAnsi="Book Antiqua"/>
          <w:b/>
          <w:sz w:val="24"/>
          <w:szCs w:val="24"/>
        </w:rPr>
        <w:t>N</w:t>
      </w:r>
      <w:r w:rsidR="003173B7" w:rsidRPr="007966B6">
        <w:rPr>
          <w:rFonts w:ascii="Book Antiqua" w:hAnsi="Book Antiqua"/>
          <w:b/>
          <w:sz w:val="24"/>
          <w:szCs w:val="24"/>
          <w:lang w:eastAsia="zh-CN"/>
        </w:rPr>
        <w:t>I</w:t>
      </w:r>
      <w:r w:rsidRPr="007966B6">
        <w:rPr>
          <w:rFonts w:ascii="Book Antiqua" w:hAnsi="Book Antiqua"/>
          <w:b/>
          <w:sz w:val="24"/>
          <w:szCs w:val="24"/>
        </w:rPr>
        <w:t>REV</w:t>
      </w:r>
      <w:r w:rsidR="003173B7" w:rsidRPr="007966B6">
        <w:rPr>
          <w:rFonts w:ascii="Book Antiqua" w:hAnsi="Book Antiqua"/>
          <w:b/>
          <w:sz w:val="24"/>
          <w:szCs w:val="24"/>
          <w:lang w:eastAsia="zh-CN"/>
        </w:rPr>
        <w:t>I</w:t>
      </w:r>
      <w:r w:rsidRPr="007966B6">
        <w:rPr>
          <w:rFonts w:ascii="Book Antiqua" w:hAnsi="Book Antiqua"/>
          <w:b/>
          <w:sz w:val="24"/>
          <w:szCs w:val="24"/>
        </w:rPr>
        <w:t>EWS</w:t>
      </w:r>
    </w:p>
    <w:p w14:paraId="11E36AF3" w14:textId="77777777" w:rsidR="00BD4BB0" w:rsidRPr="007966B6" w:rsidRDefault="00BD4BB0" w:rsidP="005831C8">
      <w:pPr>
        <w:spacing w:after="0" w:line="360" w:lineRule="auto"/>
        <w:jc w:val="both"/>
        <w:rPr>
          <w:rFonts w:ascii="Book Antiqua" w:hAnsi="Book Antiqua"/>
          <w:b/>
          <w:sz w:val="24"/>
          <w:szCs w:val="24"/>
          <w:lang w:eastAsia="zh-CN"/>
        </w:rPr>
      </w:pPr>
    </w:p>
    <w:p w14:paraId="40F59CBC" w14:textId="38EDB271" w:rsidR="009E71ED" w:rsidRPr="007966B6" w:rsidRDefault="009E71ED" w:rsidP="005831C8">
      <w:pPr>
        <w:spacing w:after="0" w:line="360" w:lineRule="auto"/>
        <w:jc w:val="both"/>
        <w:rPr>
          <w:rFonts w:ascii="Book Antiqua" w:hAnsi="Book Antiqua"/>
          <w:b/>
          <w:sz w:val="24"/>
          <w:szCs w:val="24"/>
          <w:lang w:val="en-US" w:eastAsia="zh-CN"/>
        </w:rPr>
      </w:pPr>
      <w:r w:rsidRPr="007966B6">
        <w:rPr>
          <w:rFonts w:ascii="Book Antiqua" w:hAnsi="Book Antiqua"/>
          <w:b/>
          <w:sz w:val="24"/>
          <w:szCs w:val="24"/>
          <w:lang w:val="en-US"/>
        </w:rPr>
        <w:t>Existing anti-angiogenic therapeutic strategies for patients with metastatic colorectal cancer progressing following first-line bevacizumab-based therapy</w:t>
      </w:r>
    </w:p>
    <w:p w14:paraId="352A13B8" w14:textId="77777777" w:rsidR="00802EC7" w:rsidRPr="007966B6" w:rsidRDefault="00802EC7" w:rsidP="005831C8">
      <w:pPr>
        <w:spacing w:after="0" w:line="360" w:lineRule="auto"/>
        <w:jc w:val="both"/>
        <w:rPr>
          <w:rFonts w:ascii="Book Antiqua" w:hAnsi="Book Antiqua"/>
          <w:b/>
          <w:sz w:val="24"/>
          <w:szCs w:val="24"/>
          <w:lang w:val="en-US" w:eastAsia="zh-CN"/>
        </w:rPr>
      </w:pPr>
    </w:p>
    <w:p w14:paraId="0CF26808" w14:textId="67CCC18C" w:rsidR="00BD4BB0" w:rsidRPr="007966B6" w:rsidRDefault="00802EC7" w:rsidP="005831C8">
      <w:pPr>
        <w:spacing w:after="0" w:line="360" w:lineRule="auto"/>
        <w:jc w:val="both"/>
        <w:rPr>
          <w:rFonts w:ascii="Book Antiqua" w:hAnsi="Book Antiqua"/>
          <w:sz w:val="24"/>
          <w:szCs w:val="24"/>
          <w:lang w:eastAsia="zh-CN"/>
        </w:rPr>
      </w:pPr>
      <w:r w:rsidRPr="007966B6">
        <w:rPr>
          <w:rFonts w:ascii="Book Antiqua" w:hAnsi="Book Antiqua"/>
          <w:sz w:val="24"/>
          <w:szCs w:val="24"/>
        </w:rPr>
        <w:t>Kanat</w:t>
      </w:r>
      <w:r w:rsidRPr="007966B6">
        <w:rPr>
          <w:rFonts w:ascii="Book Antiqua" w:hAnsi="Book Antiqua"/>
          <w:sz w:val="24"/>
          <w:szCs w:val="24"/>
          <w:lang w:eastAsia="zh-CN"/>
        </w:rPr>
        <w:t xml:space="preserve"> O </w:t>
      </w:r>
      <w:r w:rsidRPr="007966B6">
        <w:rPr>
          <w:rFonts w:ascii="Book Antiqua" w:hAnsi="Book Antiqua"/>
          <w:i/>
          <w:sz w:val="24"/>
          <w:szCs w:val="24"/>
          <w:lang w:eastAsia="zh-CN"/>
        </w:rPr>
        <w:t xml:space="preserve">et al. </w:t>
      </w:r>
      <w:r w:rsidRPr="007966B6">
        <w:rPr>
          <w:rFonts w:ascii="Book Antiqua" w:hAnsi="Book Antiqua"/>
          <w:sz w:val="24"/>
          <w:szCs w:val="24"/>
        </w:rPr>
        <w:t>Anti-angiogenic therapy in metastatic colorectal cancer</w:t>
      </w:r>
    </w:p>
    <w:p w14:paraId="2A4336FD" w14:textId="77777777" w:rsidR="00802EC7" w:rsidRPr="007966B6" w:rsidRDefault="00802EC7" w:rsidP="005831C8">
      <w:pPr>
        <w:spacing w:after="0" w:line="360" w:lineRule="auto"/>
        <w:jc w:val="both"/>
        <w:rPr>
          <w:rFonts w:ascii="Book Antiqua" w:hAnsi="Book Antiqua"/>
          <w:b/>
          <w:i/>
          <w:sz w:val="24"/>
          <w:szCs w:val="24"/>
          <w:lang w:val="en-US" w:eastAsia="zh-CN"/>
        </w:rPr>
      </w:pPr>
    </w:p>
    <w:p w14:paraId="67CBE20C" w14:textId="6A692697" w:rsidR="00BD4BB0" w:rsidRPr="007966B6" w:rsidRDefault="00BD4BB0" w:rsidP="005831C8">
      <w:pPr>
        <w:spacing w:after="0" w:line="360" w:lineRule="auto"/>
        <w:jc w:val="both"/>
        <w:rPr>
          <w:rFonts w:ascii="Book Antiqua" w:hAnsi="Book Antiqua"/>
          <w:b/>
          <w:sz w:val="24"/>
          <w:szCs w:val="24"/>
          <w:lang w:val="en-US" w:eastAsia="zh-CN"/>
        </w:rPr>
      </w:pPr>
      <w:r w:rsidRPr="007966B6">
        <w:rPr>
          <w:rFonts w:ascii="Book Antiqua" w:hAnsi="Book Antiqua"/>
          <w:sz w:val="24"/>
          <w:szCs w:val="24"/>
        </w:rPr>
        <w:t>Ozkan Kanat, Hulya Ertas</w:t>
      </w:r>
    </w:p>
    <w:p w14:paraId="13ABC705" w14:textId="77777777" w:rsidR="00BD4BB0" w:rsidRPr="007966B6" w:rsidRDefault="00BD4BB0" w:rsidP="005831C8">
      <w:pPr>
        <w:spacing w:after="0" w:line="360" w:lineRule="auto"/>
        <w:jc w:val="both"/>
        <w:rPr>
          <w:rFonts w:ascii="Book Antiqua" w:hAnsi="Book Antiqua"/>
          <w:b/>
          <w:sz w:val="24"/>
          <w:szCs w:val="24"/>
          <w:lang w:val="en-US" w:eastAsia="zh-CN"/>
        </w:rPr>
      </w:pPr>
    </w:p>
    <w:p w14:paraId="00EF9883" w14:textId="3D725DD9" w:rsidR="00802EC7" w:rsidRPr="007966B6" w:rsidRDefault="00802EC7" w:rsidP="005831C8">
      <w:pPr>
        <w:spacing w:after="0" w:line="360" w:lineRule="auto"/>
        <w:jc w:val="both"/>
        <w:rPr>
          <w:rFonts w:ascii="Book Antiqua" w:hAnsi="Book Antiqua"/>
          <w:b/>
          <w:sz w:val="24"/>
          <w:szCs w:val="24"/>
          <w:lang w:val="en-US" w:eastAsia="zh-CN"/>
        </w:rPr>
      </w:pPr>
      <w:r w:rsidRPr="007966B6">
        <w:rPr>
          <w:rFonts w:ascii="Book Antiqua" w:hAnsi="Book Antiqua"/>
          <w:b/>
          <w:sz w:val="24"/>
          <w:szCs w:val="24"/>
        </w:rPr>
        <w:t>Ozkan Kanat, Hulya Ertas</w:t>
      </w:r>
      <w:r w:rsidR="009E71ED" w:rsidRPr="007966B6">
        <w:rPr>
          <w:rFonts w:ascii="Book Antiqua" w:hAnsi="Book Antiqua"/>
          <w:b/>
          <w:sz w:val="24"/>
          <w:szCs w:val="24"/>
        </w:rPr>
        <w:t xml:space="preserve">, </w:t>
      </w:r>
      <w:r w:rsidRPr="007966B6">
        <w:rPr>
          <w:rFonts w:ascii="Book Antiqua" w:hAnsi="Book Antiqua"/>
          <w:sz w:val="24"/>
          <w:szCs w:val="24"/>
        </w:rPr>
        <w:t>Department of Medical Oncology, Faculty of Medicine, Uludag University</w:t>
      </w:r>
      <w:r w:rsidRPr="007966B6">
        <w:rPr>
          <w:rFonts w:ascii="Book Antiqua" w:hAnsi="Book Antiqua"/>
          <w:sz w:val="24"/>
          <w:szCs w:val="24"/>
          <w:lang w:eastAsia="zh-CN"/>
        </w:rPr>
        <w:t>, Bursa 16059, Turkey</w:t>
      </w:r>
    </w:p>
    <w:p w14:paraId="6787269F" w14:textId="77777777" w:rsidR="00802EC7" w:rsidRPr="007966B6" w:rsidRDefault="00802EC7" w:rsidP="005831C8">
      <w:pPr>
        <w:spacing w:after="0" w:line="360" w:lineRule="auto"/>
        <w:jc w:val="both"/>
        <w:rPr>
          <w:rFonts w:ascii="Book Antiqua" w:hAnsi="Book Antiqua"/>
          <w:b/>
          <w:sz w:val="24"/>
          <w:szCs w:val="24"/>
          <w:lang w:eastAsia="zh-CN"/>
        </w:rPr>
      </w:pPr>
    </w:p>
    <w:p w14:paraId="0766FF20" w14:textId="30009F26" w:rsidR="00802EC7" w:rsidRPr="007966B6" w:rsidRDefault="00802EC7" w:rsidP="005831C8">
      <w:pPr>
        <w:spacing w:after="0" w:line="360" w:lineRule="auto"/>
        <w:jc w:val="both"/>
        <w:rPr>
          <w:rFonts w:ascii="Book Antiqua" w:hAnsi="Book Antiqua"/>
          <w:sz w:val="24"/>
          <w:szCs w:val="24"/>
          <w:lang w:eastAsia="zh-CN"/>
        </w:rPr>
      </w:pPr>
      <w:r w:rsidRPr="007966B6">
        <w:rPr>
          <w:rFonts w:ascii="Book Antiqua" w:hAnsi="Book Antiqua"/>
          <w:b/>
          <w:sz w:val="24"/>
          <w:szCs w:val="24"/>
        </w:rPr>
        <w:t>ORCID number:</w:t>
      </w:r>
      <w:r w:rsidRPr="007966B6">
        <w:rPr>
          <w:rFonts w:ascii="Book Antiqua" w:hAnsi="Book Antiqua"/>
          <w:sz w:val="24"/>
          <w:szCs w:val="24"/>
        </w:rPr>
        <w:t xml:space="preserve"> Ozkan Kanat </w:t>
      </w:r>
      <w:r w:rsidRPr="007966B6">
        <w:rPr>
          <w:rFonts w:ascii="Book Antiqua" w:hAnsi="Book Antiqua"/>
          <w:sz w:val="24"/>
          <w:szCs w:val="24"/>
          <w:lang w:eastAsia="zh-CN"/>
        </w:rPr>
        <w:t>(</w:t>
      </w:r>
      <w:r w:rsidRPr="007966B6">
        <w:rPr>
          <w:rFonts w:ascii="Book Antiqua" w:hAnsi="Book Antiqua"/>
          <w:sz w:val="24"/>
          <w:szCs w:val="24"/>
        </w:rPr>
        <w:t>0000-0001-6973-6540</w:t>
      </w:r>
      <w:r w:rsidRPr="007966B6">
        <w:rPr>
          <w:rFonts w:ascii="Book Antiqua" w:hAnsi="Book Antiqua"/>
          <w:sz w:val="24"/>
          <w:szCs w:val="24"/>
          <w:lang w:eastAsia="zh-CN"/>
        </w:rPr>
        <w:t>)</w:t>
      </w:r>
      <w:r w:rsidRPr="007966B6">
        <w:rPr>
          <w:rFonts w:ascii="Book Antiqua" w:hAnsi="Book Antiqua"/>
          <w:sz w:val="24"/>
          <w:szCs w:val="24"/>
        </w:rPr>
        <w:t xml:space="preserve">; Hulya Ertas </w:t>
      </w:r>
      <w:r w:rsidRPr="007966B6">
        <w:rPr>
          <w:rFonts w:ascii="Book Antiqua" w:hAnsi="Book Antiqua"/>
          <w:sz w:val="24"/>
          <w:szCs w:val="24"/>
          <w:lang w:eastAsia="zh-CN"/>
        </w:rPr>
        <w:t>(</w:t>
      </w:r>
      <w:r w:rsidRPr="007966B6">
        <w:rPr>
          <w:rFonts w:ascii="Book Antiqua" w:hAnsi="Book Antiqua"/>
          <w:sz w:val="24"/>
          <w:szCs w:val="24"/>
        </w:rPr>
        <w:t>0000-0001-8306-4349</w:t>
      </w:r>
      <w:r w:rsidRPr="007966B6">
        <w:rPr>
          <w:rFonts w:ascii="Book Antiqua" w:hAnsi="Book Antiqua"/>
          <w:sz w:val="24"/>
          <w:szCs w:val="24"/>
          <w:lang w:eastAsia="zh-CN"/>
        </w:rPr>
        <w:t>).</w:t>
      </w:r>
    </w:p>
    <w:p w14:paraId="07C8736C" w14:textId="77777777" w:rsidR="00802EC7" w:rsidRPr="007966B6" w:rsidRDefault="00802EC7" w:rsidP="005831C8">
      <w:pPr>
        <w:spacing w:after="0" w:line="360" w:lineRule="auto"/>
        <w:jc w:val="both"/>
        <w:rPr>
          <w:rFonts w:ascii="Book Antiqua" w:hAnsi="Book Antiqua"/>
          <w:sz w:val="24"/>
          <w:szCs w:val="24"/>
          <w:lang w:eastAsia="zh-CN"/>
        </w:rPr>
      </w:pPr>
    </w:p>
    <w:p w14:paraId="125916C5" w14:textId="0B51469F" w:rsidR="006E2CA9" w:rsidRPr="007966B6" w:rsidRDefault="00802EC7" w:rsidP="005831C8">
      <w:pPr>
        <w:spacing w:after="0" w:line="360" w:lineRule="auto"/>
        <w:jc w:val="both"/>
        <w:rPr>
          <w:rFonts w:ascii="Book Antiqua" w:hAnsi="Book Antiqua"/>
          <w:sz w:val="24"/>
          <w:szCs w:val="24"/>
          <w:lang w:eastAsia="zh-CN"/>
        </w:rPr>
      </w:pPr>
      <w:r w:rsidRPr="007966B6">
        <w:rPr>
          <w:rFonts w:ascii="Book Antiqua" w:hAnsi="Book Antiqua"/>
          <w:b/>
          <w:sz w:val="24"/>
          <w:szCs w:val="24"/>
        </w:rPr>
        <w:t>Author contributions:</w:t>
      </w:r>
      <w:r w:rsidR="00F0650F" w:rsidRPr="007966B6">
        <w:rPr>
          <w:rFonts w:ascii="Book Antiqua" w:hAnsi="Book Antiqua"/>
          <w:sz w:val="24"/>
          <w:szCs w:val="24"/>
        </w:rPr>
        <w:t xml:space="preserve"> Kanat O assigned the issue, performed the majority of the writing, and prepared the figures and tables; Ertas H performed </w:t>
      </w:r>
      <w:r w:rsidR="00F0650F" w:rsidRPr="007966B6">
        <w:rPr>
          <w:rFonts w:ascii="Book Antiqua" w:hAnsi="Book Antiqua"/>
          <w:noProof/>
          <w:sz w:val="24"/>
          <w:szCs w:val="24"/>
        </w:rPr>
        <w:t>extensive</w:t>
      </w:r>
      <w:r w:rsidR="00F0650F" w:rsidRPr="007966B6">
        <w:rPr>
          <w:rFonts w:ascii="Book Antiqua" w:hAnsi="Book Antiqua"/>
          <w:sz w:val="24"/>
          <w:szCs w:val="24"/>
        </w:rPr>
        <w:t xml:space="preserve"> literature research</w:t>
      </w:r>
      <w:r w:rsidR="00E8538F" w:rsidRPr="007966B6">
        <w:rPr>
          <w:rFonts w:ascii="Book Antiqua" w:hAnsi="Book Antiqua"/>
          <w:sz w:val="24"/>
          <w:szCs w:val="24"/>
        </w:rPr>
        <w:t xml:space="preserve"> on the subject.</w:t>
      </w:r>
      <w:r w:rsidR="005831C8" w:rsidRPr="007966B6">
        <w:rPr>
          <w:rFonts w:ascii="Book Antiqua" w:hAnsi="Book Antiqua"/>
          <w:sz w:val="24"/>
          <w:szCs w:val="24"/>
        </w:rPr>
        <w:t xml:space="preserve"> </w:t>
      </w:r>
    </w:p>
    <w:p w14:paraId="14E58CB5" w14:textId="77777777" w:rsidR="00802EC7" w:rsidRPr="007966B6" w:rsidRDefault="00802EC7" w:rsidP="005831C8">
      <w:pPr>
        <w:spacing w:after="0" w:line="360" w:lineRule="auto"/>
        <w:jc w:val="both"/>
        <w:rPr>
          <w:rFonts w:ascii="Book Antiqua" w:hAnsi="Book Antiqua"/>
          <w:sz w:val="24"/>
          <w:szCs w:val="24"/>
          <w:lang w:eastAsia="zh-CN"/>
        </w:rPr>
      </w:pPr>
    </w:p>
    <w:p w14:paraId="4D60C800" w14:textId="77777777" w:rsidR="00802EC7" w:rsidRPr="007966B6" w:rsidRDefault="00802EC7" w:rsidP="005831C8">
      <w:pPr>
        <w:spacing w:after="0" w:line="360" w:lineRule="auto"/>
        <w:jc w:val="both"/>
        <w:rPr>
          <w:rFonts w:ascii="Book Antiqua" w:hAnsi="Book Antiqua"/>
          <w:sz w:val="24"/>
          <w:szCs w:val="24"/>
          <w:lang w:val="en-US" w:eastAsia="zh-CN"/>
        </w:rPr>
      </w:pPr>
      <w:r w:rsidRPr="007966B6">
        <w:rPr>
          <w:rFonts w:ascii="Book Antiqua" w:hAnsi="Book Antiqua"/>
          <w:b/>
          <w:sz w:val="24"/>
          <w:szCs w:val="24"/>
        </w:rPr>
        <w:t>Conflict-of-interest statement</w:t>
      </w:r>
      <w:r w:rsidRPr="007966B6">
        <w:rPr>
          <w:rFonts w:ascii="Book Antiqua" w:hAnsi="Book Antiqua" w:cs="TimesNewRomanPS-BoldItalicMT"/>
          <w:b/>
          <w:iCs/>
          <w:sz w:val="24"/>
          <w:szCs w:val="24"/>
        </w:rPr>
        <w:t xml:space="preserve">: </w:t>
      </w:r>
      <w:r w:rsidRPr="007966B6">
        <w:rPr>
          <w:rFonts w:ascii="Book Antiqua" w:hAnsi="Book Antiqua"/>
          <w:sz w:val="24"/>
          <w:szCs w:val="24"/>
          <w:lang w:val="en-US" w:eastAsia="zh-CN"/>
        </w:rPr>
        <w:t xml:space="preserve">There is no conflict of interest associated with any of the senior </w:t>
      </w:r>
      <w:r w:rsidRPr="007966B6">
        <w:rPr>
          <w:rFonts w:ascii="Book Antiqua" w:hAnsi="Book Antiqua"/>
          <w:noProof/>
          <w:sz w:val="24"/>
          <w:szCs w:val="24"/>
          <w:lang w:val="en-US" w:eastAsia="zh-CN"/>
        </w:rPr>
        <w:t>authors</w:t>
      </w:r>
      <w:r w:rsidRPr="007966B6">
        <w:rPr>
          <w:rFonts w:ascii="Book Antiqua" w:hAnsi="Book Antiqua"/>
          <w:sz w:val="24"/>
          <w:szCs w:val="24"/>
          <w:lang w:val="en-US" w:eastAsia="zh-CN"/>
        </w:rPr>
        <w:t xml:space="preserve"> </w:t>
      </w:r>
      <w:r w:rsidRPr="007966B6">
        <w:rPr>
          <w:rFonts w:ascii="Book Antiqua" w:hAnsi="Book Antiqua"/>
          <w:noProof/>
          <w:sz w:val="24"/>
          <w:szCs w:val="24"/>
          <w:lang w:val="en-US" w:eastAsia="zh-CN"/>
        </w:rPr>
        <w:t>or</w:t>
      </w:r>
      <w:r w:rsidRPr="007966B6">
        <w:rPr>
          <w:rFonts w:ascii="Book Antiqua" w:hAnsi="Book Antiqua"/>
          <w:sz w:val="24"/>
          <w:szCs w:val="24"/>
          <w:lang w:val="en-US" w:eastAsia="zh-CN"/>
        </w:rPr>
        <w:t xml:space="preserve"> other coauthors contributed their efforts in this manuscript.</w:t>
      </w:r>
    </w:p>
    <w:p w14:paraId="086C4C2E" w14:textId="77777777" w:rsidR="00802EC7" w:rsidRPr="007966B6" w:rsidRDefault="00802EC7" w:rsidP="005831C8">
      <w:pPr>
        <w:adjustRightInd w:val="0"/>
        <w:snapToGrid w:val="0"/>
        <w:spacing w:after="0" w:line="360" w:lineRule="auto"/>
        <w:jc w:val="both"/>
        <w:rPr>
          <w:rFonts w:ascii="Book Antiqua" w:hAnsi="Book Antiqua"/>
          <w:sz w:val="24"/>
          <w:szCs w:val="24"/>
        </w:rPr>
      </w:pPr>
    </w:p>
    <w:p w14:paraId="3DB338AF" w14:textId="77777777" w:rsidR="00802EC7" w:rsidRPr="007966B6" w:rsidRDefault="00802EC7" w:rsidP="005831C8">
      <w:pPr>
        <w:adjustRightInd w:val="0"/>
        <w:snapToGrid w:val="0"/>
        <w:spacing w:after="0" w:line="360" w:lineRule="auto"/>
        <w:jc w:val="both"/>
        <w:rPr>
          <w:rFonts w:ascii="Book Antiqua" w:hAnsi="Book Antiqua"/>
          <w:sz w:val="24"/>
          <w:szCs w:val="24"/>
        </w:rPr>
      </w:pPr>
      <w:r w:rsidRPr="007966B6">
        <w:rPr>
          <w:rFonts w:ascii="Book Antiqua" w:hAnsi="Book Antiqua"/>
          <w:b/>
          <w:sz w:val="24"/>
          <w:szCs w:val="24"/>
        </w:rPr>
        <w:t xml:space="preserve">Open-Access: </w:t>
      </w:r>
      <w:r w:rsidRPr="007966B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966B6">
          <w:rPr>
            <w:rStyle w:val="Hyperlink"/>
            <w:rFonts w:ascii="Book Antiqua" w:hAnsi="Book Antiqua"/>
            <w:color w:val="auto"/>
            <w:sz w:val="24"/>
            <w:szCs w:val="24"/>
            <w:u w:val="none"/>
          </w:rPr>
          <w:t>http://creativecommons.org/licenses/by-nc/4.0/</w:t>
        </w:r>
      </w:hyperlink>
    </w:p>
    <w:p w14:paraId="79FEC08E" w14:textId="77777777" w:rsidR="00802EC7" w:rsidRPr="007966B6" w:rsidRDefault="00802EC7" w:rsidP="005831C8">
      <w:pPr>
        <w:spacing w:after="0" w:line="360" w:lineRule="auto"/>
        <w:jc w:val="both"/>
        <w:rPr>
          <w:rFonts w:ascii="Book Antiqua" w:hAnsi="Book Antiqua"/>
          <w:sz w:val="24"/>
          <w:szCs w:val="24"/>
          <w:lang w:eastAsia="zh-CN"/>
        </w:rPr>
      </w:pPr>
    </w:p>
    <w:p w14:paraId="4553B406" w14:textId="02872A34" w:rsidR="00802EC7" w:rsidRPr="007966B6" w:rsidRDefault="00802EC7" w:rsidP="005831C8">
      <w:pPr>
        <w:spacing w:after="0" w:line="360" w:lineRule="auto"/>
        <w:jc w:val="both"/>
        <w:rPr>
          <w:rFonts w:ascii="Book Antiqua" w:eastAsia="SimSun" w:hAnsi="Book Antiqua" w:cs="SimSun"/>
          <w:sz w:val="24"/>
          <w:szCs w:val="24"/>
          <w:lang w:eastAsia="zh-CN"/>
        </w:rPr>
      </w:pPr>
      <w:r w:rsidRPr="007966B6">
        <w:rPr>
          <w:rFonts w:ascii="Book Antiqua" w:eastAsia="SimSun" w:hAnsi="Book Antiqua" w:cs="SimSun"/>
          <w:b/>
          <w:sz w:val="24"/>
          <w:szCs w:val="24"/>
        </w:rPr>
        <w:lastRenderedPageBreak/>
        <w:t>Manuscript source:</w:t>
      </w:r>
      <w:r w:rsidRPr="007966B6">
        <w:rPr>
          <w:rFonts w:ascii="Book Antiqua" w:eastAsia="SimSun" w:hAnsi="Book Antiqua" w:cs="SimSun"/>
          <w:sz w:val="24"/>
          <w:szCs w:val="24"/>
        </w:rPr>
        <w:t> Invited manuscript</w:t>
      </w:r>
    </w:p>
    <w:p w14:paraId="166ACCBB" w14:textId="77777777" w:rsidR="00802EC7" w:rsidRPr="007966B6" w:rsidRDefault="00802EC7" w:rsidP="005831C8">
      <w:pPr>
        <w:spacing w:after="0" w:line="360" w:lineRule="auto"/>
        <w:jc w:val="both"/>
        <w:rPr>
          <w:rFonts w:ascii="Book Antiqua" w:hAnsi="Book Antiqua"/>
          <w:sz w:val="24"/>
          <w:szCs w:val="24"/>
          <w:lang w:eastAsia="zh-CN"/>
        </w:rPr>
      </w:pPr>
    </w:p>
    <w:p w14:paraId="21C3F737" w14:textId="76B02976" w:rsidR="00802EC7" w:rsidRPr="007966B6" w:rsidRDefault="00802EC7" w:rsidP="005831C8">
      <w:pPr>
        <w:spacing w:after="0" w:line="360" w:lineRule="auto"/>
        <w:jc w:val="both"/>
        <w:rPr>
          <w:rFonts w:ascii="Book Antiqua" w:hAnsi="Book Antiqua"/>
          <w:sz w:val="24"/>
          <w:szCs w:val="24"/>
          <w:lang w:eastAsia="zh-CN"/>
        </w:rPr>
      </w:pPr>
      <w:r w:rsidRPr="007966B6">
        <w:rPr>
          <w:rFonts w:ascii="Book Antiqua" w:hAnsi="Book Antiqua"/>
          <w:b/>
          <w:sz w:val="24"/>
          <w:szCs w:val="24"/>
        </w:rPr>
        <w:t>Corresponding author:</w:t>
      </w:r>
      <w:r w:rsidR="001A5C30" w:rsidRPr="007966B6">
        <w:rPr>
          <w:rFonts w:ascii="Book Antiqua" w:hAnsi="Book Antiqua"/>
          <w:sz w:val="24"/>
          <w:szCs w:val="24"/>
        </w:rPr>
        <w:t xml:space="preserve"> </w:t>
      </w:r>
      <w:r w:rsidRPr="007966B6">
        <w:rPr>
          <w:rFonts w:ascii="Book Antiqua" w:hAnsi="Book Antiqua"/>
          <w:b/>
          <w:sz w:val="24"/>
          <w:szCs w:val="24"/>
        </w:rPr>
        <w:t>Ozkan Kanat, MD, PhD, Professor,</w:t>
      </w:r>
      <w:r w:rsidRPr="007966B6">
        <w:rPr>
          <w:rFonts w:ascii="Book Antiqua" w:hAnsi="Book Antiqua"/>
          <w:sz w:val="24"/>
          <w:szCs w:val="24"/>
        </w:rPr>
        <w:t xml:space="preserve"> Department of Medical Oncology, Faculty of Medicine, Uludag University, Gorukle, Bursa 16059, Turkey. ozkanat@uludag.edu.tr</w:t>
      </w:r>
    </w:p>
    <w:p w14:paraId="1005F1A9" w14:textId="7FC17D89" w:rsidR="006E2CA9" w:rsidRPr="007966B6" w:rsidRDefault="006E2CA9" w:rsidP="005831C8">
      <w:pPr>
        <w:spacing w:after="0" w:line="360" w:lineRule="auto"/>
        <w:jc w:val="both"/>
        <w:rPr>
          <w:rFonts w:ascii="Book Antiqua" w:hAnsi="Book Antiqua"/>
          <w:b/>
          <w:sz w:val="24"/>
          <w:szCs w:val="24"/>
          <w:lang w:eastAsia="zh-CN"/>
        </w:rPr>
      </w:pPr>
      <w:r w:rsidRPr="007966B6">
        <w:rPr>
          <w:rFonts w:ascii="Book Antiqua" w:hAnsi="Book Antiqua"/>
          <w:b/>
          <w:sz w:val="24"/>
          <w:szCs w:val="24"/>
        </w:rPr>
        <w:t xml:space="preserve">Telephone: </w:t>
      </w:r>
      <w:r w:rsidR="001A5C30" w:rsidRPr="007966B6">
        <w:rPr>
          <w:rFonts w:ascii="Book Antiqua" w:hAnsi="Book Antiqua"/>
          <w:sz w:val="24"/>
          <w:szCs w:val="24"/>
        </w:rPr>
        <w:t>+90</w:t>
      </w:r>
      <w:r w:rsidR="00802EC7" w:rsidRPr="007966B6">
        <w:rPr>
          <w:rFonts w:ascii="Book Antiqua" w:hAnsi="Book Antiqua"/>
          <w:sz w:val="24"/>
          <w:szCs w:val="24"/>
          <w:lang w:eastAsia="zh-CN"/>
        </w:rPr>
        <w:t>-</w:t>
      </w:r>
      <w:r w:rsidR="001A5C30" w:rsidRPr="007966B6">
        <w:rPr>
          <w:rFonts w:ascii="Book Antiqua" w:hAnsi="Book Antiqua"/>
          <w:sz w:val="24"/>
          <w:szCs w:val="24"/>
        </w:rPr>
        <w:t>22</w:t>
      </w:r>
      <w:r w:rsidR="00802EC7" w:rsidRPr="007966B6">
        <w:rPr>
          <w:rFonts w:ascii="Book Antiqua" w:hAnsi="Book Antiqua"/>
          <w:sz w:val="24"/>
          <w:szCs w:val="24"/>
          <w:lang w:eastAsia="zh-CN"/>
        </w:rPr>
        <w:t>-</w:t>
      </w:r>
      <w:r w:rsidR="001A5C30" w:rsidRPr="007966B6">
        <w:rPr>
          <w:rFonts w:ascii="Book Antiqua" w:hAnsi="Book Antiqua"/>
          <w:sz w:val="24"/>
          <w:szCs w:val="24"/>
        </w:rPr>
        <w:t>42951321</w:t>
      </w:r>
    </w:p>
    <w:p w14:paraId="4F148C9A" w14:textId="43E0D6F2" w:rsidR="006E2CA9" w:rsidRPr="007966B6" w:rsidRDefault="006E2CA9" w:rsidP="005831C8">
      <w:pPr>
        <w:spacing w:after="0" w:line="360" w:lineRule="auto"/>
        <w:jc w:val="both"/>
        <w:rPr>
          <w:rFonts w:ascii="Book Antiqua" w:hAnsi="Book Antiqua"/>
          <w:b/>
          <w:sz w:val="24"/>
          <w:szCs w:val="24"/>
        </w:rPr>
      </w:pPr>
      <w:r w:rsidRPr="007966B6">
        <w:rPr>
          <w:rFonts w:ascii="Book Antiqua" w:hAnsi="Book Antiqua"/>
          <w:b/>
          <w:sz w:val="24"/>
          <w:szCs w:val="24"/>
        </w:rPr>
        <w:t>Fax:</w:t>
      </w:r>
      <w:r w:rsidR="00802EC7" w:rsidRPr="007966B6">
        <w:rPr>
          <w:rFonts w:ascii="Book Antiqua" w:hAnsi="Book Antiqua"/>
          <w:b/>
          <w:sz w:val="24"/>
          <w:szCs w:val="24"/>
          <w:lang w:eastAsia="zh-CN"/>
        </w:rPr>
        <w:t xml:space="preserve"> </w:t>
      </w:r>
      <w:r w:rsidR="001A5C30" w:rsidRPr="007966B6">
        <w:rPr>
          <w:rFonts w:ascii="Book Antiqua" w:hAnsi="Book Antiqua"/>
          <w:sz w:val="24"/>
          <w:szCs w:val="24"/>
        </w:rPr>
        <w:t>+90</w:t>
      </w:r>
      <w:r w:rsidR="00802EC7" w:rsidRPr="007966B6">
        <w:rPr>
          <w:rFonts w:ascii="Book Antiqua" w:hAnsi="Book Antiqua"/>
          <w:sz w:val="24"/>
          <w:szCs w:val="24"/>
          <w:lang w:eastAsia="zh-CN"/>
        </w:rPr>
        <w:t>-</w:t>
      </w:r>
      <w:r w:rsidR="001A5C30" w:rsidRPr="007966B6">
        <w:rPr>
          <w:rFonts w:ascii="Book Antiqua" w:hAnsi="Book Antiqua"/>
          <w:sz w:val="24"/>
          <w:szCs w:val="24"/>
        </w:rPr>
        <w:t>22</w:t>
      </w:r>
      <w:r w:rsidR="00802EC7" w:rsidRPr="007966B6">
        <w:rPr>
          <w:rFonts w:ascii="Book Antiqua" w:hAnsi="Book Antiqua"/>
          <w:sz w:val="24"/>
          <w:szCs w:val="24"/>
          <w:lang w:eastAsia="zh-CN"/>
        </w:rPr>
        <w:t>-</w:t>
      </w:r>
      <w:r w:rsidR="001A5C30" w:rsidRPr="007966B6">
        <w:rPr>
          <w:rFonts w:ascii="Book Antiqua" w:hAnsi="Book Antiqua"/>
          <w:sz w:val="24"/>
          <w:szCs w:val="24"/>
        </w:rPr>
        <w:t>42951341</w:t>
      </w:r>
    </w:p>
    <w:p w14:paraId="4981F44F" w14:textId="77777777" w:rsidR="006E2CA9" w:rsidRPr="007966B6" w:rsidRDefault="006E2CA9" w:rsidP="005831C8">
      <w:pPr>
        <w:spacing w:after="0" w:line="360" w:lineRule="auto"/>
        <w:jc w:val="both"/>
        <w:rPr>
          <w:rFonts w:ascii="Book Antiqua" w:hAnsi="Book Antiqua"/>
          <w:b/>
          <w:sz w:val="24"/>
          <w:szCs w:val="24"/>
          <w:lang w:val="en-US" w:eastAsia="zh-CN"/>
        </w:rPr>
      </w:pPr>
    </w:p>
    <w:p w14:paraId="220FDCD1" w14:textId="020B0984" w:rsidR="00802EC7" w:rsidRPr="007966B6" w:rsidRDefault="00802EC7" w:rsidP="005831C8">
      <w:pPr>
        <w:spacing w:after="0" w:line="360" w:lineRule="auto"/>
        <w:jc w:val="both"/>
        <w:rPr>
          <w:rFonts w:ascii="Book Antiqua" w:hAnsi="Book Antiqua"/>
          <w:b/>
          <w:sz w:val="24"/>
          <w:szCs w:val="24"/>
        </w:rPr>
      </w:pPr>
      <w:r w:rsidRPr="007966B6">
        <w:rPr>
          <w:rFonts w:ascii="Book Antiqua" w:hAnsi="Book Antiqua"/>
          <w:b/>
          <w:sz w:val="24"/>
          <w:szCs w:val="24"/>
        </w:rPr>
        <w:t xml:space="preserve">Received: </w:t>
      </w:r>
      <w:r w:rsidR="00A87B22" w:rsidRPr="007966B6">
        <w:rPr>
          <w:rFonts w:ascii="Book Antiqua" w:hAnsi="Book Antiqua"/>
          <w:sz w:val="24"/>
          <w:szCs w:val="24"/>
          <w:lang w:eastAsia="zh-CN"/>
        </w:rPr>
        <w:t>September 25, 2018</w:t>
      </w:r>
      <w:r w:rsidR="005831C8" w:rsidRPr="007966B6">
        <w:rPr>
          <w:rFonts w:ascii="Book Antiqua" w:hAnsi="Book Antiqua"/>
          <w:sz w:val="24"/>
          <w:szCs w:val="24"/>
        </w:rPr>
        <w:t xml:space="preserve"> </w:t>
      </w:r>
    </w:p>
    <w:p w14:paraId="55970C13" w14:textId="3F0AF2AE" w:rsidR="00802EC7" w:rsidRPr="007966B6" w:rsidRDefault="00802EC7" w:rsidP="005831C8">
      <w:pPr>
        <w:spacing w:after="0" w:line="360" w:lineRule="auto"/>
        <w:jc w:val="both"/>
        <w:rPr>
          <w:rFonts w:ascii="Book Antiqua" w:hAnsi="Book Antiqua"/>
          <w:b/>
          <w:sz w:val="24"/>
          <w:szCs w:val="24"/>
        </w:rPr>
      </w:pPr>
      <w:r w:rsidRPr="007966B6">
        <w:rPr>
          <w:rFonts w:ascii="Book Antiqua" w:hAnsi="Book Antiqua"/>
          <w:b/>
          <w:sz w:val="24"/>
          <w:szCs w:val="24"/>
        </w:rPr>
        <w:t>Peer-review started:</w:t>
      </w:r>
      <w:r w:rsidR="00A87B22" w:rsidRPr="007966B6">
        <w:rPr>
          <w:rFonts w:ascii="Book Antiqua" w:hAnsi="Book Antiqua"/>
          <w:sz w:val="24"/>
          <w:szCs w:val="24"/>
          <w:lang w:eastAsia="zh-CN"/>
        </w:rPr>
        <w:t xml:space="preserve"> September 25, 2018</w:t>
      </w:r>
      <w:r w:rsidR="005831C8" w:rsidRPr="007966B6">
        <w:rPr>
          <w:rFonts w:ascii="Book Antiqua" w:hAnsi="Book Antiqua"/>
          <w:sz w:val="24"/>
          <w:szCs w:val="24"/>
        </w:rPr>
        <w:t xml:space="preserve"> </w:t>
      </w:r>
    </w:p>
    <w:p w14:paraId="1EB7200D" w14:textId="777E1A30" w:rsidR="00802EC7" w:rsidRPr="007966B6" w:rsidRDefault="00802EC7" w:rsidP="005831C8">
      <w:pPr>
        <w:spacing w:after="0" w:line="360" w:lineRule="auto"/>
        <w:jc w:val="both"/>
        <w:rPr>
          <w:rFonts w:ascii="Book Antiqua" w:hAnsi="Book Antiqua"/>
          <w:b/>
          <w:sz w:val="24"/>
          <w:szCs w:val="24"/>
          <w:lang w:eastAsia="zh-CN"/>
        </w:rPr>
      </w:pPr>
      <w:r w:rsidRPr="007966B6">
        <w:rPr>
          <w:rFonts w:ascii="Book Antiqua" w:hAnsi="Book Antiqua"/>
          <w:b/>
          <w:sz w:val="24"/>
          <w:szCs w:val="24"/>
        </w:rPr>
        <w:t>First decision:</w:t>
      </w:r>
      <w:r w:rsidR="00A87B22" w:rsidRPr="007966B6">
        <w:rPr>
          <w:rFonts w:ascii="Book Antiqua" w:hAnsi="Book Antiqua"/>
          <w:b/>
          <w:sz w:val="24"/>
          <w:szCs w:val="24"/>
          <w:lang w:eastAsia="zh-CN"/>
        </w:rPr>
        <w:t xml:space="preserve"> </w:t>
      </w:r>
      <w:r w:rsidR="00A87B22" w:rsidRPr="007966B6">
        <w:rPr>
          <w:rFonts w:ascii="Book Antiqua" w:hAnsi="Book Antiqua"/>
          <w:sz w:val="24"/>
          <w:szCs w:val="24"/>
          <w:lang w:eastAsia="zh-CN"/>
        </w:rPr>
        <w:t>November 1, 2018</w:t>
      </w:r>
    </w:p>
    <w:p w14:paraId="725562D1" w14:textId="434054B1" w:rsidR="00802EC7" w:rsidRPr="007966B6" w:rsidRDefault="00802EC7" w:rsidP="005831C8">
      <w:pPr>
        <w:spacing w:after="0" w:line="360" w:lineRule="auto"/>
        <w:jc w:val="both"/>
        <w:rPr>
          <w:rFonts w:ascii="Book Antiqua" w:hAnsi="Book Antiqua"/>
          <w:b/>
          <w:sz w:val="24"/>
          <w:szCs w:val="24"/>
        </w:rPr>
      </w:pPr>
      <w:r w:rsidRPr="007966B6">
        <w:rPr>
          <w:rFonts w:ascii="Book Antiqua" w:hAnsi="Book Antiqua"/>
          <w:b/>
          <w:sz w:val="24"/>
          <w:szCs w:val="24"/>
        </w:rPr>
        <w:t xml:space="preserve">Revised: </w:t>
      </w:r>
      <w:r w:rsidR="00A87B22" w:rsidRPr="007966B6">
        <w:rPr>
          <w:rFonts w:ascii="Book Antiqua" w:hAnsi="Book Antiqua"/>
          <w:sz w:val="24"/>
          <w:szCs w:val="24"/>
          <w:lang w:eastAsia="zh-CN"/>
        </w:rPr>
        <w:t>November 8, 2018</w:t>
      </w:r>
      <w:r w:rsidRPr="007966B6">
        <w:rPr>
          <w:rFonts w:ascii="Book Antiqua" w:hAnsi="Book Antiqua"/>
          <w:b/>
          <w:sz w:val="24"/>
          <w:szCs w:val="24"/>
        </w:rPr>
        <w:t xml:space="preserve"> </w:t>
      </w:r>
    </w:p>
    <w:p w14:paraId="50BCF2CC" w14:textId="718EC6FD" w:rsidR="00802EC7" w:rsidRPr="00D35D60" w:rsidRDefault="00802EC7" w:rsidP="005831C8">
      <w:pPr>
        <w:spacing w:after="0" w:line="360" w:lineRule="auto"/>
        <w:jc w:val="both"/>
        <w:rPr>
          <w:rFonts w:ascii="Book Antiqua" w:hAnsi="Book Antiqua"/>
          <w:b/>
          <w:sz w:val="24"/>
          <w:szCs w:val="24"/>
          <w:lang w:val="en-US"/>
        </w:rPr>
      </w:pPr>
      <w:proofErr w:type="spellStart"/>
      <w:r w:rsidRPr="007966B6">
        <w:rPr>
          <w:rFonts w:ascii="Book Antiqua" w:hAnsi="Book Antiqua"/>
          <w:b/>
          <w:sz w:val="24"/>
          <w:szCs w:val="24"/>
        </w:rPr>
        <w:t>Accepted</w:t>
      </w:r>
      <w:proofErr w:type="spellEnd"/>
      <w:r w:rsidRPr="007966B6">
        <w:rPr>
          <w:rFonts w:ascii="Book Antiqua" w:hAnsi="Book Antiqua"/>
          <w:b/>
          <w:sz w:val="24"/>
          <w:szCs w:val="24"/>
        </w:rPr>
        <w:t>:</w:t>
      </w:r>
      <w:r w:rsidR="005831C8" w:rsidRPr="007966B6">
        <w:rPr>
          <w:rFonts w:ascii="Book Antiqua" w:hAnsi="Book Antiqua"/>
          <w:b/>
          <w:sz w:val="24"/>
          <w:szCs w:val="24"/>
        </w:rPr>
        <w:t xml:space="preserve"> </w:t>
      </w:r>
      <w:r w:rsidR="005036E9" w:rsidRPr="00D35D60">
        <w:rPr>
          <w:rFonts w:ascii="Book Antiqua" w:hAnsi="Book Antiqua"/>
          <w:sz w:val="24"/>
          <w:szCs w:val="24"/>
          <w:lang w:val="en-US"/>
        </w:rPr>
        <w:t>January 5, 2019</w:t>
      </w:r>
    </w:p>
    <w:p w14:paraId="7BBB5426" w14:textId="10880160" w:rsidR="00802EC7" w:rsidRPr="007966B6" w:rsidRDefault="00802EC7" w:rsidP="005831C8">
      <w:pPr>
        <w:spacing w:after="0" w:line="360" w:lineRule="auto"/>
        <w:jc w:val="both"/>
        <w:rPr>
          <w:rFonts w:ascii="Book Antiqua" w:hAnsi="Book Antiqua"/>
          <w:sz w:val="24"/>
          <w:szCs w:val="24"/>
        </w:rPr>
      </w:pPr>
      <w:proofErr w:type="spellStart"/>
      <w:r w:rsidRPr="007966B6">
        <w:rPr>
          <w:rFonts w:ascii="Book Antiqua" w:hAnsi="Book Antiqua"/>
          <w:b/>
          <w:sz w:val="24"/>
          <w:szCs w:val="24"/>
        </w:rPr>
        <w:t>Article</w:t>
      </w:r>
      <w:proofErr w:type="spellEnd"/>
      <w:r w:rsidRPr="007966B6">
        <w:rPr>
          <w:rFonts w:ascii="Book Antiqua" w:hAnsi="Book Antiqua"/>
          <w:b/>
          <w:sz w:val="24"/>
          <w:szCs w:val="24"/>
        </w:rPr>
        <w:t xml:space="preserve"> in </w:t>
      </w:r>
      <w:proofErr w:type="spellStart"/>
      <w:r w:rsidRPr="007966B6">
        <w:rPr>
          <w:rFonts w:ascii="Book Antiqua" w:hAnsi="Book Antiqua"/>
          <w:b/>
          <w:sz w:val="24"/>
          <w:szCs w:val="24"/>
        </w:rPr>
        <w:t>press</w:t>
      </w:r>
      <w:proofErr w:type="spellEnd"/>
      <w:r w:rsidRPr="007966B6">
        <w:rPr>
          <w:rFonts w:ascii="Book Antiqua" w:hAnsi="Book Antiqua"/>
          <w:b/>
          <w:sz w:val="24"/>
          <w:szCs w:val="24"/>
        </w:rPr>
        <w:t>:</w:t>
      </w:r>
      <w:r w:rsidR="005831C8" w:rsidRPr="007966B6">
        <w:rPr>
          <w:rFonts w:ascii="Book Antiqua" w:hAnsi="Book Antiqua"/>
          <w:sz w:val="24"/>
          <w:szCs w:val="24"/>
        </w:rPr>
        <w:t xml:space="preserve"> </w:t>
      </w:r>
    </w:p>
    <w:p w14:paraId="5C98200D" w14:textId="77777777" w:rsidR="00802EC7" w:rsidRPr="007966B6" w:rsidRDefault="00802EC7" w:rsidP="005831C8">
      <w:pPr>
        <w:spacing w:after="0" w:line="360" w:lineRule="auto"/>
        <w:jc w:val="both"/>
        <w:rPr>
          <w:rFonts w:ascii="Book Antiqua" w:hAnsi="Book Antiqua"/>
          <w:b/>
          <w:sz w:val="24"/>
          <w:szCs w:val="24"/>
        </w:rPr>
      </w:pPr>
      <w:r w:rsidRPr="007966B6">
        <w:rPr>
          <w:rFonts w:ascii="Book Antiqua" w:hAnsi="Book Antiqua"/>
          <w:b/>
          <w:sz w:val="24"/>
          <w:szCs w:val="24"/>
        </w:rPr>
        <w:t xml:space="preserve">Published online: </w:t>
      </w:r>
    </w:p>
    <w:p w14:paraId="4734A114" w14:textId="77777777" w:rsidR="00A87B22" w:rsidRPr="007966B6" w:rsidRDefault="00A87B22" w:rsidP="005831C8">
      <w:pPr>
        <w:spacing w:after="0" w:line="360" w:lineRule="auto"/>
        <w:jc w:val="both"/>
        <w:rPr>
          <w:rFonts w:ascii="Book Antiqua" w:hAnsi="Book Antiqua"/>
          <w:b/>
          <w:sz w:val="24"/>
          <w:szCs w:val="24"/>
          <w:lang w:val="en-US" w:eastAsia="zh-CN"/>
        </w:rPr>
      </w:pPr>
      <w:r w:rsidRPr="007966B6">
        <w:rPr>
          <w:rFonts w:ascii="Book Antiqua" w:hAnsi="Book Antiqua"/>
          <w:b/>
          <w:sz w:val="24"/>
          <w:szCs w:val="24"/>
          <w:lang w:val="en-US" w:eastAsia="zh-CN"/>
        </w:rPr>
        <w:br w:type="page"/>
      </w:r>
    </w:p>
    <w:p w14:paraId="5CC7C36D" w14:textId="15FDDDDA" w:rsidR="006926B9" w:rsidRPr="007966B6" w:rsidRDefault="006926B9" w:rsidP="005831C8">
      <w:pPr>
        <w:spacing w:after="0" w:line="360" w:lineRule="auto"/>
        <w:jc w:val="both"/>
        <w:rPr>
          <w:rFonts w:ascii="Book Antiqua" w:hAnsi="Book Antiqua"/>
          <w:b/>
          <w:sz w:val="24"/>
          <w:szCs w:val="24"/>
          <w:lang w:val="en-US"/>
        </w:rPr>
      </w:pPr>
      <w:r w:rsidRPr="007966B6">
        <w:rPr>
          <w:rFonts w:ascii="Book Antiqua" w:hAnsi="Book Antiqua"/>
          <w:b/>
          <w:sz w:val="24"/>
          <w:szCs w:val="24"/>
          <w:lang w:val="en-US"/>
        </w:rPr>
        <w:lastRenderedPageBreak/>
        <w:t>Abstract</w:t>
      </w:r>
    </w:p>
    <w:p w14:paraId="76A114BF" w14:textId="27214708" w:rsidR="006926B9" w:rsidRPr="007966B6" w:rsidRDefault="006926B9" w:rsidP="005831C8">
      <w:pPr>
        <w:spacing w:after="0" w:line="360" w:lineRule="auto"/>
        <w:jc w:val="both"/>
        <w:rPr>
          <w:rFonts w:ascii="Book Antiqua" w:hAnsi="Book Antiqua"/>
          <w:bCs/>
          <w:sz w:val="24"/>
          <w:szCs w:val="24"/>
          <w:lang w:val="en-US" w:eastAsia="zh-CN"/>
        </w:rPr>
      </w:pPr>
      <w:r w:rsidRPr="007966B6">
        <w:rPr>
          <w:rFonts w:ascii="Book Antiqua" w:hAnsi="Book Antiqua"/>
          <w:sz w:val="24"/>
          <w:szCs w:val="24"/>
          <w:lang w:val="en-US"/>
        </w:rPr>
        <w:t xml:space="preserve">Continuous inhibition of angiogenesis </w:t>
      </w:r>
      <w:r w:rsidRPr="007966B6">
        <w:rPr>
          <w:rFonts w:ascii="Book Antiqua" w:hAnsi="Book Antiqua"/>
          <w:bCs/>
          <w:sz w:val="24"/>
          <w:szCs w:val="24"/>
          <w:lang w:val="en-US"/>
        </w:rPr>
        <w:t xml:space="preserve">beyond progression is an emerging treatment concept in the management of metastatic colorectal cancer patients with prior bevacizumab exposure. Treatment options include the continuation or reintroduction of bevacizumab during the second-line </w:t>
      </w:r>
      <w:r w:rsidRPr="007966B6">
        <w:rPr>
          <w:rFonts w:ascii="Book Antiqua" w:hAnsi="Book Antiqua"/>
          <w:bCs/>
          <w:noProof/>
          <w:sz w:val="24"/>
          <w:szCs w:val="24"/>
          <w:lang w:val="en-US"/>
        </w:rPr>
        <w:t>chemotherapy</w:t>
      </w:r>
      <w:r w:rsidRPr="007966B6">
        <w:rPr>
          <w:rFonts w:ascii="Book Antiqua" w:hAnsi="Book Antiqua"/>
          <w:bCs/>
          <w:sz w:val="24"/>
          <w:szCs w:val="24"/>
          <w:lang w:val="en-US"/>
        </w:rPr>
        <w:t xml:space="preserve"> or switching to a different antiangiogenic monoclonal antibody such as aflibercept or ramucirumab. In the selection of treatment, patient-based factors such as performance status, age, tumor burden, and tolerance and sensitivity to the first-line bevacizumab-based therapy, as well as treatment-related factors such as toxicity, efficacy, </w:t>
      </w:r>
      <w:r w:rsidRPr="007966B6">
        <w:rPr>
          <w:rFonts w:ascii="Book Antiqua" w:hAnsi="Book Antiqua"/>
          <w:bCs/>
          <w:noProof/>
          <w:sz w:val="24"/>
          <w:szCs w:val="24"/>
          <w:lang w:val="en-US"/>
        </w:rPr>
        <w:t>and</w:t>
      </w:r>
      <w:r w:rsidRPr="007966B6">
        <w:rPr>
          <w:rFonts w:ascii="Book Antiqua" w:hAnsi="Book Antiqua"/>
          <w:bCs/>
          <w:sz w:val="24"/>
          <w:szCs w:val="24"/>
          <w:lang w:val="en-US"/>
        </w:rPr>
        <w:t xml:space="preserve"> cost, should be taken into consideration.</w:t>
      </w:r>
    </w:p>
    <w:p w14:paraId="3027381A" w14:textId="77777777" w:rsidR="00FB1751" w:rsidRPr="007966B6" w:rsidRDefault="00FB1751" w:rsidP="005831C8">
      <w:pPr>
        <w:spacing w:after="0" w:line="360" w:lineRule="auto"/>
        <w:jc w:val="both"/>
        <w:rPr>
          <w:rFonts w:ascii="Book Antiqua" w:hAnsi="Book Antiqua"/>
          <w:bCs/>
          <w:sz w:val="24"/>
          <w:szCs w:val="24"/>
          <w:lang w:val="en-US" w:eastAsia="zh-CN"/>
        </w:rPr>
      </w:pPr>
    </w:p>
    <w:p w14:paraId="1CA5CFA9" w14:textId="26E17D46" w:rsidR="006926B9" w:rsidRPr="007966B6" w:rsidRDefault="006926B9" w:rsidP="005831C8">
      <w:pPr>
        <w:spacing w:after="0" w:line="360" w:lineRule="auto"/>
        <w:jc w:val="both"/>
        <w:rPr>
          <w:rFonts w:ascii="Book Antiqua" w:hAnsi="Book Antiqua"/>
          <w:bCs/>
          <w:sz w:val="24"/>
          <w:szCs w:val="24"/>
          <w:lang w:val="en-US" w:eastAsia="zh-CN"/>
        </w:rPr>
      </w:pPr>
      <w:r w:rsidRPr="007966B6">
        <w:rPr>
          <w:rFonts w:ascii="Book Antiqua" w:hAnsi="Book Antiqua"/>
          <w:b/>
          <w:bCs/>
          <w:sz w:val="24"/>
          <w:szCs w:val="24"/>
          <w:lang w:val="en-US"/>
        </w:rPr>
        <w:t xml:space="preserve">Key </w:t>
      </w:r>
      <w:r w:rsidR="00FB1751" w:rsidRPr="007966B6">
        <w:rPr>
          <w:rFonts w:ascii="Book Antiqua" w:hAnsi="Book Antiqua"/>
          <w:b/>
          <w:bCs/>
          <w:sz w:val="24"/>
          <w:szCs w:val="24"/>
          <w:lang w:val="en-US"/>
        </w:rPr>
        <w:t>w</w:t>
      </w:r>
      <w:r w:rsidRPr="007966B6">
        <w:rPr>
          <w:rFonts w:ascii="Book Antiqua" w:hAnsi="Book Antiqua"/>
          <w:b/>
          <w:bCs/>
          <w:sz w:val="24"/>
          <w:szCs w:val="24"/>
          <w:lang w:val="en-US"/>
        </w:rPr>
        <w:t xml:space="preserve">ords: </w:t>
      </w:r>
      <w:r w:rsidRPr="007966B6">
        <w:rPr>
          <w:rFonts w:ascii="Book Antiqua" w:hAnsi="Book Antiqua"/>
          <w:bCs/>
          <w:sz w:val="24"/>
          <w:szCs w:val="24"/>
          <w:lang w:val="en-US"/>
        </w:rPr>
        <w:t>Angiogenesis inhibition</w:t>
      </w:r>
      <w:r w:rsidR="00FB1751" w:rsidRPr="007966B6">
        <w:rPr>
          <w:rFonts w:ascii="Book Antiqua" w:hAnsi="Book Antiqua"/>
          <w:bCs/>
          <w:sz w:val="24"/>
          <w:szCs w:val="24"/>
          <w:lang w:val="en-US" w:eastAsia="zh-CN"/>
        </w:rPr>
        <w:t>;</w:t>
      </w:r>
      <w:r w:rsidRPr="007966B6">
        <w:rPr>
          <w:rFonts w:ascii="Book Antiqua" w:hAnsi="Book Antiqua"/>
          <w:bCs/>
          <w:sz w:val="24"/>
          <w:szCs w:val="24"/>
          <w:lang w:val="en-US"/>
        </w:rPr>
        <w:t xml:space="preserve"> </w:t>
      </w:r>
      <w:r w:rsidR="00FB1751" w:rsidRPr="007966B6">
        <w:rPr>
          <w:rFonts w:ascii="Book Antiqua" w:hAnsi="Book Antiqua"/>
          <w:bCs/>
          <w:sz w:val="24"/>
          <w:szCs w:val="24"/>
          <w:lang w:val="en-US"/>
        </w:rPr>
        <w:t>Second</w:t>
      </w:r>
      <w:r w:rsidRPr="007966B6">
        <w:rPr>
          <w:rFonts w:ascii="Book Antiqua" w:hAnsi="Book Antiqua"/>
          <w:bCs/>
          <w:sz w:val="24"/>
          <w:szCs w:val="24"/>
          <w:lang w:val="en-US"/>
        </w:rPr>
        <w:t>-line chemotherapy</w:t>
      </w:r>
      <w:r w:rsidR="00FB1751" w:rsidRPr="007966B6">
        <w:rPr>
          <w:rFonts w:ascii="Book Antiqua" w:hAnsi="Book Antiqua"/>
          <w:bCs/>
          <w:sz w:val="24"/>
          <w:szCs w:val="24"/>
          <w:lang w:val="en-US" w:eastAsia="zh-CN"/>
        </w:rPr>
        <w:t>;</w:t>
      </w:r>
      <w:r w:rsidRPr="007966B6">
        <w:rPr>
          <w:rFonts w:ascii="Book Antiqua" w:hAnsi="Book Antiqua"/>
          <w:bCs/>
          <w:sz w:val="24"/>
          <w:szCs w:val="24"/>
          <w:lang w:val="en-US"/>
        </w:rPr>
        <w:t xml:space="preserve"> </w:t>
      </w:r>
      <w:r w:rsidR="00FB1751" w:rsidRPr="007966B6">
        <w:rPr>
          <w:rFonts w:ascii="Book Antiqua" w:hAnsi="Book Antiqua"/>
          <w:bCs/>
          <w:sz w:val="24"/>
          <w:szCs w:val="24"/>
          <w:lang w:val="en-US"/>
        </w:rPr>
        <w:t xml:space="preserve">Colorectal </w:t>
      </w:r>
      <w:r w:rsidRPr="007966B6">
        <w:rPr>
          <w:rFonts w:ascii="Book Antiqua" w:hAnsi="Book Antiqua"/>
          <w:bCs/>
          <w:sz w:val="24"/>
          <w:szCs w:val="24"/>
          <w:lang w:val="en-US"/>
        </w:rPr>
        <w:t>cancer</w:t>
      </w:r>
      <w:r w:rsidR="00FB1751" w:rsidRPr="007966B6">
        <w:rPr>
          <w:rFonts w:ascii="Book Antiqua" w:hAnsi="Book Antiqua"/>
          <w:bCs/>
          <w:sz w:val="24"/>
          <w:szCs w:val="24"/>
          <w:lang w:val="en-US" w:eastAsia="zh-CN"/>
        </w:rPr>
        <w:t>;</w:t>
      </w:r>
      <w:r w:rsidRPr="007966B6">
        <w:rPr>
          <w:rFonts w:ascii="Book Antiqua" w:hAnsi="Book Antiqua"/>
          <w:bCs/>
          <w:sz w:val="24"/>
          <w:szCs w:val="24"/>
          <w:lang w:val="en-US"/>
        </w:rPr>
        <w:t xml:space="preserve"> </w:t>
      </w:r>
      <w:r w:rsidR="00FB1751" w:rsidRPr="007966B6">
        <w:rPr>
          <w:rFonts w:ascii="Book Antiqua" w:hAnsi="Book Antiqua"/>
          <w:bCs/>
          <w:sz w:val="24"/>
          <w:szCs w:val="24"/>
          <w:lang w:val="en-US"/>
        </w:rPr>
        <w:t>Bevacizumab</w:t>
      </w:r>
      <w:r w:rsidR="00FB1751" w:rsidRPr="007966B6">
        <w:rPr>
          <w:rFonts w:ascii="Book Antiqua" w:hAnsi="Book Antiqua"/>
          <w:bCs/>
          <w:sz w:val="24"/>
          <w:szCs w:val="24"/>
          <w:lang w:val="en-US" w:eastAsia="zh-CN"/>
        </w:rPr>
        <w:t>;</w:t>
      </w:r>
      <w:r w:rsidRPr="007966B6">
        <w:rPr>
          <w:rFonts w:ascii="Book Antiqua" w:hAnsi="Book Antiqua"/>
          <w:bCs/>
          <w:sz w:val="24"/>
          <w:szCs w:val="24"/>
          <w:lang w:val="en-US"/>
        </w:rPr>
        <w:t xml:space="preserve"> </w:t>
      </w:r>
      <w:r w:rsidR="00FB1751" w:rsidRPr="007966B6">
        <w:rPr>
          <w:rFonts w:ascii="Book Antiqua" w:hAnsi="Book Antiqua"/>
          <w:bCs/>
          <w:sz w:val="24"/>
          <w:szCs w:val="24"/>
          <w:lang w:val="en-US"/>
        </w:rPr>
        <w:t>Aflibercept</w:t>
      </w:r>
      <w:r w:rsidR="00FB1751" w:rsidRPr="007966B6">
        <w:rPr>
          <w:rFonts w:ascii="Book Antiqua" w:hAnsi="Book Antiqua"/>
          <w:bCs/>
          <w:sz w:val="24"/>
          <w:szCs w:val="24"/>
          <w:lang w:val="en-US" w:eastAsia="zh-CN"/>
        </w:rPr>
        <w:t>;</w:t>
      </w:r>
      <w:r w:rsidR="00FB1751" w:rsidRPr="007966B6">
        <w:rPr>
          <w:rFonts w:ascii="Book Antiqua" w:hAnsi="Book Antiqua"/>
          <w:bCs/>
          <w:sz w:val="24"/>
          <w:szCs w:val="24"/>
          <w:lang w:val="en-US"/>
        </w:rPr>
        <w:t xml:space="preserve"> Ramucirumab</w:t>
      </w:r>
    </w:p>
    <w:p w14:paraId="338FA2AC" w14:textId="77777777" w:rsidR="00FB1751" w:rsidRPr="007966B6" w:rsidRDefault="00FB1751" w:rsidP="005831C8">
      <w:pPr>
        <w:spacing w:after="0" w:line="360" w:lineRule="auto"/>
        <w:jc w:val="both"/>
        <w:rPr>
          <w:rFonts w:ascii="Book Antiqua" w:hAnsi="Book Antiqua"/>
          <w:bCs/>
          <w:sz w:val="24"/>
          <w:szCs w:val="24"/>
          <w:lang w:val="en-US" w:eastAsia="zh-CN"/>
        </w:rPr>
      </w:pPr>
    </w:p>
    <w:p w14:paraId="28607BD3" w14:textId="0844E472" w:rsidR="00FB1751" w:rsidRPr="007966B6" w:rsidRDefault="00FB1751" w:rsidP="005831C8">
      <w:pPr>
        <w:spacing w:after="0" w:line="360" w:lineRule="auto"/>
        <w:jc w:val="both"/>
        <w:rPr>
          <w:rFonts w:ascii="Book Antiqua" w:hAnsi="Book Antiqua" w:cs="Arial"/>
          <w:sz w:val="24"/>
          <w:szCs w:val="24"/>
          <w:lang w:eastAsia="zh-CN"/>
        </w:rPr>
      </w:pPr>
      <w:r w:rsidRPr="007966B6">
        <w:rPr>
          <w:rFonts w:ascii="Book Antiqua" w:hAnsi="Book Antiqua"/>
          <w:b/>
          <w:sz w:val="24"/>
          <w:szCs w:val="24"/>
        </w:rPr>
        <w:t xml:space="preserve">© </w:t>
      </w:r>
      <w:r w:rsidRPr="007966B6">
        <w:rPr>
          <w:rFonts w:ascii="Book Antiqua" w:hAnsi="Book Antiqua" w:cs="Arial"/>
          <w:b/>
          <w:sz w:val="24"/>
          <w:szCs w:val="24"/>
        </w:rPr>
        <w:t>The Author(s) 2019.</w:t>
      </w:r>
      <w:r w:rsidRPr="007966B6">
        <w:rPr>
          <w:rFonts w:ascii="Book Antiqua" w:hAnsi="Book Antiqua" w:cs="Arial"/>
          <w:sz w:val="24"/>
          <w:szCs w:val="24"/>
        </w:rPr>
        <w:t xml:space="preserve"> Published by Baishideng Publishing Group Inc. All rights reserved.</w:t>
      </w:r>
    </w:p>
    <w:p w14:paraId="201C4C01" w14:textId="77777777" w:rsidR="006926B9" w:rsidRPr="007966B6" w:rsidRDefault="006926B9" w:rsidP="005831C8">
      <w:pPr>
        <w:spacing w:after="0" w:line="360" w:lineRule="auto"/>
        <w:jc w:val="both"/>
        <w:rPr>
          <w:rFonts w:ascii="Book Antiqua" w:hAnsi="Book Antiqua"/>
          <w:sz w:val="24"/>
          <w:szCs w:val="24"/>
          <w:lang w:val="en-US" w:eastAsia="zh-CN"/>
        </w:rPr>
      </w:pPr>
    </w:p>
    <w:p w14:paraId="64DBB6B2" w14:textId="7A0CC025" w:rsidR="005F01C4" w:rsidRPr="007966B6" w:rsidRDefault="006E2CA9" w:rsidP="005831C8">
      <w:pPr>
        <w:spacing w:after="0" w:line="360" w:lineRule="auto"/>
        <w:jc w:val="both"/>
        <w:rPr>
          <w:rFonts w:ascii="Book Antiqua" w:eastAsia="Arial Unicode MS" w:hAnsi="Book Antiqua" w:cs="Arial Unicode MS"/>
          <w:b/>
          <w:sz w:val="24"/>
          <w:szCs w:val="24"/>
          <w:lang w:eastAsia="zh-CN"/>
        </w:rPr>
      </w:pPr>
      <w:proofErr w:type="spellStart"/>
      <w:r w:rsidRPr="007966B6">
        <w:rPr>
          <w:rFonts w:ascii="Book Antiqua" w:eastAsia="Arial Unicode MS" w:hAnsi="Book Antiqua" w:cs="Arial Unicode MS"/>
          <w:b/>
          <w:sz w:val="24"/>
          <w:szCs w:val="24"/>
        </w:rPr>
        <w:t>C</w:t>
      </w:r>
      <w:r w:rsidR="00FB1751" w:rsidRPr="007966B6">
        <w:rPr>
          <w:rFonts w:ascii="Book Antiqua" w:eastAsia="Arial Unicode MS" w:hAnsi="Book Antiqua" w:cs="Arial Unicode MS"/>
          <w:b/>
          <w:sz w:val="24"/>
          <w:szCs w:val="24"/>
        </w:rPr>
        <w:t>ore</w:t>
      </w:r>
      <w:proofErr w:type="spellEnd"/>
      <w:r w:rsidR="00FB1751" w:rsidRPr="007966B6">
        <w:rPr>
          <w:rFonts w:ascii="Book Antiqua" w:eastAsia="Arial Unicode MS" w:hAnsi="Book Antiqua" w:cs="Arial Unicode MS"/>
          <w:b/>
          <w:sz w:val="24"/>
          <w:szCs w:val="24"/>
        </w:rPr>
        <w:t xml:space="preserve"> tıp</w:t>
      </w:r>
      <w:r w:rsidR="00FB1751" w:rsidRPr="007966B6">
        <w:rPr>
          <w:rFonts w:ascii="Book Antiqua" w:eastAsia="Arial Unicode MS" w:hAnsi="Book Antiqua" w:cs="Arial Unicode MS"/>
          <w:b/>
          <w:sz w:val="24"/>
          <w:szCs w:val="24"/>
          <w:lang w:eastAsia="zh-CN"/>
        </w:rPr>
        <w:t xml:space="preserve">: </w:t>
      </w:r>
      <w:r w:rsidR="005F01C4" w:rsidRPr="007966B6">
        <w:rPr>
          <w:rFonts w:ascii="Book Antiqua" w:eastAsia="Arial Unicode MS" w:hAnsi="Book Antiqua" w:cs="Arial Unicode MS"/>
          <w:sz w:val="24"/>
          <w:szCs w:val="24"/>
        </w:rPr>
        <w:t>Anti-</w:t>
      </w:r>
      <w:proofErr w:type="spellStart"/>
      <w:r w:rsidR="005F01C4" w:rsidRPr="007966B6">
        <w:rPr>
          <w:rFonts w:ascii="Book Antiqua" w:eastAsia="Arial Unicode MS" w:hAnsi="Book Antiqua" w:cs="Arial Unicode MS"/>
          <w:sz w:val="24"/>
          <w:szCs w:val="24"/>
        </w:rPr>
        <w:t>angiogenic</w:t>
      </w:r>
      <w:proofErr w:type="spellEnd"/>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treatment</w:t>
      </w:r>
      <w:proofErr w:type="spellEnd"/>
      <w:r w:rsidR="005F01C4" w:rsidRPr="007966B6">
        <w:rPr>
          <w:rFonts w:ascii="Book Antiqua" w:eastAsia="Arial Unicode MS" w:hAnsi="Book Antiqua" w:cs="Arial Unicode MS"/>
          <w:sz w:val="24"/>
          <w:szCs w:val="24"/>
        </w:rPr>
        <w:t xml:space="preserve"> is an </w:t>
      </w:r>
      <w:r w:rsidR="00BE04FE" w:rsidRPr="007966B6">
        <w:rPr>
          <w:rFonts w:ascii="Book Antiqua" w:eastAsia="Arial Unicode MS" w:hAnsi="Book Antiqua" w:cs="Arial Unicode MS"/>
          <w:noProof/>
          <w:sz w:val="24"/>
          <w:szCs w:val="24"/>
        </w:rPr>
        <w:t>essential</w:t>
      </w:r>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part</w:t>
      </w:r>
      <w:proofErr w:type="spellEnd"/>
      <w:r w:rsidR="005F01C4" w:rsidRPr="007966B6">
        <w:rPr>
          <w:rFonts w:ascii="Book Antiqua" w:eastAsia="Arial Unicode MS" w:hAnsi="Book Antiqua" w:cs="Arial Unicode MS"/>
          <w:sz w:val="24"/>
          <w:szCs w:val="24"/>
        </w:rPr>
        <w:t xml:space="preserve"> of </w:t>
      </w:r>
      <w:proofErr w:type="spellStart"/>
      <w:r w:rsidR="005F01C4" w:rsidRPr="007966B6">
        <w:rPr>
          <w:rFonts w:ascii="Book Antiqua" w:eastAsia="Arial Unicode MS" w:hAnsi="Book Antiqua" w:cs="Arial Unicode MS"/>
          <w:sz w:val="24"/>
          <w:szCs w:val="24"/>
        </w:rPr>
        <w:t>the</w:t>
      </w:r>
      <w:proofErr w:type="spellEnd"/>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current</w:t>
      </w:r>
      <w:proofErr w:type="spellEnd"/>
      <w:r w:rsidR="005F01C4" w:rsidRPr="007966B6">
        <w:rPr>
          <w:rFonts w:ascii="Book Antiqua" w:eastAsia="Arial Unicode MS" w:hAnsi="Book Antiqua" w:cs="Arial Unicode MS"/>
          <w:sz w:val="24"/>
          <w:szCs w:val="24"/>
        </w:rPr>
        <w:t xml:space="preserve"> </w:t>
      </w:r>
      <w:r w:rsidR="005F01C4" w:rsidRPr="007966B6">
        <w:rPr>
          <w:rFonts w:ascii="Book Antiqua" w:eastAsia="Arial Unicode MS" w:hAnsi="Book Antiqua" w:cs="Arial Unicode MS"/>
          <w:noProof/>
          <w:sz w:val="24"/>
          <w:szCs w:val="24"/>
        </w:rPr>
        <w:t>arm</w:t>
      </w:r>
      <w:r w:rsidR="00BE04FE" w:rsidRPr="007966B6">
        <w:rPr>
          <w:rFonts w:ascii="Book Antiqua" w:eastAsia="Arial Unicode MS" w:hAnsi="Book Antiqua" w:cs="Arial Unicode MS"/>
          <w:noProof/>
          <w:sz w:val="24"/>
          <w:szCs w:val="24"/>
        </w:rPr>
        <w:t>a</w:t>
      </w:r>
      <w:r w:rsidR="005F01C4" w:rsidRPr="007966B6">
        <w:rPr>
          <w:rFonts w:ascii="Book Antiqua" w:eastAsia="Arial Unicode MS" w:hAnsi="Book Antiqua" w:cs="Arial Unicode MS"/>
          <w:noProof/>
          <w:sz w:val="24"/>
          <w:szCs w:val="24"/>
        </w:rPr>
        <w:t>mentarium</w:t>
      </w:r>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against</w:t>
      </w:r>
      <w:proofErr w:type="spellEnd"/>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metastatic</w:t>
      </w:r>
      <w:proofErr w:type="spellEnd"/>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colorectal</w:t>
      </w:r>
      <w:proofErr w:type="spellEnd"/>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cancer</w:t>
      </w:r>
      <w:proofErr w:type="spellEnd"/>
      <w:r w:rsidR="005831C8" w:rsidRPr="007966B6">
        <w:rPr>
          <w:rFonts w:ascii="Book Antiqua" w:eastAsia="Arial Unicode MS" w:hAnsi="Book Antiqua" w:cs="Arial Unicode MS"/>
          <w:sz w:val="24"/>
          <w:szCs w:val="24"/>
          <w:lang w:eastAsia="zh-CN"/>
        </w:rPr>
        <w:t xml:space="preserve"> (</w:t>
      </w:r>
      <w:r w:rsidR="005831C8" w:rsidRPr="007966B6">
        <w:rPr>
          <w:rFonts w:ascii="Book Antiqua" w:eastAsiaTheme="minorHAnsi" w:hAnsi="Book Antiqua"/>
          <w:sz w:val="24"/>
          <w:szCs w:val="24"/>
          <w:lang w:val="en-US"/>
        </w:rPr>
        <w:t>mCRC</w:t>
      </w:r>
      <w:r w:rsidR="005831C8" w:rsidRPr="007966B6">
        <w:rPr>
          <w:rFonts w:ascii="Book Antiqua" w:eastAsia="Arial Unicode MS" w:hAnsi="Book Antiqua" w:cs="Arial Unicode MS"/>
          <w:sz w:val="24"/>
          <w:szCs w:val="24"/>
          <w:lang w:eastAsia="zh-CN"/>
        </w:rPr>
        <w:t>)</w:t>
      </w:r>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For</w:t>
      </w:r>
      <w:proofErr w:type="spellEnd"/>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now</w:t>
      </w:r>
      <w:proofErr w:type="spellEnd"/>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bevacizumab</w:t>
      </w:r>
      <w:proofErr w:type="spellEnd"/>
      <w:r w:rsidR="005F01C4" w:rsidRPr="007966B6">
        <w:rPr>
          <w:rFonts w:ascii="Book Antiqua" w:eastAsia="Arial Unicode MS" w:hAnsi="Book Antiqua" w:cs="Arial Unicode MS"/>
          <w:sz w:val="24"/>
          <w:szCs w:val="24"/>
        </w:rPr>
        <w:t xml:space="preserve"> is </w:t>
      </w:r>
      <w:proofErr w:type="spellStart"/>
      <w:r w:rsidR="005F01C4" w:rsidRPr="007966B6">
        <w:rPr>
          <w:rFonts w:ascii="Book Antiqua" w:eastAsia="Arial Unicode MS" w:hAnsi="Book Antiqua" w:cs="Arial Unicode MS"/>
          <w:sz w:val="24"/>
          <w:szCs w:val="24"/>
        </w:rPr>
        <w:t>the</w:t>
      </w:r>
      <w:proofErr w:type="spellEnd"/>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only</w:t>
      </w:r>
      <w:proofErr w:type="spellEnd"/>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drug</w:t>
      </w:r>
      <w:proofErr w:type="spellEnd"/>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licensed</w:t>
      </w:r>
      <w:proofErr w:type="spellEnd"/>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for</w:t>
      </w:r>
      <w:proofErr w:type="spellEnd"/>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the</w:t>
      </w:r>
      <w:proofErr w:type="spellEnd"/>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treatment</w:t>
      </w:r>
      <w:proofErr w:type="spellEnd"/>
      <w:r w:rsidR="005F01C4" w:rsidRPr="007966B6">
        <w:rPr>
          <w:rFonts w:ascii="Book Antiqua" w:eastAsia="Arial Unicode MS" w:hAnsi="Book Antiqua" w:cs="Arial Unicode MS"/>
          <w:sz w:val="24"/>
          <w:szCs w:val="24"/>
        </w:rPr>
        <w:t xml:space="preserve"> of </w:t>
      </w:r>
      <w:proofErr w:type="spellStart"/>
      <w:r w:rsidR="005F01C4" w:rsidRPr="007966B6">
        <w:rPr>
          <w:rFonts w:ascii="Book Antiqua" w:eastAsia="Arial Unicode MS" w:hAnsi="Book Antiqua" w:cs="Arial Unicode MS"/>
          <w:sz w:val="24"/>
          <w:szCs w:val="24"/>
        </w:rPr>
        <w:t>chemotherapy-naïve</w:t>
      </w:r>
      <w:proofErr w:type="spellEnd"/>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patients</w:t>
      </w:r>
      <w:proofErr w:type="spellEnd"/>
      <w:r w:rsidR="005F01C4" w:rsidRPr="007966B6">
        <w:rPr>
          <w:rFonts w:ascii="Book Antiqua" w:eastAsia="Arial Unicode MS" w:hAnsi="Book Antiqua" w:cs="Arial Unicode MS"/>
          <w:sz w:val="24"/>
          <w:szCs w:val="24"/>
        </w:rPr>
        <w:t xml:space="preserve"> </w:t>
      </w:r>
      <w:proofErr w:type="spellStart"/>
      <w:r w:rsidR="005F01C4" w:rsidRPr="007966B6">
        <w:rPr>
          <w:rFonts w:ascii="Book Antiqua" w:eastAsia="Arial Unicode MS" w:hAnsi="Book Antiqua" w:cs="Arial Unicode MS"/>
          <w:sz w:val="24"/>
          <w:szCs w:val="24"/>
        </w:rPr>
        <w:t>with</w:t>
      </w:r>
      <w:proofErr w:type="spellEnd"/>
      <w:r w:rsidR="005F01C4" w:rsidRPr="007966B6">
        <w:rPr>
          <w:rFonts w:ascii="Book Antiqua" w:eastAsia="Arial Unicode MS" w:hAnsi="Book Antiqua" w:cs="Arial Unicode MS"/>
          <w:sz w:val="24"/>
          <w:szCs w:val="24"/>
        </w:rPr>
        <w:t xml:space="preserve"> </w:t>
      </w:r>
      <w:r w:rsidR="005831C8" w:rsidRPr="007966B6">
        <w:rPr>
          <w:rFonts w:ascii="Book Antiqua" w:eastAsiaTheme="minorHAnsi" w:hAnsi="Book Antiqua"/>
          <w:sz w:val="24"/>
          <w:szCs w:val="24"/>
          <w:lang w:val="en-US"/>
        </w:rPr>
        <w:t>mCRC</w:t>
      </w:r>
      <w:r w:rsidR="005F01C4" w:rsidRPr="007966B6">
        <w:rPr>
          <w:rFonts w:ascii="Book Antiqua" w:eastAsia="Arial Unicode MS" w:hAnsi="Book Antiqua" w:cs="Arial Unicode MS"/>
          <w:sz w:val="24"/>
          <w:szCs w:val="24"/>
        </w:rPr>
        <w:t>. However, patients undergoing first-line bevacizumab-based therapy eventually develop disease progression and become candidates for second-line chemotherapy. In this manuscript, we discuss the available anti-angiogenic therapeutic strategies that have been proven to be useful in the treatment of patients with mCRC in whom first-line bevacizumab-based therapy was ineffective</w:t>
      </w:r>
      <w:r w:rsidR="005F01C4" w:rsidRPr="007966B6">
        <w:rPr>
          <w:rFonts w:ascii="Book Antiqua" w:eastAsia="Arial Unicode MS" w:hAnsi="Book Antiqua" w:cs="Arial Unicode MS"/>
          <w:b/>
          <w:sz w:val="24"/>
          <w:szCs w:val="24"/>
        </w:rPr>
        <w:t>.</w:t>
      </w:r>
    </w:p>
    <w:p w14:paraId="0B819AB6" w14:textId="77777777" w:rsidR="005831C8" w:rsidRPr="007966B6" w:rsidRDefault="005831C8" w:rsidP="005831C8">
      <w:pPr>
        <w:spacing w:after="0" w:line="360" w:lineRule="auto"/>
        <w:jc w:val="both"/>
        <w:rPr>
          <w:rFonts w:ascii="Book Antiqua" w:hAnsi="Book Antiqua"/>
          <w:b/>
          <w:i/>
          <w:sz w:val="24"/>
          <w:szCs w:val="24"/>
          <w:lang w:val="en-US" w:eastAsia="zh-CN"/>
        </w:rPr>
      </w:pPr>
    </w:p>
    <w:p w14:paraId="7CA02BCA" w14:textId="12506128" w:rsidR="005831C8" w:rsidRPr="007966B6" w:rsidRDefault="005831C8" w:rsidP="005831C8">
      <w:pPr>
        <w:spacing w:after="0" w:line="360" w:lineRule="auto"/>
        <w:jc w:val="both"/>
        <w:rPr>
          <w:rFonts w:ascii="Book Antiqua" w:hAnsi="Book Antiqua"/>
          <w:sz w:val="24"/>
          <w:szCs w:val="24"/>
          <w:lang w:val="en-US" w:eastAsia="zh-CN"/>
        </w:rPr>
      </w:pPr>
      <w:r w:rsidRPr="007966B6">
        <w:rPr>
          <w:rFonts w:ascii="Book Antiqua" w:hAnsi="Book Antiqua"/>
          <w:sz w:val="24"/>
          <w:szCs w:val="24"/>
        </w:rPr>
        <w:t>Kanat</w:t>
      </w:r>
      <w:r w:rsidRPr="007966B6">
        <w:rPr>
          <w:rFonts w:ascii="Book Antiqua" w:hAnsi="Book Antiqua"/>
          <w:sz w:val="24"/>
          <w:szCs w:val="24"/>
          <w:lang w:eastAsia="zh-CN"/>
        </w:rPr>
        <w:t xml:space="preserve"> O</w:t>
      </w:r>
      <w:r w:rsidRPr="007966B6">
        <w:rPr>
          <w:rFonts w:ascii="Book Antiqua" w:hAnsi="Book Antiqua"/>
          <w:sz w:val="24"/>
          <w:szCs w:val="24"/>
        </w:rPr>
        <w:t>, Ertas</w:t>
      </w:r>
      <w:r w:rsidRPr="007966B6">
        <w:rPr>
          <w:rFonts w:ascii="Book Antiqua" w:hAnsi="Book Antiqua"/>
          <w:sz w:val="24"/>
          <w:szCs w:val="24"/>
          <w:lang w:eastAsia="zh-CN"/>
        </w:rPr>
        <w:t xml:space="preserve"> H.</w:t>
      </w:r>
      <w:r w:rsidRPr="007966B6">
        <w:rPr>
          <w:rFonts w:ascii="Book Antiqua" w:hAnsi="Book Antiqua"/>
          <w:sz w:val="24"/>
          <w:szCs w:val="24"/>
          <w:lang w:val="en-US"/>
        </w:rPr>
        <w:t xml:space="preserve"> Existing anti-angiogenic therapeutic strategies for patients with metastatic colorectal cancer progressing following first-line bevacizumab-based therapy</w:t>
      </w:r>
      <w:r w:rsidRPr="007966B6">
        <w:rPr>
          <w:rFonts w:ascii="Book Antiqua" w:hAnsi="Book Antiqua"/>
          <w:sz w:val="24"/>
          <w:szCs w:val="24"/>
          <w:lang w:val="en-US" w:eastAsia="zh-CN"/>
        </w:rPr>
        <w:t xml:space="preserve">. </w:t>
      </w:r>
      <w:r w:rsidRPr="007966B6">
        <w:rPr>
          <w:rFonts w:ascii="Book Antiqua" w:hAnsi="Book Antiqua"/>
          <w:i/>
          <w:iCs/>
          <w:sz w:val="24"/>
          <w:szCs w:val="24"/>
        </w:rPr>
        <w:t>World J Clin Oncol</w:t>
      </w:r>
      <w:r w:rsidRPr="007966B6">
        <w:rPr>
          <w:rFonts w:ascii="Book Antiqua" w:hAnsi="Book Antiqua"/>
          <w:i/>
          <w:iCs/>
          <w:sz w:val="24"/>
          <w:szCs w:val="24"/>
          <w:lang w:eastAsia="zh-CN"/>
        </w:rPr>
        <w:t xml:space="preserve"> </w:t>
      </w:r>
      <w:r w:rsidRPr="007966B6">
        <w:rPr>
          <w:rFonts w:ascii="Book Antiqua" w:hAnsi="Book Antiqua"/>
          <w:iCs/>
          <w:sz w:val="24"/>
          <w:szCs w:val="24"/>
          <w:lang w:eastAsia="zh-CN"/>
        </w:rPr>
        <w:t>2019; In press</w:t>
      </w:r>
    </w:p>
    <w:p w14:paraId="2BAF9E54" w14:textId="77777777" w:rsidR="005831C8" w:rsidRPr="007966B6" w:rsidRDefault="005831C8" w:rsidP="005831C8">
      <w:pPr>
        <w:spacing w:after="0" w:line="360" w:lineRule="auto"/>
        <w:jc w:val="both"/>
        <w:rPr>
          <w:rFonts w:ascii="Book Antiqua" w:hAnsi="Book Antiqua"/>
          <w:b/>
          <w:sz w:val="24"/>
          <w:szCs w:val="24"/>
          <w:lang w:val="en-US" w:eastAsia="zh-CN"/>
        </w:rPr>
      </w:pPr>
      <w:r w:rsidRPr="007966B6">
        <w:rPr>
          <w:rFonts w:ascii="Book Antiqua" w:hAnsi="Book Antiqua"/>
          <w:b/>
          <w:sz w:val="24"/>
          <w:szCs w:val="24"/>
          <w:lang w:val="en-US" w:eastAsia="zh-CN"/>
        </w:rPr>
        <w:br w:type="page"/>
      </w:r>
    </w:p>
    <w:p w14:paraId="71E5CA33" w14:textId="2F7EB9EE" w:rsidR="009A515A" w:rsidRPr="007966B6" w:rsidRDefault="005831C8" w:rsidP="005831C8">
      <w:pPr>
        <w:spacing w:after="0" w:line="360" w:lineRule="auto"/>
        <w:jc w:val="both"/>
        <w:rPr>
          <w:rFonts w:ascii="Book Antiqua" w:eastAsiaTheme="minorHAnsi" w:hAnsi="Book Antiqua"/>
          <w:b/>
          <w:sz w:val="24"/>
          <w:szCs w:val="24"/>
          <w:lang w:val="en-US"/>
        </w:rPr>
      </w:pPr>
      <w:r w:rsidRPr="007966B6">
        <w:rPr>
          <w:rFonts w:ascii="Book Antiqua" w:eastAsiaTheme="minorHAnsi" w:hAnsi="Book Antiqua"/>
          <w:b/>
          <w:sz w:val="24"/>
          <w:szCs w:val="24"/>
          <w:lang w:val="en-US"/>
        </w:rPr>
        <w:lastRenderedPageBreak/>
        <w:t>INTRODUCTION</w:t>
      </w:r>
    </w:p>
    <w:p w14:paraId="178AF26D" w14:textId="24F13A54" w:rsidR="009A515A" w:rsidRPr="007966B6" w:rsidRDefault="009A515A" w:rsidP="005831C8">
      <w:pPr>
        <w:spacing w:after="0" w:line="360" w:lineRule="auto"/>
        <w:jc w:val="both"/>
        <w:rPr>
          <w:rFonts w:ascii="Book Antiqua" w:eastAsiaTheme="minorHAnsi" w:hAnsi="Book Antiqua"/>
          <w:sz w:val="24"/>
          <w:szCs w:val="24"/>
          <w:lang w:val="en-US"/>
        </w:rPr>
      </w:pPr>
      <w:r w:rsidRPr="007966B6">
        <w:rPr>
          <w:rFonts w:ascii="Book Antiqua" w:eastAsiaTheme="minorHAnsi" w:hAnsi="Book Antiqua"/>
          <w:sz w:val="24"/>
          <w:szCs w:val="24"/>
          <w:lang w:val="en-US"/>
        </w:rPr>
        <w:t xml:space="preserve">The medical treatment of metastatic colorectal cancer (mCRC) has become more diversified over the past few decades owing to the </w:t>
      </w:r>
      <w:r w:rsidRPr="007966B6">
        <w:rPr>
          <w:rFonts w:ascii="Book Antiqua" w:eastAsiaTheme="minorHAnsi" w:hAnsi="Book Antiqua"/>
          <w:noProof/>
          <w:sz w:val="24"/>
          <w:szCs w:val="24"/>
          <w:lang w:val="en-US"/>
        </w:rPr>
        <w:t>successful</w:t>
      </w:r>
      <w:r w:rsidRPr="007966B6">
        <w:rPr>
          <w:rFonts w:ascii="Book Antiqua" w:eastAsiaTheme="minorHAnsi" w:hAnsi="Book Antiqua"/>
          <w:sz w:val="24"/>
          <w:szCs w:val="24"/>
          <w:lang w:val="en-US"/>
        </w:rPr>
        <w:t xml:space="preserve"> integration of targeted therapy agents, which block either epidermal growth factor signaling pathway or angiogenesis, i</w:t>
      </w:r>
      <w:r w:rsidR="007966B6">
        <w:rPr>
          <w:rFonts w:ascii="Book Antiqua" w:eastAsiaTheme="minorHAnsi" w:hAnsi="Book Antiqua"/>
          <w:sz w:val="24"/>
          <w:szCs w:val="24"/>
          <w:lang w:val="en-US"/>
        </w:rPr>
        <w:t xml:space="preserve">nto cytotoxic drug </w:t>
      </w:r>
      <w:proofErr w:type="gramStart"/>
      <w:r w:rsidR="007966B6">
        <w:rPr>
          <w:rFonts w:ascii="Book Antiqua" w:eastAsiaTheme="minorHAnsi" w:hAnsi="Book Antiqua"/>
          <w:sz w:val="24"/>
          <w:szCs w:val="24"/>
          <w:lang w:val="en-US"/>
        </w:rPr>
        <w:t>combinations</w:t>
      </w:r>
      <w:r w:rsidRPr="007966B6">
        <w:rPr>
          <w:rFonts w:ascii="Book Antiqua" w:eastAsiaTheme="minorHAnsi" w:hAnsi="Book Antiqua" w:cstheme="minorHAnsi"/>
          <w:sz w:val="24"/>
          <w:szCs w:val="24"/>
          <w:vertAlign w:val="superscript"/>
          <w:lang w:val="en-US"/>
        </w:rPr>
        <w:t>[</w:t>
      </w:r>
      <w:proofErr w:type="gramEnd"/>
      <w:r w:rsidRPr="007966B6">
        <w:rPr>
          <w:rFonts w:ascii="Book Antiqua" w:eastAsiaTheme="minorHAnsi" w:hAnsi="Book Antiqua"/>
          <w:sz w:val="24"/>
          <w:szCs w:val="24"/>
          <w:vertAlign w:val="superscript"/>
          <w:lang w:val="en-US"/>
        </w:rPr>
        <w:t>1</w:t>
      </w:r>
      <w:r w:rsidRPr="007966B6">
        <w:rPr>
          <w:rFonts w:ascii="Book Antiqua" w:eastAsiaTheme="minorHAnsi" w:hAnsi="Book Antiqua" w:cstheme="minorHAnsi"/>
          <w:sz w:val="24"/>
          <w:szCs w:val="24"/>
          <w:vertAlign w:val="superscript"/>
          <w:lang w:val="en-US"/>
        </w:rPr>
        <w:t>]</w:t>
      </w:r>
      <w:r w:rsidRPr="007966B6">
        <w:rPr>
          <w:rFonts w:ascii="Book Antiqua" w:eastAsiaTheme="minorHAnsi" w:hAnsi="Book Antiqua"/>
          <w:sz w:val="24"/>
          <w:szCs w:val="24"/>
          <w:lang w:val="en-US"/>
        </w:rPr>
        <w:t xml:space="preserve">. Concordantly, a dramatic improvement in survival has been achieved among patients suffering from mCRC. Moreover, extensive preclinical efforts were able to identify additional targetable molecular alterations in these patients such as </w:t>
      </w:r>
      <w:r w:rsidRPr="007966B6">
        <w:rPr>
          <w:rFonts w:ascii="Book Antiqua" w:eastAsiaTheme="minorHAnsi" w:hAnsi="Book Antiqua"/>
          <w:i/>
          <w:sz w:val="24"/>
          <w:szCs w:val="24"/>
          <w:lang w:val="en-US"/>
        </w:rPr>
        <w:t>BRAF</w:t>
      </w:r>
      <w:r w:rsidRPr="007966B6">
        <w:rPr>
          <w:rFonts w:ascii="Book Antiqua" w:eastAsiaTheme="minorHAnsi" w:hAnsi="Book Antiqua"/>
          <w:sz w:val="24"/>
          <w:szCs w:val="24"/>
          <w:lang w:val="en-US"/>
        </w:rPr>
        <w:t xml:space="preserve"> mutation, human epidermal growth factor receptor 2 amplification,</w:t>
      </w:r>
      <w:r w:rsidR="007966B6">
        <w:rPr>
          <w:rFonts w:ascii="Book Antiqua" w:eastAsiaTheme="minorHAnsi" w:hAnsi="Book Antiqua"/>
          <w:sz w:val="24"/>
          <w:szCs w:val="24"/>
          <w:lang w:val="en-US"/>
        </w:rPr>
        <w:t xml:space="preserve"> and microsatellite </w:t>
      </w:r>
      <w:proofErr w:type="gramStart"/>
      <w:r w:rsidR="007966B6">
        <w:rPr>
          <w:rFonts w:ascii="Book Antiqua" w:eastAsiaTheme="minorHAnsi" w:hAnsi="Book Antiqua"/>
          <w:sz w:val="24"/>
          <w:szCs w:val="24"/>
          <w:lang w:val="en-US"/>
        </w:rPr>
        <w:t>instability</w:t>
      </w:r>
      <w:r w:rsidRPr="007966B6">
        <w:rPr>
          <w:rFonts w:ascii="Book Antiqua" w:eastAsiaTheme="minorHAnsi" w:hAnsi="Book Antiqua" w:cstheme="minorHAnsi"/>
          <w:sz w:val="24"/>
          <w:szCs w:val="24"/>
          <w:vertAlign w:val="superscript"/>
          <w:lang w:val="en-US"/>
        </w:rPr>
        <w:t>[</w:t>
      </w:r>
      <w:proofErr w:type="gramEnd"/>
      <w:r w:rsidRPr="007966B6">
        <w:rPr>
          <w:rFonts w:ascii="Book Antiqua" w:eastAsiaTheme="minorHAnsi" w:hAnsi="Book Antiqua"/>
          <w:sz w:val="24"/>
          <w:szCs w:val="24"/>
          <w:vertAlign w:val="superscript"/>
          <w:lang w:val="en-US"/>
        </w:rPr>
        <w:t>2-4</w:t>
      </w:r>
      <w:r w:rsidRPr="007966B6">
        <w:rPr>
          <w:rFonts w:ascii="Book Antiqua" w:eastAsiaTheme="minorHAnsi" w:hAnsi="Book Antiqua" w:cstheme="minorHAnsi"/>
          <w:sz w:val="24"/>
          <w:szCs w:val="24"/>
          <w:vertAlign w:val="superscript"/>
          <w:lang w:val="en-US"/>
        </w:rPr>
        <w:t>]</w:t>
      </w:r>
      <w:r w:rsidRPr="007966B6">
        <w:rPr>
          <w:rFonts w:ascii="Book Antiqua" w:eastAsiaTheme="minorHAnsi" w:hAnsi="Book Antiqua"/>
          <w:sz w:val="24"/>
          <w:szCs w:val="24"/>
          <w:lang w:val="en-US"/>
        </w:rPr>
        <w:t>. The clinical application of compounds that can inhibit signaling pathways in cancer cells activated by these genetic events seems to provide additional survival gains in selected patients with mCRC.</w:t>
      </w:r>
      <w:r w:rsidR="005831C8" w:rsidRPr="007966B6">
        <w:rPr>
          <w:rFonts w:ascii="Book Antiqua" w:eastAsiaTheme="minorHAnsi" w:hAnsi="Book Antiqua"/>
          <w:sz w:val="24"/>
          <w:szCs w:val="24"/>
          <w:lang w:val="en-US"/>
        </w:rPr>
        <w:t xml:space="preserve"> </w:t>
      </w:r>
    </w:p>
    <w:p w14:paraId="488308A7" w14:textId="548E7F63" w:rsidR="009A515A" w:rsidRPr="007966B6" w:rsidRDefault="009A515A" w:rsidP="007966B6">
      <w:pPr>
        <w:spacing w:after="0" w:line="360" w:lineRule="auto"/>
        <w:ind w:firstLineChars="100" w:firstLine="240"/>
        <w:jc w:val="both"/>
        <w:rPr>
          <w:rFonts w:ascii="Book Antiqua" w:eastAsiaTheme="minorHAnsi" w:hAnsi="Book Antiqua"/>
          <w:noProof/>
          <w:sz w:val="24"/>
          <w:szCs w:val="24"/>
          <w:lang w:val="en-US"/>
        </w:rPr>
      </w:pPr>
      <w:r w:rsidRPr="007966B6">
        <w:rPr>
          <w:rFonts w:ascii="Book Antiqua" w:eastAsiaTheme="minorHAnsi" w:hAnsi="Book Antiqua"/>
          <w:sz w:val="24"/>
          <w:szCs w:val="24"/>
          <w:lang w:val="en-US"/>
        </w:rPr>
        <w:t xml:space="preserve">Among the </w:t>
      </w:r>
      <w:r w:rsidRPr="007966B6">
        <w:rPr>
          <w:rFonts w:ascii="Book Antiqua" w:eastAsiaTheme="minorHAnsi" w:hAnsi="Book Antiqua"/>
          <w:noProof/>
          <w:sz w:val="24"/>
          <w:szCs w:val="24"/>
          <w:lang w:val="en-US"/>
        </w:rPr>
        <w:t>molecular</w:t>
      </w:r>
      <w:r w:rsidRPr="007966B6">
        <w:rPr>
          <w:rFonts w:ascii="Book Antiqua" w:eastAsiaTheme="minorHAnsi" w:hAnsi="Book Antiqua"/>
          <w:sz w:val="24"/>
          <w:szCs w:val="24"/>
          <w:lang w:val="en-US"/>
        </w:rPr>
        <w:t xml:space="preserve"> targets mentioned above, tumor-driven angiogenesis </w:t>
      </w:r>
      <w:r w:rsidRPr="007966B6">
        <w:rPr>
          <w:rFonts w:ascii="Book Antiqua" w:eastAsiaTheme="minorHAnsi" w:hAnsi="Book Antiqua"/>
          <w:noProof/>
          <w:sz w:val="24"/>
          <w:szCs w:val="24"/>
          <w:lang w:val="en-US"/>
        </w:rPr>
        <w:t xml:space="preserve">is still an attractive target </w:t>
      </w:r>
      <w:r w:rsidR="007966B6">
        <w:rPr>
          <w:rFonts w:ascii="Book Antiqua" w:eastAsiaTheme="minorHAnsi" w:hAnsi="Book Antiqua"/>
          <w:sz w:val="24"/>
          <w:szCs w:val="24"/>
          <w:lang w:val="en-US"/>
        </w:rPr>
        <w:t xml:space="preserve">in </w:t>
      </w:r>
      <w:proofErr w:type="gramStart"/>
      <w:r w:rsidR="007966B6">
        <w:rPr>
          <w:rFonts w:ascii="Book Antiqua" w:eastAsiaTheme="minorHAnsi" w:hAnsi="Book Antiqua"/>
          <w:sz w:val="24"/>
          <w:szCs w:val="24"/>
          <w:lang w:val="en-US"/>
        </w:rPr>
        <w:t>mCRC</w:t>
      </w:r>
      <w:r w:rsidRPr="007966B6">
        <w:rPr>
          <w:rFonts w:ascii="Book Antiqua" w:eastAsiaTheme="minorHAnsi" w:hAnsi="Book Antiqua" w:cstheme="minorHAnsi"/>
          <w:noProof/>
          <w:sz w:val="24"/>
          <w:szCs w:val="24"/>
          <w:vertAlign w:val="superscript"/>
          <w:lang w:val="en-US"/>
        </w:rPr>
        <w:t>[</w:t>
      </w:r>
      <w:proofErr w:type="gramEnd"/>
      <w:r w:rsidRPr="007966B6">
        <w:rPr>
          <w:rFonts w:ascii="Book Antiqua" w:eastAsiaTheme="minorHAnsi" w:hAnsi="Book Antiqua"/>
          <w:noProof/>
          <w:sz w:val="24"/>
          <w:szCs w:val="24"/>
          <w:vertAlign w:val="superscript"/>
          <w:lang w:val="en-US"/>
        </w:rPr>
        <w:t>5-7</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lang w:val="en-US"/>
        </w:rPr>
        <w:t>. The United States</w:t>
      </w:r>
      <w:r w:rsidR="007966B6">
        <w:rPr>
          <w:rFonts w:ascii="Book Antiqua" w:hAnsi="Book Antiqua" w:hint="eastAsia"/>
          <w:noProof/>
          <w:sz w:val="24"/>
          <w:szCs w:val="24"/>
          <w:lang w:val="en-US" w:eastAsia="zh-CN"/>
        </w:rPr>
        <w:t xml:space="preserve"> </w:t>
      </w:r>
      <w:r w:rsidRPr="007966B6">
        <w:rPr>
          <w:rFonts w:ascii="Book Antiqua" w:eastAsiaTheme="minorHAnsi" w:hAnsi="Book Antiqua"/>
          <w:noProof/>
          <w:sz w:val="24"/>
          <w:szCs w:val="24"/>
          <w:lang w:val="en-US"/>
        </w:rPr>
        <w:t>Food and Drug Administration has approved a total of four drugs that block angiogenesis (bevacizumab, aflibercept, ramucirumab, and regorafenib) in the treatment of mCRC (Table 1). Of these, bevacizumab is the only drug licensed for the treatment of chemotherapy-naïve patients with mCRC.</w:t>
      </w:r>
    </w:p>
    <w:p w14:paraId="3A9AC452" w14:textId="6360C0C3" w:rsidR="001E4EF7" w:rsidRPr="007966B6" w:rsidRDefault="001E4EF7" w:rsidP="007966B6">
      <w:pPr>
        <w:spacing w:after="0" w:line="360" w:lineRule="auto"/>
        <w:ind w:firstLineChars="100" w:firstLine="240"/>
        <w:jc w:val="both"/>
        <w:rPr>
          <w:rFonts w:ascii="Book Antiqua" w:eastAsiaTheme="minorHAnsi" w:hAnsi="Book Antiqua"/>
          <w:noProof/>
          <w:sz w:val="24"/>
          <w:szCs w:val="24"/>
          <w:lang w:val="en-US"/>
        </w:rPr>
      </w:pPr>
      <w:r w:rsidRPr="007966B6">
        <w:rPr>
          <w:rFonts w:ascii="Book Antiqua" w:eastAsiaTheme="minorHAnsi" w:hAnsi="Book Antiqua"/>
          <w:noProof/>
          <w:sz w:val="24"/>
          <w:szCs w:val="24"/>
          <w:lang w:val="en-US"/>
        </w:rPr>
        <w:t xml:space="preserve">Bevacizumab is a murine-derived monoclonal antibody (muMAb A4.6.1) that inhibits angiogenesis by targeting the vascular endothelial growth factor (VEGF)-A. Belonging to the VEGF family, (VEGF)-A is a crucial angiogenic cytokine (Figure 1) that is produced by cancer and benign stromal cells, particularly in a hypoxia-inducible factor-1-dependent manner. It triggers angiogenic signals via interaction with endothelial cell-surface tyrosine kinase receptors </w:t>
      </w:r>
      <w:r w:rsidRPr="007966B6">
        <w:rPr>
          <w:rFonts w:ascii="Book Antiqua" w:eastAsiaTheme="minorHAnsi" w:hAnsi="Book Antiqua" w:cstheme="minorHAnsi"/>
          <w:noProof/>
          <w:sz w:val="24"/>
          <w:szCs w:val="24"/>
          <w:lang w:val="en-US"/>
        </w:rPr>
        <w:t>[</w:t>
      </w:r>
      <w:r w:rsidRPr="007966B6">
        <w:rPr>
          <w:rFonts w:ascii="Book Antiqua" w:eastAsiaTheme="minorHAnsi" w:hAnsi="Book Antiqua"/>
          <w:noProof/>
          <w:sz w:val="24"/>
          <w:szCs w:val="24"/>
          <w:lang w:val="en-US"/>
        </w:rPr>
        <w:t>VEGF receptor-1 (VEGFR-1) and -2 (VEGFR-2)</w:t>
      </w:r>
      <w:r w:rsidRPr="007966B6">
        <w:rPr>
          <w:rFonts w:ascii="Book Antiqua" w:eastAsiaTheme="minorHAnsi" w:hAnsi="Book Antiqua" w:cstheme="minorHAnsi"/>
          <w:noProof/>
          <w:sz w:val="24"/>
          <w:szCs w:val="24"/>
          <w:lang w:val="en-US"/>
        </w:rPr>
        <w:t xml:space="preserve">]. The binding of VEGF-A to the extracellular domain of these receptors </w:t>
      </w:r>
      <w:r w:rsidRPr="007966B6">
        <w:rPr>
          <w:rFonts w:ascii="Book Antiqua" w:eastAsiaTheme="minorHAnsi" w:hAnsi="Book Antiqua"/>
          <w:noProof/>
          <w:sz w:val="24"/>
          <w:szCs w:val="24"/>
          <w:lang w:val="en-US"/>
        </w:rPr>
        <w:t>induces their dimerization and autophosphorylation and the subsequent activation of intracellular pathways that contribute to cell proliferation (</w:t>
      </w:r>
      <w:r w:rsidRPr="007966B6">
        <w:rPr>
          <w:rFonts w:ascii="Book Antiqua" w:eastAsiaTheme="minorHAnsi" w:hAnsi="Book Antiqua"/>
          <w:i/>
          <w:noProof/>
          <w:sz w:val="24"/>
          <w:szCs w:val="24"/>
          <w:lang w:val="en-US"/>
        </w:rPr>
        <w:t>e.g.</w:t>
      </w:r>
      <w:r w:rsidRPr="007966B6">
        <w:rPr>
          <w:rFonts w:ascii="Book Antiqua" w:eastAsiaTheme="minorHAnsi" w:hAnsi="Book Antiqua"/>
          <w:noProof/>
          <w:sz w:val="24"/>
          <w:szCs w:val="24"/>
          <w:lang w:val="en-US"/>
        </w:rPr>
        <w:t>, phospholipase-C-gamma and extracellular signal-regulated kinases 1/2 pathway), migration (</w:t>
      </w:r>
      <w:r w:rsidRPr="007966B6">
        <w:rPr>
          <w:rFonts w:ascii="Book Antiqua" w:eastAsiaTheme="minorHAnsi" w:hAnsi="Book Antiqua"/>
          <w:i/>
          <w:noProof/>
          <w:sz w:val="24"/>
          <w:szCs w:val="24"/>
          <w:lang w:val="en-US"/>
        </w:rPr>
        <w:t>e.g</w:t>
      </w:r>
      <w:r w:rsidRPr="007966B6">
        <w:rPr>
          <w:rFonts w:ascii="Book Antiqua" w:eastAsiaTheme="minorHAnsi" w:hAnsi="Book Antiqua"/>
          <w:noProof/>
          <w:sz w:val="24"/>
          <w:szCs w:val="24"/>
          <w:lang w:val="en-US"/>
        </w:rPr>
        <w:t>., focal adhesion kinase and p38 pathway), and survival (</w:t>
      </w:r>
      <w:r w:rsidRPr="007966B6">
        <w:rPr>
          <w:rFonts w:ascii="Book Antiqua" w:eastAsiaTheme="minorHAnsi" w:hAnsi="Book Antiqua"/>
          <w:i/>
          <w:noProof/>
          <w:sz w:val="24"/>
          <w:szCs w:val="24"/>
          <w:lang w:val="en-US"/>
        </w:rPr>
        <w:t>e.g.</w:t>
      </w:r>
      <w:r w:rsidRPr="007966B6">
        <w:rPr>
          <w:rFonts w:ascii="Book Antiqua" w:eastAsiaTheme="minorHAnsi" w:hAnsi="Book Antiqua"/>
          <w:noProof/>
          <w:sz w:val="24"/>
          <w:szCs w:val="24"/>
          <w:lang w:val="en-US"/>
        </w:rPr>
        <w:t>, phosphatidy</w:t>
      </w:r>
      <w:r w:rsidR="007966B6">
        <w:rPr>
          <w:rFonts w:ascii="Book Antiqua" w:eastAsiaTheme="minorHAnsi" w:hAnsi="Book Antiqua"/>
          <w:noProof/>
          <w:sz w:val="24"/>
          <w:szCs w:val="24"/>
          <w:lang w:val="en-US"/>
        </w:rPr>
        <w:t>linositol 3-kinase/Akt pathway)</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vertAlign w:val="superscript"/>
          <w:lang w:val="en-US"/>
        </w:rPr>
        <w:t>8-11</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lang w:val="en-US"/>
        </w:rPr>
        <w:t>. Other members of the VEGF family, such as VEGF-B, -C, and -D, and placental growth factor (PIGF) play supporting roles</w:t>
      </w:r>
      <w:r w:rsidR="007966B6">
        <w:rPr>
          <w:rFonts w:ascii="Book Antiqua" w:eastAsiaTheme="minorHAnsi" w:hAnsi="Book Antiqua"/>
          <w:noProof/>
          <w:sz w:val="24"/>
          <w:szCs w:val="24"/>
          <w:lang w:val="en-US"/>
        </w:rPr>
        <w:t xml:space="preserve"> in the process of angiogenesis</w:t>
      </w:r>
      <w:r w:rsidRPr="007966B6">
        <w:rPr>
          <w:rFonts w:ascii="Book Antiqua" w:eastAsiaTheme="minorHAnsi" w:hAnsi="Book Antiqua" w:cstheme="minorHAnsi"/>
          <w:noProof/>
          <w:sz w:val="24"/>
          <w:szCs w:val="24"/>
          <w:vertAlign w:val="superscript"/>
          <w:lang w:val="en-US"/>
        </w:rPr>
        <w:t>[</w:t>
      </w:r>
      <w:r w:rsidR="007966B6">
        <w:rPr>
          <w:rFonts w:ascii="Book Antiqua" w:eastAsiaTheme="minorHAnsi" w:hAnsi="Book Antiqua"/>
          <w:noProof/>
          <w:sz w:val="24"/>
          <w:szCs w:val="24"/>
          <w:vertAlign w:val="superscript"/>
          <w:lang w:val="en-US"/>
        </w:rPr>
        <w:t>10,</w:t>
      </w:r>
      <w:r w:rsidRPr="007966B6">
        <w:rPr>
          <w:rFonts w:ascii="Book Antiqua" w:eastAsiaTheme="minorHAnsi" w:hAnsi="Book Antiqua"/>
          <w:noProof/>
          <w:sz w:val="24"/>
          <w:szCs w:val="24"/>
          <w:vertAlign w:val="superscript"/>
          <w:lang w:val="en-US"/>
        </w:rPr>
        <w:t>12</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lang w:val="en-US"/>
        </w:rPr>
        <w:t xml:space="preserve">. </w:t>
      </w:r>
    </w:p>
    <w:p w14:paraId="5E6A3DED" w14:textId="16134B2B" w:rsidR="001E4EF7" w:rsidRPr="007966B6" w:rsidRDefault="001E4EF7" w:rsidP="007966B6">
      <w:pPr>
        <w:spacing w:after="0" w:line="360" w:lineRule="auto"/>
        <w:ind w:firstLineChars="100" w:firstLine="240"/>
        <w:jc w:val="both"/>
        <w:rPr>
          <w:rFonts w:ascii="Book Antiqua" w:eastAsiaTheme="minorHAnsi" w:hAnsi="Book Antiqua"/>
          <w:sz w:val="24"/>
          <w:szCs w:val="24"/>
          <w:lang w:val="en-US"/>
        </w:rPr>
      </w:pPr>
      <w:r w:rsidRPr="007966B6">
        <w:rPr>
          <w:rFonts w:ascii="Book Antiqua" w:eastAsiaTheme="minorHAnsi" w:hAnsi="Book Antiqua"/>
          <w:noProof/>
          <w:sz w:val="24"/>
          <w:szCs w:val="24"/>
          <w:lang w:val="en-US"/>
        </w:rPr>
        <w:lastRenderedPageBreak/>
        <w:t xml:space="preserve">Bevacizumab is conventionally administered in combination with </w:t>
      </w:r>
      <w:r w:rsidRPr="007966B6">
        <w:rPr>
          <w:rFonts w:ascii="Book Antiqua" w:eastAsiaTheme="minorHAnsi" w:hAnsi="Book Antiqua"/>
          <w:sz w:val="24"/>
          <w:szCs w:val="24"/>
          <w:lang w:val="en-US"/>
        </w:rPr>
        <w:t>oxaliplatin- or irinotecan-based doublet [</w:t>
      </w:r>
      <w:r w:rsidRPr="007966B6">
        <w:rPr>
          <w:rFonts w:ascii="Book Antiqua" w:eastAsiaTheme="minorHAnsi" w:hAnsi="Book Antiqua"/>
          <w:i/>
          <w:sz w:val="24"/>
          <w:szCs w:val="24"/>
          <w:lang w:val="en-US"/>
        </w:rPr>
        <w:t>i.e.</w:t>
      </w:r>
      <w:r w:rsidRPr="007966B6">
        <w:rPr>
          <w:rFonts w:ascii="Book Antiqua" w:eastAsiaTheme="minorHAnsi" w:hAnsi="Book Antiqua"/>
          <w:sz w:val="24"/>
          <w:szCs w:val="24"/>
          <w:lang w:val="en-US"/>
        </w:rPr>
        <w:t>, FOLFOX (5-FU, leucovorin, and oxaliplatin) and FOLFIRI (5-FU, leucovorin, and irinotecan)] or triplet [</w:t>
      </w:r>
      <w:r w:rsidRPr="00262186">
        <w:rPr>
          <w:rFonts w:ascii="Book Antiqua" w:eastAsiaTheme="minorHAnsi" w:hAnsi="Book Antiqua"/>
          <w:i/>
          <w:sz w:val="24"/>
          <w:szCs w:val="24"/>
          <w:lang w:val="en-US"/>
        </w:rPr>
        <w:t>i.e</w:t>
      </w:r>
      <w:r w:rsidRPr="007966B6">
        <w:rPr>
          <w:rFonts w:ascii="Book Antiqua" w:eastAsiaTheme="minorHAnsi" w:hAnsi="Book Antiqua"/>
          <w:sz w:val="24"/>
          <w:szCs w:val="24"/>
          <w:lang w:val="en-US"/>
        </w:rPr>
        <w:t xml:space="preserve">., FOLFOXIRI (5-FU, leucovorin, oxaliplatin, and irinotecan)] chemotherapy regimens. A recent meta-analysis of the </w:t>
      </w:r>
      <w:r w:rsidRPr="007966B6">
        <w:rPr>
          <w:rFonts w:ascii="Book Antiqua" w:eastAsiaTheme="minorHAnsi" w:hAnsi="Book Antiqua"/>
          <w:noProof/>
          <w:sz w:val="24"/>
          <w:szCs w:val="24"/>
          <w:lang w:val="en-US"/>
        </w:rPr>
        <w:t xml:space="preserve">first-line chemotherapy for mCRC </w:t>
      </w:r>
      <w:r w:rsidRPr="007966B6">
        <w:rPr>
          <w:rFonts w:ascii="Book Antiqua" w:eastAsiaTheme="minorHAnsi" w:hAnsi="Book Antiqua"/>
          <w:sz w:val="24"/>
          <w:szCs w:val="24"/>
          <w:lang w:val="en-US"/>
        </w:rPr>
        <w:t xml:space="preserve">confirmed that the addition of bevacizumab results in a significant improvement in progression-free survival </w:t>
      </w:r>
      <w:r w:rsidRPr="007966B6">
        <w:rPr>
          <w:rFonts w:ascii="Book Antiqua" w:eastAsiaTheme="minorHAnsi" w:hAnsi="Book Antiqua" w:cs="Calibri"/>
          <w:sz w:val="24"/>
          <w:szCs w:val="24"/>
          <w:lang w:val="en-US"/>
        </w:rPr>
        <w:t>[</w:t>
      </w:r>
      <w:r w:rsidRPr="007966B6">
        <w:rPr>
          <w:rFonts w:ascii="Book Antiqua" w:eastAsiaTheme="minorHAnsi" w:hAnsi="Book Antiqua"/>
          <w:sz w:val="24"/>
          <w:szCs w:val="24"/>
          <w:lang w:val="en-US"/>
        </w:rPr>
        <w:t xml:space="preserve">PFS; hazard ratio (HR) 0.66, </w:t>
      </w:r>
      <w:r w:rsidRPr="00262186">
        <w:rPr>
          <w:rFonts w:ascii="Book Antiqua" w:eastAsiaTheme="minorHAnsi" w:hAnsi="Book Antiqua"/>
          <w:i/>
          <w:sz w:val="24"/>
          <w:szCs w:val="24"/>
          <w:lang w:val="en-US"/>
        </w:rPr>
        <w:t>P</w:t>
      </w:r>
      <w:r w:rsidRPr="007966B6">
        <w:rPr>
          <w:rFonts w:ascii="Book Antiqua" w:eastAsiaTheme="minorHAnsi" w:hAnsi="Book Antiqua"/>
          <w:sz w:val="24"/>
          <w:szCs w:val="24"/>
          <w:lang w:val="en-US"/>
        </w:rPr>
        <w:t xml:space="preserve"> &lt; 0.0001</w:t>
      </w:r>
      <w:r w:rsidRPr="007966B6">
        <w:rPr>
          <w:rFonts w:ascii="Book Antiqua" w:eastAsiaTheme="minorHAnsi" w:hAnsi="Book Antiqua" w:cs="Calibri"/>
          <w:sz w:val="24"/>
          <w:szCs w:val="24"/>
          <w:lang w:val="en-US"/>
        </w:rPr>
        <w:t>]</w:t>
      </w:r>
      <w:r w:rsidRPr="007966B6">
        <w:rPr>
          <w:rFonts w:ascii="Book Antiqua" w:eastAsiaTheme="minorHAnsi" w:hAnsi="Book Antiqua"/>
          <w:sz w:val="24"/>
          <w:szCs w:val="24"/>
          <w:lang w:val="en-US"/>
        </w:rPr>
        <w:t xml:space="preserve"> and overall survival (OS; HR 0.84, </w:t>
      </w:r>
      <w:r w:rsidRPr="00262186">
        <w:rPr>
          <w:rFonts w:ascii="Book Antiqua" w:eastAsiaTheme="minorHAnsi" w:hAnsi="Book Antiqua"/>
          <w:i/>
          <w:sz w:val="24"/>
          <w:szCs w:val="24"/>
          <w:lang w:val="en-US"/>
        </w:rPr>
        <w:t>P</w:t>
      </w:r>
      <w:r w:rsidRPr="007966B6">
        <w:rPr>
          <w:rFonts w:ascii="Book Antiqua" w:eastAsiaTheme="minorHAnsi" w:hAnsi="Book Antiqua"/>
          <w:sz w:val="24"/>
          <w:szCs w:val="24"/>
          <w:lang w:val="en-US"/>
        </w:rPr>
        <w:t xml:space="preserve"> = 0.0001), compared with chemotherapy </w:t>
      </w:r>
      <w:proofErr w:type="gramStart"/>
      <w:r w:rsidRPr="007966B6">
        <w:rPr>
          <w:rFonts w:ascii="Book Antiqua" w:eastAsiaTheme="minorHAnsi" w:hAnsi="Book Antiqua"/>
          <w:sz w:val="24"/>
          <w:szCs w:val="24"/>
          <w:lang w:val="en-US"/>
        </w:rPr>
        <w:t>alone</w:t>
      </w:r>
      <w:r w:rsidRPr="007966B6">
        <w:rPr>
          <w:rFonts w:ascii="Book Antiqua" w:eastAsiaTheme="minorHAnsi" w:hAnsi="Book Antiqua" w:cstheme="minorHAnsi"/>
          <w:noProof/>
          <w:sz w:val="24"/>
          <w:szCs w:val="24"/>
          <w:vertAlign w:val="superscript"/>
          <w:lang w:val="en-US"/>
        </w:rPr>
        <w:t>[</w:t>
      </w:r>
      <w:proofErr w:type="gramEnd"/>
      <w:r w:rsidRPr="007966B6">
        <w:rPr>
          <w:rFonts w:ascii="Book Antiqua" w:eastAsiaTheme="minorHAnsi" w:hAnsi="Book Antiqua"/>
          <w:noProof/>
          <w:sz w:val="24"/>
          <w:szCs w:val="24"/>
          <w:vertAlign w:val="superscript"/>
          <w:lang w:val="en-US"/>
        </w:rPr>
        <w:t>13</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lang w:val="en-US"/>
        </w:rPr>
        <w:t xml:space="preserve">. In addition, the clinical activity of bevacizumab is not influenced by currently validated predictors of treatment response and/or survival outcomes in mCRC, such as the mutational </w:t>
      </w:r>
      <w:r w:rsidRPr="007966B6">
        <w:rPr>
          <w:rFonts w:ascii="Book Antiqua" w:eastAsiaTheme="minorHAnsi" w:hAnsi="Book Antiqua"/>
          <w:sz w:val="24"/>
          <w:szCs w:val="24"/>
          <w:lang w:val="en-US"/>
        </w:rPr>
        <w:t xml:space="preserve">status </w:t>
      </w:r>
      <w:r w:rsidRPr="007966B6">
        <w:rPr>
          <w:rFonts w:ascii="Book Antiqua" w:eastAsiaTheme="minorHAnsi" w:hAnsi="Book Antiqua"/>
          <w:noProof/>
          <w:sz w:val="24"/>
          <w:szCs w:val="24"/>
          <w:lang w:val="en-US"/>
        </w:rPr>
        <w:t>(</w:t>
      </w:r>
      <w:r w:rsidRPr="00262186">
        <w:rPr>
          <w:rFonts w:ascii="Book Antiqua" w:eastAsiaTheme="minorHAnsi" w:hAnsi="Book Antiqua"/>
          <w:i/>
          <w:sz w:val="24"/>
          <w:szCs w:val="24"/>
          <w:lang w:val="en-US"/>
        </w:rPr>
        <w:t>KRAS</w:t>
      </w:r>
      <w:r w:rsidRPr="007966B6">
        <w:rPr>
          <w:rFonts w:ascii="Book Antiqua" w:eastAsiaTheme="minorHAnsi" w:hAnsi="Book Antiqua"/>
          <w:sz w:val="24"/>
          <w:szCs w:val="24"/>
          <w:lang w:val="en-US"/>
        </w:rPr>
        <w:t xml:space="preserve"> and </w:t>
      </w:r>
      <w:r w:rsidRPr="00262186">
        <w:rPr>
          <w:rFonts w:ascii="Book Antiqua" w:eastAsiaTheme="minorHAnsi" w:hAnsi="Book Antiqua"/>
          <w:i/>
          <w:sz w:val="24"/>
          <w:szCs w:val="24"/>
          <w:lang w:val="en-US"/>
        </w:rPr>
        <w:t xml:space="preserve">BRAF </w:t>
      </w:r>
      <w:r w:rsidRPr="007966B6">
        <w:rPr>
          <w:rFonts w:ascii="Book Antiqua" w:eastAsiaTheme="minorHAnsi" w:hAnsi="Book Antiqua"/>
          <w:sz w:val="24"/>
          <w:szCs w:val="24"/>
          <w:lang w:val="en-US"/>
        </w:rPr>
        <w:t xml:space="preserve">genes) and anatomic location </w:t>
      </w:r>
      <w:r w:rsidR="00262186">
        <w:rPr>
          <w:rFonts w:ascii="Book Antiqua" w:eastAsiaTheme="minorHAnsi" w:hAnsi="Book Antiqua"/>
          <w:noProof/>
          <w:sz w:val="24"/>
          <w:szCs w:val="24"/>
          <w:lang w:val="en-US"/>
        </w:rPr>
        <w:t xml:space="preserve">(left </w:t>
      </w:r>
      <w:r w:rsidR="00262186" w:rsidRPr="00262186">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right side </w:t>
      </w:r>
      <w:r w:rsidRPr="007966B6">
        <w:rPr>
          <w:rFonts w:ascii="Book Antiqua" w:eastAsiaTheme="minorHAnsi" w:hAnsi="Book Antiqua"/>
          <w:sz w:val="24"/>
          <w:szCs w:val="24"/>
          <w:lang w:val="en-US"/>
        </w:rPr>
        <w:t>of the colon) of the primary tumor.</w:t>
      </w:r>
    </w:p>
    <w:p w14:paraId="2CD69985" w14:textId="6931C236" w:rsidR="001E4EF7" w:rsidRPr="007966B6" w:rsidRDefault="001E4EF7" w:rsidP="00262186">
      <w:pPr>
        <w:spacing w:after="0" w:line="360" w:lineRule="auto"/>
        <w:ind w:firstLineChars="100" w:firstLine="240"/>
        <w:jc w:val="both"/>
        <w:rPr>
          <w:rFonts w:ascii="Book Antiqua" w:eastAsiaTheme="minorHAnsi" w:hAnsi="Book Antiqua"/>
          <w:sz w:val="24"/>
          <w:szCs w:val="24"/>
          <w:lang w:val="en-US"/>
        </w:rPr>
      </w:pPr>
      <w:r w:rsidRPr="007966B6">
        <w:rPr>
          <w:rFonts w:ascii="Book Antiqua" w:eastAsiaTheme="minorHAnsi" w:hAnsi="Book Antiqua"/>
          <w:sz w:val="24"/>
          <w:szCs w:val="24"/>
          <w:lang w:val="en-US"/>
        </w:rPr>
        <w:t xml:space="preserve">On the other hand, patients undergoing first-line bevacizumab-based therapy eventually develop disease progression (usually within 9 </w:t>
      </w:r>
      <w:proofErr w:type="spellStart"/>
      <w:r w:rsidRPr="007966B6">
        <w:rPr>
          <w:rFonts w:ascii="Book Antiqua" w:eastAsiaTheme="minorHAnsi" w:hAnsi="Book Antiqua"/>
          <w:sz w:val="24"/>
          <w:szCs w:val="24"/>
          <w:lang w:val="en-US"/>
        </w:rPr>
        <w:t>mo</w:t>
      </w:r>
      <w:proofErr w:type="spellEnd"/>
      <w:r w:rsidRPr="007966B6">
        <w:rPr>
          <w:rFonts w:ascii="Book Antiqua" w:eastAsiaTheme="minorHAnsi" w:hAnsi="Book Antiqua"/>
          <w:sz w:val="24"/>
          <w:szCs w:val="24"/>
          <w:lang w:val="en-US"/>
        </w:rPr>
        <w:t xml:space="preserve">) and become candidates for second-line </w:t>
      </w:r>
      <w:proofErr w:type="gramStart"/>
      <w:r w:rsidRPr="007966B6">
        <w:rPr>
          <w:rFonts w:ascii="Book Antiqua" w:eastAsiaTheme="minorHAnsi" w:hAnsi="Book Antiqua"/>
          <w:noProof/>
          <w:sz w:val="24"/>
          <w:szCs w:val="24"/>
          <w:lang w:val="en-US"/>
        </w:rPr>
        <w:t>chemotherapy</w:t>
      </w:r>
      <w:r w:rsidRPr="007966B6">
        <w:rPr>
          <w:rFonts w:ascii="Book Antiqua" w:eastAsiaTheme="minorHAnsi" w:hAnsi="Book Antiqua" w:cstheme="minorHAnsi"/>
          <w:sz w:val="24"/>
          <w:szCs w:val="24"/>
          <w:vertAlign w:val="superscript"/>
          <w:lang w:val="en-US"/>
        </w:rPr>
        <w:t>[</w:t>
      </w:r>
      <w:proofErr w:type="gramEnd"/>
      <w:r w:rsidRPr="007966B6">
        <w:rPr>
          <w:rFonts w:ascii="Book Antiqua" w:eastAsiaTheme="minorHAnsi" w:hAnsi="Book Antiqua"/>
          <w:sz w:val="24"/>
          <w:szCs w:val="24"/>
          <w:vertAlign w:val="superscript"/>
          <w:lang w:val="en-US"/>
        </w:rPr>
        <w:t>13</w:t>
      </w:r>
      <w:r w:rsidRPr="007966B6">
        <w:rPr>
          <w:rFonts w:ascii="Book Antiqua" w:eastAsiaTheme="minorHAnsi" w:hAnsi="Book Antiqua" w:cstheme="minorHAnsi"/>
          <w:sz w:val="24"/>
          <w:szCs w:val="24"/>
          <w:vertAlign w:val="superscript"/>
          <w:lang w:val="en-US"/>
        </w:rPr>
        <w:t>]</w:t>
      </w:r>
      <w:r w:rsidRPr="007966B6">
        <w:rPr>
          <w:rFonts w:ascii="Book Antiqua" w:eastAsiaTheme="minorHAnsi" w:hAnsi="Book Antiqua"/>
          <w:sz w:val="24"/>
          <w:szCs w:val="24"/>
          <w:lang w:val="en-US"/>
        </w:rPr>
        <w:t xml:space="preserve">. Available data strongly </w:t>
      </w:r>
      <w:r w:rsidRPr="007966B6">
        <w:rPr>
          <w:rFonts w:ascii="Book Antiqua" w:eastAsiaTheme="minorHAnsi" w:hAnsi="Book Antiqua"/>
          <w:noProof/>
          <w:sz w:val="24"/>
          <w:szCs w:val="24"/>
          <w:lang w:val="en-US"/>
        </w:rPr>
        <w:t>favor</w:t>
      </w:r>
      <w:r w:rsidRPr="007966B6">
        <w:rPr>
          <w:rFonts w:ascii="Book Antiqua" w:eastAsiaTheme="minorHAnsi" w:hAnsi="Book Antiqua"/>
          <w:sz w:val="24"/>
          <w:szCs w:val="24"/>
          <w:lang w:val="en-US"/>
        </w:rPr>
        <w:t xml:space="preserve"> the continuous inhibition of angiogenesis (using maintenance bevacizumab therapy or switching to another antiangiogenic monoclonal antibody) during second-line chemo</w:t>
      </w:r>
      <w:r w:rsidRPr="007966B6">
        <w:rPr>
          <w:rFonts w:ascii="Book Antiqua" w:eastAsiaTheme="minorHAnsi" w:hAnsi="Book Antiqua"/>
          <w:noProof/>
          <w:sz w:val="24"/>
          <w:szCs w:val="24"/>
          <w:lang w:val="en-US"/>
        </w:rPr>
        <w:t>therapy</w:t>
      </w:r>
      <w:r w:rsidRPr="007966B6">
        <w:rPr>
          <w:rFonts w:ascii="Book Antiqua" w:eastAsiaTheme="minorHAnsi" w:hAnsi="Book Antiqua"/>
          <w:sz w:val="24"/>
          <w:szCs w:val="24"/>
          <w:lang w:val="en-US"/>
        </w:rPr>
        <w:t xml:space="preserve"> to achieve </w:t>
      </w:r>
      <w:r w:rsidR="00262186">
        <w:rPr>
          <w:rFonts w:ascii="Book Antiqua" w:eastAsiaTheme="minorHAnsi" w:hAnsi="Book Antiqua"/>
          <w:sz w:val="24"/>
          <w:szCs w:val="24"/>
          <w:lang w:val="en-US"/>
        </w:rPr>
        <w:t xml:space="preserve">a satisfactory clinical </w:t>
      </w:r>
      <w:proofErr w:type="gramStart"/>
      <w:r w:rsidR="00262186">
        <w:rPr>
          <w:rFonts w:ascii="Book Antiqua" w:eastAsiaTheme="minorHAnsi" w:hAnsi="Book Antiqua"/>
          <w:sz w:val="24"/>
          <w:szCs w:val="24"/>
          <w:lang w:val="en-US"/>
        </w:rPr>
        <w:t>outcome</w:t>
      </w:r>
      <w:r w:rsidRPr="007966B6">
        <w:rPr>
          <w:rFonts w:ascii="Book Antiqua" w:eastAsiaTheme="minorHAnsi" w:hAnsi="Book Antiqua" w:cstheme="minorHAnsi"/>
          <w:sz w:val="24"/>
          <w:szCs w:val="24"/>
          <w:vertAlign w:val="superscript"/>
          <w:lang w:val="en-US"/>
        </w:rPr>
        <w:t>[</w:t>
      </w:r>
      <w:proofErr w:type="gramEnd"/>
      <w:r w:rsidR="00262186">
        <w:rPr>
          <w:rFonts w:ascii="Book Antiqua" w:eastAsiaTheme="minorHAnsi" w:hAnsi="Book Antiqua"/>
          <w:sz w:val="24"/>
          <w:szCs w:val="24"/>
          <w:vertAlign w:val="superscript"/>
          <w:lang w:val="en-US"/>
        </w:rPr>
        <w:t>14,</w:t>
      </w:r>
      <w:r w:rsidRPr="007966B6">
        <w:rPr>
          <w:rFonts w:ascii="Book Antiqua" w:eastAsiaTheme="minorHAnsi" w:hAnsi="Book Antiqua"/>
          <w:sz w:val="24"/>
          <w:szCs w:val="24"/>
          <w:vertAlign w:val="superscript"/>
          <w:lang w:val="en-US"/>
        </w:rPr>
        <w:t>15</w:t>
      </w:r>
      <w:r w:rsidRPr="007966B6">
        <w:rPr>
          <w:rFonts w:ascii="Book Antiqua" w:eastAsiaTheme="minorHAnsi" w:hAnsi="Book Antiqua" w:cstheme="minorHAnsi"/>
          <w:sz w:val="24"/>
          <w:szCs w:val="24"/>
          <w:vertAlign w:val="superscript"/>
          <w:lang w:val="en-US"/>
        </w:rPr>
        <w:t>]</w:t>
      </w:r>
      <w:r w:rsidRPr="007966B6">
        <w:rPr>
          <w:rFonts w:ascii="Book Antiqua" w:eastAsiaTheme="minorHAnsi" w:hAnsi="Book Antiqua"/>
          <w:sz w:val="24"/>
          <w:szCs w:val="24"/>
          <w:lang w:val="en-US"/>
        </w:rPr>
        <w:t>. In this article, we discuss therapeutic strategies that have been proven to be useful in the treatment of patients with mCRC in whom first-line bevacizumab-based therapy was ineffective.</w:t>
      </w:r>
    </w:p>
    <w:p w14:paraId="1D2A4433" w14:textId="77777777" w:rsidR="001E4EF7" w:rsidRPr="00262186" w:rsidRDefault="001E4EF7" w:rsidP="005831C8">
      <w:pPr>
        <w:spacing w:after="0" w:line="360" w:lineRule="auto"/>
        <w:jc w:val="both"/>
        <w:rPr>
          <w:rFonts w:ascii="Book Antiqua" w:hAnsi="Book Antiqua"/>
          <w:sz w:val="24"/>
          <w:szCs w:val="24"/>
          <w:lang w:val="en-US" w:eastAsia="zh-CN"/>
        </w:rPr>
      </w:pPr>
    </w:p>
    <w:p w14:paraId="79871092" w14:textId="217D45A6" w:rsidR="001E4EF7" w:rsidRPr="00262186" w:rsidRDefault="00262186" w:rsidP="005831C8">
      <w:pPr>
        <w:spacing w:after="0" w:line="360" w:lineRule="auto"/>
        <w:jc w:val="both"/>
        <w:rPr>
          <w:rFonts w:ascii="Book Antiqua" w:eastAsiaTheme="minorHAnsi" w:hAnsi="Book Antiqua"/>
          <w:b/>
          <w:sz w:val="24"/>
          <w:szCs w:val="24"/>
          <w:lang w:val="en-US"/>
        </w:rPr>
      </w:pPr>
      <w:r w:rsidRPr="00262186">
        <w:rPr>
          <w:rFonts w:ascii="Book Antiqua" w:eastAsiaTheme="minorHAnsi" w:hAnsi="Book Antiqua"/>
          <w:b/>
          <w:sz w:val="24"/>
          <w:szCs w:val="24"/>
          <w:lang w:val="en-US"/>
        </w:rPr>
        <w:t>CONTINUATION OF BEVACIZUMAB BEYOND DISEASE PROGRESSION</w:t>
      </w:r>
    </w:p>
    <w:p w14:paraId="4D93AC25" w14:textId="4E08BD4D" w:rsidR="001E4EF7" w:rsidRPr="007966B6" w:rsidRDefault="001E4EF7" w:rsidP="005831C8">
      <w:pPr>
        <w:spacing w:after="0" w:line="360" w:lineRule="auto"/>
        <w:jc w:val="both"/>
        <w:rPr>
          <w:rFonts w:ascii="Book Antiqua" w:eastAsiaTheme="minorHAnsi" w:hAnsi="Book Antiqua"/>
          <w:sz w:val="24"/>
          <w:szCs w:val="24"/>
          <w:lang w:val="en-US"/>
        </w:rPr>
      </w:pPr>
      <w:r w:rsidRPr="007966B6">
        <w:rPr>
          <w:rFonts w:ascii="Book Antiqua" w:eastAsiaTheme="minorHAnsi" w:hAnsi="Book Antiqua"/>
          <w:sz w:val="24"/>
          <w:szCs w:val="24"/>
          <w:lang w:val="en-US"/>
        </w:rPr>
        <w:t>Several U</w:t>
      </w:r>
      <w:r w:rsidR="00B45994">
        <w:rPr>
          <w:rFonts w:ascii="Book Antiqua" w:hAnsi="Book Antiqua" w:hint="eastAsia"/>
          <w:sz w:val="24"/>
          <w:szCs w:val="24"/>
          <w:lang w:val="en-US" w:eastAsia="zh-CN"/>
        </w:rPr>
        <w:t xml:space="preserve">nited </w:t>
      </w:r>
      <w:r w:rsidRPr="007966B6">
        <w:rPr>
          <w:rFonts w:ascii="Book Antiqua" w:eastAsiaTheme="minorHAnsi" w:hAnsi="Book Antiqua"/>
          <w:sz w:val="24"/>
          <w:szCs w:val="24"/>
          <w:lang w:val="en-US"/>
        </w:rPr>
        <w:t>S</w:t>
      </w:r>
      <w:r w:rsidR="00B45994">
        <w:rPr>
          <w:rFonts w:ascii="Book Antiqua" w:hAnsi="Book Antiqua" w:hint="eastAsia"/>
          <w:sz w:val="24"/>
          <w:szCs w:val="24"/>
          <w:lang w:val="en-US" w:eastAsia="zh-CN"/>
        </w:rPr>
        <w:t>tates</w:t>
      </w:r>
      <w:r w:rsidRPr="007966B6">
        <w:rPr>
          <w:rFonts w:ascii="Book Antiqua" w:eastAsiaTheme="minorHAnsi" w:hAnsi="Book Antiqua"/>
          <w:sz w:val="24"/>
          <w:szCs w:val="24"/>
          <w:lang w:val="en-US"/>
        </w:rPr>
        <w:t xml:space="preserve">-based non-randomized observational studies, such as the Bevacizumab Regimens: Investigation </w:t>
      </w:r>
      <w:r w:rsidR="00B45994">
        <w:rPr>
          <w:rFonts w:ascii="Book Antiqua" w:eastAsiaTheme="minorHAnsi" w:hAnsi="Book Antiqua"/>
          <w:sz w:val="24"/>
          <w:szCs w:val="24"/>
          <w:lang w:val="en-US"/>
        </w:rPr>
        <w:t>of Treatment Effects and Safety</w:t>
      </w:r>
      <w:r w:rsidRPr="007966B6">
        <w:rPr>
          <w:rFonts w:ascii="Book Antiqua" w:eastAsiaTheme="minorHAnsi" w:hAnsi="Book Antiqua"/>
          <w:sz w:val="24"/>
          <w:szCs w:val="24"/>
          <w:lang w:val="en-US"/>
        </w:rPr>
        <w:t xml:space="preserve"> and the Avastin Registry: Investigation of Effectiveness and Safety, initially reported that the continuation of bevacizumab during second-line chemotherapy had a beneficial impact on the survival of patients with mCRC in whom first-line bevacizuma</w:t>
      </w:r>
      <w:r w:rsidR="00B45994">
        <w:rPr>
          <w:rFonts w:ascii="Book Antiqua" w:eastAsiaTheme="minorHAnsi" w:hAnsi="Book Antiqua"/>
          <w:sz w:val="24"/>
          <w:szCs w:val="24"/>
          <w:lang w:val="en-US"/>
        </w:rPr>
        <w:t xml:space="preserve">b-based therapy was </w:t>
      </w:r>
      <w:proofErr w:type="gramStart"/>
      <w:r w:rsidR="00B45994">
        <w:rPr>
          <w:rFonts w:ascii="Book Antiqua" w:eastAsiaTheme="minorHAnsi" w:hAnsi="Book Antiqua"/>
          <w:sz w:val="24"/>
          <w:szCs w:val="24"/>
          <w:lang w:val="en-US"/>
        </w:rPr>
        <w:t>ineffective</w:t>
      </w:r>
      <w:r w:rsidRPr="007966B6">
        <w:rPr>
          <w:rFonts w:ascii="Book Antiqua" w:eastAsiaTheme="minorHAnsi" w:hAnsi="Book Antiqua" w:cstheme="minorHAnsi"/>
          <w:sz w:val="24"/>
          <w:szCs w:val="24"/>
          <w:vertAlign w:val="superscript"/>
          <w:lang w:val="en-US"/>
        </w:rPr>
        <w:t>[</w:t>
      </w:r>
      <w:proofErr w:type="gramEnd"/>
      <w:r w:rsidRPr="007966B6">
        <w:rPr>
          <w:rFonts w:ascii="Book Antiqua" w:eastAsiaTheme="minorHAnsi" w:hAnsi="Book Antiqua"/>
          <w:sz w:val="24"/>
          <w:szCs w:val="24"/>
          <w:vertAlign w:val="superscript"/>
          <w:lang w:val="en-US"/>
        </w:rPr>
        <w:t>16-18</w:t>
      </w:r>
      <w:r w:rsidRPr="007966B6">
        <w:rPr>
          <w:rFonts w:ascii="Book Antiqua" w:eastAsiaTheme="minorHAnsi" w:hAnsi="Book Antiqua" w:cstheme="minorHAnsi"/>
          <w:sz w:val="24"/>
          <w:szCs w:val="24"/>
          <w:vertAlign w:val="superscript"/>
          <w:lang w:val="en-US"/>
        </w:rPr>
        <w:t>]</w:t>
      </w:r>
      <w:r w:rsidRPr="007966B6">
        <w:rPr>
          <w:rFonts w:ascii="Book Antiqua" w:eastAsiaTheme="minorHAnsi" w:hAnsi="Book Antiqua"/>
          <w:sz w:val="24"/>
          <w:szCs w:val="24"/>
          <w:lang w:val="en-US"/>
        </w:rPr>
        <w:t>. Further evidence in support of this treatment strategy was provided by the phase III ML18147 trial (</w:t>
      </w:r>
      <w:r w:rsidRPr="00B45994">
        <w:rPr>
          <w:rFonts w:ascii="Book Antiqua" w:eastAsiaTheme="minorHAnsi" w:hAnsi="Book Antiqua"/>
          <w:sz w:val="24"/>
          <w:szCs w:val="24"/>
          <w:lang w:val="en-US"/>
        </w:rPr>
        <w:t xml:space="preserve">Table </w:t>
      </w:r>
      <w:proofErr w:type="gramStart"/>
      <w:r w:rsidRPr="00B45994">
        <w:rPr>
          <w:rFonts w:ascii="Book Antiqua" w:eastAsiaTheme="minorHAnsi" w:hAnsi="Book Antiqua"/>
          <w:sz w:val="24"/>
          <w:szCs w:val="24"/>
          <w:lang w:val="en-US"/>
        </w:rPr>
        <w:t>2)</w:t>
      </w:r>
      <w:r w:rsidRPr="00B45994">
        <w:rPr>
          <w:rFonts w:ascii="Book Antiqua" w:eastAsiaTheme="minorHAnsi" w:hAnsi="Book Antiqua" w:cstheme="minorHAnsi"/>
          <w:sz w:val="24"/>
          <w:szCs w:val="24"/>
          <w:vertAlign w:val="superscript"/>
          <w:lang w:val="en-US"/>
        </w:rPr>
        <w:t>[</w:t>
      </w:r>
      <w:proofErr w:type="gramEnd"/>
      <w:r w:rsidRPr="00B45994">
        <w:rPr>
          <w:rFonts w:ascii="Book Antiqua" w:eastAsiaTheme="minorHAnsi" w:hAnsi="Book Antiqua"/>
          <w:sz w:val="24"/>
          <w:szCs w:val="24"/>
          <w:vertAlign w:val="superscript"/>
          <w:lang w:val="en-US"/>
        </w:rPr>
        <w:t>19</w:t>
      </w:r>
      <w:r w:rsidRPr="00B45994">
        <w:rPr>
          <w:rFonts w:ascii="Book Antiqua" w:eastAsiaTheme="minorHAnsi" w:hAnsi="Book Antiqua" w:cstheme="minorHAnsi"/>
          <w:sz w:val="24"/>
          <w:szCs w:val="24"/>
          <w:vertAlign w:val="superscript"/>
          <w:lang w:val="en-US"/>
        </w:rPr>
        <w:t>]</w:t>
      </w:r>
      <w:r w:rsidRPr="00B45994">
        <w:rPr>
          <w:rFonts w:ascii="Book Antiqua" w:eastAsiaTheme="minorHAnsi" w:hAnsi="Book Antiqua" w:cstheme="minorHAnsi"/>
          <w:sz w:val="24"/>
          <w:szCs w:val="24"/>
          <w:lang w:val="en-US"/>
        </w:rPr>
        <w:t xml:space="preserve">. </w:t>
      </w:r>
    </w:p>
    <w:p w14:paraId="353FF211" w14:textId="40C7544A" w:rsidR="001E4EF7" w:rsidRPr="007966B6" w:rsidRDefault="001E4EF7" w:rsidP="00B45994">
      <w:pPr>
        <w:spacing w:after="0" w:line="360" w:lineRule="auto"/>
        <w:ind w:firstLineChars="100" w:firstLine="240"/>
        <w:jc w:val="both"/>
        <w:rPr>
          <w:rFonts w:ascii="Book Antiqua" w:eastAsiaTheme="minorHAnsi" w:hAnsi="Book Antiqua"/>
          <w:sz w:val="24"/>
          <w:szCs w:val="24"/>
          <w:lang w:val="en-US"/>
        </w:rPr>
      </w:pPr>
      <w:r w:rsidRPr="007966B6">
        <w:rPr>
          <w:rFonts w:ascii="Book Antiqua" w:eastAsiaTheme="minorHAnsi" w:hAnsi="Book Antiqua"/>
          <w:sz w:val="24"/>
          <w:szCs w:val="24"/>
          <w:lang w:val="en-US"/>
        </w:rPr>
        <w:t xml:space="preserve">The ML18147 trial was designed by German and Austrian investigators to evaluate the effectiveness of continuing with bevacizumab-based therapy following disease progression in patients with mCRC who had previously received irinotecan- and oxaliplatin-based chemotherapy regimens </w:t>
      </w:r>
      <w:r w:rsidR="00B45994">
        <w:rPr>
          <w:rFonts w:ascii="Book Antiqua" w:eastAsiaTheme="minorHAnsi" w:hAnsi="Book Antiqua"/>
          <w:sz w:val="24"/>
          <w:szCs w:val="24"/>
          <w:lang w:val="en-US"/>
        </w:rPr>
        <w:t xml:space="preserve">in combination with </w:t>
      </w:r>
      <w:proofErr w:type="gramStart"/>
      <w:r w:rsidR="00B45994">
        <w:rPr>
          <w:rFonts w:ascii="Book Antiqua" w:eastAsiaTheme="minorHAnsi" w:hAnsi="Book Antiqua"/>
          <w:sz w:val="24"/>
          <w:szCs w:val="24"/>
          <w:lang w:val="en-US"/>
        </w:rPr>
        <w:t>bevacizumab</w:t>
      </w:r>
      <w:r w:rsidRPr="007966B6">
        <w:rPr>
          <w:rFonts w:ascii="Book Antiqua" w:eastAsiaTheme="minorHAnsi" w:hAnsi="Book Antiqua" w:cstheme="minorHAnsi"/>
          <w:sz w:val="24"/>
          <w:szCs w:val="24"/>
          <w:vertAlign w:val="superscript"/>
          <w:lang w:val="en-US"/>
        </w:rPr>
        <w:t>[</w:t>
      </w:r>
      <w:proofErr w:type="gramEnd"/>
      <w:r w:rsidRPr="007966B6">
        <w:rPr>
          <w:rFonts w:ascii="Book Antiqua" w:eastAsiaTheme="minorHAnsi" w:hAnsi="Book Antiqua"/>
          <w:sz w:val="24"/>
          <w:szCs w:val="24"/>
          <w:vertAlign w:val="superscript"/>
          <w:lang w:val="en-US"/>
        </w:rPr>
        <w:t>19</w:t>
      </w:r>
      <w:r w:rsidRPr="007966B6">
        <w:rPr>
          <w:rFonts w:ascii="Book Antiqua" w:eastAsiaTheme="minorHAnsi" w:hAnsi="Book Antiqua" w:cstheme="minorHAnsi"/>
          <w:sz w:val="24"/>
          <w:szCs w:val="24"/>
          <w:vertAlign w:val="superscript"/>
          <w:lang w:val="en-US"/>
        </w:rPr>
        <w:t>]</w:t>
      </w:r>
      <w:r w:rsidRPr="007966B6">
        <w:rPr>
          <w:rFonts w:ascii="Book Antiqua" w:eastAsiaTheme="minorHAnsi" w:hAnsi="Book Antiqua"/>
          <w:sz w:val="24"/>
          <w:szCs w:val="24"/>
          <w:lang w:val="en-US"/>
        </w:rPr>
        <w:t xml:space="preserve">. </w:t>
      </w:r>
      <w:r w:rsidRPr="007966B6">
        <w:rPr>
          <w:rFonts w:ascii="Book Antiqua" w:eastAsiaTheme="minorHAnsi" w:hAnsi="Book Antiqua"/>
          <w:sz w:val="24"/>
          <w:szCs w:val="24"/>
          <w:lang w:val="en-US"/>
        </w:rPr>
        <w:lastRenderedPageBreak/>
        <w:t xml:space="preserve">However, the study </w:t>
      </w:r>
      <w:r w:rsidRPr="007966B6">
        <w:rPr>
          <w:rFonts w:ascii="Book Antiqua" w:eastAsiaTheme="minorHAnsi" w:hAnsi="Book Antiqua"/>
          <w:noProof/>
          <w:sz w:val="24"/>
          <w:szCs w:val="24"/>
          <w:lang w:val="en-US"/>
        </w:rPr>
        <w:t>excluded</w:t>
      </w:r>
      <w:r w:rsidRPr="007966B6">
        <w:rPr>
          <w:rFonts w:ascii="Book Antiqua" w:eastAsiaTheme="minorHAnsi" w:hAnsi="Book Antiqua"/>
          <w:sz w:val="24"/>
          <w:szCs w:val="24"/>
          <w:lang w:val="en-US"/>
        </w:rPr>
        <w:t xml:space="preserve"> patients who exhibited progression within the first 3 </w:t>
      </w:r>
      <w:proofErr w:type="spellStart"/>
      <w:r w:rsidRPr="007966B6">
        <w:rPr>
          <w:rFonts w:ascii="Book Antiqua" w:eastAsiaTheme="minorHAnsi" w:hAnsi="Book Antiqua"/>
          <w:sz w:val="24"/>
          <w:szCs w:val="24"/>
          <w:lang w:val="en-US"/>
        </w:rPr>
        <w:t>mo</w:t>
      </w:r>
      <w:proofErr w:type="spellEnd"/>
      <w:r w:rsidRPr="007966B6">
        <w:rPr>
          <w:rFonts w:ascii="Book Antiqua" w:eastAsiaTheme="minorHAnsi" w:hAnsi="Book Antiqua"/>
          <w:sz w:val="24"/>
          <w:szCs w:val="24"/>
          <w:lang w:val="en-US"/>
        </w:rPr>
        <w:t xml:space="preserve"> of first-line therapy (rapid </w:t>
      </w:r>
      <w:proofErr w:type="spellStart"/>
      <w:r w:rsidRPr="007966B6">
        <w:rPr>
          <w:rFonts w:ascii="Book Antiqua" w:eastAsiaTheme="minorHAnsi" w:hAnsi="Book Antiqua"/>
          <w:sz w:val="24"/>
          <w:szCs w:val="24"/>
          <w:lang w:val="en-US"/>
        </w:rPr>
        <w:t>progressors</w:t>
      </w:r>
      <w:proofErr w:type="spellEnd"/>
      <w:r w:rsidRPr="007966B6">
        <w:rPr>
          <w:rFonts w:ascii="Book Antiqua" w:eastAsiaTheme="minorHAnsi" w:hAnsi="Book Antiqua"/>
          <w:noProof/>
          <w:sz w:val="24"/>
          <w:szCs w:val="24"/>
          <w:lang w:val="en-US"/>
        </w:rPr>
        <w:t>),</w:t>
      </w:r>
      <w:r w:rsidRPr="007966B6">
        <w:rPr>
          <w:rFonts w:ascii="Book Antiqua" w:eastAsiaTheme="minorHAnsi" w:hAnsi="Book Antiqua"/>
          <w:sz w:val="24"/>
          <w:szCs w:val="24"/>
          <w:lang w:val="en-US"/>
        </w:rPr>
        <w:t xml:space="preserve"> those who </w:t>
      </w:r>
      <w:r w:rsidRPr="007966B6">
        <w:rPr>
          <w:rFonts w:ascii="Book Antiqua" w:eastAsiaTheme="minorHAnsi" w:hAnsi="Book Antiqua"/>
          <w:noProof/>
          <w:sz w:val="24"/>
          <w:szCs w:val="24"/>
          <w:lang w:val="en-US"/>
        </w:rPr>
        <w:t>showed</w:t>
      </w:r>
      <w:r w:rsidRPr="007966B6">
        <w:rPr>
          <w:rFonts w:ascii="Book Antiqua" w:eastAsiaTheme="minorHAnsi" w:hAnsi="Book Antiqua"/>
          <w:sz w:val="24"/>
          <w:szCs w:val="24"/>
          <w:lang w:val="en-US"/>
        </w:rPr>
        <w:t xml:space="preserve"> </w:t>
      </w:r>
      <w:r w:rsidRPr="007966B6">
        <w:rPr>
          <w:rFonts w:ascii="Book Antiqua" w:eastAsiaTheme="minorHAnsi" w:hAnsi="Book Antiqua"/>
          <w:noProof/>
          <w:sz w:val="24"/>
          <w:szCs w:val="24"/>
          <w:lang w:val="en-US"/>
        </w:rPr>
        <w:t>progression</w:t>
      </w:r>
      <w:r w:rsidRPr="007966B6">
        <w:rPr>
          <w:rFonts w:ascii="Book Antiqua" w:eastAsiaTheme="minorHAnsi" w:hAnsi="Book Antiqua"/>
          <w:sz w:val="24"/>
          <w:szCs w:val="24"/>
          <w:lang w:val="en-US"/>
        </w:rPr>
        <w:t xml:space="preserve"> 3 </w:t>
      </w:r>
      <w:proofErr w:type="spellStart"/>
      <w:r w:rsidRPr="007966B6">
        <w:rPr>
          <w:rFonts w:ascii="Book Antiqua" w:eastAsiaTheme="minorHAnsi" w:hAnsi="Book Antiqua"/>
          <w:sz w:val="24"/>
          <w:szCs w:val="24"/>
          <w:lang w:val="en-US"/>
        </w:rPr>
        <w:t>mo</w:t>
      </w:r>
      <w:proofErr w:type="spellEnd"/>
      <w:r w:rsidRPr="007966B6">
        <w:rPr>
          <w:rFonts w:ascii="Book Antiqua" w:eastAsiaTheme="minorHAnsi" w:hAnsi="Book Antiqua"/>
          <w:sz w:val="24"/>
          <w:szCs w:val="24"/>
          <w:lang w:val="en-US"/>
        </w:rPr>
        <w:t xml:space="preserve"> after the </w:t>
      </w:r>
      <w:r w:rsidRPr="007966B6">
        <w:rPr>
          <w:rFonts w:ascii="Book Antiqua" w:eastAsiaTheme="minorHAnsi" w:hAnsi="Book Antiqua"/>
          <w:noProof/>
          <w:sz w:val="24"/>
          <w:szCs w:val="24"/>
          <w:lang w:val="en-US"/>
        </w:rPr>
        <w:t>last</w:t>
      </w:r>
      <w:r w:rsidRPr="007966B6">
        <w:rPr>
          <w:rFonts w:ascii="Book Antiqua" w:eastAsiaTheme="minorHAnsi" w:hAnsi="Book Antiqua"/>
          <w:sz w:val="24"/>
          <w:szCs w:val="24"/>
          <w:lang w:val="en-US"/>
        </w:rPr>
        <w:t xml:space="preserve"> bevacizumab administration, and those who received bevacizumab for &lt;</w:t>
      </w:r>
      <w:r w:rsidR="00B45994">
        <w:rPr>
          <w:rFonts w:ascii="Book Antiqua" w:hAnsi="Book Antiqua" w:hint="eastAsia"/>
          <w:sz w:val="24"/>
          <w:szCs w:val="24"/>
          <w:lang w:val="en-US" w:eastAsia="zh-CN"/>
        </w:rPr>
        <w:t xml:space="preserve"> </w:t>
      </w:r>
      <w:r w:rsidRPr="007966B6">
        <w:rPr>
          <w:rFonts w:ascii="Book Antiqua" w:eastAsiaTheme="minorHAnsi" w:hAnsi="Book Antiqua"/>
          <w:sz w:val="24"/>
          <w:szCs w:val="24"/>
          <w:lang w:val="en-US"/>
        </w:rPr>
        <w:t xml:space="preserve">3 consecutive months of first-line </w:t>
      </w:r>
      <w:r w:rsidRPr="007966B6">
        <w:rPr>
          <w:rFonts w:ascii="Book Antiqua" w:eastAsiaTheme="minorHAnsi" w:hAnsi="Book Antiqua"/>
          <w:noProof/>
          <w:sz w:val="24"/>
          <w:szCs w:val="24"/>
          <w:lang w:val="en-US"/>
        </w:rPr>
        <w:t>therapy</w:t>
      </w:r>
      <w:r w:rsidRPr="007966B6">
        <w:rPr>
          <w:rFonts w:ascii="Book Antiqua" w:eastAsiaTheme="minorHAnsi" w:hAnsi="Book Antiqua"/>
          <w:sz w:val="24"/>
          <w:szCs w:val="24"/>
          <w:lang w:val="en-US"/>
        </w:rPr>
        <w:t>. Overall, 820 patients were randomized to receive a novel chemotherapy regimen (fluoropyrimidine plus oxaliplatin or irinotecan) plus bevacizumab (</w:t>
      </w:r>
      <w:r w:rsidRPr="007966B6">
        <w:rPr>
          <w:rFonts w:ascii="Book Antiqua" w:eastAsiaTheme="minorHAnsi" w:hAnsi="Book Antiqua"/>
          <w:noProof/>
          <w:sz w:val="24"/>
          <w:szCs w:val="24"/>
          <w:lang w:val="en-US"/>
        </w:rPr>
        <w:t>equivalent</w:t>
      </w:r>
      <w:r w:rsidRPr="007966B6">
        <w:rPr>
          <w:rFonts w:ascii="Book Antiqua" w:eastAsiaTheme="minorHAnsi" w:hAnsi="Book Antiqua"/>
          <w:sz w:val="24"/>
          <w:szCs w:val="24"/>
          <w:lang w:val="en-US"/>
        </w:rPr>
        <w:t xml:space="preserve"> of 2.5 mg/kg </w:t>
      </w:r>
      <w:proofErr w:type="spellStart"/>
      <w:r w:rsidRPr="00B45994">
        <w:rPr>
          <w:rFonts w:ascii="Book Antiqua" w:eastAsiaTheme="minorHAnsi" w:hAnsi="Book Antiqua"/>
          <w:i/>
          <w:sz w:val="24"/>
          <w:szCs w:val="24"/>
          <w:lang w:val="en-US"/>
        </w:rPr>
        <w:t>i.v.</w:t>
      </w:r>
      <w:proofErr w:type="spellEnd"/>
      <w:r w:rsidRPr="007966B6">
        <w:rPr>
          <w:rFonts w:ascii="Book Antiqua" w:eastAsiaTheme="minorHAnsi" w:hAnsi="Book Antiqua"/>
          <w:sz w:val="24"/>
          <w:szCs w:val="24"/>
          <w:lang w:val="en-US"/>
        </w:rPr>
        <w:t xml:space="preserve"> per week) or chemotherapy alone. Therapy was continued until the development of disease progression or intolerable toxicity. Patient stratification was conducted based on the </w:t>
      </w:r>
      <w:r w:rsidRPr="007966B6">
        <w:rPr>
          <w:rFonts w:ascii="Book Antiqua" w:eastAsiaTheme="minorHAnsi" w:hAnsi="Book Antiqua"/>
          <w:noProof/>
          <w:sz w:val="24"/>
          <w:szCs w:val="24"/>
          <w:lang w:val="en-US"/>
        </w:rPr>
        <w:t>first-line</w:t>
      </w:r>
      <w:r w:rsidRPr="007966B6">
        <w:rPr>
          <w:rFonts w:ascii="Book Antiqua" w:eastAsiaTheme="minorHAnsi" w:hAnsi="Book Antiqua"/>
          <w:sz w:val="24"/>
          <w:szCs w:val="24"/>
          <w:lang w:val="en-US"/>
        </w:rPr>
        <w:t xml:space="preserve"> chemotherapy regimen, first-line PFS (≤</w:t>
      </w:r>
      <w:r w:rsidR="00B45994">
        <w:rPr>
          <w:rFonts w:ascii="Book Antiqua" w:hAnsi="Book Antiqua" w:hint="eastAsia"/>
          <w:sz w:val="24"/>
          <w:szCs w:val="24"/>
          <w:lang w:val="en-US" w:eastAsia="zh-CN"/>
        </w:rPr>
        <w:t xml:space="preserve"> </w:t>
      </w:r>
      <w:r w:rsidRPr="007966B6">
        <w:rPr>
          <w:rFonts w:ascii="Book Antiqua" w:eastAsiaTheme="minorHAnsi" w:hAnsi="Book Antiqua"/>
          <w:sz w:val="24"/>
          <w:szCs w:val="24"/>
          <w:lang w:val="en-US"/>
        </w:rPr>
        <w:t xml:space="preserve">9 </w:t>
      </w:r>
      <w:proofErr w:type="spellStart"/>
      <w:r w:rsidR="00B45994">
        <w:rPr>
          <w:rFonts w:ascii="Book Antiqua" w:hAnsi="Book Antiqua" w:hint="eastAsia"/>
          <w:sz w:val="24"/>
          <w:szCs w:val="24"/>
          <w:lang w:val="en-US" w:eastAsia="zh-CN"/>
        </w:rPr>
        <w:t>mo</w:t>
      </w:r>
      <w:proofErr w:type="spellEnd"/>
      <w:r w:rsidR="00B45994">
        <w:rPr>
          <w:rFonts w:ascii="Book Antiqua" w:hAnsi="Book Antiqua" w:hint="eastAsia"/>
          <w:sz w:val="24"/>
          <w:szCs w:val="24"/>
          <w:lang w:val="en-US" w:eastAsia="zh-CN"/>
        </w:rPr>
        <w:t xml:space="preserve"> </w:t>
      </w:r>
      <w:r w:rsidR="00B45994" w:rsidRPr="00B45994">
        <w:rPr>
          <w:rFonts w:ascii="Book Antiqua" w:eastAsiaTheme="minorHAnsi" w:hAnsi="Book Antiqua"/>
          <w:i/>
          <w:sz w:val="24"/>
          <w:szCs w:val="24"/>
          <w:lang w:val="en-US"/>
        </w:rPr>
        <w:t>vs</w:t>
      </w:r>
      <w:r w:rsidRPr="007966B6">
        <w:rPr>
          <w:rFonts w:ascii="Book Antiqua" w:eastAsiaTheme="minorHAnsi" w:hAnsi="Book Antiqua"/>
          <w:sz w:val="24"/>
          <w:szCs w:val="24"/>
          <w:lang w:val="en-US"/>
        </w:rPr>
        <w:t xml:space="preserve"> &gt;</w:t>
      </w:r>
      <w:r w:rsidR="00B45994">
        <w:rPr>
          <w:rFonts w:ascii="Book Antiqua" w:hAnsi="Book Antiqua" w:hint="eastAsia"/>
          <w:sz w:val="24"/>
          <w:szCs w:val="24"/>
          <w:lang w:val="en-US" w:eastAsia="zh-CN"/>
        </w:rPr>
        <w:t xml:space="preserve"> </w:t>
      </w:r>
      <w:r w:rsidRPr="007966B6">
        <w:rPr>
          <w:rFonts w:ascii="Book Antiqua" w:eastAsiaTheme="minorHAnsi" w:hAnsi="Book Antiqua"/>
          <w:sz w:val="24"/>
          <w:szCs w:val="24"/>
          <w:lang w:val="en-US"/>
        </w:rPr>
        <w:t xml:space="preserve">9 </w:t>
      </w:r>
      <w:proofErr w:type="spellStart"/>
      <w:r w:rsidRPr="007966B6">
        <w:rPr>
          <w:rFonts w:ascii="Book Antiqua" w:eastAsiaTheme="minorHAnsi" w:hAnsi="Book Antiqua"/>
          <w:sz w:val="24"/>
          <w:szCs w:val="24"/>
          <w:lang w:val="en-US"/>
        </w:rPr>
        <w:t>mo</w:t>
      </w:r>
      <w:proofErr w:type="spellEnd"/>
      <w:r w:rsidRPr="007966B6">
        <w:rPr>
          <w:rFonts w:ascii="Book Antiqua" w:eastAsiaTheme="minorHAnsi" w:hAnsi="Book Antiqua"/>
          <w:sz w:val="24"/>
          <w:szCs w:val="24"/>
          <w:lang w:val="en-US"/>
        </w:rPr>
        <w:t xml:space="preserve">), time from </w:t>
      </w:r>
      <w:r w:rsidRPr="007966B6">
        <w:rPr>
          <w:rFonts w:ascii="Book Antiqua" w:eastAsiaTheme="minorHAnsi" w:hAnsi="Book Antiqua"/>
          <w:noProof/>
          <w:sz w:val="24"/>
          <w:szCs w:val="24"/>
          <w:lang w:val="en-US"/>
        </w:rPr>
        <w:t>last</w:t>
      </w:r>
      <w:r w:rsidRPr="007966B6">
        <w:rPr>
          <w:rFonts w:ascii="Book Antiqua" w:eastAsiaTheme="minorHAnsi" w:hAnsi="Book Antiqua"/>
          <w:sz w:val="24"/>
          <w:szCs w:val="24"/>
          <w:lang w:val="en-US"/>
        </w:rPr>
        <w:t xml:space="preserve"> bevacizumab administration (≤</w:t>
      </w:r>
      <w:r w:rsidR="00B45994">
        <w:rPr>
          <w:rFonts w:ascii="Book Antiqua" w:hAnsi="Book Antiqua" w:hint="eastAsia"/>
          <w:sz w:val="24"/>
          <w:szCs w:val="24"/>
          <w:lang w:val="en-US" w:eastAsia="zh-CN"/>
        </w:rPr>
        <w:t xml:space="preserve"> </w:t>
      </w:r>
      <w:r w:rsidR="00B45994">
        <w:rPr>
          <w:rFonts w:ascii="Book Antiqua" w:eastAsiaTheme="minorHAnsi" w:hAnsi="Book Antiqua"/>
          <w:sz w:val="24"/>
          <w:szCs w:val="24"/>
          <w:lang w:val="en-US"/>
        </w:rPr>
        <w:t xml:space="preserve">42 </w:t>
      </w:r>
      <w:r w:rsidR="00B45994">
        <w:rPr>
          <w:rFonts w:ascii="Book Antiqua" w:hAnsi="Book Antiqua" w:hint="eastAsia"/>
          <w:sz w:val="24"/>
          <w:szCs w:val="24"/>
          <w:lang w:val="en-US" w:eastAsia="zh-CN"/>
        </w:rPr>
        <w:t xml:space="preserve">d </w:t>
      </w:r>
      <w:r w:rsidR="00B45994" w:rsidRPr="00B45994">
        <w:rPr>
          <w:rFonts w:ascii="Book Antiqua" w:eastAsiaTheme="minorHAnsi" w:hAnsi="Book Antiqua"/>
          <w:i/>
          <w:sz w:val="24"/>
          <w:szCs w:val="24"/>
          <w:lang w:val="en-US"/>
        </w:rPr>
        <w:t>vs</w:t>
      </w:r>
      <w:r w:rsidRPr="007966B6">
        <w:rPr>
          <w:rFonts w:ascii="Book Antiqua" w:eastAsiaTheme="minorHAnsi" w:hAnsi="Book Antiqua"/>
          <w:sz w:val="24"/>
          <w:szCs w:val="24"/>
          <w:lang w:val="en-US"/>
        </w:rPr>
        <w:t xml:space="preserve"> &gt;</w:t>
      </w:r>
      <w:r w:rsidR="00B45994">
        <w:rPr>
          <w:rFonts w:ascii="Book Antiqua" w:hAnsi="Book Antiqua" w:hint="eastAsia"/>
          <w:sz w:val="24"/>
          <w:szCs w:val="24"/>
          <w:lang w:val="en-US" w:eastAsia="zh-CN"/>
        </w:rPr>
        <w:t xml:space="preserve"> </w:t>
      </w:r>
      <w:r w:rsidRPr="007966B6">
        <w:rPr>
          <w:rFonts w:ascii="Book Antiqua" w:eastAsiaTheme="minorHAnsi" w:hAnsi="Book Antiqua"/>
          <w:sz w:val="24"/>
          <w:szCs w:val="24"/>
          <w:lang w:val="en-US"/>
        </w:rPr>
        <w:t xml:space="preserve">42 d), and </w:t>
      </w:r>
      <w:r w:rsidR="00B45994">
        <w:rPr>
          <w:rFonts w:ascii="Book Antiqua" w:eastAsiaTheme="minorHAnsi" w:hAnsi="Book Antiqua"/>
          <w:sz w:val="24"/>
          <w:szCs w:val="24"/>
          <w:lang w:val="en-US"/>
        </w:rPr>
        <w:t xml:space="preserve">performance status (ECOG 0–1 </w:t>
      </w:r>
      <w:r w:rsidR="00B45994" w:rsidRPr="00B45994">
        <w:rPr>
          <w:rFonts w:ascii="Book Antiqua" w:eastAsiaTheme="minorHAnsi" w:hAnsi="Book Antiqua"/>
          <w:i/>
          <w:sz w:val="24"/>
          <w:szCs w:val="24"/>
          <w:lang w:val="en-US"/>
        </w:rPr>
        <w:t>vs</w:t>
      </w:r>
      <w:r w:rsidRPr="007966B6">
        <w:rPr>
          <w:rFonts w:ascii="Book Antiqua" w:eastAsiaTheme="minorHAnsi" w:hAnsi="Book Antiqua"/>
          <w:sz w:val="24"/>
          <w:szCs w:val="24"/>
          <w:lang w:val="en-US"/>
        </w:rPr>
        <w:t xml:space="preserve"> 2).</w:t>
      </w:r>
    </w:p>
    <w:p w14:paraId="71363BDB" w14:textId="2E4A8C96" w:rsidR="001E4EF7" w:rsidRPr="007966B6" w:rsidRDefault="001E4EF7" w:rsidP="00B45994">
      <w:pPr>
        <w:spacing w:after="0" w:line="360" w:lineRule="auto"/>
        <w:ind w:firstLineChars="100" w:firstLine="240"/>
        <w:jc w:val="both"/>
        <w:rPr>
          <w:rFonts w:ascii="Book Antiqua" w:eastAsiaTheme="minorHAnsi" w:hAnsi="Book Antiqua"/>
          <w:sz w:val="24"/>
          <w:szCs w:val="24"/>
          <w:lang w:val="en-US"/>
        </w:rPr>
      </w:pPr>
      <w:r w:rsidRPr="007966B6">
        <w:rPr>
          <w:rFonts w:ascii="Book Antiqua" w:eastAsiaTheme="minorHAnsi" w:hAnsi="Book Antiqua"/>
          <w:noProof/>
          <w:sz w:val="24"/>
          <w:szCs w:val="24"/>
          <w:lang w:val="en-US"/>
        </w:rPr>
        <w:t>In</w:t>
      </w:r>
      <w:r w:rsidRPr="007966B6">
        <w:rPr>
          <w:rFonts w:ascii="Book Antiqua" w:eastAsiaTheme="minorHAnsi" w:hAnsi="Book Antiqua"/>
          <w:sz w:val="24"/>
          <w:szCs w:val="24"/>
          <w:lang w:val="en-US"/>
        </w:rPr>
        <w:t xml:space="preserve"> comparison with patients receiving chemotherapy alone, those receiving chemotherapy plus bevacizumab had a significantly longer median PFS (5.7 </w:t>
      </w:r>
      <w:proofErr w:type="spellStart"/>
      <w:r w:rsidR="007462D1">
        <w:rPr>
          <w:rFonts w:ascii="Book Antiqua" w:hAnsi="Book Antiqua" w:hint="eastAsia"/>
          <w:sz w:val="24"/>
          <w:szCs w:val="24"/>
          <w:lang w:val="en-US" w:eastAsia="zh-CN"/>
        </w:rPr>
        <w:t>mo</w:t>
      </w:r>
      <w:proofErr w:type="spellEnd"/>
      <w:r w:rsidR="007462D1">
        <w:rPr>
          <w:rFonts w:ascii="Book Antiqua" w:hAnsi="Book Antiqua" w:hint="eastAsia"/>
          <w:sz w:val="24"/>
          <w:szCs w:val="24"/>
          <w:lang w:val="en-US" w:eastAsia="zh-CN"/>
        </w:rPr>
        <w:t xml:space="preserve"> </w:t>
      </w:r>
      <w:r w:rsidR="007462D1" w:rsidRPr="00B45994">
        <w:rPr>
          <w:rFonts w:ascii="Book Antiqua" w:eastAsiaTheme="minorHAnsi" w:hAnsi="Book Antiqua"/>
          <w:i/>
          <w:sz w:val="24"/>
          <w:szCs w:val="24"/>
          <w:lang w:val="en-US"/>
        </w:rPr>
        <w:t>vs</w:t>
      </w:r>
      <w:r w:rsidRPr="007966B6">
        <w:rPr>
          <w:rFonts w:ascii="Book Antiqua" w:eastAsiaTheme="minorHAnsi" w:hAnsi="Book Antiqua"/>
          <w:sz w:val="24"/>
          <w:szCs w:val="24"/>
          <w:lang w:val="en-US"/>
        </w:rPr>
        <w:t xml:space="preserve"> 4.0 </w:t>
      </w:r>
      <w:proofErr w:type="spellStart"/>
      <w:r w:rsidRPr="007966B6">
        <w:rPr>
          <w:rFonts w:ascii="Book Antiqua" w:eastAsiaTheme="minorHAnsi" w:hAnsi="Book Antiqua"/>
          <w:sz w:val="24"/>
          <w:szCs w:val="24"/>
          <w:lang w:val="en-US"/>
        </w:rPr>
        <w:t>mo</w:t>
      </w:r>
      <w:proofErr w:type="spellEnd"/>
      <w:r w:rsidRPr="007966B6">
        <w:rPr>
          <w:rFonts w:ascii="Book Antiqua" w:eastAsiaTheme="minorHAnsi" w:hAnsi="Book Antiqua"/>
          <w:sz w:val="24"/>
          <w:szCs w:val="24"/>
          <w:lang w:val="en-US"/>
        </w:rPr>
        <w:t xml:space="preserve">; HR 0.63; </w:t>
      </w:r>
      <w:r w:rsidRPr="007462D1">
        <w:rPr>
          <w:rFonts w:ascii="Book Antiqua" w:eastAsiaTheme="minorHAnsi" w:hAnsi="Book Antiqua"/>
          <w:i/>
          <w:sz w:val="24"/>
          <w:szCs w:val="24"/>
          <w:lang w:val="en-US"/>
        </w:rPr>
        <w:t xml:space="preserve">P </w:t>
      </w:r>
      <w:r w:rsidRPr="007966B6">
        <w:rPr>
          <w:rFonts w:ascii="Book Antiqua" w:eastAsiaTheme="minorHAnsi" w:hAnsi="Book Antiqua"/>
          <w:sz w:val="24"/>
          <w:szCs w:val="24"/>
          <w:lang w:val="en-US"/>
        </w:rPr>
        <w:t xml:space="preserve">&lt; 0.0001) and median OS </w:t>
      </w:r>
      <w:r w:rsidR="007462D1">
        <w:rPr>
          <w:rFonts w:ascii="Book Antiqua" w:hAnsi="Book Antiqua" w:hint="eastAsia"/>
          <w:sz w:val="24"/>
          <w:szCs w:val="24"/>
          <w:lang w:val="en-US" w:eastAsia="zh-CN"/>
        </w:rPr>
        <w:t>[</w:t>
      </w:r>
      <w:r w:rsidRPr="007966B6">
        <w:rPr>
          <w:rFonts w:ascii="Book Antiqua" w:eastAsiaTheme="minorHAnsi" w:hAnsi="Book Antiqua"/>
          <w:sz w:val="24"/>
          <w:szCs w:val="24"/>
          <w:lang w:val="en-US"/>
        </w:rPr>
        <w:t xml:space="preserve">11.2 </w:t>
      </w:r>
      <w:proofErr w:type="spellStart"/>
      <w:r w:rsidR="007462D1">
        <w:rPr>
          <w:rFonts w:ascii="Book Antiqua" w:hAnsi="Book Antiqua" w:hint="eastAsia"/>
          <w:sz w:val="24"/>
          <w:szCs w:val="24"/>
          <w:lang w:val="en-US" w:eastAsia="zh-CN"/>
        </w:rPr>
        <w:t>mo</w:t>
      </w:r>
      <w:proofErr w:type="spellEnd"/>
      <w:r w:rsidR="007462D1">
        <w:rPr>
          <w:rFonts w:ascii="Book Antiqua" w:hAnsi="Book Antiqua" w:hint="eastAsia"/>
          <w:sz w:val="24"/>
          <w:szCs w:val="24"/>
          <w:lang w:val="en-US" w:eastAsia="zh-CN"/>
        </w:rPr>
        <w:t xml:space="preserve"> </w:t>
      </w:r>
      <w:r w:rsidR="007462D1" w:rsidRPr="00B45994">
        <w:rPr>
          <w:rFonts w:ascii="Book Antiqua" w:eastAsiaTheme="minorHAnsi" w:hAnsi="Book Antiqua"/>
          <w:i/>
          <w:sz w:val="24"/>
          <w:szCs w:val="24"/>
          <w:lang w:val="en-US"/>
        </w:rPr>
        <w:t>vs</w:t>
      </w:r>
      <w:r w:rsidRPr="007966B6">
        <w:rPr>
          <w:rFonts w:ascii="Book Antiqua" w:eastAsiaTheme="minorHAnsi" w:hAnsi="Book Antiqua"/>
          <w:sz w:val="24"/>
          <w:szCs w:val="24"/>
          <w:lang w:val="en-US"/>
        </w:rPr>
        <w:t xml:space="preserve"> 9.8 </w:t>
      </w:r>
      <w:proofErr w:type="spellStart"/>
      <w:r w:rsidRPr="007966B6">
        <w:rPr>
          <w:rFonts w:ascii="Book Antiqua" w:eastAsiaTheme="minorHAnsi" w:hAnsi="Book Antiqua"/>
          <w:sz w:val="24"/>
          <w:szCs w:val="24"/>
          <w:lang w:val="en-US"/>
        </w:rPr>
        <w:t>mo</w:t>
      </w:r>
      <w:proofErr w:type="spellEnd"/>
      <w:r w:rsidRPr="007966B6">
        <w:rPr>
          <w:rFonts w:ascii="Book Antiqua" w:eastAsiaTheme="minorHAnsi" w:hAnsi="Book Antiqua"/>
          <w:sz w:val="24"/>
          <w:szCs w:val="24"/>
          <w:lang w:val="en-US"/>
        </w:rPr>
        <w:t xml:space="preserve">; HR 0.81; </w:t>
      </w:r>
      <w:r w:rsidR="007462D1">
        <w:rPr>
          <w:rFonts w:ascii="Book Antiqua" w:eastAsiaTheme="minorHAnsi" w:hAnsi="Book Antiqua"/>
          <w:sz w:val="24"/>
          <w:szCs w:val="24"/>
          <w:lang w:val="en-US"/>
        </w:rPr>
        <w:t>95%</w:t>
      </w:r>
      <w:r w:rsidR="007462D1">
        <w:rPr>
          <w:rFonts w:ascii="Book Antiqua" w:hAnsi="Book Antiqua" w:hint="eastAsia"/>
          <w:sz w:val="24"/>
          <w:szCs w:val="24"/>
          <w:lang w:val="en-US" w:eastAsia="zh-CN"/>
        </w:rPr>
        <w:t xml:space="preserve"> </w:t>
      </w:r>
      <w:r w:rsidRPr="007966B6">
        <w:rPr>
          <w:rFonts w:ascii="Book Antiqua" w:eastAsiaTheme="minorHAnsi" w:hAnsi="Book Antiqua"/>
          <w:sz w:val="24"/>
          <w:szCs w:val="24"/>
          <w:lang w:val="en-US"/>
        </w:rPr>
        <w:t>confidence interval (CI)</w:t>
      </w:r>
      <w:r w:rsidR="007462D1">
        <w:rPr>
          <w:rFonts w:ascii="Book Antiqua" w:hAnsi="Book Antiqua" w:hint="eastAsia"/>
          <w:sz w:val="24"/>
          <w:szCs w:val="24"/>
          <w:lang w:val="en-US" w:eastAsia="zh-CN"/>
        </w:rPr>
        <w:t>:</w:t>
      </w:r>
      <w:r w:rsidRPr="007966B6">
        <w:rPr>
          <w:rFonts w:ascii="Book Antiqua" w:eastAsiaTheme="minorHAnsi" w:hAnsi="Book Antiqua"/>
          <w:sz w:val="24"/>
          <w:szCs w:val="24"/>
          <w:lang w:val="en-US"/>
        </w:rPr>
        <w:t xml:space="preserve"> 0.69-0.94; </w:t>
      </w:r>
      <w:r w:rsidRPr="007462D1">
        <w:rPr>
          <w:rFonts w:ascii="Book Antiqua" w:eastAsiaTheme="minorHAnsi" w:hAnsi="Book Antiqua"/>
          <w:i/>
          <w:sz w:val="24"/>
          <w:szCs w:val="24"/>
          <w:lang w:val="en-US"/>
        </w:rPr>
        <w:t>P</w:t>
      </w:r>
      <w:r w:rsidRPr="007966B6">
        <w:rPr>
          <w:rFonts w:ascii="Book Antiqua" w:eastAsiaTheme="minorHAnsi" w:hAnsi="Book Antiqua"/>
          <w:sz w:val="24"/>
          <w:szCs w:val="24"/>
          <w:lang w:val="en-US"/>
        </w:rPr>
        <w:t xml:space="preserve"> = 0.0062</w:t>
      </w:r>
      <w:r w:rsidR="007462D1">
        <w:rPr>
          <w:rFonts w:ascii="Book Antiqua" w:hAnsi="Book Antiqua" w:hint="eastAsia"/>
          <w:sz w:val="24"/>
          <w:szCs w:val="24"/>
          <w:lang w:val="en-US" w:eastAsia="zh-CN"/>
        </w:rPr>
        <w:t>]</w:t>
      </w:r>
      <w:r w:rsidRPr="007966B6">
        <w:rPr>
          <w:rFonts w:ascii="Book Antiqua" w:eastAsiaTheme="minorHAnsi" w:hAnsi="Book Antiqua"/>
          <w:sz w:val="24"/>
          <w:szCs w:val="24"/>
          <w:lang w:val="en-US"/>
        </w:rPr>
        <w:t xml:space="preserve">. Bevacizumab was consistently beneficial across all subgroups, although the response rates were relatively </w:t>
      </w:r>
      <w:r w:rsidR="007462D1">
        <w:rPr>
          <w:rFonts w:ascii="Book Antiqua" w:eastAsiaTheme="minorHAnsi" w:hAnsi="Book Antiqua"/>
          <w:sz w:val="24"/>
          <w:szCs w:val="24"/>
          <w:lang w:val="en-US"/>
        </w:rPr>
        <w:t xml:space="preserve">low in both groups (5% </w:t>
      </w:r>
      <w:r w:rsidR="007462D1" w:rsidRPr="007462D1">
        <w:rPr>
          <w:rFonts w:ascii="Book Antiqua" w:eastAsiaTheme="minorHAnsi" w:hAnsi="Book Antiqua"/>
          <w:i/>
          <w:sz w:val="24"/>
          <w:szCs w:val="24"/>
          <w:lang w:val="en-US"/>
        </w:rPr>
        <w:t>vs</w:t>
      </w:r>
      <w:r w:rsidRPr="007462D1">
        <w:rPr>
          <w:rFonts w:ascii="Book Antiqua" w:eastAsiaTheme="minorHAnsi" w:hAnsi="Book Antiqua"/>
          <w:i/>
          <w:sz w:val="24"/>
          <w:szCs w:val="24"/>
          <w:lang w:val="en-US"/>
        </w:rPr>
        <w:t xml:space="preserve"> </w:t>
      </w:r>
      <w:r w:rsidRPr="007966B6">
        <w:rPr>
          <w:rFonts w:ascii="Book Antiqua" w:eastAsiaTheme="minorHAnsi" w:hAnsi="Book Antiqua"/>
          <w:sz w:val="24"/>
          <w:szCs w:val="24"/>
          <w:lang w:val="en-US"/>
        </w:rPr>
        <w:t>4%). However, the disease control rate was significantly higher in the chemotherapy</w:t>
      </w:r>
      <w:r w:rsidR="007462D1">
        <w:rPr>
          <w:rFonts w:ascii="Book Antiqua" w:eastAsiaTheme="minorHAnsi" w:hAnsi="Book Antiqua"/>
          <w:sz w:val="24"/>
          <w:szCs w:val="24"/>
          <w:lang w:val="en-US"/>
        </w:rPr>
        <w:t xml:space="preserve"> plus bevacizumab group (68% </w:t>
      </w:r>
      <w:r w:rsidR="007462D1" w:rsidRPr="007462D1">
        <w:rPr>
          <w:rFonts w:ascii="Book Antiqua" w:eastAsiaTheme="minorHAnsi" w:hAnsi="Book Antiqua"/>
          <w:i/>
          <w:sz w:val="24"/>
          <w:szCs w:val="24"/>
          <w:lang w:val="en-US"/>
        </w:rPr>
        <w:t>vs</w:t>
      </w:r>
      <w:r w:rsidRPr="007966B6">
        <w:rPr>
          <w:rFonts w:ascii="Book Antiqua" w:eastAsiaTheme="minorHAnsi" w:hAnsi="Book Antiqua"/>
          <w:sz w:val="24"/>
          <w:szCs w:val="24"/>
          <w:lang w:val="en-US"/>
        </w:rPr>
        <w:t xml:space="preserve"> 54%, </w:t>
      </w:r>
      <w:r w:rsidRPr="007462D1">
        <w:rPr>
          <w:rFonts w:ascii="Book Antiqua" w:eastAsiaTheme="minorHAnsi" w:hAnsi="Book Antiqua"/>
          <w:i/>
          <w:sz w:val="24"/>
          <w:szCs w:val="24"/>
          <w:lang w:val="en-US"/>
        </w:rPr>
        <w:t>P</w:t>
      </w:r>
      <w:r w:rsidRPr="007966B6">
        <w:rPr>
          <w:rFonts w:ascii="Book Antiqua" w:eastAsiaTheme="minorHAnsi" w:hAnsi="Book Antiqua"/>
          <w:sz w:val="24"/>
          <w:szCs w:val="24"/>
          <w:lang w:val="en-US"/>
        </w:rPr>
        <w:t xml:space="preserve"> &lt; 0.0001). In addition, the chemotherapy plus bevacizumab group was not associated with increased toxicity, with the exception of specific bevacizumab-related (grade 3–5) side effects including bleeding/hemorrhage (2% </w:t>
      </w:r>
      <w:r w:rsidR="007462D1" w:rsidRPr="007462D1">
        <w:rPr>
          <w:rFonts w:ascii="Book Antiqua" w:eastAsiaTheme="minorHAnsi" w:hAnsi="Book Antiqua"/>
          <w:i/>
          <w:sz w:val="24"/>
          <w:szCs w:val="24"/>
          <w:lang w:val="en-US"/>
        </w:rPr>
        <w:t>vs</w:t>
      </w:r>
      <w:r w:rsidRPr="007966B6">
        <w:rPr>
          <w:rFonts w:ascii="Book Antiqua" w:eastAsiaTheme="minorHAnsi" w:hAnsi="Book Antiqua"/>
          <w:sz w:val="24"/>
          <w:szCs w:val="24"/>
          <w:lang w:val="en-US"/>
        </w:rPr>
        <w:t xml:space="preserve"> &lt;</w:t>
      </w:r>
      <w:r w:rsidR="007462D1">
        <w:rPr>
          <w:rFonts w:ascii="Book Antiqua" w:hAnsi="Book Antiqua" w:hint="eastAsia"/>
          <w:sz w:val="24"/>
          <w:szCs w:val="24"/>
          <w:lang w:val="en-US" w:eastAsia="zh-CN"/>
        </w:rPr>
        <w:t xml:space="preserve"> </w:t>
      </w:r>
      <w:r w:rsidRPr="007966B6">
        <w:rPr>
          <w:rFonts w:ascii="Book Antiqua" w:eastAsiaTheme="minorHAnsi" w:hAnsi="Book Antiqua"/>
          <w:sz w:val="24"/>
          <w:szCs w:val="24"/>
          <w:lang w:val="en-US"/>
        </w:rPr>
        <w:t xml:space="preserve">1%), gastrointestinal perforation (2% </w:t>
      </w:r>
      <w:r w:rsidR="007462D1" w:rsidRPr="007462D1">
        <w:rPr>
          <w:rFonts w:ascii="Book Antiqua" w:eastAsiaTheme="minorHAnsi" w:hAnsi="Book Antiqua"/>
          <w:i/>
          <w:sz w:val="24"/>
          <w:szCs w:val="24"/>
          <w:lang w:val="en-US"/>
        </w:rPr>
        <w:t>vs</w:t>
      </w:r>
      <w:r w:rsidRPr="007966B6">
        <w:rPr>
          <w:rFonts w:ascii="Book Antiqua" w:eastAsiaTheme="minorHAnsi" w:hAnsi="Book Antiqua"/>
          <w:sz w:val="24"/>
          <w:szCs w:val="24"/>
          <w:lang w:val="en-US"/>
        </w:rPr>
        <w:t xml:space="preserve"> &lt;</w:t>
      </w:r>
      <w:r w:rsidR="007462D1">
        <w:rPr>
          <w:rFonts w:ascii="Book Antiqua" w:hAnsi="Book Antiqua" w:hint="eastAsia"/>
          <w:sz w:val="24"/>
          <w:szCs w:val="24"/>
          <w:lang w:val="en-US" w:eastAsia="zh-CN"/>
        </w:rPr>
        <w:t xml:space="preserve"> </w:t>
      </w:r>
      <w:r w:rsidRPr="007966B6">
        <w:rPr>
          <w:rFonts w:ascii="Book Antiqua" w:eastAsiaTheme="minorHAnsi" w:hAnsi="Book Antiqua"/>
          <w:sz w:val="24"/>
          <w:szCs w:val="24"/>
          <w:lang w:val="en-US"/>
        </w:rPr>
        <w:t xml:space="preserve">1%), and venous thromboembolism (5% </w:t>
      </w:r>
      <w:r w:rsidR="007462D1" w:rsidRPr="007462D1">
        <w:rPr>
          <w:rFonts w:ascii="Book Antiqua" w:eastAsiaTheme="minorHAnsi" w:hAnsi="Book Antiqua"/>
          <w:i/>
          <w:sz w:val="24"/>
          <w:szCs w:val="24"/>
          <w:lang w:val="en-US"/>
        </w:rPr>
        <w:t>vs</w:t>
      </w:r>
      <w:r w:rsidRPr="007966B6">
        <w:rPr>
          <w:rFonts w:ascii="Book Antiqua" w:eastAsiaTheme="minorHAnsi" w:hAnsi="Book Antiqua"/>
          <w:sz w:val="24"/>
          <w:szCs w:val="24"/>
          <w:lang w:val="en-US"/>
        </w:rPr>
        <w:t xml:space="preserve"> 3%). There were four treatment-related deaths in the chemotherapy plus bevacizumab group and three in the chemotherapy alone group.</w:t>
      </w:r>
    </w:p>
    <w:p w14:paraId="48A33DEA" w14:textId="3A42BB17" w:rsidR="001E4EF7" w:rsidRPr="007966B6" w:rsidRDefault="001E4EF7" w:rsidP="007462D1">
      <w:pPr>
        <w:spacing w:after="0" w:line="360" w:lineRule="auto"/>
        <w:ind w:firstLineChars="100" w:firstLine="240"/>
        <w:jc w:val="both"/>
        <w:rPr>
          <w:rFonts w:ascii="Book Antiqua" w:eastAsiaTheme="minorHAnsi" w:hAnsi="Book Antiqua"/>
          <w:sz w:val="24"/>
          <w:szCs w:val="24"/>
          <w:lang w:val="en-US"/>
        </w:rPr>
      </w:pPr>
      <w:r w:rsidRPr="007966B6">
        <w:rPr>
          <w:rFonts w:ascii="Book Antiqua" w:eastAsiaTheme="minorHAnsi" w:hAnsi="Book Antiqua"/>
          <w:sz w:val="24"/>
          <w:szCs w:val="24"/>
          <w:lang w:val="en-US"/>
        </w:rPr>
        <w:t>The Bevacizumab Beyond Progression (</w:t>
      </w:r>
      <w:r w:rsidRPr="007966B6">
        <w:rPr>
          <w:rFonts w:ascii="Book Antiqua" w:eastAsiaTheme="minorHAnsi" w:hAnsi="Book Antiqua"/>
          <w:noProof/>
          <w:sz w:val="24"/>
          <w:szCs w:val="24"/>
          <w:lang w:val="en-US"/>
        </w:rPr>
        <w:t>BEBYP</w:t>
      </w:r>
      <w:r w:rsidRPr="007966B6">
        <w:rPr>
          <w:rFonts w:ascii="Book Antiqua" w:eastAsiaTheme="minorHAnsi" w:hAnsi="Book Antiqua"/>
          <w:sz w:val="24"/>
          <w:szCs w:val="24"/>
          <w:lang w:val="en-US"/>
        </w:rPr>
        <w:t>) phase III trial was designed by Italian researchers to investigate the clinical effectiveness of continuing bevacizumab or reintroducing it (after a bevacizumab-free interval of &gt;</w:t>
      </w:r>
      <w:r w:rsidR="007462D1">
        <w:rPr>
          <w:rFonts w:ascii="Book Antiqua" w:hAnsi="Book Antiqua" w:hint="eastAsia"/>
          <w:sz w:val="24"/>
          <w:szCs w:val="24"/>
          <w:lang w:val="en-US" w:eastAsia="zh-CN"/>
        </w:rPr>
        <w:t xml:space="preserve"> </w:t>
      </w:r>
      <w:r w:rsidRPr="007966B6">
        <w:rPr>
          <w:rFonts w:ascii="Book Antiqua" w:eastAsiaTheme="minorHAnsi" w:hAnsi="Book Antiqua"/>
          <w:sz w:val="24"/>
          <w:szCs w:val="24"/>
          <w:lang w:val="en-US"/>
        </w:rPr>
        <w:t xml:space="preserve">3 </w:t>
      </w:r>
      <w:proofErr w:type="spellStart"/>
      <w:r w:rsidRPr="007966B6">
        <w:rPr>
          <w:rFonts w:ascii="Book Antiqua" w:eastAsiaTheme="minorHAnsi" w:hAnsi="Book Antiqua"/>
          <w:sz w:val="24"/>
          <w:szCs w:val="24"/>
          <w:lang w:val="en-US"/>
        </w:rPr>
        <w:t>mo</w:t>
      </w:r>
      <w:proofErr w:type="spellEnd"/>
      <w:r w:rsidRPr="007966B6">
        <w:rPr>
          <w:rFonts w:ascii="Book Antiqua" w:eastAsiaTheme="minorHAnsi" w:hAnsi="Book Antiqua"/>
          <w:sz w:val="24"/>
          <w:szCs w:val="24"/>
          <w:lang w:val="en-US"/>
        </w:rPr>
        <w:t>) in combination with second-line chemotherapy in patients with mCRC who developed disease progression following first</w:t>
      </w:r>
      <w:r w:rsidR="007462D1">
        <w:rPr>
          <w:rFonts w:ascii="Book Antiqua" w:eastAsiaTheme="minorHAnsi" w:hAnsi="Book Antiqua"/>
          <w:sz w:val="24"/>
          <w:szCs w:val="24"/>
          <w:lang w:val="en-US"/>
        </w:rPr>
        <w:t xml:space="preserve">-line bevacizumab-based </w:t>
      </w:r>
      <w:proofErr w:type="gramStart"/>
      <w:r w:rsidR="007462D1">
        <w:rPr>
          <w:rFonts w:ascii="Book Antiqua" w:eastAsiaTheme="minorHAnsi" w:hAnsi="Book Antiqua"/>
          <w:sz w:val="24"/>
          <w:szCs w:val="24"/>
          <w:lang w:val="en-US"/>
        </w:rPr>
        <w:t>therapy</w:t>
      </w:r>
      <w:r w:rsidRPr="007966B6">
        <w:rPr>
          <w:rFonts w:ascii="Book Antiqua" w:eastAsiaTheme="minorHAnsi" w:hAnsi="Book Antiqua" w:cstheme="minorHAnsi"/>
          <w:sz w:val="24"/>
          <w:szCs w:val="24"/>
          <w:vertAlign w:val="superscript"/>
          <w:lang w:val="en-US"/>
        </w:rPr>
        <w:t>[</w:t>
      </w:r>
      <w:proofErr w:type="gramEnd"/>
      <w:r w:rsidRPr="007966B6">
        <w:rPr>
          <w:rFonts w:ascii="Book Antiqua" w:eastAsiaTheme="minorHAnsi" w:hAnsi="Book Antiqua"/>
          <w:sz w:val="24"/>
          <w:szCs w:val="24"/>
          <w:vertAlign w:val="superscript"/>
          <w:lang w:val="en-US"/>
        </w:rPr>
        <w:t>20</w:t>
      </w:r>
      <w:r w:rsidRPr="007966B6">
        <w:rPr>
          <w:rFonts w:ascii="Book Antiqua" w:eastAsiaTheme="minorHAnsi" w:hAnsi="Book Antiqua" w:cstheme="minorHAnsi"/>
          <w:sz w:val="24"/>
          <w:szCs w:val="24"/>
          <w:vertAlign w:val="superscript"/>
          <w:lang w:val="en-US"/>
        </w:rPr>
        <w:t>]</w:t>
      </w:r>
      <w:r w:rsidRPr="007966B6">
        <w:rPr>
          <w:rFonts w:ascii="Book Antiqua" w:eastAsiaTheme="minorHAnsi" w:hAnsi="Book Antiqua"/>
          <w:sz w:val="24"/>
          <w:szCs w:val="24"/>
          <w:lang w:val="en-US"/>
        </w:rPr>
        <w:t xml:space="preserve">. However, following the presentation of data from the ML18147 trial, the study was prematurely discontinued after inclusion of only 185 patients. These patients were randomized to receive second-line chemotherapy alone or in combination with bevacizumab and stratified into subgroups according to their performance status, (ECOG 0 </w:t>
      </w:r>
      <w:r w:rsidR="007462D1" w:rsidRPr="007462D1">
        <w:rPr>
          <w:rFonts w:ascii="Book Antiqua" w:eastAsiaTheme="minorHAnsi" w:hAnsi="Book Antiqua"/>
          <w:i/>
          <w:sz w:val="24"/>
          <w:szCs w:val="24"/>
          <w:lang w:val="en-US"/>
        </w:rPr>
        <w:t>vs</w:t>
      </w:r>
      <w:r w:rsidRPr="007966B6">
        <w:rPr>
          <w:rFonts w:ascii="Book Antiqua" w:eastAsiaTheme="minorHAnsi" w:hAnsi="Book Antiqua"/>
          <w:sz w:val="24"/>
          <w:szCs w:val="24"/>
          <w:lang w:val="en-US"/>
        </w:rPr>
        <w:t xml:space="preserve"> 1–2), chemotherapy-free interval (&gt;</w:t>
      </w:r>
      <w:r w:rsidR="007462D1">
        <w:rPr>
          <w:rFonts w:ascii="Book Antiqua" w:hAnsi="Book Antiqua" w:hint="eastAsia"/>
          <w:sz w:val="24"/>
          <w:szCs w:val="24"/>
          <w:lang w:val="en-US" w:eastAsia="zh-CN"/>
        </w:rPr>
        <w:t xml:space="preserve"> </w:t>
      </w:r>
      <w:r w:rsidRPr="007966B6">
        <w:rPr>
          <w:rFonts w:ascii="Book Antiqua" w:eastAsiaTheme="minorHAnsi" w:hAnsi="Book Antiqua"/>
          <w:sz w:val="24"/>
          <w:szCs w:val="24"/>
          <w:lang w:val="en-US"/>
        </w:rPr>
        <w:t xml:space="preserve">3 </w:t>
      </w:r>
      <w:proofErr w:type="spellStart"/>
      <w:r w:rsidR="007462D1">
        <w:rPr>
          <w:rFonts w:ascii="Book Antiqua" w:hAnsi="Book Antiqua" w:hint="eastAsia"/>
          <w:sz w:val="24"/>
          <w:szCs w:val="24"/>
          <w:lang w:val="en-US" w:eastAsia="zh-CN"/>
        </w:rPr>
        <w:t>mo</w:t>
      </w:r>
      <w:proofErr w:type="spellEnd"/>
      <w:r w:rsidR="007462D1">
        <w:rPr>
          <w:rFonts w:ascii="Book Antiqua" w:hAnsi="Book Antiqua" w:hint="eastAsia"/>
          <w:sz w:val="24"/>
          <w:szCs w:val="24"/>
          <w:lang w:val="en-US" w:eastAsia="zh-CN"/>
        </w:rPr>
        <w:t xml:space="preserve"> </w:t>
      </w:r>
      <w:r w:rsidR="007462D1" w:rsidRPr="007462D1">
        <w:rPr>
          <w:rFonts w:ascii="Book Antiqua" w:eastAsiaTheme="minorHAnsi" w:hAnsi="Book Antiqua"/>
          <w:i/>
          <w:sz w:val="24"/>
          <w:szCs w:val="24"/>
          <w:lang w:val="en-US"/>
        </w:rPr>
        <w:t>vs</w:t>
      </w:r>
      <w:r w:rsidRPr="007966B6">
        <w:rPr>
          <w:rFonts w:ascii="Book Antiqua" w:eastAsiaTheme="minorHAnsi" w:hAnsi="Book Antiqua"/>
          <w:sz w:val="24"/>
          <w:szCs w:val="24"/>
          <w:lang w:val="en-US"/>
        </w:rPr>
        <w:t xml:space="preserve"> &lt;</w:t>
      </w:r>
      <w:r w:rsidR="007462D1">
        <w:rPr>
          <w:rFonts w:ascii="Book Antiqua" w:hAnsi="Book Antiqua" w:hint="eastAsia"/>
          <w:sz w:val="24"/>
          <w:szCs w:val="24"/>
          <w:lang w:val="en-US" w:eastAsia="zh-CN"/>
        </w:rPr>
        <w:t xml:space="preserve"> </w:t>
      </w:r>
      <w:r w:rsidRPr="007966B6">
        <w:rPr>
          <w:rFonts w:ascii="Book Antiqua" w:eastAsiaTheme="minorHAnsi" w:hAnsi="Book Antiqua"/>
          <w:sz w:val="24"/>
          <w:szCs w:val="24"/>
          <w:lang w:val="en-US"/>
        </w:rPr>
        <w:t xml:space="preserve">3 </w:t>
      </w:r>
      <w:proofErr w:type="spellStart"/>
      <w:r w:rsidRPr="007966B6">
        <w:rPr>
          <w:rFonts w:ascii="Book Antiqua" w:eastAsiaTheme="minorHAnsi" w:hAnsi="Book Antiqua"/>
          <w:sz w:val="24"/>
          <w:szCs w:val="24"/>
          <w:lang w:val="en-US"/>
        </w:rPr>
        <w:t>mo</w:t>
      </w:r>
      <w:proofErr w:type="spellEnd"/>
      <w:r w:rsidRPr="007966B6">
        <w:rPr>
          <w:rFonts w:ascii="Book Antiqua" w:eastAsiaTheme="minorHAnsi" w:hAnsi="Book Antiqua"/>
          <w:sz w:val="24"/>
          <w:szCs w:val="24"/>
          <w:lang w:val="en-US"/>
        </w:rPr>
        <w:t>), bevacizumab-free interval (&gt;</w:t>
      </w:r>
      <w:r w:rsidR="007462D1">
        <w:rPr>
          <w:rFonts w:ascii="Book Antiqua" w:hAnsi="Book Antiqua" w:hint="eastAsia"/>
          <w:sz w:val="24"/>
          <w:szCs w:val="24"/>
          <w:lang w:val="en-US" w:eastAsia="zh-CN"/>
        </w:rPr>
        <w:t xml:space="preserve"> </w:t>
      </w:r>
      <w:r w:rsidRPr="007966B6">
        <w:rPr>
          <w:rFonts w:ascii="Book Antiqua" w:eastAsiaTheme="minorHAnsi" w:hAnsi="Book Antiqua"/>
          <w:sz w:val="24"/>
          <w:szCs w:val="24"/>
          <w:lang w:val="en-US"/>
        </w:rPr>
        <w:t xml:space="preserve">3 </w:t>
      </w:r>
      <w:proofErr w:type="spellStart"/>
      <w:r w:rsidR="007462D1">
        <w:rPr>
          <w:rFonts w:ascii="Book Antiqua" w:hAnsi="Book Antiqua" w:hint="eastAsia"/>
          <w:sz w:val="24"/>
          <w:szCs w:val="24"/>
          <w:lang w:val="en-US" w:eastAsia="zh-CN"/>
        </w:rPr>
        <w:t>mo</w:t>
      </w:r>
      <w:proofErr w:type="spellEnd"/>
      <w:r w:rsidR="007462D1">
        <w:rPr>
          <w:rFonts w:ascii="Book Antiqua" w:hAnsi="Book Antiqua" w:hint="eastAsia"/>
          <w:sz w:val="24"/>
          <w:szCs w:val="24"/>
          <w:lang w:val="en-US" w:eastAsia="zh-CN"/>
        </w:rPr>
        <w:t xml:space="preserve"> </w:t>
      </w:r>
      <w:r w:rsidR="007462D1" w:rsidRPr="007462D1">
        <w:rPr>
          <w:rFonts w:ascii="Book Antiqua" w:eastAsiaTheme="minorHAnsi" w:hAnsi="Book Antiqua"/>
          <w:i/>
          <w:sz w:val="24"/>
          <w:szCs w:val="24"/>
          <w:lang w:val="en-US"/>
        </w:rPr>
        <w:t>vs</w:t>
      </w:r>
      <w:r w:rsidRPr="007966B6">
        <w:rPr>
          <w:rFonts w:ascii="Book Antiqua" w:eastAsiaTheme="minorHAnsi" w:hAnsi="Book Antiqua"/>
          <w:sz w:val="24"/>
          <w:szCs w:val="24"/>
          <w:lang w:val="en-US"/>
        </w:rPr>
        <w:t xml:space="preserve"> &lt;</w:t>
      </w:r>
      <w:r w:rsidR="007462D1">
        <w:rPr>
          <w:rFonts w:ascii="Book Antiqua" w:hAnsi="Book Antiqua" w:hint="eastAsia"/>
          <w:sz w:val="24"/>
          <w:szCs w:val="24"/>
          <w:lang w:val="en-US" w:eastAsia="zh-CN"/>
        </w:rPr>
        <w:t xml:space="preserve"> </w:t>
      </w:r>
      <w:r w:rsidRPr="007966B6">
        <w:rPr>
          <w:rFonts w:ascii="Book Antiqua" w:eastAsiaTheme="minorHAnsi" w:hAnsi="Book Antiqua"/>
          <w:sz w:val="24"/>
          <w:szCs w:val="24"/>
          <w:lang w:val="en-US"/>
        </w:rPr>
        <w:t xml:space="preserve">3 </w:t>
      </w:r>
      <w:proofErr w:type="spellStart"/>
      <w:r w:rsidRPr="007966B6">
        <w:rPr>
          <w:rFonts w:ascii="Book Antiqua" w:eastAsiaTheme="minorHAnsi" w:hAnsi="Book Antiqua"/>
          <w:sz w:val="24"/>
          <w:szCs w:val="24"/>
          <w:lang w:val="en-US"/>
        </w:rPr>
        <w:t>mo</w:t>
      </w:r>
      <w:proofErr w:type="spellEnd"/>
      <w:r w:rsidRPr="007966B6">
        <w:rPr>
          <w:rFonts w:ascii="Book Antiqua" w:eastAsiaTheme="minorHAnsi" w:hAnsi="Book Antiqua"/>
          <w:sz w:val="24"/>
          <w:szCs w:val="24"/>
          <w:lang w:val="en-US"/>
        </w:rPr>
        <w:t xml:space="preserve">), and the </w:t>
      </w:r>
      <w:r w:rsidRPr="007966B6">
        <w:rPr>
          <w:rFonts w:ascii="Book Antiqua" w:eastAsiaTheme="minorHAnsi" w:hAnsi="Book Antiqua"/>
          <w:sz w:val="24"/>
          <w:szCs w:val="24"/>
          <w:lang w:val="en-US"/>
        </w:rPr>
        <w:lastRenderedPageBreak/>
        <w:t xml:space="preserve">second-line chemotherapy regimen administered (FOLFIRI </w:t>
      </w:r>
      <w:r w:rsidRPr="007462D1">
        <w:rPr>
          <w:rFonts w:ascii="Book Antiqua" w:eastAsiaTheme="minorHAnsi" w:hAnsi="Book Antiqua"/>
          <w:i/>
          <w:sz w:val="24"/>
          <w:szCs w:val="24"/>
          <w:lang w:val="en-US"/>
        </w:rPr>
        <w:t>vs</w:t>
      </w:r>
      <w:r w:rsidR="007462D1">
        <w:rPr>
          <w:rFonts w:ascii="Book Antiqua" w:hAnsi="Book Antiqua" w:hint="eastAsia"/>
          <w:i/>
          <w:sz w:val="24"/>
          <w:szCs w:val="24"/>
          <w:lang w:val="en-US" w:eastAsia="zh-CN"/>
        </w:rPr>
        <w:t xml:space="preserve"> </w:t>
      </w:r>
      <w:r w:rsidRPr="007966B6">
        <w:rPr>
          <w:rFonts w:ascii="Book Antiqua" w:eastAsiaTheme="minorHAnsi" w:hAnsi="Book Antiqua"/>
          <w:sz w:val="24"/>
          <w:szCs w:val="24"/>
          <w:lang w:val="en-US"/>
        </w:rPr>
        <w:t xml:space="preserve">FOLFOX). The bevacizumab-free interval was longer than 3 </w:t>
      </w:r>
      <w:proofErr w:type="spellStart"/>
      <w:r w:rsidRPr="007966B6">
        <w:rPr>
          <w:rFonts w:ascii="Book Antiqua" w:eastAsiaTheme="minorHAnsi" w:hAnsi="Book Antiqua"/>
          <w:sz w:val="24"/>
          <w:szCs w:val="24"/>
          <w:lang w:val="en-US"/>
        </w:rPr>
        <w:t>mo</w:t>
      </w:r>
      <w:proofErr w:type="spellEnd"/>
      <w:r w:rsidRPr="007966B6">
        <w:rPr>
          <w:rFonts w:ascii="Book Antiqua" w:eastAsiaTheme="minorHAnsi" w:hAnsi="Book Antiqua"/>
          <w:sz w:val="24"/>
          <w:szCs w:val="24"/>
          <w:lang w:val="en-US"/>
        </w:rPr>
        <w:t xml:space="preserve"> in 50% of the patients in the chemotherapy plus bevacizumab group. After a median follow-up of 45.3 </w:t>
      </w:r>
      <w:proofErr w:type="spellStart"/>
      <w:r w:rsidRPr="007966B6">
        <w:rPr>
          <w:rFonts w:ascii="Book Antiqua" w:eastAsiaTheme="minorHAnsi" w:hAnsi="Book Antiqua"/>
          <w:sz w:val="24"/>
          <w:szCs w:val="24"/>
          <w:lang w:val="en-US"/>
        </w:rPr>
        <w:t>mo</w:t>
      </w:r>
      <w:proofErr w:type="spellEnd"/>
      <w:r w:rsidRPr="007966B6">
        <w:rPr>
          <w:rFonts w:ascii="Book Antiqua" w:eastAsiaTheme="minorHAnsi" w:hAnsi="Book Antiqua"/>
          <w:sz w:val="24"/>
          <w:szCs w:val="24"/>
          <w:lang w:val="en-US"/>
        </w:rPr>
        <w:t xml:space="preserve">, when compared with chemotherapy alone, the continuation or reintroduction of bevacizumab with second-line chemotherapy was associated with a significantly higher median PFS (6.8 </w:t>
      </w:r>
      <w:proofErr w:type="spellStart"/>
      <w:r w:rsidR="007462D1">
        <w:rPr>
          <w:rFonts w:ascii="Book Antiqua" w:hAnsi="Book Antiqua" w:hint="eastAsia"/>
          <w:sz w:val="24"/>
          <w:szCs w:val="24"/>
          <w:lang w:val="en-US" w:eastAsia="zh-CN"/>
        </w:rPr>
        <w:t>mo</w:t>
      </w:r>
      <w:proofErr w:type="spellEnd"/>
      <w:r w:rsidR="007462D1">
        <w:rPr>
          <w:rFonts w:ascii="Book Antiqua" w:hAnsi="Book Antiqua" w:hint="eastAsia"/>
          <w:sz w:val="24"/>
          <w:szCs w:val="24"/>
          <w:lang w:val="en-US" w:eastAsia="zh-CN"/>
        </w:rPr>
        <w:t xml:space="preserve"> </w:t>
      </w:r>
      <w:r w:rsidR="007462D1" w:rsidRPr="007462D1">
        <w:rPr>
          <w:rFonts w:ascii="Book Antiqua" w:eastAsiaTheme="minorHAnsi" w:hAnsi="Book Antiqua"/>
          <w:i/>
          <w:sz w:val="24"/>
          <w:szCs w:val="24"/>
          <w:lang w:val="en-US"/>
        </w:rPr>
        <w:t>vs</w:t>
      </w:r>
      <w:r w:rsidRPr="007966B6">
        <w:rPr>
          <w:rFonts w:ascii="Book Antiqua" w:eastAsiaTheme="minorHAnsi" w:hAnsi="Book Antiqua"/>
          <w:sz w:val="24"/>
          <w:szCs w:val="24"/>
          <w:lang w:val="en-US"/>
        </w:rPr>
        <w:t xml:space="preserve"> 5.0 </w:t>
      </w:r>
      <w:proofErr w:type="spellStart"/>
      <w:r w:rsidRPr="007966B6">
        <w:rPr>
          <w:rFonts w:ascii="Book Antiqua" w:eastAsiaTheme="minorHAnsi" w:hAnsi="Book Antiqua"/>
          <w:sz w:val="24"/>
          <w:szCs w:val="24"/>
          <w:lang w:val="en-US"/>
        </w:rPr>
        <w:t>mo</w:t>
      </w:r>
      <w:proofErr w:type="spellEnd"/>
      <w:r w:rsidRPr="007966B6">
        <w:rPr>
          <w:rFonts w:ascii="Book Antiqua" w:eastAsiaTheme="minorHAnsi" w:hAnsi="Book Antiqua"/>
          <w:sz w:val="24"/>
          <w:szCs w:val="24"/>
          <w:lang w:val="en-US"/>
        </w:rPr>
        <w:t xml:space="preserve">; adjusted HR 0.70; </w:t>
      </w:r>
      <w:r w:rsidR="007462D1">
        <w:rPr>
          <w:rFonts w:ascii="Book Antiqua" w:eastAsiaTheme="minorHAnsi" w:hAnsi="Book Antiqua"/>
          <w:sz w:val="24"/>
          <w:szCs w:val="24"/>
          <w:lang w:val="en-US"/>
        </w:rPr>
        <w:t>95%</w:t>
      </w:r>
      <w:r w:rsidRPr="007966B6">
        <w:rPr>
          <w:rFonts w:ascii="Book Antiqua" w:eastAsiaTheme="minorHAnsi" w:hAnsi="Book Antiqua"/>
          <w:sz w:val="24"/>
          <w:szCs w:val="24"/>
          <w:lang w:val="en-US"/>
        </w:rPr>
        <w:t>CI</w:t>
      </w:r>
      <w:r w:rsidR="007462D1">
        <w:rPr>
          <w:rFonts w:ascii="Book Antiqua" w:hAnsi="Book Antiqua" w:hint="eastAsia"/>
          <w:sz w:val="24"/>
          <w:szCs w:val="24"/>
          <w:lang w:val="en-US" w:eastAsia="zh-CN"/>
        </w:rPr>
        <w:t>:</w:t>
      </w:r>
      <w:r w:rsidRPr="007966B6">
        <w:rPr>
          <w:rFonts w:ascii="Book Antiqua" w:eastAsiaTheme="minorHAnsi" w:hAnsi="Book Antiqua"/>
          <w:sz w:val="24"/>
          <w:szCs w:val="24"/>
          <w:lang w:val="en-US"/>
        </w:rPr>
        <w:t xml:space="preserve"> 0.52–0.95; stratified log-rank </w:t>
      </w:r>
      <w:r w:rsidRPr="007462D1">
        <w:rPr>
          <w:rFonts w:ascii="Book Antiqua" w:eastAsiaTheme="minorHAnsi" w:hAnsi="Book Antiqua"/>
          <w:i/>
          <w:sz w:val="24"/>
          <w:szCs w:val="24"/>
          <w:lang w:val="en-US"/>
        </w:rPr>
        <w:t>P</w:t>
      </w:r>
      <w:r w:rsidRPr="007966B6">
        <w:rPr>
          <w:rFonts w:ascii="Book Antiqua" w:eastAsiaTheme="minorHAnsi" w:hAnsi="Book Antiqua"/>
          <w:sz w:val="24"/>
          <w:szCs w:val="24"/>
          <w:lang w:val="en-US"/>
        </w:rPr>
        <w:t xml:space="preserve"> = 0.010) and median OS (15.5 </w:t>
      </w:r>
      <w:proofErr w:type="spellStart"/>
      <w:r w:rsidR="007462D1">
        <w:rPr>
          <w:rFonts w:ascii="Book Antiqua" w:hAnsi="Book Antiqua" w:hint="eastAsia"/>
          <w:sz w:val="24"/>
          <w:szCs w:val="24"/>
          <w:lang w:val="en-US" w:eastAsia="zh-CN"/>
        </w:rPr>
        <w:t>mo</w:t>
      </w:r>
      <w:proofErr w:type="spellEnd"/>
      <w:r w:rsidR="007462D1">
        <w:rPr>
          <w:rFonts w:ascii="Book Antiqua" w:hAnsi="Book Antiqua" w:hint="eastAsia"/>
          <w:sz w:val="24"/>
          <w:szCs w:val="24"/>
          <w:lang w:val="en-US" w:eastAsia="zh-CN"/>
        </w:rPr>
        <w:t xml:space="preserve"> </w:t>
      </w:r>
      <w:r w:rsidR="007462D1" w:rsidRPr="007462D1">
        <w:rPr>
          <w:rFonts w:ascii="Book Antiqua" w:eastAsiaTheme="minorHAnsi" w:hAnsi="Book Antiqua"/>
          <w:i/>
          <w:sz w:val="24"/>
          <w:szCs w:val="24"/>
          <w:lang w:val="en-US"/>
        </w:rPr>
        <w:t>vs</w:t>
      </w:r>
      <w:r w:rsidRPr="007966B6">
        <w:rPr>
          <w:rFonts w:ascii="Book Antiqua" w:eastAsiaTheme="minorHAnsi" w:hAnsi="Book Antiqua"/>
          <w:sz w:val="24"/>
          <w:szCs w:val="24"/>
          <w:lang w:val="en-US"/>
        </w:rPr>
        <w:t xml:space="preserve"> 14.1 </w:t>
      </w:r>
      <w:proofErr w:type="spellStart"/>
      <w:r w:rsidRPr="007966B6">
        <w:rPr>
          <w:rFonts w:ascii="Book Antiqua" w:eastAsiaTheme="minorHAnsi" w:hAnsi="Book Antiqua"/>
          <w:sz w:val="24"/>
          <w:szCs w:val="24"/>
          <w:lang w:val="en-US"/>
        </w:rPr>
        <w:t>mo</w:t>
      </w:r>
      <w:proofErr w:type="spellEnd"/>
      <w:r w:rsidRPr="007966B6">
        <w:rPr>
          <w:rFonts w:ascii="Book Antiqua" w:eastAsiaTheme="minorHAnsi" w:hAnsi="Book Antiqua"/>
          <w:sz w:val="24"/>
          <w:szCs w:val="24"/>
          <w:lang w:val="en-US"/>
        </w:rPr>
        <w:t xml:space="preserve">; adjusted HR 0.77; </w:t>
      </w:r>
      <w:r w:rsidR="007462D1">
        <w:rPr>
          <w:rFonts w:ascii="Book Antiqua" w:eastAsiaTheme="minorHAnsi" w:hAnsi="Book Antiqua"/>
          <w:sz w:val="24"/>
          <w:szCs w:val="24"/>
          <w:lang w:val="en-US"/>
        </w:rPr>
        <w:t>95%</w:t>
      </w:r>
      <w:r w:rsidRPr="007966B6">
        <w:rPr>
          <w:rFonts w:ascii="Book Antiqua" w:eastAsiaTheme="minorHAnsi" w:hAnsi="Book Antiqua"/>
          <w:sz w:val="24"/>
          <w:szCs w:val="24"/>
          <w:lang w:val="en-US"/>
        </w:rPr>
        <w:t>CI</w:t>
      </w:r>
      <w:r w:rsidR="007462D1">
        <w:rPr>
          <w:rFonts w:ascii="Book Antiqua" w:hAnsi="Book Antiqua" w:hint="eastAsia"/>
          <w:sz w:val="24"/>
          <w:szCs w:val="24"/>
          <w:lang w:val="en-US" w:eastAsia="zh-CN"/>
        </w:rPr>
        <w:t>:</w:t>
      </w:r>
      <w:r w:rsidRPr="007966B6">
        <w:rPr>
          <w:rFonts w:ascii="Book Antiqua" w:eastAsiaTheme="minorHAnsi" w:hAnsi="Book Antiqua"/>
          <w:sz w:val="24"/>
          <w:szCs w:val="24"/>
          <w:lang w:val="en-US"/>
        </w:rPr>
        <w:t xml:space="preserve"> 0.56–1.06; stratified log-rank </w:t>
      </w:r>
      <w:r w:rsidRPr="007462D1">
        <w:rPr>
          <w:rFonts w:ascii="Book Antiqua" w:eastAsiaTheme="minorHAnsi" w:hAnsi="Book Antiqua"/>
          <w:i/>
          <w:sz w:val="24"/>
          <w:szCs w:val="24"/>
          <w:lang w:val="en-US"/>
        </w:rPr>
        <w:t>P</w:t>
      </w:r>
      <w:r w:rsidRPr="007966B6">
        <w:rPr>
          <w:rFonts w:ascii="Book Antiqua" w:eastAsiaTheme="minorHAnsi" w:hAnsi="Book Antiqua"/>
          <w:sz w:val="24"/>
          <w:szCs w:val="24"/>
          <w:lang w:val="en-US"/>
        </w:rPr>
        <w:t xml:space="preserve"> = 0.043); this benefit was consistently observed across all patient subgroups. The response rates </w:t>
      </w:r>
      <w:r w:rsidRPr="007966B6">
        <w:rPr>
          <w:rFonts w:ascii="Book Antiqua" w:eastAsiaTheme="minorHAnsi" w:hAnsi="Book Antiqua"/>
          <w:noProof/>
          <w:sz w:val="24"/>
          <w:szCs w:val="24"/>
          <w:lang w:val="en-US"/>
        </w:rPr>
        <w:t>observed</w:t>
      </w:r>
      <w:r w:rsidRPr="007966B6">
        <w:rPr>
          <w:rFonts w:ascii="Book Antiqua" w:eastAsiaTheme="minorHAnsi" w:hAnsi="Book Antiqua"/>
          <w:sz w:val="24"/>
          <w:szCs w:val="24"/>
          <w:lang w:val="en-US"/>
        </w:rPr>
        <w:t xml:space="preserve"> between the groups </w:t>
      </w:r>
      <w:r w:rsidRPr="007966B6">
        <w:rPr>
          <w:rFonts w:ascii="Book Antiqua" w:eastAsiaTheme="minorHAnsi" w:hAnsi="Book Antiqua"/>
          <w:noProof/>
          <w:sz w:val="24"/>
          <w:szCs w:val="24"/>
          <w:lang w:val="en-US"/>
        </w:rPr>
        <w:t>were</w:t>
      </w:r>
      <w:r w:rsidRPr="007966B6">
        <w:rPr>
          <w:rFonts w:ascii="Book Antiqua" w:eastAsiaTheme="minorHAnsi" w:hAnsi="Book Antiqua"/>
          <w:sz w:val="24"/>
          <w:szCs w:val="24"/>
          <w:lang w:val="en-US"/>
        </w:rPr>
        <w:t xml:space="preserve"> not </w:t>
      </w:r>
      <w:r w:rsidR="007462D1">
        <w:rPr>
          <w:rFonts w:ascii="Book Antiqua" w:eastAsiaTheme="minorHAnsi" w:hAnsi="Book Antiqua"/>
          <w:sz w:val="24"/>
          <w:szCs w:val="24"/>
          <w:lang w:val="en-US"/>
        </w:rPr>
        <w:t xml:space="preserve">significantly different (17% </w:t>
      </w:r>
      <w:r w:rsidR="007462D1" w:rsidRPr="007462D1">
        <w:rPr>
          <w:rFonts w:ascii="Book Antiqua" w:eastAsiaTheme="minorHAnsi" w:hAnsi="Book Antiqua"/>
          <w:i/>
          <w:sz w:val="24"/>
          <w:szCs w:val="24"/>
          <w:lang w:val="en-US"/>
        </w:rPr>
        <w:t>vs</w:t>
      </w:r>
      <w:r w:rsidRPr="007966B6">
        <w:rPr>
          <w:rFonts w:ascii="Book Antiqua" w:eastAsiaTheme="minorHAnsi" w:hAnsi="Book Antiqua"/>
          <w:sz w:val="24"/>
          <w:szCs w:val="24"/>
          <w:lang w:val="en-US"/>
        </w:rPr>
        <w:t xml:space="preserve"> 21%; </w:t>
      </w:r>
      <w:r w:rsidRPr="007462D1">
        <w:rPr>
          <w:rFonts w:ascii="Book Antiqua" w:eastAsiaTheme="minorHAnsi" w:hAnsi="Book Antiqua"/>
          <w:i/>
          <w:sz w:val="24"/>
          <w:szCs w:val="24"/>
          <w:lang w:val="en-US"/>
        </w:rPr>
        <w:t>P</w:t>
      </w:r>
      <w:r w:rsidRPr="007966B6">
        <w:rPr>
          <w:rFonts w:ascii="Book Antiqua" w:eastAsiaTheme="minorHAnsi" w:hAnsi="Book Antiqua"/>
          <w:sz w:val="24"/>
          <w:szCs w:val="24"/>
          <w:lang w:val="en-US"/>
        </w:rPr>
        <w:t xml:space="preserve"> = 0.573). Subgroup analyses revealed an equivalent survival benefit regardless of whether bevacizumab was continued or reintroduced. The safety profile and frequency of adverse events were also similar in the treatment groups.</w:t>
      </w:r>
    </w:p>
    <w:p w14:paraId="26DE8502" w14:textId="77777777" w:rsidR="001E4EF7" w:rsidRPr="007462D1" w:rsidRDefault="001E4EF7" w:rsidP="005831C8">
      <w:pPr>
        <w:spacing w:after="0" w:line="360" w:lineRule="auto"/>
        <w:jc w:val="both"/>
        <w:rPr>
          <w:rFonts w:ascii="Book Antiqua" w:hAnsi="Book Antiqua"/>
          <w:sz w:val="24"/>
          <w:szCs w:val="24"/>
          <w:lang w:val="en-US" w:eastAsia="zh-CN"/>
        </w:rPr>
      </w:pPr>
    </w:p>
    <w:p w14:paraId="41A15998" w14:textId="635CB798" w:rsidR="001E4EF7" w:rsidRPr="007966B6" w:rsidRDefault="007462D1" w:rsidP="005831C8">
      <w:pPr>
        <w:spacing w:after="0" w:line="360" w:lineRule="auto"/>
        <w:jc w:val="both"/>
        <w:rPr>
          <w:rFonts w:ascii="Book Antiqua" w:eastAsiaTheme="minorHAnsi" w:hAnsi="Book Antiqua"/>
          <w:b/>
          <w:sz w:val="24"/>
          <w:szCs w:val="24"/>
          <w:lang w:val="en-US"/>
        </w:rPr>
      </w:pPr>
      <w:r w:rsidRPr="007966B6">
        <w:rPr>
          <w:rFonts w:ascii="Book Antiqua" w:eastAsiaTheme="minorHAnsi" w:hAnsi="Book Antiqua"/>
          <w:b/>
          <w:sz w:val="24"/>
          <w:szCs w:val="24"/>
          <w:lang w:val="en-US"/>
        </w:rPr>
        <w:t>SWITCHING TO A DIFFERENT ANTI-VEGF MONOCLONAL ANTIBODY</w:t>
      </w:r>
    </w:p>
    <w:p w14:paraId="65F6FB13" w14:textId="77777777" w:rsidR="001E4EF7" w:rsidRPr="007462D1" w:rsidRDefault="001E4EF7" w:rsidP="005831C8">
      <w:pPr>
        <w:spacing w:after="0" w:line="360" w:lineRule="auto"/>
        <w:jc w:val="both"/>
        <w:rPr>
          <w:rFonts w:ascii="Book Antiqua" w:eastAsiaTheme="minorHAnsi" w:hAnsi="Book Antiqua"/>
          <w:b/>
          <w:i/>
          <w:sz w:val="24"/>
          <w:szCs w:val="24"/>
          <w:lang w:val="en-US"/>
        </w:rPr>
      </w:pPr>
      <w:r w:rsidRPr="007462D1">
        <w:rPr>
          <w:rFonts w:ascii="Book Antiqua" w:eastAsiaTheme="minorHAnsi" w:hAnsi="Book Antiqua"/>
          <w:b/>
          <w:i/>
          <w:sz w:val="24"/>
          <w:szCs w:val="24"/>
          <w:lang w:val="en-US"/>
        </w:rPr>
        <w:t>Aflibercept</w:t>
      </w:r>
    </w:p>
    <w:p w14:paraId="4F0B0675" w14:textId="6DE6738C" w:rsidR="001E4EF7" w:rsidRPr="007966B6" w:rsidRDefault="001E4EF7" w:rsidP="005831C8">
      <w:pPr>
        <w:spacing w:after="0" w:line="360" w:lineRule="auto"/>
        <w:jc w:val="both"/>
        <w:rPr>
          <w:rFonts w:ascii="Book Antiqua" w:eastAsiaTheme="minorHAnsi" w:hAnsi="Book Antiqua"/>
          <w:sz w:val="24"/>
          <w:szCs w:val="24"/>
          <w:lang w:val="en-US"/>
        </w:rPr>
      </w:pPr>
      <w:r w:rsidRPr="007966B6">
        <w:rPr>
          <w:rFonts w:ascii="Book Antiqua" w:eastAsiaTheme="minorHAnsi" w:hAnsi="Book Antiqua"/>
          <w:sz w:val="24"/>
          <w:szCs w:val="24"/>
          <w:lang w:val="en-US"/>
        </w:rPr>
        <w:t>Aflibercept is a recombinant protein that is constructed from the second extracellular ligand-binding domain of VEGFR-1 and the third extracellular ligand-binding domain of VEGFR-2, fused to the constant region of a h</w:t>
      </w:r>
      <w:r w:rsidR="007462D1">
        <w:rPr>
          <w:rFonts w:ascii="Book Antiqua" w:eastAsiaTheme="minorHAnsi" w:hAnsi="Book Antiqua"/>
          <w:sz w:val="24"/>
          <w:szCs w:val="24"/>
          <w:lang w:val="en-US"/>
        </w:rPr>
        <w:t xml:space="preserve">uman immunoglobulin G1 </w:t>
      </w:r>
      <w:proofErr w:type="gramStart"/>
      <w:r w:rsidR="007462D1">
        <w:rPr>
          <w:rFonts w:ascii="Book Antiqua" w:eastAsiaTheme="minorHAnsi" w:hAnsi="Book Antiqua"/>
          <w:sz w:val="24"/>
          <w:szCs w:val="24"/>
          <w:lang w:val="en-US"/>
        </w:rPr>
        <w:t>molecule</w:t>
      </w:r>
      <w:r w:rsidRPr="007966B6">
        <w:rPr>
          <w:rFonts w:ascii="Book Antiqua" w:eastAsiaTheme="minorHAnsi" w:hAnsi="Book Antiqua" w:cstheme="minorHAnsi"/>
          <w:sz w:val="24"/>
          <w:szCs w:val="24"/>
          <w:vertAlign w:val="superscript"/>
          <w:lang w:val="en-US"/>
        </w:rPr>
        <w:t>[</w:t>
      </w:r>
      <w:proofErr w:type="gramEnd"/>
      <w:r w:rsidRPr="007966B6">
        <w:rPr>
          <w:rFonts w:ascii="Book Antiqua" w:eastAsiaTheme="minorHAnsi" w:hAnsi="Book Antiqua"/>
          <w:sz w:val="24"/>
          <w:szCs w:val="24"/>
          <w:vertAlign w:val="superscript"/>
          <w:lang w:val="en-US"/>
        </w:rPr>
        <w:t>21-25</w:t>
      </w:r>
      <w:r w:rsidRPr="007966B6">
        <w:rPr>
          <w:rFonts w:ascii="Book Antiqua" w:eastAsiaTheme="minorHAnsi" w:hAnsi="Book Antiqua" w:cstheme="minorHAnsi"/>
          <w:sz w:val="24"/>
          <w:szCs w:val="24"/>
          <w:vertAlign w:val="superscript"/>
          <w:lang w:val="en-US"/>
        </w:rPr>
        <w:t>]</w:t>
      </w:r>
      <w:r w:rsidRPr="007966B6">
        <w:rPr>
          <w:rFonts w:ascii="Book Antiqua" w:eastAsiaTheme="minorHAnsi" w:hAnsi="Book Antiqua"/>
          <w:sz w:val="24"/>
          <w:szCs w:val="24"/>
          <w:lang w:val="en-US"/>
        </w:rPr>
        <w:t>. In contrast to bevacizumab that only inhibits VEGF-A, aflibercept can bind to other angiogenic cytokines (</w:t>
      </w:r>
      <w:r w:rsidRPr="007462D1">
        <w:rPr>
          <w:rFonts w:ascii="Book Antiqua" w:eastAsiaTheme="minorHAnsi" w:hAnsi="Book Antiqua"/>
          <w:i/>
          <w:sz w:val="24"/>
          <w:szCs w:val="24"/>
          <w:lang w:val="en-US"/>
        </w:rPr>
        <w:t>e.g</w:t>
      </w:r>
      <w:r w:rsidRPr="007966B6">
        <w:rPr>
          <w:rFonts w:ascii="Book Antiqua" w:eastAsiaTheme="minorHAnsi" w:hAnsi="Book Antiqua"/>
          <w:sz w:val="24"/>
          <w:szCs w:val="24"/>
          <w:lang w:val="en-US"/>
        </w:rPr>
        <w:t>., VEGF-B and PIGF) that are thought to play a ro</w:t>
      </w:r>
      <w:r w:rsidR="007462D1">
        <w:rPr>
          <w:rFonts w:ascii="Book Antiqua" w:eastAsiaTheme="minorHAnsi" w:hAnsi="Book Antiqua"/>
          <w:sz w:val="24"/>
          <w:szCs w:val="24"/>
          <w:lang w:val="en-US"/>
        </w:rPr>
        <w:t xml:space="preserve">le in resistance to </w:t>
      </w:r>
      <w:proofErr w:type="gramStart"/>
      <w:r w:rsidR="007462D1">
        <w:rPr>
          <w:rFonts w:ascii="Book Antiqua" w:eastAsiaTheme="minorHAnsi" w:hAnsi="Book Antiqua"/>
          <w:sz w:val="24"/>
          <w:szCs w:val="24"/>
          <w:lang w:val="en-US"/>
        </w:rPr>
        <w:t>bevacizumab</w:t>
      </w:r>
      <w:r w:rsidRPr="007966B6">
        <w:rPr>
          <w:rFonts w:ascii="Book Antiqua" w:eastAsiaTheme="minorHAnsi" w:hAnsi="Book Antiqua" w:cstheme="minorHAnsi"/>
          <w:sz w:val="24"/>
          <w:szCs w:val="24"/>
          <w:vertAlign w:val="superscript"/>
          <w:lang w:val="en-US"/>
        </w:rPr>
        <w:t>[</w:t>
      </w:r>
      <w:proofErr w:type="gramEnd"/>
      <w:r w:rsidRPr="007966B6">
        <w:rPr>
          <w:rFonts w:ascii="Book Antiqua" w:eastAsiaTheme="minorHAnsi" w:hAnsi="Book Antiqua"/>
          <w:sz w:val="24"/>
          <w:szCs w:val="24"/>
          <w:vertAlign w:val="superscript"/>
          <w:lang w:val="en-US"/>
        </w:rPr>
        <w:t>21-25</w:t>
      </w:r>
      <w:r w:rsidRPr="007966B6">
        <w:rPr>
          <w:rFonts w:ascii="Book Antiqua" w:eastAsiaTheme="minorHAnsi" w:hAnsi="Book Antiqua" w:cstheme="minorHAnsi"/>
          <w:sz w:val="24"/>
          <w:szCs w:val="24"/>
          <w:vertAlign w:val="superscript"/>
          <w:lang w:val="en-US"/>
        </w:rPr>
        <w:t>]</w:t>
      </w:r>
      <w:r w:rsidRPr="007966B6">
        <w:rPr>
          <w:rFonts w:ascii="Book Antiqua" w:eastAsiaTheme="minorHAnsi" w:hAnsi="Book Antiqua"/>
          <w:sz w:val="24"/>
          <w:szCs w:val="24"/>
          <w:lang w:val="en-US"/>
        </w:rPr>
        <w:t xml:space="preserve">. This </w:t>
      </w:r>
      <w:r w:rsidRPr="007966B6">
        <w:rPr>
          <w:rFonts w:ascii="Book Antiqua" w:eastAsiaTheme="minorHAnsi" w:hAnsi="Book Antiqua"/>
          <w:noProof/>
          <w:sz w:val="24"/>
          <w:szCs w:val="24"/>
          <w:lang w:val="en-US"/>
        </w:rPr>
        <w:t>biological</w:t>
      </w:r>
      <w:r w:rsidRPr="007966B6">
        <w:rPr>
          <w:rFonts w:ascii="Book Antiqua" w:eastAsiaTheme="minorHAnsi" w:hAnsi="Book Antiqua"/>
          <w:sz w:val="24"/>
          <w:szCs w:val="24"/>
          <w:lang w:val="en-US"/>
        </w:rPr>
        <w:t xml:space="preserve"> advantage of aflibercept may explain its superior antitumor activity when compared with bevacizumab in patient-</w:t>
      </w:r>
      <w:r w:rsidR="007462D1">
        <w:rPr>
          <w:rFonts w:ascii="Book Antiqua" w:eastAsiaTheme="minorHAnsi" w:hAnsi="Book Antiqua"/>
          <w:sz w:val="24"/>
          <w:szCs w:val="24"/>
          <w:lang w:val="en-US"/>
        </w:rPr>
        <w:t xml:space="preserve">derived xenograft models of </w:t>
      </w:r>
      <w:proofErr w:type="gramStart"/>
      <w:r w:rsidR="007462D1">
        <w:rPr>
          <w:rFonts w:ascii="Book Antiqua" w:eastAsiaTheme="minorHAnsi" w:hAnsi="Book Antiqua"/>
          <w:sz w:val="24"/>
          <w:szCs w:val="24"/>
          <w:lang w:val="en-US"/>
        </w:rPr>
        <w:t>CRC</w:t>
      </w:r>
      <w:r w:rsidRPr="007966B6">
        <w:rPr>
          <w:rFonts w:ascii="Book Antiqua" w:eastAsiaTheme="minorHAnsi" w:hAnsi="Book Antiqua" w:cstheme="minorHAnsi"/>
          <w:sz w:val="24"/>
          <w:szCs w:val="24"/>
          <w:vertAlign w:val="superscript"/>
          <w:lang w:val="en-US"/>
        </w:rPr>
        <w:t>[</w:t>
      </w:r>
      <w:proofErr w:type="gramEnd"/>
      <w:r w:rsidRPr="007966B6">
        <w:rPr>
          <w:rFonts w:ascii="Book Antiqua" w:eastAsiaTheme="minorHAnsi" w:hAnsi="Book Antiqua"/>
          <w:sz w:val="24"/>
          <w:szCs w:val="24"/>
          <w:vertAlign w:val="superscript"/>
          <w:lang w:val="en-US"/>
        </w:rPr>
        <w:t>21</w:t>
      </w:r>
      <w:r w:rsidRPr="007966B6">
        <w:rPr>
          <w:rFonts w:ascii="Book Antiqua" w:eastAsiaTheme="minorHAnsi" w:hAnsi="Book Antiqua" w:cstheme="minorHAnsi"/>
          <w:sz w:val="24"/>
          <w:szCs w:val="24"/>
          <w:vertAlign w:val="superscript"/>
          <w:lang w:val="en-US"/>
        </w:rPr>
        <w:t>]</w:t>
      </w:r>
      <w:r w:rsidRPr="007966B6">
        <w:rPr>
          <w:rFonts w:ascii="Book Antiqua" w:eastAsiaTheme="minorHAnsi" w:hAnsi="Book Antiqua"/>
          <w:sz w:val="24"/>
          <w:szCs w:val="24"/>
          <w:lang w:val="en-US"/>
        </w:rPr>
        <w:t xml:space="preserve">. In addition, studies in tumor xenografts have demonstrated that switching to aflibercept during disease progression following bevacizumab therapy resulted in a higher tumor response than the cases receiving continued bevacizumab-based </w:t>
      </w:r>
      <w:proofErr w:type="gramStart"/>
      <w:r w:rsidRPr="007966B6">
        <w:rPr>
          <w:rFonts w:ascii="Book Antiqua" w:eastAsiaTheme="minorHAnsi" w:hAnsi="Book Antiqua"/>
          <w:noProof/>
          <w:sz w:val="24"/>
          <w:szCs w:val="24"/>
          <w:lang w:val="en-US"/>
        </w:rPr>
        <w:t>therapy</w:t>
      </w:r>
      <w:r w:rsidRPr="007966B6">
        <w:rPr>
          <w:rFonts w:ascii="Book Antiqua" w:eastAsiaTheme="minorHAnsi" w:hAnsi="Book Antiqua" w:cstheme="minorHAnsi"/>
          <w:sz w:val="24"/>
          <w:szCs w:val="24"/>
          <w:vertAlign w:val="superscript"/>
          <w:lang w:val="en-US"/>
        </w:rPr>
        <w:t>[</w:t>
      </w:r>
      <w:proofErr w:type="gramEnd"/>
      <w:r w:rsidRPr="007966B6">
        <w:rPr>
          <w:rFonts w:ascii="Book Antiqua" w:eastAsiaTheme="minorHAnsi" w:hAnsi="Book Antiqua"/>
          <w:sz w:val="24"/>
          <w:szCs w:val="24"/>
          <w:vertAlign w:val="superscript"/>
          <w:lang w:val="en-US"/>
        </w:rPr>
        <w:t>26</w:t>
      </w:r>
      <w:r w:rsidRPr="007966B6">
        <w:rPr>
          <w:rFonts w:ascii="Book Antiqua" w:eastAsiaTheme="minorHAnsi" w:hAnsi="Book Antiqua" w:cstheme="minorHAnsi"/>
          <w:sz w:val="24"/>
          <w:szCs w:val="24"/>
          <w:vertAlign w:val="superscript"/>
          <w:lang w:val="en-US"/>
        </w:rPr>
        <w:t>]</w:t>
      </w:r>
      <w:r w:rsidRPr="007966B6">
        <w:rPr>
          <w:rFonts w:ascii="Book Antiqua" w:eastAsiaTheme="minorHAnsi" w:hAnsi="Book Antiqua"/>
          <w:sz w:val="24"/>
          <w:szCs w:val="24"/>
          <w:lang w:val="en-US"/>
        </w:rPr>
        <w:t xml:space="preserve">. </w:t>
      </w:r>
    </w:p>
    <w:p w14:paraId="75038853" w14:textId="14D1AD37" w:rsidR="001E4EF7" w:rsidRPr="007966B6" w:rsidRDefault="001E4EF7" w:rsidP="007462D1">
      <w:pPr>
        <w:spacing w:after="0" w:line="360" w:lineRule="auto"/>
        <w:ind w:firstLineChars="100" w:firstLine="240"/>
        <w:jc w:val="both"/>
        <w:rPr>
          <w:rFonts w:ascii="Book Antiqua" w:eastAsiaTheme="minorHAnsi" w:hAnsi="Book Antiqua"/>
          <w:noProof/>
          <w:sz w:val="24"/>
          <w:szCs w:val="24"/>
          <w:lang w:val="en-US"/>
        </w:rPr>
      </w:pPr>
      <w:r w:rsidRPr="007966B6">
        <w:rPr>
          <w:rFonts w:ascii="Book Antiqua" w:eastAsiaTheme="minorHAnsi" w:hAnsi="Book Antiqua"/>
          <w:sz w:val="24"/>
          <w:szCs w:val="24"/>
          <w:lang w:val="en-US"/>
        </w:rPr>
        <w:t>The phase III VELOUR trial was designed to evaluate the effectiveness of aflibercept in combination with FOLFIRI regimen during the second-line chemotherapy of patients with mCRC who had developed disease progression either during or after completion of oxaliplatin-based chemot</w:t>
      </w:r>
      <w:r w:rsidR="007462D1">
        <w:rPr>
          <w:rFonts w:ascii="Book Antiqua" w:eastAsiaTheme="minorHAnsi" w:hAnsi="Book Antiqua"/>
          <w:sz w:val="24"/>
          <w:szCs w:val="24"/>
          <w:lang w:val="en-US"/>
        </w:rPr>
        <w:t xml:space="preserve">herapy without a biologic </w:t>
      </w:r>
      <w:proofErr w:type="gramStart"/>
      <w:r w:rsidR="007462D1">
        <w:rPr>
          <w:rFonts w:ascii="Book Antiqua" w:eastAsiaTheme="minorHAnsi" w:hAnsi="Book Antiqua"/>
          <w:sz w:val="24"/>
          <w:szCs w:val="24"/>
          <w:lang w:val="en-US"/>
        </w:rPr>
        <w:t>agent</w:t>
      </w:r>
      <w:r w:rsidRPr="007966B6">
        <w:rPr>
          <w:rFonts w:ascii="Book Antiqua" w:eastAsiaTheme="minorHAnsi" w:hAnsi="Book Antiqua" w:cstheme="minorHAnsi"/>
          <w:sz w:val="24"/>
          <w:szCs w:val="24"/>
          <w:vertAlign w:val="superscript"/>
          <w:lang w:val="en-US"/>
        </w:rPr>
        <w:t>[</w:t>
      </w:r>
      <w:proofErr w:type="gramEnd"/>
      <w:r w:rsidRPr="007966B6">
        <w:rPr>
          <w:rFonts w:ascii="Book Antiqua" w:eastAsiaTheme="minorHAnsi" w:hAnsi="Book Antiqua"/>
          <w:sz w:val="24"/>
          <w:szCs w:val="24"/>
          <w:vertAlign w:val="superscript"/>
          <w:lang w:val="en-US"/>
        </w:rPr>
        <w:t>27</w:t>
      </w:r>
      <w:r w:rsidRPr="007966B6">
        <w:rPr>
          <w:rFonts w:ascii="Book Antiqua" w:eastAsiaTheme="minorHAnsi" w:hAnsi="Book Antiqua" w:cstheme="minorHAnsi"/>
          <w:sz w:val="24"/>
          <w:szCs w:val="24"/>
          <w:vertAlign w:val="superscript"/>
          <w:lang w:val="en-US"/>
        </w:rPr>
        <w:t>]</w:t>
      </w:r>
      <w:r w:rsidRPr="007966B6">
        <w:rPr>
          <w:rFonts w:ascii="Book Antiqua" w:eastAsiaTheme="minorHAnsi" w:hAnsi="Book Antiqua"/>
          <w:sz w:val="24"/>
          <w:szCs w:val="24"/>
          <w:lang w:val="en-US"/>
        </w:rPr>
        <w:t xml:space="preserve">. Moreover, patients who relapsed within 6 </w:t>
      </w:r>
      <w:proofErr w:type="spellStart"/>
      <w:r w:rsidRPr="007966B6">
        <w:rPr>
          <w:rFonts w:ascii="Book Antiqua" w:eastAsiaTheme="minorHAnsi" w:hAnsi="Book Antiqua"/>
          <w:sz w:val="24"/>
          <w:szCs w:val="24"/>
          <w:lang w:val="en-US"/>
        </w:rPr>
        <w:t>mo</w:t>
      </w:r>
      <w:proofErr w:type="spellEnd"/>
      <w:r w:rsidRPr="007966B6">
        <w:rPr>
          <w:rFonts w:ascii="Book Antiqua" w:eastAsiaTheme="minorHAnsi" w:hAnsi="Book Antiqua"/>
          <w:sz w:val="24"/>
          <w:szCs w:val="24"/>
          <w:lang w:val="en-US"/>
        </w:rPr>
        <w:t xml:space="preserve"> of the </w:t>
      </w:r>
      <w:r w:rsidRPr="007966B6">
        <w:rPr>
          <w:rFonts w:ascii="Book Antiqua" w:eastAsiaTheme="minorHAnsi" w:hAnsi="Book Antiqua"/>
          <w:noProof/>
          <w:sz w:val="24"/>
          <w:szCs w:val="24"/>
          <w:lang w:val="en-US"/>
        </w:rPr>
        <w:t>completion</w:t>
      </w:r>
      <w:r w:rsidRPr="007966B6">
        <w:rPr>
          <w:rFonts w:ascii="Book Antiqua" w:eastAsiaTheme="minorHAnsi" w:hAnsi="Book Antiqua"/>
          <w:sz w:val="24"/>
          <w:szCs w:val="24"/>
          <w:lang w:val="en-US"/>
        </w:rPr>
        <w:t xml:space="preserve"> of adjuvant oxaliplatin-based </w:t>
      </w:r>
      <w:r w:rsidRPr="007966B6">
        <w:rPr>
          <w:rFonts w:ascii="Book Antiqua" w:eastAsiaTheme="minorHAnsi" w:hAnsi="Book Antiqua"/>
          <w:sz w:val="24"/>
          <w:szCs w:val="24"/>
          <w:lang w:val="en-US"/>
        </w:rPr>
        <w:lastRenderedPageBreak/>
        <w:t xml:space="preserve">chemotherapy were also included in this study. Patients with prior exposure to irinotecan were not eligible, although those previously treated with bevacizumab were included. </w:t>
      </w:r>
      <w:r w:rsidRPr="007966B6">
        <w:rPr>
          <w:rFonts w:ascii="Book Antiqua" w:eastAsiaTheme="minorHAnsi" w:hAnsi="Book Antiqua"/>
          <w:noProof/>
          <w:sz w:val="24"/>
          <w:szCs w:val="24"/>
          <w:lang w:val="en-US"/>
        </w:rPr>
        <w:t>Patients were randomized to receive either FOLFIRI plus afliber</w:t>
      </w:r>
      <w:r w:rsidR="007462D1">
        <w:rPr>
          <w:rFonts w:ascii="Book Antiqua" w:eastAsiaTheme="minorHAnsi" w:hAnsi="Book Antiqua"/>
          <w:noProof/>
          <w:sz w:val="24"/>
          <w:szCs w:val="24"/>
          <w:lang w:val="en-US"/>
        </w:rPr>
        <w:t>cept (4 mg/kg</w:t>
      </w:r>
      <w:r w:rsidR="007462D1" w:rsidRPr="007462D1">
        <w:rPr>
          <w:rFonts w:ascii="Book Antiqua" w:eastAsiaTheme="minorHAnsi" w:hAnsi="Book Antiqua"/>
          <w:i/>
          <w:noProof/>
          <w:sz w:val="24"/>
          <w:szCs w:val="24"/>
          <w:lang w:val="en-US"/>
        </w:rPr>
        <w:t xml:space="preserve"> i.v. </w:t>
      </w:r>
      <w:r w:rsidR="007462D1">
        <w:rPr>
          <w:rFonts w:ascii="Book Antiqua" w:eastAsiaTheme="minorHAnsi" w:hAnsi="Book Antiqua"/>
          <w:noProof/>
          <w:sz w:val="24"/>
          <w:szCs w:val="24"/>
          <w:lang w:val="en-US"/>
        </w:rPr>
        <w:t>every 2 wk</w:t>
      </w:r>
      <w:r w:rsidRPr="007966B6">
        <w:rPr>
          <w:rFonts w:ascii="Book Antiqua" w:eastAsiaTheme="minorHAnsi" w:hAnsi="Book Antiqua"/>
          <w:noProof/>
          <w:sz w:val="24"/>
          <w:szCs w:val="24"/>
          <w:lang w:val="en-US"/>
        </w:rPr>
        <w:t>) (</w:t>
      </w:r>
      <w:r w:rsidRPr="007462D1">
        <w:rPr>
          <w:rFonts w:ascii="Book Antiqua" w:eastAsiaTheme="minorHAnsi" w:hAnsi="Book Antiqua"/>
          <w:i/>
          <w:noProof/>
          <w:sz w:val="24"/>
          <w:szCs w:val="24"/>
          <w:lang w:val="en-US"/>
        </w:rPr>
        <w:t xml:space="preserve">n </w:t>
      </w:r>
      <w:r w:rsidRPr="007966B6">
        <w:rPr>
          <w:rFonts w:ascii="Book Antiqua" w:eastAsiaTheme="minorHAnsi" w:hAnsi="Book Antiqua"/>
          <w:noProof/>
          <w:sz w:val="24"/>
          <w:szCs w:val="24"/>
          <w:lang w:val="en-US"/>
        </w:rPr>
        <w:t>= 612) or FOLFIRI plus placebo (</w:t>
      </w:r>
      <w:r w:rsidRPr="007462D1">
        <w:rPr>
          <w:rFonts w:ascii="Book Antiqua" w:eastAsiaTheme="minorHAnsi" w:hAnsi="Book Antiqua"/>
          <w:i/>
          <w:noProof/>
          <w:sz w:val="24"/>
          <w:szCs w:val="24"/>
          <w:lang w:val="en-US"/>
        </w:rPr>
        <w:t>n</w:t>
      </w:r>
      <w:r w:rsidRPr="007966B6">
        <w:rPr>
          <w:rFonts w:ascii="Book Antiqua" w:eastAsiaTheme="minorHAnsi" w:hAnsi="Book Antiqua"/>
          <w:noProof/>
          <w:sz w:val="24"/>
          <w:szCs w:val="24"/>
          <w:lang w:val="en-US"/>
        </w:rPr>
        <w:t xml:space="preserve"> = 614), and stratified according t</w:t>
      </w:r>
      <w:r w:rsidR="007462D1">
        <w:rPr>
          <w:rFonts w:ascii="Book Antiqua" w:eastAsiaTheme="minorHAnsi" w:hAnsi="Book Antiqua"/>
          <w:noProof/>
          <w:sz w:val="24"/>
          <w:szCs w:val="24"/>
          <w:lang w:val="en-US"/>
        </w:rPr>
        <w:t xml:space="preserve">o ECOG performance status (0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1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2), prior bevacizumab exposure (approximately 30.5% of patients in both treatment arms had received first-line bevacizumab-based therapy), age, sex, anatomic location of primary tumor, number of involved organs, hepatic metastasis, prior hypertension, and geographical region. Treatment was continued until the development of disease progression or intolerable toxicity. The primary endpoint was OS.</w:t>
      </w:r>
    </w:p>
    <w:p w14:paraId="2391BF7B" w14:textId="29B96F31" w:rsidR="001E4EF7" w:rsidRPr="007966B6" w:rsidRDefault="001E4EF7" w:rsidP="00FA17C8">
      <w:pPr>
        <w:spacing w:after="0" w:line="360" w:lineRule="auto"/>
        <w:ind w:firstLineChars="100" w:firstLine="240"/>
        <w:jc w:val="both"/>
        <w:rPr>
          <w:rFonts w:ascii="Book Antiqua" w:eastAsiaTheme="minorHAnsi" w:hAnsi="Book Antiqua"/>
          <w:noProof/>
          <w:sz w:val="24"/>
          <w:szCs w:val="24"/>
          <w:lang w:val="en-US"/>
        </w:rPr>
      </w:pPr>
      <w:r w:rsidRPr="007966B6">
        <w:rPr>
          <w:rFonts w:ascii="Book Antiqua" w:eastAsiaTheme="minorHAnsi" w:hAnsi="Book Antiqua"/>
          <w:noProof/>
          <w:sz w:val="24"/>
          <w:szCs w:val="24"/>
          <w:lang w:val="en-US"/>
        </w:rPr>
        <w:t xml:space="preserve">After a median follow-up of 22.3 mo, patients receiving FOLFIRI plus aflibercept demonstrated a significantly longer PFS (median, 6.90 </w:t>
      </w:r>
      <w:r w:rsidR="007462D1">
        <w:rPr>
          <w:rFonts w:ascii="Book Antiqua" w:hAnsi="Book Antiqua" w:hint="eastAsia"/>
          <w:noProof/>
          <w:sz w:val="24"/>
          <w:szCs w:val="24"/>
          <w:lang w:val="en-US" w:eastAsia="zh-CN"/>
        </w:rPr>
        <w:t xml:space="preserve">mo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4.67 mo; HR 0.758; </w:t>
      </w:r>
      <w:r w:rsidR="00FA17C8">
        <w:rPr>
          <w:rFonts w:ascii="Book Antiqua" w:eastAsiaTheme="minorHAnsi" w:hAnsi="Book Antiqua"/>
          <w:sz w:val="24"/>
          <w:szCs w:val="24"/>
          <w:lang w:val="en-US"/>
        </w:rPr>
        <w:t>95%</w:t>
      </w:r>
      <w:r w:rsidR="00FA17C8" w:rsidRPr="007966B6">
        <w:rPr>
          <w:rFonts w:ascii="Book Antiqua" w:eastAsiaTheme="minorHAnsi" w:hAnsi="Book Antiqua"/>
          <w:sz w:val="24"/>
          <w:szCs w:val="24"/>
          <w:lang w:val="en-US"/>
        </w:rPr>
        <w:t>CI</w:t>
      </w:r>
      <w:r w:rsidR="00FA17C8">
        <w:rPr>
          <w:rFonts w:ascii="Book Antiqua" w:hAnsi="Book Antiqua" w:hint="eastAsia"/>
          <w:sz w:val="24"/>
          <w:szCs w:val="24"/>
          <w:lang w:val="en-US" w:eastAsia="zh-CN"/>
        </w:rPr>
        <w:t>:</w:t>
      </w:r>
      <w:r w:rsidRPr="007966B6">
        <w:rPr>
          <w:rFonts w:ascii="Book Antiqua" w:eastAsiaTheme="minorHAnsi" w:hAnsi="Book Antiqua"/>
          <w:noProof/>
          <w:sz w:val="24"/>
          <w:szCs w:val="24"/>
          <w:lang w:val="en-US"/>
        </w:rPr>
        <w:t xml:space="preserve"> 0.661 to 0.869; </w:t>
      </w:r>
      <w:r w:rsidRPr="00FA17C8">
        <w:rPr>
          <w:rFonts w:ascii="Book Antiqua" w:eastAsiaTheme="minorHAnsi" w:hAnsi="Book Antiqua"/>
          <w:i/>
          <w:noProof/>
          <w:sz w:val="24"/>
          <w:szCs w:val="24"/>
          <w:lang w:val="en-US"/>
        </w:rPr>
        <w:t>P</w:t>
      </w:r>
      <w:r w:rsidRPr="007966B6">
        <w:rPr>
          <w:rFonts w:ascii="Book Antiqua" w:eastAsiaTheme="minorHAnsi" w:hAnsi="Book Antiqua"/>
          <w:noProof/>
          <w:sz w:val="24"/>
          <w:szCs w:val="24"/>
          <w:lang w:val="en-US"/>
        </w:rPr>
        <w:t xml:space="preserve"> &lt; 0.0001) and OS (median, 13.5 </w:t>
      </w:r>
      <w:r w:rsidR="007462D1">
        <w:rPr>
          <w:rFonts w:ascii="Book Antiqua" w:hAnsi="Book Antiqua" w:hint="eastAsia"/>
          <w:noProof/>
          <w:sz w:val="24"/>
          <w:szCs w:val="24"/>
          <w:lang w:val="en-US" w:eastAsia="zh-CN"/>
        </w:rPr>
        <w:t xml:space="preserve">mo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12 mo; HR 0.817; </w:t>
      </w:r>
      <w:r w:rsidR="00FA17C8">
        <w:rPr>
          <w:rFonts w:ascii="Book Antiqua" w:eastAsiaTheme="minorHAnsi" w:hAnsi="Book Antiqua"/>
          <w:noProof/>
          <w:sz w:val="24"/>
          <w:szCs w:val="24"/>
          <w:lang w:val="en-US"/>
        </w:rPr>
        <w:t>95.34%</w:t>
      </w:r>
      <w:r w:rsidRPr="007966B6">
        <w:rPr>
          <w:rFonts w:ascii="Book Antiqua" w:eastAsiaTheme="minorHAnsi" w:hAnsi="Book Antiqua"/>
          <w:noProof/>
          <w:sz w:val="24"/>
          <w:szCs w:val="24"/>
          <w:lang w:val="en-US"/>
        </w:rPr>
        <w:t>CI</w:t>
      </w:r>
      <w:r w:rsidR="00FA17C8">
        <w:rPr>
          <w:rFonts w:ascii="Book Antiqua" w:hAnsi="Book Antiqua" w:hint="eastAsia"/>
          <w:noProof/>
          <w:sz w:val="24"/>
          <w:szCs w:val="24"/>
          <w:lang w:val="en-US" w:eastAsia="zh-CN"/>
        </w:rPr>
        <w:t>:</w:t>
      </w:r>
      <w:r w:rsidRPr="007966B6">
        <w:rPr>
          <w:rFonts w:ascii="Book Antiqua" w:eastAsiaTheme="minorHAnsi" w:hAnsi="Book Antiqua"/>
          <w:noProof/>
          <w:sz w:val="24"/>
          <w:szCs w:val="24"/>
          <w:lang w:val="en-US"/>
        </w:rPr>
        <w:t xml:space="preserve"> 0.713 to 0.937; </w:t>
      </w:r>
      <w:r w:rsidRPr="00FA17C8">
        <w:rPr>
          <w:rFonts w:ascii="Book Antiqua" w:eastAsiaTheme="minorHAnsi" w:hAnsi="Book Antiqua"/>
          <w:i/>
          <w:noProof/>
          <w:sz w:val="24"/>
          <w:szCs w:val="24"/>
          <w:lang w:val="en-US"/>
        </w:rPr>
        <w:t>P</w:t>
      </w:r>
      <w:r w:rsidRPr="007966B6">
        <w:rPr>
          <w:rFonts w:ascii="Book Antiqua" w:eastAsiaTheme="minorHAnsi" w:hAnsi="Book Antiqua"/>
          <w:noProof/>
          <w:sz w:val="24"/>
          <w:szCs w:val="24"/>
          <w:lang w:val="en-US"/>
        </w:rPr>
        <w:t xml:space="preserve"> = 0.0032) than those receiving placebo plus FOLFIRI. The aflibercept group had a higher ORR than the placebo group (28% </w:t>
      </w:r>
      <w:r w:rsidR="007462D1" w:rsidRPr="007462D1">
        <w:rPr>
          <w:rFonts w:ascii="Book Antiqua" w:eastAsiaTheme="minorHAnsi" w:hAnsi="Book Antiqua"/>
          <w:i/>
          <w:noProof/>
          <w:sz w:val="24"/>
          <w:szCs w:val="24"/>
          <w:lang w:val="en-US"/>
        </w:rPr>
        <w:t>vs</w:t>
      </w:r>
      <w:r w:rsidR="00FA17C8">
        <w:rPr>
          <w:rFonts w:ascii="Book Antiqua" w:eastAsiaTheme="minorHAnsi" w:hAnsi="Book Antiqua"/>
          <w:noProof/>
          <w:sz w:val="24"/>
          <w:szCs w:val="24"/>
          <w:lang w:val="en-US"/>
        </w:rPr>
        <w:t xml:space="preserve"> 18.7%)</w:t>
      </w:r>
      <w:r w:rsidRPr="007966B6">
        <w:rPr>
          <w:rFonts w:ascii="Book Antiqua" w:eastAsiaTheme="minorHAnsi" w:hAnsi="Book Antiqua" w:cstheme="minorHAnsi"/>
          <w:noProof/>
          <w:sz w:val="24"/>
          <w:szCs w:val="24"/>
          <w:vertAlign w:val="superscript"/>
          <w:lang w:val="en-US"/>
        </w:rPr>
        <w:t>[</w:t>
      </w:r>
      <w:r w:rsidR="00FA17C8">
        <w:rPr>
          <w:rFonts w:ascii="Book Antiqua" w:eastAsiaTheme="minorHAnsi" w:hAnsi="Book Antiqua"/>
          <w:noProof/>
          <w:sz w:val="24"/>
          <w:szCs w:val="24"/>
          <w:vertAlign w:val="superscript"/>
          <w:lang w:val="en-US"/>
        </w:rPr>
        <w:t>28,</w:t>
      </w:r>
      <w:r w:rsidRPr="007966B6">
        <w:rPr>
          <w:rFonts w:ascii="Book Antiqua" w:eastAsiaTheme="minorHAnsi" w:hAnsi="Book Antiqua"/>
          <w:noProof/>
          <w:sz w:val="24"/>
          <w:szCs w:val="24"/>
          <w:vertAlign w:val="superscript"/>
          <w:lang w:val="en-US"/>
        </w:rPr>
        <w:t>29</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lang w:val="en-US"/>
        </w:rPr>
        <w:t>. Subsequent subgroup analyses revealed that patients previously exposed to bevacizumab also benefited from a longer OS (albeit less pronounced) through the application of aflibercept; the median OS values were 12.5 and 11.7 mo with the aflibercept and placebo groups, respectively (HR 0.862). However, the most significant benefit from aflibercept treatment was observed among patients with liver-only metastases and among those with no p</w:t>
      </w:r>
      <w:r w:rsidR="00C54006">
        <w:rPr>
          <w:rFonts w:ascii="Book Antiqua" w:eastAsiaTheme="minorHAnsi" w:hAnsi="Book Antiqua"/>
          <w:noProof/>
          <w:sz w:val="24"/>
          <w:szCs w:val="24"/>
          <w:lang w:val="en-US"/>
        </w:rPr>
        <w:t>revious exposure to bevacizumab</w:t>
      </w:r>
      <w:r w:rsidRPr="007966B6">
        <w:rPr>
          <w:rFonts w:ascii="Book Antiqua" w:eastAsiaTheme="minorHAnsi" w:hAnsi="Book Antiqua" w:cstheme="minorHAnsi"/>
          <w:noProof/>
          <w:sz w:val="24"/>
          <w:szCs w:val="24"/>
          <w:vertAlign w:val="superscript"/>
          <w:lang w:val="en-US"/>
        </w:rPr>
        <w:t>[</w:t>
      </w:r>
      <w:r w:rsidR="00C54006">
        <w:rPr>
          <w:rFonts w:ascii="Book Antiqua" w:eastAsiaTheme="minorHAnsi" w:hAnsi="Book Antiqua"/>
          <w:noProof/>
          <w:sz w:val="24"/>
          <w:szCs w:val="24"/>
          <w:vertAlign w:val="superscript"/>
          <w:lang w:val="en-US"/>
        </w:rPr>
        <w:t>30,</w:t>
      </w:r>
      <w:r w:rsidRPr="007966B6">
        <w:rPr>
          <w:rFonts w:ascii="Book Antiqua" w:eastAsiaTheme="minorHAnsi" w:hAnsi="Book Antiqua"/>
          <w:noProof/>
          <w:sz w:val="24"/>
          <w:szCs w:val="24"/>
          <w:vertAlign w:val="superscript"/>
          <w:lang w:val="en-US"/>
        </w:rPr>
        <w:t>31</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lang w:val="en-US"/>
        </w:rPr>
        <w:t xml:space="preserve">. </w:t>
      </w:r>
    </w:p>
    <w:p w14:paraId="296B97BE" w14:textId="660A902B" w:rsidR="001E4EF7" w:rsidRPr="007966B6" w:rsidRDefault="001E4EF7" w:rsidP="00C54006">
      <w:pPr>
        <w:spacing w:after="0" w:line="360" w:lineRule="auto"/>
        <w:ind w:firstLineChars="100" w:firstLine="240"/>
        <w:jc w:val="both"/>
        <w:rPr>
          <w:rFonts w:ascii="Book Antiqua" w:eastAsiaTheme="minorHAnsi" w:hAnsi="Book Antiqua"/>
          <w:noProof/>
          <w:sz w:val="24"/>
          <w:szCs w:val="24"/>
          <w:lang w:val="en-US"/>
        </w:rPr>
      </w:pPr>
      <w:r w:rsidRPr="007966B6">
        <w:rPr>
          <w:rFonts w:ascii="Book Antiqua" w:eastAsiaTheme="minorHAnsi" w:hAnsi="Book Antiqua"/>
          <w:noProof/>
          <w:sz w:val="24"/>
          <w:szCs w:val="24"/>
          <w:lang w:val="en-US"/>
        </w:rPr>
        <w:t>Compared with the placebo group, the aflibercept group were found to experience more grade ≥</w:t>
      </w:r>
      <w:r w:rsidR="00C54006">
        <w:rPr>
          <w:rFonts w:ascii="Book Antiqua" w:hAnsi="Book Antiqua" w:hint="eastAsia"/>
          <w:noProof/>
          <w:sz w:val="24"/>
          <w:szCs w:val="24"/>
          <w:lang w:val="en-US" w:eastAsia="zh-CN"/>
        </w:rPr>
        <w:t xml:space="preserve"> </w:t>
      </w:r>
      <w:r w:rsidRPr="007966B6">
        <w:rPr>
          <w:rFonts w:ascii="Book Antiqua" w:eastAsiaTheme="minorHAnsi" w:hAnsi="Book Antiqua"/>
          <w:noProof/>
          <w:sz w:val="24"/>
          <w:szCs w:val="24"/>
          <w:lang w:val="en-US"/>
        </w:rPr>
        <w:t xml:space="preserve">3 anti-VEGF class-specific side effects, which included hypertension (19.5%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1.5%), hemorrhage (2.9%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1.7%), arterial thromboembolic events (1.8%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0.5%), and venous thromboembolic events (7.9%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6.3%). In addition, aflibercept administration led to an increase in the incidence of chemotherapy-related toxicities such as neutropenia, diarrhea, asthenia, stomatitis, infections, and palmar-plantar erythrodysesthesia. Patients aged ≥</w:t>
      </w:r>
      <w:r w:rsidR="00C54006">
        <w:rPr>
          <w:rFonts w:ascii="Book Antiqua" w:hAnsi="Book Antiqua" w:hint="eastAsia"/>
          <w:noProof/>
          <w:sz w:val="24"/>
          <w:szCs w:val="24"/>
          <w:lang w:val="en-US" w:eastAsia="zh-CN"/>
        </w:rPr>
        <w:t xml:space="preserve"> </w:t>
      </w:r>
      <w:r w:rsidRPr="007966B6">
        <w:rPr>
          <w:rFonts w:ascii="Book Antiqua" w:eastAsiaTheme="minorHAnsi" w:hAnsi="Book Antiqua"/>
          <w:noProof/>
          <w:sz w:val="24"/>
          <w:szCs w:val="24"/>
          <w:lang w:val="en-US"/>
        </w:rPr>
        <w:t>65 years appeared to be particularly vulnerable to the</w:t>
      </w:r>
      <w:r w:rsidR="00C54006">
        <w:rPr>
          <w:rFonts w:ascii="Book Antiqua" w:eastAsiaTheme="minorHAnsi" w:hAnsi="Book Antiqua"/>
          <w:noProof/>
          <w:sz w:val="24"/>
          <w:szCs w:val="24"/>
          <w:lang w:val="en-US"/>
        </w:rPr>
        <w:t>se adverse events</w:t>
      </w:r>
      <w:r w:rsidRPr="007966B6">
        <w:rPr>
          <w:rFonts w:ascii="Book Antiqua" w:eastAsiaTheme="minorHAnsi" w:hAnsi="Book Antiqua" w:cstheme="minorHAnsi"/>
          <w:noProof/>
          <w:sz w:val="24"/>
          <w:szCs w:val="24"/>
          <w:vertAlign w:val="superscript"/>
          <w:lang w:val="en-US"/>
        </w:rPr>
        <w:t>[</w:t>
      </w:r>
      <w:r w:rsidR="00C54006">
        <w:rPr>
          <w:rFonts w:ascii="Book Antiqua" w:eastAsiaTheme="minorHAnsi" w:hAnsi="Book Antiqua"/>
          <w:noProof/>
          <w:sz w:val="24"/>
          <w:szCs w:val="24"/>
          <w:vertAlign w:val="superscript"/>
          <w:lang w:val="en-US"/>
        </w:rPr>
        <w:t>32,</w:t>
      </w:r>
      <w:r w:rsidRPr="007966B6">
        <w:rPr>
          <w:rFonts w:ascii="Book Antiqua" w:eastAsiaTheme="minorHAnsi" w:hAnsi="Book Antiqua"/>
          <w:noProof/>
          <w:sz w:val="24"/>
          <w:szCs w:val="24"/>
          <w:vertAlign w:val="superscript"/>
          <w:lang w:val="en-US"/>
        </w:rPr>
        <w:t>33</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lang w:val="en-US"/>
        </w:rPr>
        <w:t xml:space="preserve">. </w:t>
      </w:r>
    </w:p>
    <w:p w14:paraId="1FA9277F" w14:textId="77777777" w:rsidR="001E4EF7" w:rsidRPr="007966B6" w:rsidRDefault="001E4EF7" w:rsidP="005831C8">
      <w:pPr>
        <w:spacing w:after="0" w:line="360" w:lineRule="auto"/>
        <w:jc w:val="both"/>
        <w:rPr>
          <w:rFonts w:ascii="Book Antiqua" w:eastAsiaTheme="minorHAnsi" w:hAnsi="Book Antiqua"/>
          <w:noProof/>
          <w:sz w:val="24"/>
          <w:szCs w:val="24"/>
          <w:lang w:val="en-US"/>
        </w:rPr>
      </w:pPr>
    </w:p>
    <w:p w14:paraId="375CF3F3" w14:textId="77777777" w:rsidR="001E4EF7" w:rsidRPr="00C54006" w:rsidRDefault="001E4EF7" w:rsidP="005831C8">
      <w:pPr>
        <w:spacing w:after="0" w:line="360" w:lineRule="auto"/>
        <w:jc w:val="both"/>
        <w:rPr>
          <w:rFonts w:ascii="Book Antiqua" w:eastAsiaTheme="minorHAnsi" w:hAnsi="Book Antiqua"/>
          <w:b/>
          <w:i/>
          <w:noProof/>
          <w:sz w:val="24"/>
          <w:szCs w:val="24"/>
          <w:lang w:val="en-US"/>
        </w:rPr>
      </w:pPr>
      <w:r w:rsidRPr="00C54006">
        <w:rPr>
          <w:rFonts w:ascii="Book Antiqua" w:eastAsiaTheme="minorHAnsi" w:hAnsi="Book Antiqua"/>
          <w:b/>
          <w:i/>
          <w:noProof/>
          <w:sz w:val="24"/>
          <w:szCs w:val="24"/>
          <w:lang w:val="en-US"/>
        </w:rPr>
        <w:t>Ramucirumab</w:t>
      </w:r>
    </w:p>
    <w:p w14:paraId="04078FB1" w14:textId="1AACDEC3" w:rsidR="001E4EF7" w:rsidRPr="007966B6" w:rsidRDefault="001E4EF7" w:rsidP="005831C8">
      <w:pPr>
        <w:spacing w:after="0" w:line="360" w:lineRule="auto"/>
        <w:jc w:val="both"/>
        <w:rPr>
          <w:rFonts w:ascii="Book Antiqua" w:eastAsiaTheme="minorHAnsi" w:hAnsi="Book Antiqua"/>
          <w:noProof/>
          <w:sz w:val="24"/>
          <w:szCs w:val="24"/>
          <w:lang w:val="en-US"/>
        </w:rPr>
      </w:pPr>
      <w:r w:rsidRPr="007966B6">
        <w:rPr>
          <w:rFonts w:ascii="Book Antiqua" w:eastAsiaTheme="minorHAnsi" w:hAnsi="Book Antiqua"/>
          <w:noProof/>
          <w:sz w:val="24"/>
          <w:szCs w:val="24"/>
          <w:lang w:val="en-US"/>
        </w:rPr>
        <w:lastRenderedPageBreak/>
        <w:t>Ramucirumab is another inhibitor of the VEGF/VEGFR axis. It selectively targets VEGFR-2 and induces conformational changes in the extracellular domain of the receptor, which prevents the binding of all VEGF ligands</w:t>
      </w:r>
      <w:r w:rsidR="00C92AE1">
        <w:rPr>
          <w:rFonts w:ascii="Book Antiqua" w:eastAsiaTheme="minorHAnsi" w:hAnsi="Book Antiqua"/>
          <w:noProof/>
          <w:sz w:val="24"/>
          <w:szCs w:val="24"/>
          <w:lang w:val="en-US"/>
        </w:rPr>
        <w:t xml:space="preserve"> and receptor activation</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vertAlign w:val="superscript"/>
          <w:lang w:val="en-US"/>
        </w:rPr>
        <w:t>34</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lang w:val="en-US"/>
        </w:rPr>
        <w:t>. Several preclinical studies suggest that the inhibition of VEGFR-2 using monoclonal antibodies, such as DC101, inhibits the growth of CRC cells that are resistant t</w:t>
      </w:r>
      <w:r w:rsidR="00C92AE1">
        <w:rPr>
          <w:rFonts w:ascii="Book Antiqua" w:eastAsiaTheme="minorHAnsi" w:hAnsi="Book Antiqua"/>
          <w:noProof/>
          <w:sz w:val="24"/>
          <w:szCs w:val="24"/>
          <w:lang w:val="en-US"/>
        </w:rPr>
        <w:t>o other angiogenesis inhibitors</w:t>
      </w:r>
      <w:r w:rsidRPr="007966B6">
        <w:rPr>
          <w:rFonts w:ascii="Book Antiqua" w:eastAsiaTheme="minorHAnsi" w:hAnsi="Book Antiqua" w:cstheme="minorHAnsi"/>
          <w:noProof/>
          <w:sz w:val="24"/>
          <w:szCs w:val="24"/>
          <w:vertAlign w:val="superscript"/>
          <w:lang w:val="en-US"/>
        </w:rPr>
        <w:t>[</w:t>
      </w:r>
      <w:r w:rsidR="00C92AE1">
        <w:rPr>
          <w:rFonts w:ascii="Book Antiqua" w:eastAsiaTheme="minorHAnsi" w:hAnsi="Book Antiqua"/>
          <w:noProof/>
          <w:sz w:val="24"/>
          <w:szCs w:val="24"/>
          <w:vertAlign w:val="superscript"/>
          <w:lang w:val="en-US"/>
        </w:rPr>
        <w:t>35,</w:t>
      </w:r>
      <w:r w:rsidRPr="007966B6">
        <w:rPr>
          <w:rFonts w:ascii="Book Antiqua" w:eastAsiaTheme="minorHAnsi" w:hAnsi="Book Antiqua"/>
          <w:noProof/>
          <w:sz w:val="24"/>
          <w:szCs w:val="24"/>
          <w:vertAlign w:val="superscript"/>
          <w:lang w:val="en-US"/>
        </w:rPr>
        <w:t>36</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lang w:val="en-US"/>
        </w:rPr>
        <w:t>. Therefore, the use of potent and selective VEGFR-2 inhibitors, such as ramucirumab, provides a rational therapeutic option for patients with mCRC who developed disease progression despite receiving first-line bevacizumab-based therapy.</w:t>
      </w:r>
    </w:p>
    <w:p w14:paraId="312027AF" w14:textId="58F0403A" w:rsidR="001E4EF7" w:rsidRPr="007966B6" w:rsidRDefault="001E4EF7" w:rsidP="00C92AE1">
      <w:pPr>
        <w:spacing w:after="0" w:line="360" w:lineRule="auto"/>
        <w:ind w:firstLineChars="100" w:firstLine="240"/>
        <w:jc w:val="both"/>
        <w:rPr>
          <w:rFonts w:ascii="Book Antiqua" w:eastAsiaTheme="minorHAnsi" w:hAnsi="Book Antiqua"/>
          <w:noProof/>
          <w:sz w:val="24"/>
          <w:szCs w:val="24"/>
          <w:lang w:val="en-US"/>
        </w:rPr>
      </w:pPr>
      <w:r w:rsidRPr="007966B6">
        <w:rPr>
          <w:rFonts w:ascii="Book Antiqua" w:eastAsiaTheme="minorHAnsi" w:hAnsi="Book Antiqua"/>
          <w:noProof/>
          <w:sz w:val="24"/>
          <w:szCs w:val="24"/>
          <w:lang w:val="en-US"/>
        </w:rPr>
        <w:t>The multicenter, randomized, double-blind, phase III RAISE trial compared the effectiveness of ramucirumab versus placebo, both in combination w</w:t>
      </w:r>
      <w:r w:rsidR="00C92AE1">
        <w:rPr>
          <w:rFonts w:ascii="Book Antiqua" w:eastAsiaTheme="minorHAnsi" w:hAnsi="Book Antiqua"/>
          <w:noProof/>
          <w:sz w:val="24"/>
          <w:szCs w:val="24"/>
          <w:lang w:val="en-US"/>
        </w:rPr>
        <w:t>ith second-line FOLFIRI regimen</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vertAlign w:val="superscript"/>
          <w:lang w:val="en-US"/>
        </w:rPr>
        <w:t>37</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lang w:val="en-US"/>
        </w:rPr>
        <w:t>. The study included patients with mCRC who developed disease progression within 6 mo after the final dose of first-line oxaliplatin-based chemotherapy plus bevacizumab. Patients who had received bevacizumab (within 28 d) or chemotherapy (within 21 d) before randomization were excluded. Overall, 1072 patients were randomized to receive ramucirumab (8 mg/kg</w:t>
      </w:r>
      <w:r w:rsidR="00C92AE1">
        <w:rPr>
          <w:rFonts w:ascii="Book Antiqua" w:eastAsiaTheme="minorHAnsi" w:hAnsi="Book Antiqua"/>
          <w:noProof/>
          <w:sz w:val="24"/>
          <w:szCs w:val="24"/>
          <w:lang w:val="en-US"/>
        </w:rPr>
        <w:t xml:space="preserve"> every 2 wk</w:t>
      </w:r>
      <w:r w:rsidRPr="007966B6">
        <w:rPr>
          <w:rFonts w:ascii="Book Antiqua" w:eastAsiaTheme="minorHAnsi" w:hAnsi="Book Antiqua"/>
          <w:noProof/>
          <w:sz w:val="24"/>
          <w:szCs w:val="24"/>
          <w:lang w:val="en-US"/>
        </w:rPr>
        <w:t>) plus FOLFIRI or placebo plus FOLFIRI (</w:t>
      </w:r>
      <w:r w:rsidRPr="00C92AE1">
        <w:rPr>
          <w:rFonts w:ascii="Book Antiqua" w:eastAsiaTheme="minorHAnsi" w:hAnsi="Book Antiqua"/>
          <w:i/>
          <w:noProof/>
          <w:sz w:val="24"/>
          <w:szCs w:val="24"/>
          <w:lang w:val="en-US"/>
        </w:rPr>
        <w:t>n</w:t>
      </w:r>
      <w:r w:rsidRPr="007966B6">
        <w:rPr>
          <w:rFonts w:ascii="Book Antiqua" w:eastAsiaTheme="minorHAnsi" w:hAnsi="Book Antiqua"/>
          <w:noProof/>
          <w:sz w:val="24"/>
          <w:szCs w:val="24"/>
          <w:lang w:val="en-US"/>
        </w:rPr>
        <w:t xml:space="preserve"> = 536 in each group). Stratification variables included the geographical location (North America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Europe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all other regions), KRAS exon 2 status (mutant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wild-type), and time to disease progression after first-line therapy (&lt;</w:t>
      </w:r>
      <w:r w:rsidR="007462D1">
        <w:rPr>
          <w:rFonts w:ascii="Book Antiqua" w:hAnsi="Book Antiqua" w:hint="eastAsia"/>
          <w:noProof/>
          <w:sz w:val="24"/>
          <w:szCs w:val="24"/>
          <w:lang w:val="en-US" w:eastAsia="zh-CN"/>
        </w:rPr>
        <w:t xml:space="preserve"> </w:t>
      </w:r>
      <w:r w:rsidRPr="007966B6">
        <w:rPr>
          <w:rFonts w:ascii="Book Antiqua" w:eastAsiaTheme="minorHAnsi" w:hAnsi="Book Antiqua"/>
          <w:noProof/>
          <w:sz w:val="24"/>
          <w:szCs w:val="24"/>
          <w:lang w:val="en-US"/>
        </w:rPr>
        <w:t xml:space="preserve">6 </w:t>
      </w:r>
      <w:r w:rsidR="007462D1">
        <w:rPr>
          <w:rFonts w:ascii="Book Antiqua" w:hAnsi="Book Antiqua" w:hint="eastAsia"/>
          <w:noProof/>
          <w:sz w:val="24"/>
          <w:szCs w:val="24"/>
          <w:lang w:val="en-US" w:eastAsia="zh-CN"/>
        </w:rPr>
        <w:t xml:space="preserve">mo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w:t>
      </w:r>
      <w:r w:rsidR="007462D1">
        <w:rPr>
          <w:rFonts w:ascii="Book Antiqua" w:hAnsi="Book Antiqua" w:hint="eastAsia"/>
          <w:noProof/>
          <w:sz w:val="24"/>
          <w:szCs w:val="24"/>
          <w:lang w:val="en-US" w:eastAsia="zh-CN"/>
        </w:rPr>
        <w:t xml:space="preserve"> </w:t>
      </w:r>
      <w:r w:rsidRPr="007966B6">
        <w:rPr>
          <w:rFonts w:ascii="Book Antiqua" w:eastAsiaTheme="minorHAnsi" w:hAnsi="Book Antiqua"/>
          <w:noProof/>
          <w:sz w:val="24"/>
          <w:szCs w:val="24"/>
          <w:lang w:val="en-US"/>
        </w:rPr>
        <w:t>6 mo). Of the patients, 83% had received at least 3 mo of first-line bevacizumab-based therapy. Treatment continued until the development of disease progression or intolerable toxicity. The primary endpoint of the study was OS.</w:t>
      </w:r>
    </w:p>
    <w:p w14:paraId="399F28C2" w14:textId="13DCC657" w:rsidR="001E4EF7" w:rsidRPr="007966B6" w:rsidRDefault="001E4EF7" w:rsidP="00C92AE1">
      <w:pPr>
        <w:spacing w:after="0" w:line="360" w:lineRule="auto"/>
        <w:ind w:firstLineChars="100" w:firstLine="240"/>
        <w:jc w:val="both"/>
        <w:rPr>
          <w:rFonts w:ascii="Book Antiqua" w:eastAsiaTheme="minorHAnsi" w:hAnsi="Book Antiqua"/>
          <w:noProof/>
          <w:sz w:val="24"/>
          <w:szCs w:val="24"/>
          <w:lang w:val="en-US"/>
        </w:rPr>
      </w:pPr>
      <w:r w:rsidRPr="007966B6">
        <w:rPr>
          <w:rFonts w:ascii="Book Antiqua" w:eastAsiaTheme="minorHAnsi" w:hAnsi="Book Antiqua"/>
          <w:noProof/>
          <w:sz w:val="24"/>
          <w:szCs w:val="24"/>
          <w:lang w:val="en-US"/>
        </w:rPr>
        <w:t xml:space="preserve">After a median follow-up of 21.7 mo, OS was significantly longer in the ramucirumab group than the placebo group (13.3 </w:t>
      </w:r>
      <w:r w:rsidR="007462D1">
        <w:rPr>
          <w:rFonts w:ascii="Book Antiqua" w:hAnsi="Book Antiqua" w:hint="eastAsia"/>
          <w:noProof/>
          <w:sz w:val="24"/>
          <w:szCs w:val="24"/>
          <w:lang w:val="en-US" w:eastAsia="zh-CN"/>
        </w:rPr>
        <w:t xml:space="preserve">mo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11.7 mo; HR 0.844; </w:t>
      </w:r>
      <w:r w:rsidR="00FA17C8">
        <w:rPr>
          <w:rFonts w:ascii="Book Antiqua" w:eastAsiaTheme="minorHAnsi" w:hAnsi="Book Antiqua"/>
          <w:sz w:val="24"/>
          <w:szCs w:val="24"/>
          <w:lang w:val="en-US"/>
        </w:rPr>
        <w:t>95%</w:t>
      </w:r>
      <w:r w:rsidR="00FA17C8" w:rsidRPr="007966B6">
        <w:rPr>
          <w:rFonts w:ascii="Book Antiqua" w:eastAsiaTheme="minorHAnsi" w:hAnsi="Book Antiqua"/>
          <w:sz w:val="24"/>
          <w:szCs w:val="24"/>
          <w:lang w:val="en-US"/>
        </w:rPr>
        <w:t>CI</w:t>
      </w:r>
      <w:r w:rsidR="00FA17C8">
        <w:rPr>
          <w:rFonts w:ascii="Book Antiqua" w:hAnsi="Book Antiqua" w:hint="eastAsia"/>
          <w:sz w:val="24"/>
          <w:szCs w:val="24"/>
          <w:lang w:val="en-US" w:eastAsia="zh-CN"/>
        </w:rPr>
        <w:t>:</w:t>
      </w:r>
      <w:r w:rsidRPr="007966B6">
        <w:rPr>
          <w:rFonts w:ascii="Book Antiqua" w:eastAsiaTheme="minorHAnsi" w:hAnsi="Book Antiqua"/>
          <w:noProof/>
          <w:sz w:val="24"/>
          <w:szCs w:val="24"/>
          <w:lang w:val="en-US"/>
        </w:rPr>
        <w:t xml:space="preserve"> 0.730–0.976; </w:t>
      </w:r>
      <w:r w:rsidRPr="00C92AE1">
        <w:rPr>
          <w:rFonts w:ascii="Book Antiqua" w:eastAsiaTheme="minorHAnsi" w:hAnsi="Book Antiqua"/>
          <w:i/>
          <w:noProof/>
          <w:sz w:val="24"/>
          <w:szCs w:val="24"/>
          <w:lang w:val="en-US"/>
        </w:rPr>
        <w:t>P</w:t>
      </w:r>
      <w:r w:rsidRPr="007966B6">
        <w:rPr>
          <w:rFonts w:ascii="Book Antiqua" w:eastAsiaTheme="minorHAnsi" w:hAnsi="Book Antiqua"/>
          <w:noProof/>
          <w:sz w:val="24"/>
          <w:szCs w:val="24"/>
          <w:lang w:val="en-US"/>
        </w:rPr>
        <w:t xml:space="preserve"> = 0.0219). An improved PFS also was detected in patients receiving ramucirumab (5.7 </w:t>
      </w:r>
      <w:r w:rsidR="007462D1">
        <w:rPr>
          <w:rFonts w:ascii="Book Antiqua" w:hAnsi="Book Antiqua" w:hint="eastAsia"/>
          <w:noProof/>
          <w:sz w:val="24"/>
          <w:szCs w:val="24"/>
          <w:lang w:val="en-US" w:eastAsia="zh-CN"/>
        </w:rPr>
        <w:t xml:space="preserve">mo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4.5 mo; HR 0.793; </w:t>
      </w:r>
      <w:r w:rsidR="00FA17C8">
        <w:rPr>
          <w:rFonts w:ascii="Book Antiqua" w:eastAsiaTheme="minorHAnsi" w:hAnsi="Book Antiqua"/>
          <w:sz w:val="24"/>
          <w:szCs w:val="24"/>
          <w:lang w:val="en-US"/>
        </w:rPr>
        <w:t>95%</w:t>
      </w:r>
      <w:r w:rsidR="00FA17C8" w:rsidRPr="007966B6">
        <w:rPr>
          <w:rFonts w:ascii="Book Antiqua" w:eastAsiaTheme="minorHAnsi" w:hAnsi="Book Antiqua"/>
          <w:sz w:val="24"/>
          <w:szCs w:val="24"/>
          <w:lang w:val="en-US"/>
        </w:rPr>
        <w:t>CI</w:t>
      </w:r>
      <w:r w:rsidR="00FA17C8">
        <w:rPr>
          <w:rFonts w:ascii="Book Antiqua" w:hAnsi="Book Antiqua" w:hint="eastAsia"/>
          <w:sz w:val="24"/>
          <w:szCs w:val="24"/>
          <w:lang w:val="en-US" w:eastAsia="zh-CN"/>
        </w:rPr>
        <w:t>:</w:t>
      </w:r>
      <w:r w:rsidRPr="007966B6">
        <w:rPr>
          <w:rFonts w:ascii="Book Antiqua" w:eastAsiaTheme="minorHAnsi" w:hAnsi="Book Antiqua"/>
          <w:noProof/>
          <w:sz w:val="24"/>
          <w:szCs w:val="24"/>
          <w:lang w:val="en-US"/>
        </w:rPr>
        <w:t xml:space="preserve"> 0.697-0.903; </w:t>
      </w:r>
      <w:r w:rsidRPr="00C92AE1">
        <w:rPr>
          <w:rFonts w:ascii="Book Antiqua" w:eastAsiaTheme="minorHAnsi" w:hAnsi="Book Antiqua"/>
          <w:i/>
          <w:noProof/>
          <w:sz w:val="24"/>
          <w:szCs w:val="24"/>
          <w:lang w:val="en-US"/>
        </w:rPr>
        <w:t>P</w:t>
      </w:r>
      <w:r w:rsidRPr="007966B6">
        <w:rPr>
          <w:rFonts w:ascii="Book Antiqua" w:eastAsiaTheme="minorHAnsi" w:hAnsi="Book Antiqua"/>
          <w:noProof/>
          <w:sz w:val="24"/>
          <w:szCs w:val="24"/>
          <w:lang w:val="en-US"/>
        </w:rPr>
        <w:t xml:space="preserve"> = 0.0005). The survival benefit was consistent across all patient subgroups that received ramucirumab plus FOLFIRI. However, the response rates in the ramucirumab and placebo groups were comparable (ORR 13.4%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12.5%; </w:t>
      </w:r>
      <w:r w:rsidRPr="00C92AE1">
        <w:rPr>
          <w:rFonts w:ascii="Book Antiqua" w:eastAsiaTheme="minorHAnsi" w:hAnsi="Book Antiqua"/>
          <w:i/>
          <w:noProof/>
          <w:sz w:val="24"/>
          <w:szCs w:val="24"/>
          <w:lang w:val="en-US"/>
        </w:rPr>
        <w:t xml:space="preserve">P </w:t>
      </w:r>
      <w:r w:rsidRPr="007966B6">
        <w:rPr>
          <w:rFonts w:ascii="Book Antiqua" w:eastAsiaTheme="minorHAnsi" w:hAnsi="Book Antiqua"/>
          <w:noProof/>
          <w:sz w:val="24"/>
          <w:szCs w:val="24"/>
          <w:lang w:val="en-US"/>
        </w:rPr>
        <w:t>= 0.63).</w:t>
      </w:r>
    </w:p>
    <w:p w14:paraId="29EB7F8E" w14:textId="17B1C635" w:rsidR="001E4EF7" w:rsidRPr="007966B6" w:rsidRDefault="001E4EF7" w:rsidP="00C92AE1">
      <w:pPr>
        <w:spacing w:after="0" w:line="360" w:lineRule="auto"/>
        <w:ind w:firstLineChars="100" w:firstLine="240"/>
        <w:jc w:val="both"/>
        <w:rPr>
          <w:rFonts w:ascii="Book Antiqua" w:eastAsiaTheme="minorHAnsi" w:hAnsi="Book Antiqua"/>
          <w:noProof/>
          <w:sz w:val="24"/>
          <w:szCs w:val="24"/>
          <w:lang w:val="en-US"/>
        </w:rPr>
      </w:pPr>
      <w:r w:rsidRPr="007966B6">
        <w:rPr>
          <w:rFonts w:ascii="Book Antiqua" w:eastAsiaTheme="minorHAnsi" w:hAnsi="Book Antiqua"/>
          <w:noProof/>
          <w:sz w:val="24"/>
          <w:szCs w:val="24"/>
          <w:lang w:val="en-US"/>
        </w:rPr>
        <w:t>The addition of ramucirumab to chemotherapy was associated with higher rates of neutropenia, hypertension, diarrhea, and fatigue. Despite the transient deterioration in the quality of life of these patients, the adverse events were manageable.</w:t>
      </w:r>
    </w:p>
    <w:p w14:paraId="4A8945B3" w14:textId="42866469" w:rsidR="001E4EF7" w:rsidRPr="007966B6" w:rsidRDefault="001E4EF7" w:rsidP="00C92AE1">
      <w:pPr>
        <w:spacing w:after="0" w:line="360" w:lineRule="auto"/>
        <w:ind w:firstLineChars="100" w:firstLine="240"/>
        <w:jc w:val="both"/>
        <w:rPr>
          <w:rFonts w:ascii="Book Antiqua" w:eastAsiaTheme="minorHAnsi" w:hAnsi="Book Antiqua"/>
          <w:noProof/>
          <w:sz w:val="24"/>
          <w:szCs w:val="24"/>
          <w:lang w:val="en-US"/>
        </w:rPr>
      </w:pPr>
      <w:r w:rsidRPr="007966B6">
        <w:rPr>
          <w:rFonts w:ascii="Book Antiqua" w:eastAsiaTheme="minorHAnsi" w:hAnsi="Book Antiqua"/>
          <w:noProof/>
          <w:sz w:val="24"/>
          <w:szCs w:val="24"/>
          <w:lang w:val="en-US"/>
        </w:rPr>
        <w:lastRenderedPageBreak/>
        <w:t xml:space="preserve">In a prospective biomarker analysis of the RAISE trial, the efficacy of ramucirumab was compared with pretreatment plasma levels </w:t>
      </w:r>
      <w:r w:rsidR="00C92AE1">
        <w:rPr>
          <w:rFonts w:ascii="Book Antiqua" w:eastAsiaTheme="minorHAnsi" w:hAnsi="Book Antiqua"/>
          <w:noProof/>
          <w:sz w:val="24"/>
          <w:szCs w:val="24"/>
          <w:lang w:val="en-US"/>
        </w:rPr>
        <w:t>of several angiogenic cytokines</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vertAlign w:val="superscript"/>
          <w:lang w:val="en-US"/>
        </w:rPr>
        <w:t>38</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lang w:val="en-US"/>
        </w:rPr>
        <w:t xml:space="preserve">. In particular, ramucirumab plus FOLFIRI therapy was found to be more beneficial in patients with elevated plasma VEGF-D levels, with an improvement of 2.4 mo in OS (13.9 </w:t>
      </w:r>
      <w:r w:rsidR="007462D1">
        <w:rPr>
          <w:rFonts w:ascii="Book Antiqua" w:hAnsi="Book Antiqua" w:hint="eastAsia"/>
          <w:noProof/>
          <w:sz w:val="24"/>
          <w:szCs w:val="24"/>
          <w:lang w:val="en-US" w:eastAsia="zh-CN"/>
        </w:rPr>
        <w:t xml:space="preserve">mo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11.5 mo). However, this therapy was associated with reduced OS in patients with low VEGF-D levels, compared with the placebo group (12.6 </w:t>
      </w:r>
      <w:r w:rsidR="007462D1">
        <w:rPr>
          <w:rFonts w:ascii="Book Antiqua" w:hAnsi="Book Antiqua" w:hint="eastAsia"/>
          <w:noProof/>
          <w:sz w:val="24"/>
          <w:szCs w:val="24"/>
          <w:lang w:val="en-US" w:eastAsia="zh-CN"/>
        </w:rPr>
        <w:t xml:space="preserve">mo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13.1 </w:t>
      </w:r>
      <w:r w:rsidR="007462D1">
        <w:rPr>
          <w:rFonts w:ascii="Book Antiqua" w:hAnsi="Book Antiqua" w:hint="eastAsia"/>
          <w:noProof/>
          <w:sz w:val="24"/>
          <w:szCs w:val="24"/>
          <w:lang w:val="en-US" w:eastAsia="zh-CN"/>
        </w:rPr>
        <w:t>mo</w:t>
      </w:r>
      <w:r w:rsidRPr="007966B6">
        <w:rPr>
          <w:rFonts w:ascii="Book Antiqua" w:eastAsiaTheme="minorHAnsi" w:hAnsi="Book Antiqua"/>
          <w:noProof/>
          <w:sz w:val="24"/>
          <w:szCs w:val="24"/>
          <w:lang w:val="en-US"/>
        </w:rPr>
        <w:t>).</w:t>
      </w:r>
    </w:p>
    <w:p w14:paraId="0F43B913" w14:textId="77777777" w:rsidR="001E4EF7" w:rsidRPr="007966B6" w:rsidRDefault="001E4EF7" w:rsidP="005831C8">
      <w:pPr>
        <w:spacing w:after="0" w:line="360" w:lineRule="auto"/>
        <w:jc w:val="both"/>
        <w:rPr>
          <w:rFonts w:ascii="Book Antiqua" w:eastAsiaTheme="minorHAnsi" w:hAnsi="Book Antiqua"/>
          <w:noProof/>
          <w:sz w:val="24"/>
          <w:szCs w:val="24"/>
          <w:lang w:val="en-US"/>
        </w:rPr>
      </w:pPr>
    </w:p>
    <w:p w14:paraId="341FC799" w14:textId="77777777" w:rsidR="001E4EF7" w:rsidRPr="00C92AE1" w:rsidRDefault="001E4EF7" w:rsidP="005831C8">
      <w:pPr>
        <w:spacing w:after="0" w:line="360" w:lineRule="auto"/>
        <w:jc w:val="both"/>
        <w:rPr>
          <w:rFonts w:ascii="Book Antiqua" w:eastAsiaTheme="minorHAnsi" w:hAnsi="Book Antiqua"/>
          <w:b/>
          <w:i/>
          <w:noProof/>
          <w:sz w:val="24"/>
          <w:szCs w:val="24"/>
          <w:lang w:val="en-US"/>
        </w:rPr>
      </w:pPr>
      <w:r w:rsidRPr="00C92AE1">
        <w:rPr>
          <w:rFonts w:ascii="Book Antiqua" w:eastAsiaTheme="minorHAnsi" w:hAnsi="Book Antiqua"/>
          <w:b/>
          <w:i/>
          <w:noProof/>
          <w:sz w:val="24"/>
          <w:szCs w:val="24"/>
          <w:lang w:val="en-US"/>
        </w:rPr>
        <w:t>Comments and conclusions</w:t>
      </w:r>
    </w:p>
    <w:p w14:paraId="42390D2D" w14:textId="445B5F94" w:rsidR="001E4EF7" w:rsidRPr="007966B6" w:rsidRDefault="001E4EF7" w:rsidP="005831C8">
      <w:pPr>
        <w:spacing w:after="0" w:line="360" w:lineRule="auto"/>
        <w:jc w:val="both"/>
        <w:rPr>
          <w:rFonts w:ascii="Book Antiqua" w:eastAsiaTheme="minorHAnsi" w:hAnsi="Book Antiqua"/>
          <w:noProof/>
          <w:sz w:val="24"/>
          <w:szCs w:val="24"/>
          <w:lang w:val="en-US"/>
        </w:rPr>
      </w:pPr>
      <w:r w:rsidRPr="007966B6">
        <w:rPr>
          <w:rFonts w:ascii="Book Antiqua" w:eastAsiaTheme="minorHAnsi" w:hAnsi="Book Antiqua"/>
          <w:noProof/>
          <w:sz w:val="24"/>
          <w:szCs w:val="24"/>
          <w:lang w:val="en-US"/>
        </w:rPr>
        <w:t xml:space="preserve">The data presented above shows that the maintenance of angiogenesis inhibition using bevacizumab, aflibercept, or ramucirumab beyond the initial development of disease progression is an effective and tolerable strategy with a consistent and significant improvement in OS (approximately 1.4 </w:t>
      </w:r>
      <w:r w:rsidR="007462D1">
        <w:rPr>
          <w:rFonts w:ascii="Book Antiqua" w:hAnsi="Book Antiqua" w:hint="eastAsia"/>
          <w:noProof/>
          <w:sz w:val="24"/>
          <w:szCs w:val="24"/>
          <w:lang w:val="en-US" w:eastAsia="zh-CN"/>
        </w:rPr>
        <w:t>mo</w:t>
      </w:r>
      <w:r w:rsidRPr="007966B6">
        <w:rPr>
          <w:rFonts w:ascii="Book Antiqua" w:eastAsiaTheme="minorHAnsi" w:hAnsi="Book Antiqua"/>
          <w:noProof/>
          <w:sz w:val="24"/>
          <w:szCs w:val="24"/>
          <w:lang w:val="en-US"/>
        </w:rPr>
        <w:t>) observed in patients with mCRC. In fact, no notable differences between these three drugs were found in terms of their contribution to survival and safety profile. The estimated HR for OS values were similar in the ML18147 (0.81), BEBYP (0.77), VELOUR (0.82), and RAISE (0.84) studies. Accordingly, the most recent version of the European Society of Medical Oncology consensus guidelines for the management of mCRC recommended either the continuation of bevacizumab or switching to aflibercept or ramucirumab (only in combination with FOLFIRI and in irinotecan-naïve patients) for the second-line chemotherapy of patients in whom first-line bevacizumab-based therapy was in</w:t>
      </w:r>
      <w:r w:rsidR="00C92AE1">
        <w:rPr>
          <w:rFonts w:ascii="Book Antiqua" w:eastAsiaTheme="minorHAnsi" w:hAnsi="Book Antiqua"/>
          <w:noProof/>
          <w:sz w:val="24"/>
          <w:szCs w:val="24"/>
          <w:lang w:val="en-US"/>
        </w:rPr>
        <w:t>effective (category 1A)</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vertAlign w:val="superscript"/>
          <w:lang w:val="en-US"/>
        </w:rPr>
        <w:t>39</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lang w:val="en-US"/>
        </w:rPr>
        <w:t>.</w:t>
      </w:r>
    </w:p>
    <w:p w14:paraId="21BB53F6" w14:textId="006E8537" w:rsidR="001E4EF7" w:rsidRPr="007966B6" w:rsidRDefault="001E4EF7" w:rsidP="00C92AE1">
      <w:pPr>
        <w:spacing w:after="0" w:line="360" w:lineRule="auto"/>
        <w:ind w:firstLineChars="100" w:firstLine="240"/>
        <w:jc w:val="both"/>
        <w:rPr>
          <w:rFonts w:ascii="Book Antiqua" w:eastAsiaTheme="minorHAnsi" w:hAnsi="Book Antiqua"/>
          <w:noProof/>
          <w:sz w:val="24"/>
          <w:szCs w:val="24"/>
          <w:lang w:val="en-US"/>
        </w:rPr>
      </w:pPr>
      <w:r w:rsidRPr="007966B6">
        <w:rPr>
          <w:rFonts w:ascii="Book Antiqua" w:eastAsiaTheme="minorHAnsi" w:hAnsi="Book Antiqua"/>
          <w:noProof/>
          <w:sz w:val="24"/>
          <w:szCs w:val="24"/>
          <w:lang w:val="en-US"/>
        </w:rPr>
        <w:t>At present, a head-to-head randomized clinical study comparing the efficacy of these three angiogenesis inhibitors in this setting has not been undertaken. Moreover, useful biomarkers that could be integrated into an ideal treatment protocol are not available. Although the measurement of pretreatment plasma levels of angiogenic cytokines (particularly VEGF-D) is a promising approach in this setting, the process is inconvenient for routine clinical use.</w:t>
      </w:r>
    </w:p>
    <w:p w14:paraId="2A90CB53" w14:textId="2AF9374B" w:rsidR="001E4EF7" w:rsidRPr="007966B6" w:rsidRDefault="001E4EF7" w:rsidP="00C92AE1">
      <w:pPr>
        <w:spacing w:after="0" w:line="360" w:lineRule="auto"/>
        <w:ind w:firstLineChars="100" w:firstLine="240"/>
        <w:jc w:val="both"/>
        <w:rPr>
          <w:rFonts w:ascii="Book Antiqua" w:eastAsiaTheme="minorHAnsi" w:hAnsi="Book Antiqua"/>
          <w:noProof/>
          <w:sz w:val="24"/>
          <w:szCs w:val="24"/>
          <w:lang w:val="en-US"/>
        </w:rPr>
      </w:pPr>
      <w:r w:rsidRPr="007966B6">
        <w:rPr>
          <w:rFonts w:ascii="Book Antiqua" w:eastAsiaTheme="minorHAnsi" w:hAnsi="Book Antiqua"/>
          <w:noProof/>
          <w:sz w:val="24"/>
          <w:szCs w:val="24"/>
          <w:lang w:val="en-US"/>
        </w:rPr>
        <w:t>The clinical course of patients during first-line therapy may assist clinicians in their decision-making. In this context, patients who exhibit rapid progression (</w:t>
      </w:r>
      <w:r w:rsidRPr="00C92AE1">
        <w:rPr>
          <w:rFonts w:ascii="Book Antiqua" w:eastAsiaTheme="minorHAnsi" w:hAnsi="Book Antiqua"/>
          <w:i/>
          <w:noProof/>
          <w:sz w:val="24"/>
          <w:szCs w:val="24"/>
          <w:lang w:val="en-US"/>
        </w:rPr>
        <w:t>i.e.</w:t>
      </w:r>
      <w:r w:rsidRPr="007966B6">
        <w:rPr>
          <w:rFonts w:ascii="Book Antiqua" w:eastAsiaTheme="minorHAnsi" w:hAnsi="Book Antiqua"/>
          <w:noProof/>
          <w:sz w:val="24"/>
          <w:szCs w:val="24"/>
          <w:lang w:val="en-US"/>
        </w:rPr>
        <w:t xml:space="preserve">, within 3 </w:t>
      </w:r>
      <w:r w:rsidR="007462D1">
        <w:rPr>
          <w:rFonts w:ascii="Book Antiqua" w:hAnsi="Book Antiqua" w:hint="eastAsia"/>
          <w:noProof/>
          <w:sz w:val="24"/>
          <w:szCs w:val="24"/>
          <w:lang w:val="en-US" w:eastAsia="zh-CN"/>
        </w:rPr>
        <w:t>mo</w:t>
      </w:r>
      <w:r w:rsidRPr="007966B6">
        <w:rPr>
          <w:rFonts w:ascii="Book Antiqua" w:eastAsiaTheme="minorHAnsi" w:hAnsi="Book Antiqua"/>
          <w:noProof/>
          <w:sz w:val="24"/>
          <w:szCs w:val="24"/>
          <w:lang w:val="en-US"/>
        </w:rPr>
        <w:t xml:space="preserve">) following the initiation of first-line bevacizumab-based therapy are usually good candidates for treatment with aflibercept or ramucirumab. It should be noted that such </w:t>
      </w:r>
      <w:r w:rsidRPr="007966B6">
        <w:rPr>
          <w:rFonts w:ascii="Book Antiqua" w:eastAsiaTheme="minorHAnsi" w:hAnsi="Book Antiqua"/>
          <w:noProof/>
          <w:sz w:val="24"/>
          <w:szCs w:val="24"/>
          <w:lang w:val="en-US"/>
        </w:rPr>
        <w:lastRenderedPageBreak/>
        <w:t>patients were not included in the ML18147 study, and it is possible that they have an intrinsic resistance to bevacizumab.</w:t>
      </w:r>
    </w:p>
    <w:p w14:paraId="0FD50985" w14:textId="7EF78C5C" w:rsidR="001E4EF7" w:rsidRPr="007966B6" w:rsidRDefault="001E4EF7" w:rsidP="00C92AE1">
      <w:pPr>
        <w:spacing w:after="0" w:line="360" w:lineRule="auto"/>
        <w:ind w:firstLineChars="100" w:firstLine="240"/>
        <w:jc w:val="both"/>
        <w:rPr>
          <w:rFonts w:ascii="Book Antiqua" w:eastAsiaTheme="minorHAnsi" w:hAnsi="Book Antiqua"/>
          <w:noProof/>
          <w:sz w:val="24"/>
          <w:szCs w:val="24"/>
          <w:lang w:val="en-US"/>
        </w:rPr>
      </w:pPr>
      <w:r w:rsidRPr="007966B6">
        <w:rPr>
          <w:rFonts w:ascii="Book Antiqua" w:eastAsiaTheme="minorHAnsi" w:hAnsi="Book Antiqua"/>
          <w:noProof/>
          <w:sz w:val="24"/>
          <w:szCs w:val="24"/>
          <w:lang w:val="en-US"/>
        </w:rPr>
        <w:t xml:space="preserve">Cost-effectiveness is also a factor that influences the clinician’s decision. Goldstein and El-Rayes calculated the costs of these agents for the treatment of </w:t>
      </w:r>
      <w:r w:rsidR="00C92AE1">
        <w:rPr>
          <w:rFonts w:ascii="Book Antiqua" w:eastAsiaTheme="minorHAnsi" w:hAnsi="Book Antiqua"/>
          <w:noProof/>
          <w:sz w:val="24"/>
          <w:szCs w:val="24"/>
          <w:lang w:val="en-US"/>
        </w:rPr>
        <w:t>mCRC based on average US prices</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vertAlign w:val="superscript"/>
          <w:lang w:val="en-US"/>
        </w:rPr>
        <w:t>40</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cstheme="minorHAnsi"/>
          <w:noProof/>
          <w:sz w:val="24"/>
          <w:szCs w:val="24"/>
          <w:lang w:val="en-US"/>
        </w:rPr>
        <w:t>.</w:t>
      </w:r>
      <w:r w:rsidRPr="007966B6">
        <w:rPr>
          <w:rFonts w:ascii="Book Antiqua" w:eastAsiaTheme="minorHAnsi" w:hAnsi="Book Antiqua"/>
          <w:noProof/>
          <w:sz w:val="24"/>
          <w:szCs w:val="24"/>
          <w:lang w:val="en-US"/>
        </w:rPr>
        <w:t xml:space="preserve"> They estimated that ramucirumab leads to a more than two-fold increase in the cost of treatment compared with bevacizumab and afliber</w:t>
      </w:r>
      <w:r w:rsidR="00C92AE1">
        <w:rPr>
          <w:rFonts w:ascii="Book Antiqua" w:eastAsiaTheme="minorHAnsi" w:hAnsi="Book Antiqua"/>
          <w:noProof/>
          <w:sz w:val="24"/>
          <w:szCs w:val="24"/>
          <w:lang w:val="en-US"/>
        </w:rPr>
        <w:t xml:space="preserve">cept. Morlock </w:t>
      </w:r>
      <w:r w:rsidR="00C92AE1" w:rsidRPr="00C92AE1">
        <w:rPr>
          <w:rFonts w:ascii="Book Antiqua" w:eastAsiaTheme="minorHAnsi" w:hAnsi="Book Antiqua"/>
          <w:i/>
          <w:noProof/>
          <w:sz w:val="24"/>
          <w:szCs w:val="24"/>
          <w:lang w:val="en-US"/>
        </w:rPr>
        <w:t>et al</w:t>
      </w:r>
      <w:r w:rsidR="00C92AE1" w:rsidRPr="007966B6">
        <w:rPr>
          <w:rFonts w:ascii="Book Antiqua" w:eastAsiaTheme="minorHAnsi" w:hAnsi="Book Antiqua" w:cstheme="minorHAnsi"/>
          <w:noProof/>
          <w:sz w:val="24"/>
          <w:szCs w:val="24"/>
          <w:vertAlign w:val="superscript"/>
          <w:lang w:val="en-US"/>
        </w:rPr>
        <w:t>[41]</w:t>
      </w:r>
      <w:r w:rsidRPr="007966B6">
        <w:rPr>
          <w:rFonts w:ascii="Book Antiqua" w:eastAsiaTheme="minorHAnsi" w:hAnsi="Book Antiqua"/>
          <w:noProof/>
          <w:sz w:val="24"/>
          <w:szCs w:val="24"/>
          <w:lang w:val="en-US"/>
        </w:rPr>
        <w:t xml:space="preserve"> indirectly compared the total cost and clinical outcomes of using bevacizumab plus chemotherapy and aflibercept plus chemotherapy as second-line chemotherapeutic strategies for mCRC using Butcher’s method. Bevacizumab plus chemotherapy was found to be more cost-effective than aflibercept plus chemotherapy (</w:t>
      </w:r>
      <w:r w:rsidRPr="007966B6">
        <w:rPr>
          <w:rFonts w:ascii="Book Antiqua" w:eastAsiaTheme="minorHAnsi" w:hAnsi="Book Antiqua" w:cstheme="minorHAnsi"/>
          <w:noProof/>
          <w:sz w:val="24"/>
          <w:szCs w:val="24"/>
          <w:lang w:val="en-US"/>
        </w:rPr>
        <w:t>$</w:t>
      </w:r>
      <w:r w:rsidR="00C92AE1">
        <w:rPr>
          <w:rFonts w:ascii="Book Antiqua" w:eastAsiaTheme="minorHAnsi" w:hAnsi="Book Antiqua"/>
          <w:noProof/>
          <w:sz w:val="24"/>
          <w:szCs w:val="24"/>
          <w:lang w:val="en-US"/>
        </w:rPr>
        <w:t>39</w:t>
      </w:r>
      <w:r w:rsidRPr="007966B6">
        <w:rPr>
          <w:rFonts w:ascii="Book Antiqua" w:eastAsiaTheme="minorHAnsi" w:hAnsi="Book Antiqua"/>
          <w:noProof/>
          <w:sz w:val="24"/>
          <w:szCs w:val="24"/>
          <w:lang w:val="en-US"/>
        </w:rPr>
        <w:t xml:space="preserve">104 less per treated patient), with similar effectiveness (OS 13.3 </w:t>
      </w:r>
      <w:r w:rsidR="007462D1">
        <w:rPr>
          <w:rFonts w:ascii="Book Antiqua" w:hAnsi="Book Antiqua" w:hint="eastAsia"/>
          <w:noProof/>
          <w:sz w:val="24"/>
          <w:szCs w:val="24"/>
          <w:lang w:val="en-US" w:eastAsia="zh-CN"/>
        </w:rPr>
        <w:t xml:space="preserve">mo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noProof/>
          <w:sz w:val="24"/>
          <w:szCs w:val="24"/>
          <w:lang w:val="en-US"/>
        </w:rPr>
        <w:t xml:space="preserve"> 12.5 </w:t>
      </w:r>
      <w:r w:rsidR="007462D1">
        <w:rPr>
          <w:rFonts w:ascii="Book Antiqua" w:hAnsi="Book Antiqua" w:hint="eastAsia"/>
          <w:noProof/>
          <w:sz w:val="24"/>
          <w:szCs w:val="24"/>
          <w:lang w:val="en-US" w:eastAsia="zh-CN"/>
        </w:rPr>
        <w:t>mo</w:t>
      </w:r>
      <w:r w:rsidRPr="007966B6">
        <w:rPr>
          <w:rFonts w:ascii="Book Antiqua" w:eastAsiaTheme="minorHAnsi" w:hAnsi="Book Antiqua"/>
          <w:noProof/>
          <w:sz w:val="24"/>
          <w:szCs w:val="24"/>
          <w:lang w:val="en-US"/>
        </w:rPr>
        <w:t>; HR 0.94). Therefore, the use of bevacizumab beyond disease progression appears to be the most reasonable therapeutic approach in selected patients.</w:t>
      </w:r>
    </w:p>
    <w:p w14:paraId="7ADAE909" w14:textId="1E5C85B3" w:rsidR="001E4EF7" w:rsidRPr="007966B6" w:rsidRDefault="001E4EF7" w:rsidP="00C92AE1">
      <w:pPr>
        <w:spacing w:after="0" w:line="360" w:lineRule="auto"/>
        <w:ind w:firstLineChars="100" w:firstLine="240"/>
        <w:jc w:val="both"/>
        <w:rPr>
          <w:rFonts w:ascii="Book Antiqua" w:eastAsiaTheme="minorHAnsi" w:hAnsi="Book Antiqua"/>
          <w:sz w:val="24"/>
          <w:szCs w:val="24"/>
          <w:lang w:val="en-US"/>
        </w:rPr>
      </w:pPr>
      <w:r w:rsidRPr="007966B6">
        <w:rPr>
          <w:rFonts w:ascii="Book Antiqua" w:eastAsiaTheme="minorHAnsi" w:hAnsi="Book Antiqua"/>
          <w:noProof/>
          <w:sz w:val="24"/>
          <w:szCs w:val="24"/>
          <w:lang w:val="en-US"/>
        </w:rPr>
        <w:t xml:space="preserve">For patients with RAS wild-type mCRC in whom the first-line bevacizumab-based treatment was ineffective, the optimal second-line chemotherapy remains controversial. The data from two small phase II studies, the SPIRITT and PRODIGE 18, suggests that switching from bevacizumab to </w:t>
      </w:r>
      <w:r w:rsidRPr="007966B6">
        <w:rPr>
          <w:rFonts w:ascii="Book Antiqua" w:eastAsiaTheme="minorHAnsi" w:hAnsi="Book Antiqua"/>
          <w:sz w:val="24"/>
          <w:szCs w:val="24"/>
          <w:lang w:val="en-US"/>
        </w:rPr>
        <w:t xml:space="preserve">an </w:t>
      </w:r>
      <w:r w:rsidRPr="007966B6">
        <w:rPr>
          <w:rFonts w:ascii="Book Antiqua" w:eastAsiaTheme="minorHAnsi" w:hAnsi="Book Antiqua"/>
          <w:noProof/>
          <w:sz w:val="24"/>
          <w:szCs w:val="24"/>
          <w:lang w:val="en-US"/>
        </w:rPr>
        <w:t xml:space="preserve">epidermal growth factor inhibitor (panitumumab or cetuximab) in the second-line chemotherapy of patients with KRAS wild-type mCRC does not provide a survival benefit that is superior to </w:t>
      </w:r>
      <w:r w:rsidR="00C92AE1">
        <w:rPr>
          <w:rFonts w:ascii="Book Antiqua" w:eastAsiaTheme="minorHAnsi" w:hAnsi="Book Antiqua"/>
          <w:noProof/>
          <w:sz w:val="24"/>
          <w:szCs w:val="24"/>
          <w:lang w:val="en-US"/>
        </w:rPr>
        <w:t>the continuation of bevacizumab</w:t>
      </w:r>
      <w:r w:rsidRPr="007966B6">
        <w:rPr>
          <w:rFonts w:ascii="Book Antiqua" w:eastAsiaTheme="minorHAnsi" w:hAnsi="Book Antiqua" w:cstheme="minorHAnsi"/>
          <w:noProof/>
          <w:sz w:val="24"/>
          <w:szCs w:val="24"/>
          <w:vertAlign w:val="superscript"/>
          <w:lang w:val="en-US"/>
        </w:rPr>
        <w:t>[</w:t>
      </w:r>
      <w:r w:rsidR="00C92AE1">
        <w:rPr>
          <w:rFonts w:ascii="Book Antiqua" w:eastAsiaTheme="minorHAnsi" w:hAnsi="Book Antiqua"/>
          <w:noProof/>
          <w:sz w:val="24"/>
          <w:szCs w:val="24"/>
          <w:vertAlign w:val="superscript"/>
          <w:lang w:val="en-US"/>
        </w:rPr>
        <w:t>42,</w:t>
      </w:r>
      <w:r w:rsidRPr="007966B6">
        <w:rPr>
          <w:rFonts w:ascii="Book Antiqua" w:eastAsiaTheme="minorHAnsi" w:hAnsi="Book Antiqua"/>
          <w:noProof/>
          <w:sz w:val="24"/>
          <w:szCs w:val="24"/>
          <w:vertAlign w:val="superscript"/>
          <w:lang w:val="en-US"/>
        </w:rPr>
        <w:t>43</w:t>
      </w:r>
      <w:r w:rsidRPr="007966B6">
        <w:rPr>
          <w:rFonts w:ascii="Book Antiqua" w:eastAsiaTheme="minorHAnsi" w:hAnsi="Book Antiqua" w:cstheme="minorHAnsi"/>
          <w:noProof/>
          <w:sz w:val="24"/>
          <w:szCs w:val="24"/>
          <w:vertAlign w:val="superscript"/>
          <w:lang w:val="en-US"/>
        </w:rPr>
        <w:t>]</w:t>
      </w:r>
      <w:r w:rsidRPr="007966B6">
        <w:rPr>
          <w:rFonts w:ascii="Book Antiqua" w:eastAsiaTheme="minorHAnsi" w:hAnsi="Book Antiqua"/>
          <w:noProof/>
          <w:sz w:val="24"/>
          <w:szCs w:val="24"/>
          <w:lang w:val="en-US"/>
        </w:rPr>
        <w:t xml:space="preserve">. </w:t>
      </w:r>
      <w:r w:rsidRPr="007966B6">
        <w:rPr>
          <w:rFonts w:ascii="Book Antiqua" w:eastAsiaTheme="minorHAnsi" w:hAnsi="Book Antiqua"/>
          <w:sz w:val="24"/>
          <w:szCs w:val="24"/>
          <w:lang w:val="en-US"/>
        </w:rPr>
        <w:t xml:space="preserve">However, the </w:t>
      </w:r>
      <w:r w:rsidRPr="007966B6">
        <w:rPr>
          <w:rFonts w:ascii="Book Antiqua" w:eastAsiaTheme="minorHAnsi" w:hAnsi="Book Antiqua"/>
          <w:noProof/>
          <w:sz w:val="24"/>
          <w:szCs w:val="24"/>
          <w:lang w:val="en-US"/>
        </w:rPr>
        <w:t>SPIRITT</w:t>
      </w:r>
      <w:r w:rsidRPr="007966B6">
        <w:rPr>
          <w:rFonts w:ascii="Book Antiqua" w:eastAsiaTheme="minorHAnsi" w:hAnsi="Book Antiqua"/>
          <w:sz w:val="24"/>
          <w:szCs w:val="24"/>
          <w:lang w:val="en-US"/>
        </w:rPr>
        <w:t xml:space="preserve"> study demonstrated that a switch from bevacizumab to panitumumab </w:t>
      </w:r>
      <w:r w:rsidRPr="007966B6">
        <w:rPr>
          <w:rFonts w:ascii="Book Antiqua" w:eastAsiaTheme="minorHAnsi" w:hAnsi="Book Antiqua"/>
          <w:noProof/>
          <w:sz w:val="24"/>
          <w:szCs w:val="24"/>
          <w:lang w:val="en-US"/>
        </w:rPr>
        <w:t>might</w:t>
      </w:r>
      <w:r w:rsidRPr="007966B6">
        <w:rPr>
          <w:rFonts w:ascii="Book Antiqua" w:eastAsiaTheme="minorHAnsi" w:hAnsi="Book Antiqua"/>
          <w:sz w:val="24"/>
          <w:szCs w:val="24"/>
          <w:lang w:val="en-US"/>
        </w:rPr>
        <w:t xml:space="preserve"> be associated with </w:t>
      </w:r>
      <w:r w:rsidRPr="007966B6">
        <w:rPr>
          <w:rFonts w:ascii="Book Antiqua" w:eastAsiaTheme="minorHAnsi" w:hAnsi="Book Antiqua"/>
          <w:noProof/>
          <w:sz w:val="24"/>
          <w:szCs w:val="24"/>
          <w:lang w:val="en-US"/>
        </w:rPr>
        <w:t>increased</w:t>
      </w:r>
      <w:r w:rsidRPr="007966B6">
        <w:rPr>
          <w:rFonts w:ascii="Book Antiqua" w:eastAsiaTheme="minorHAnsi" w:hAnsi="Book Antiqua"/>
          <w:sz w:val="24"/>
          <w:szCs w:val="24"/>
          <w:lang w:val="en-US"/>
        </w:rPr>
        <w:t xml:space="preserve"> tumor response (19% </w:t>
      </w:r>
      <w:r w:rsidR="007462D1" w:rsidRPr="007462D1">
        <w:rPr>
          <w:rFonts w:ascii="Book Antiqua" w:eastAsiaTheme="minorHAnsi" w:hAnsi="Book Antiqua"/>
          <w:i/>
          <w:noProof/>
          <w:sz w:val="24"/>
          <w:szCs w:val="24"/>
          <w:lang w:val="en-US"/>
        </w:rPr>
        <w:t>vs</w:t>
      </w:r>
      <w:r w:rsidRPr="007966B6">
        <w:rPr>
          <w:rFonts w:ascii="Book Antiqua" w:eastAsiaTheme="minorHAnsi" w:hAnsi="Book Antiqua"/>
          <w:sz w:val="24"/>
          <w:szCs w:val="24"/>
          <w:lang w:val="en-US"/>
        </w:rPr>
        <w:t xml:space="preserve"> 32</w:t>
      </w:r>
      <w:proofErr w:type="gramStart"/>
      <w:r w:rsidRPr="007966B6">
        <w:rPr>
          <w:rFonts w:ascii="Book Antiqua" w:eastAsiaTheme="minorHAnsi" w:hAnsi="Book Antiqua"/>
          <w:sz w:val="24"/>
          <w:szCs w:val="24"/>
          <w:lang w:val="en-US"/>
        </w:rPr>
        <w:t>%)</w:t>
      </w:r>
      <w:r w:rsidRPr="007966B6">
        <w:rPr>
          <w:rFonts w:ascii="Book Antiqua" w:eastAsiaTheme="minorHAnsi" w:hAnsi="Book Antiqua" w:cstheme="minorHAnsi"/>
          <w:sz w:val="24"/>
          <w:szCs w:val="24"/>
          <w:vertAlign w:val="superscript"/>
          <w:lang w:val="en-US"/>
        </w:rPr>
        <w:t>[</w:t>
      </w:r>
      <w:proofErr w:type="gramEnd"/>
      <w:r w:rsidRPr="007966B6">
        <w:rPr>
          <w:rFonts w:ascii="Book Antiqua" w:eastAsiaTheme="minorHAnsi" w:hAnsi="Book Antiqua" w:cstheme="minorHAnsi"/>
          <w:sz w:val="24"/>
          <w:szCs w:val="24"/>
          <w:vertAlign w:val="superscript"/>
          <w:lang w:val="en-US"/>
        </w:rPr>
        <w:t>42]</w:t>
      </w:r>
      <w:r w:rsidRPr="007966B6">
        <w:rPr>
          <w:rFonts w:ascii="Book Antiqua" w:eastAsiaTheme="minorHAnsi" w:hAnsi="Book Antiqua"/>
          <w:sz w:val="24"/>
          <w:szCs w:val="24"/>
          <w:lang w:val="en-US"/>
        </w:rPr>
        <w:t>. Therefore, when a rapid response is desired, the continuation of treatment with an EGFR inhibitor may be more appropriate.</w:t>
      </w:r>
    </w:p>
    <w:p w14:paraId="3B2B078A" w14:textId="5E81ED15" w:rsidR="001E4EF7" w:rsidRPr="007966B6" w:rsidRDefault="001E4EF7" w:rsidP="00C92AE1">
      <w:pPr>
        <w:spacing w:after="0" w:line="360" w:lineRule="auto"/>
        <w:ind w:firstLineChars="100" w:firstLine="240"/>
        <w:jc w:val="both"/>
        <w:rPr>
          <w:rFonts w:ascii="Book Antiqua" w:eastAsiaTheme="minorHAnsi" w:hAnsi="Book Antiqua"/>
          <w:noProof/>
          <w:sz w:val="24"/>
          <w:szCs w:val="24"/>
          <w:lang w:val="en-US"/>
        </w:rPr>
      </w:pPr>
      <w:r w:rsidRPr="007966B6">
        <w:rPr>
          <w:rFonts w:ascii="Book Antiqua" w:eastAsiaTheme="minorHAnsi" w:hAnsi="Book Antiqua"/>
          <w:sz w:val="24"/>
          <w:szCs w:val="24"/>
          <w:lang w:val="en-US"/>
        </w:rPr>
        <w:t xml:space="preserve">In conclusion, based on </w:t>
      </w:r>
      <w:r w:rsidRPr="007966B6">
        <w:rPr>
          <w:rFonts w:ascii="Book Antiqua" w:eastAsiaTheme="minorHAnsi" w:hAnsi="Book Antiqua"/>
          <w:noProof/>
          <w:sz w:val="24"/>
          <w:szCs w:val="24"/>
          <w:lang w:val="en-US"/>
        </w:rPr>
        <w:t>current</w:t>
      </w:r>
      <w:r w:rsidRPr="007966B6">
        <w:rPr>
          <w:rFonts w:ascii="Book Antiqua" w:eastAsiaTheme="minorHAnsi" w:hAnsi="Book Antiqua"/>
          <w:sz w:val="24"/>
          <w:szCs w:val="24"/>
          <w:lang w:val="en-US"/>
        </w:rPr>
        <w:t xml:space="preserve"> </w:t>
      </w:r>
      <w:r w:rsidRPr="007966B6">
        <w:rPr>
          <w:rFonts w:ascii="Book Antiqua" w:eastAsiaTheme="minorHAnsi" w:hAnsi="Book Antiqua"/>
          <w:noProof/>
          <w:sz w:val="24"/>
          <w:szCs w:val="24"/>
          <w:lang w:val="en-US"/>
        </w:rPr>
        <w:t>evidence,</w:t>
      </w:r>
      <w:r w:rsidRPr="007966B6">
        <w:rPr>
          <w:rFonts w:ascii="Book Antiqua" w:eastAsiaTheme="minorHAnsi" w:hAnsi="Book Antiqua"/>
          <w:sz w:val="24"/>
          <w:szCs w:val="24"/>
          <w:lang w:val="en-US"/>
        </w:rPr>
        <w:t xml:space="preserve"> we propose a simple algorithm for the management of patients with mCRC who developed disease progression following first-line bevacizumab-based therapy (</w:t>
      </w:r>
      <w:r w:rsidRPr="00C92AE1">
        <w:rPr>
          <w:rFonts w:ascii="Book Antiqua" w:eastAsiaTheme="minorHAnsi" w:hAnsi="Book Antiqua"/>
          <w:sz w:val="24"/>
          <w:szCs w:val="24"/>
          <w:lang w:val="en-US"/>
        </w:rPr>
        <w:t xml:space="preserve">Figure 2). </w:t>
      </w:r>
      <w:r w:rsidRPr="007966B6">
        <w:rPr>
          <w:rFonts w:ascii="Book Antiqua" w:eastAsiaTheme="minorHAnsi" w:hAnsi="Book Antiqua"/>
          <w:sz w:val="24"/>
          <w:szCs w:val="24"/>
          <w:lang w:val="en-US"/>
        </w:rPr>
        <w:t>The identification of clinically useful predictive markers reflecting tumor sensitivity to a specific antiangiogenic agent would improve the effectiveness of treatment and reduce costs.</w:t>
      </w:r>
    </w:p>
    <w:p w14:paraId="360CA528" w14:textId="77777777" w:rsidR="001E4EF7" w:rsidRPr="007966B6" w:rsidRDefault="001E4EF7" w:rsidP="005831C8">
      <w:pPr>
        <w:spacing w:after="0" w:line="360" w:lineRule="auto"/>
        <w:jc w:val="both"/>
        <w:rPr>
          <w:rFonts w:ascii="Book Antiqua" w:eastAsiaTheme="minorHAnsi" w:hAnsi="Book Antiqua"/>
          <w:sz w:val="24"/>
          <w:szCs w:val="24"/>
          <w:lang w:val="en-US"/>
        </w:rPr>
      </w:pPr>
    </w:p>
    <w:p w14:paraId="439C7049" w14:textId="77777777" w:rsidR="00C92AE1" w:rsidRDefault="00C92AE1">
      <w:pPr>
        <w:rPr>
          <w:rFonts w:ascii="Book Antiqua" w:eastAsiaTheme="minorHAnsi" w:hAnsi="Book Antiqua"/>
          <w:b/>
          <w:sz w:val="24"/>
          <w:szCs w:val="24"/>
          <w:lang w:val="en-US"/>
        </w:rPr>
      </w:pPr>
      <w:r>
        <w:rPr>
          <w:rFonts w:ascii="Book Antiqua" w:eastAsiaTheme="minorHAnsi" w:hAnsi="Book Antiqua"/>
          <w:b/>
          <w:sz w:val="24"/>
          <w:szCs w:val="24"/>
          <w:lang w:val="en-US"/>
        </w:rPr>
        <w:br w:type="page"/>
      </w:r>
    </w:p>
    <w:p w14:paraId="2217E113" w14:textId="2BC06CEB" w:rsidR="001E4EF7" w:rsidRPr="00B72CD2" w:rsidRDefault="00C92AE1" w:rsidP="00B72CD2">
      <w:pPr>
        <w:spacing w:after="0" w:line="360" w:lineRule="auto"/>
        <w:jc w:val="both"/>
        <w:rPr>
          <w:rFonts w:ascii="Book Antiqua" w:eastAsiaTheme="minorHAnsi" w:hAnsi="Book Antiqua"/>
          <w:sz w:val="24"/>
          <w:szCs w:val="24"/>
          <w:lang w:val="en-US"/>
        </w:rPr>
      </w:pPr>
      <w:r w:rsidRPr="00B72CD2">
        <w:rPr>
          <w:rFonts w:ascii="Book Antiqua" w:eastAsiaTheme="minorHAnsi" w:hAnsi="Book Antiqua"/>
          <w:b/>
          <w:sz w:val="24"/>
          <w:szCs w:val="24"/>
          <w:lang w:val="en-US"/>
        </w:rPr>
        <w:lastRenderedPageBreak/>
        <w:t>REFERENCES</w:t>
      </w:r>
    </w:p>
    <w:p w14:paraId="40CFF5F2"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1 </w:t>
      </w:r>
      <w:r w:rsidRPr="00B72CD2">
        <w:rPr>
          <w:rFonts w:ascii="Book Antiqua" w:hAnsi="Book Antiqua"/>
          <w:b/>
          <w:sz w:val="24"/>
          <w:szCs w:val="24"/>
        </w:rPr>
        <w:t>Ohhara Y</w:t>
      </w:r>
      <w:r w:rsidRPr="00B72CD2">
        <w:rPr>
          <w:rFonts w:ascii="Book Antiqua" w:hAnsi="Book Antiqua"/>
          <w:sz w:val="24"/>
          <w:szCs w:val="24"/>
        </w:rPr>
        <w:t xml:space="preserve">, Fukuda N, Takeuchi S, Honma R, Shimizu Y, Kinoshita I, Dosaka-Akita H. Role of targeted therapy in metastatic colorectal cancer. </w:t>
      </w:r>
      <w:r w:rsidRPr="00B72CD2">
        <w:rPr>
          <w:rFonts w:ascii="Book Antiqua" w:hAnsi="Book Antiqua"/>
          <w:i/>
          <w:sz w:val="24"/>
          <w:szCs w:val="24"/>
        </w:rPr>
        <w:t>World J Gastrointest Oncol</w:t>
      </w:r>
      <w:r w:rsidRPr="00B72CD2">
        <w:rPr>
          <w:rFonts w:ascii="Book Antiqua" w:hAnsi="Book Antiqua"/>
          <w:sz w:val="24"/>
          <w:szCs w:val="24"/>
        </w:rPr>
        <w:t xml:space="preserve"> 2016; </w:t>
      </w:r>
      <w:r w:rsidRPr="00B72CD2">
        <w:rPr>
          <w:rFonts w:ascii="Book Antiqua" w:hAnsi="Book Antiqua"/>
          <w:b/>
          <w:sz w:val="24"/>
          <w:szCs w:val="24"/>
        </w:rPr>
        <w:t>8</w:t>
      </w:r>
      <w:r w:rsidRPr="00B72CD2">
        <w:rPr>
          <w:rFonts w:ascii="Book Antiqua" w:hAnsi="Book Antiqua"/>
          <w:sz w:val="24"/>
          <w:szCs w:val="24"/>
        </w:rPr>
        <w:t>: 642-655 [PMID: 27672422 DOI: 10.4251/wjgo.v8.i9.642]</w:t>
      </w:r>
    </w:p>
    <w:p w14:paraId="051B29B2"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2 </w:t>
      </w:r>
      <w:r w:rsidRPr="00B72CD2">
        <w:rPr>
          <w:rFonts w:ascii="Book Antiqua" w:hAnsi="Book Antiqua"/>
          <w:b/>
          <w:sz w:val="24"/>
          <w:szCs w:val="24"/>
        </w:rPr>
        <w:t>Sanz-Garcia E</w:t>
      </w:r>
      <w:r w:rsidRPr="00B72CD2">
        <w:rPr>
          <w:rFonts w:ascii="Book Antiqua" w:hAnsi="Book Antiqua"/>
          <w:sz w:val="24"/>
          <w:szCs w:val="24"/>
        </w:rPr>
        <w:t xml:space="preserve">, Argiles G, Elez E, Tabernero J. BRAF mutant colorectal cancer: prognosis, treatment, and new perspectives. </w:t>
      </w:r>
      <w:r w:rsidRPr="00B72CD2">
        <w:rPr>
          <w:rFonts w:ascii="Book Antiqua" w:hAnsi="Book Antiqua"/>
          <w:i/>
          <w:sz w:val="24"/>
          <w:szCs w:val="24"/>
        </w:rPr>
        <w:t>Ann Oncol</w:t>
      </w:r>
      <w:r w:rsidRPr="00B72CD2">
        <w:rPr>
          <w:rFonts w:ascii="Book Antiqua" w:hAnsi="Book Antiqua"/>
          <w:sz w:val="24"/>
          <w:szCs w:val="24"/>
        </w:rPr>
        <w:t xml:space="preserve"> 2017; </w:t>
      </w:r>
      <w:r w:rsidRPr="00B72CD2">
        <w:rPr>
          <w:rFonts w:ascii="Book Antiqua" w:hAnsi="Book Antiqua"/>
          <w:b/>
          <w:sz w:val="24"/>
          <w:szCs w:val="24"/>
        </w:rPr>
        <w:t>28</w:t>
      </w:r>
      <w:r w:rsidRPr="00B72CD2">
        <w:rPr>
          <w:rFonts w:ascii="Book Antiqua" w:hAnsi="Book Antiqua"/>
          <w:sz w:val="24"/>
          <w:szCs w:val="24"/>
        </w:rPr>
        <w:t>: 2648-2657 [PMID: 29045527 DOI: 10.1093/annonc/mdx401]</w:t>
      </w:r>
    </w:p>
    <w:p w14:paraId="7E1B50E6"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3 </w:t>
      </w:r>
      <w:r w:rsidRPr="00B72CD2">
        <w:rPr>
          <w:rFonts w:ascii="Book Antiqua" w:hAnsi="Book Antiqua"/>
          <w:b/>
          <w:sz w:val="24"/>
          <w:szCs w:val="24"/>
        </w:rPr>
        <w:t>Siena S</w:t>
      </w:r>
      <w:r w:rsidRPr="00B72CD2">
        <w:rPr>
          <w:rFonts w:ascii="Book Antiqua" w:hAnsi="Book Antiqua"/>
          <w:sz w:val="24"/>
          <w:szCs w:val="24"/>
        </w:rPr>
        <w:t xml:space="preserve">, Sartore-Bianchi A, Marsoni S, Hurwitz HI, McCall SJ, Penault-Llorca F, Srock S, Bardelli A, Trusolino L. Targeting the human epidermal growth factor receptor 2 (HER2) oncogene in colorectal cancer. </w:t>
      </w:r>
      <w:r w:rsidRPr="00B72CD2">
        <w:rPr>
          <w:rFonts w:ascii="Book Antiqua" w:hAnsi="Book Antiqua"/>
          <w:i/>
          <w:sz w:val="24"/>
          <w:szCs w:val="24"/>
        </w:rPr>
        <w:t>Ann Oncol</w:t>
      </w:r>
      <w:r w:rsidRPr="00B72CD2">
        <w:rPr>
          <w:rFonts w:ascii="Book Antiqua" w:hAnsi="Book Antiqua"/>
          <w:sz w:val="24"/>
          <w:szCs w:val="24"/>
        </w:rPr>
        <w:t xml:space="preserve"> 2018; </w:t>
      </w:r>
      <w:r w:rsidRPr="00B72CD2">
        <w:rPr>
          <w:rFonts w:ascii="Book Antiqua" w:hAnsi="Book Antiqua"/>
          <w:b/>
          <w:sz w:val="24"/>
          <w:szCs w:val="24"/>
        </w:rPr>
        <w:t>29</w:t>
      </w:r>
      <w:r w:rsidRPr="00B72CD2">
        <w:rPr>
          <w:rFonts w:ascii="Book Antiqua" w:hAnsi="Book Antiqua"/>
          <w:sz w:val="24"/>
          <w:szCs w:val="24"/>
        </w:rPr>
        <w:t>: 1108-1119 [PMID: 29659677 DOI: 10.1093/annonc/mdy100]</w:t>
      </w:r>
    </w:p>
    <w:p w14:paraId="78FB9371"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4 </w:t>
      </w:r>
      <w:r w:rsidRPr="00B72CD2">
        <w:rPr>
          <w:rFonts w:ascii="Book Antiqua" w:hAnsi="Book Antiqua"/>
          <w:b/>
          <w:sz w:val="24"/>
          <w:szCs w:val="24"/>
        </w:rPr>
        <w:t>Gelsomino F</w:t>
      </w:r>
      <w:r w:rsidRPr="00B72CD2">
        <w:rPr>
          <w:rFonts w:ascii="Book Antiqua" w:hAnsi="Book Antiqua"/>
          <w:sz w:val="24"/>
          <w:szCs w:val="24"/>
        </w:rPr>
        <w:t xml:space="preserve">, Barbolini M, Spallanzani A, Pugliese G, Cascinu S. The evolving role of microsatellite instability in colorectal cancer: A review. </w:t>
      </w:r>
      <w:r w:rsidRPr="00B72CD2">
        <w:rPr>
          <w:rFonts w:ascii="Book Antiqua" w:hAnsi="Book Antiqua"/>
          <w:i/>
          <w:sz w:val="24"/>
          <w:szCs w:val="24"/>
        </w:rPr>
        <w:t>Cancer Treat Rev</w:t>
      </w:r>
      <w:r w:rsidRPr="00B72CD2">
        <w:rPr>
          <w:rFonts w:ascii="Book Antiqua" w:hAnsi="Book Antiqua"/>
          <w:sz w:val="24"/>
          <w:szCs w:val="24"/>
        </w:rPr>
        <w:t xml:space="preserve"> 2016; </w:t>
      </w:r>
      <w:r w:rsidRPr="00B72CD2">
        <w:rPr>
          <w:rFonts w:ascii="Book Antiqua" w:hAnsi="Book Antiqua"/>
          <w:b/>
          <w:sz w:val="24"/>
          <w:szCs w:val="24"/>
        </w:rPr>
        <w:t>51</w:t>
      </w:r>
      <w:r w:rsidRPr="00B72CD2">
        <w:rPr>
          <w:rFonts w:ascii="Book Antiqua" w:hAnsi="Book Antiqua"/>
          <w:sz w:val="24"/>
          <w:szCs w:val="24"/>
        </w:rPr>
        <w:t>: 19-26 [PMID: 27838401 DOI: 10.1016/j.ctrv.2016.10.005]</w:t>
      </w:r>
    </w:p>
    <w:p w14:paraId="66545B0C"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5 </w:t>
      </w:r>
      <w:r w:rsidRPr="00B72CD2">
        <w:rPr>
          <w:rFonts w:ascii="Book Antiqua" w:hAnsi="Book Antiqua"/>
          <w:b/>
          <w:sz w:val="24"/>
          <w:szCs w:val="24"/>
        </w:rPr>
        <w:t>Clarke JM</w:t>
      </w:r>
      <w:r w:rsidRPr="00B72CD2">
        <w:rPr>
          <w:rFonts w:ascii="Book Antiqua" w:hAnsi="Book Antiqua"/>
          <w:sz w:val="24"/>
          <w:szCs w:val="24"/>
        </w:rPr>
        <w:t xml:space="preserve">, Hurwitz HI. Understanding and targeting resistance to anti-angiogenic therapies. </w:t>
      </w:r>
      <w:r w:rsidRPr="00B72CD2">
        <w:rPr>
          <w:rFonts w:ascii="Book Antiqua" w:hAnsi="Book Antiqua"/>
          <w:i/>
          <w:sz w:val="24"/>
          <w:szCs w:val="24"/>
        </w:rPr>
        <w:t>J Gastrointest Oncol</w:t>
      </w:r>
      <w:r w:rsidRPr="00B72CD2">
        <w:rPr>
          <w:rFonts w:ascii="Book Antiqua" w:hAnsi="Book Antiqua"/>
          <w:sz w:val="24"/>
          <w:szCs w:val="24"/>
        </w:rPr>
        <w:t xml:space="preserve"> 2013; </w:t>
      </w:r>
      <w:r w:rsidRPr="00B72CD2">
        <w:rPr>
          <w:rFonts w:ascii="Book Antiqua" w:hAnsi="Book Antiqua"/>
          <w:b/>
          <w:sz w:val="24"/>
          <w:szCs w:val="24"/>
        </w:rPr>
        <w:t>4</w:t>
      </w:r>
      <w:r w:rsidRPr="00B72CD2">
        <w:rPr>
          <w:rFonts w:ascii="Book Antiqua" w:hAnsi="Book Antiqua"/>
          <w:sz w:val="24"/>
          <w:szCs w:val="24"/>
        </w:rPr>
        <w:t>: 253-263 [PMID: 23997938 DOI: 10.3978/j.issn.2078-6891.2013.036]</w:t>
      </w:r>
    </w:p>
    <w:p w14:paraId="4D35C515"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6 </w:t>
      </w:r>
      <w:r w:rsidRPr="00B72CD2">
        <w:rPr>
          <w:rFonts w:ascii="Book Antiqua" w:hAnsi="Book Antiqua"/>
          <w:b/>
          <w:sz w:val="24"/>
          <w:szCs w:val="24"/>
        </w:rPr>
        <w:t>Clarke JM</w:t>
      </w:r>
      <w:r w:rsidRPr="00B72CD2">
        <w:rPr>
          <w:rFonts w:ascii="Book Antiqua" w:hAnsi="Book Antiqua"/>
          <w:sz w:val="24"/>
          <w:szCs w:val="24"/>
        </w:rPr>
        <w:t xml:space="preserve">, Hurwitz HI, Rangwala F. Understanding the mechanisms of action of antiangiogenic agents in metastatic colorectal cancer: a clinician's perspective. </w:t>
      </w:r>
      <w:r w:rsidRPr="00B72CD2">
        <w:rPr>
          <w:rFonts w:ascii="Book Antiqua" w:hAnsi="Book Antiqua"/>
          <w:i/>
          <w:sz w:val="24"/>
          <w:szCs w:val="24"/>
        </w:rPr>
        <w:t>Cancer Treat Rev</w:t>
      </w:r>
      <w:r w:rsidRPr="00B72CD2">
        <w:rPr>
          <w:rFonts w:ascii="Book Antiqua" w:hAnsi="Book Antiqua"/>
          <w:sz w:val="24"/>
          <w:szCs w:val="24"/>
        </w:rPr>
        <w:t xml:space="preserve"> 2014; </w:t>
      </w:r>
      <w:r w:rsidRPr="00B72CD2">
        <w:rPr>
          <w:rFonts w:ascii="Book Antiqua" w:hAnsi="Book Antiqua"/>
          <w:b/>
          <w:sz w:val="24"/>
          <w:szCs w:val="24"/>
        </w:rPr>
        <w:t>40</w:t>
      </w:r>
      <w:r w:rsidRPr="00B72CD2">
        <w:rPr>
          <w:rFonts w:ascii="Book Antiqua" w:hAnsi="Book Antiqua"/>
          <w:sz w:val="24"/>
          <w:szCs w:val="24"/>
        </w:rPr>
        <w:t>: 1065-1072 [PMID: 25047778 DOI: 10.1016/j.ctrv.2014.07.001]</w:t>
      </w:r>
    </w:p>
    <w:p w14:paraId="22D69BC9"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7 </w:t>
      </w:r>
      <w:r w:rsidRPr="00B72CD2">
        <w:rPr>
          <w:rFonts w:ascii="Book Antiqua" w:hAnsi="Book Antiqua"/>
          <w:b/>
          <w:sz w:val="24"/>
          <w:szCs w:val="24"/>
        </w:rPr>
        <w:t>Konda B</w:t>
      </w:r>
      <w:r w:rsidRPr="00B72CD2">
        <w:rPr>
          <w:rFonts w:ascii="Book Antiqua" w:hAnsi="Book Antiqua"/>
          <w:sz w:val="24"/>
          <w:szCs w:val="24"/>
        </w:rPr>
        <w:t xml:space="preserve">, Shum H, Rajdev L. Anti-angiogenic agents in metastatic colorectal cancer. </w:t>
      </w:r>
      <w:r w:rsidRPr="00B72CD2">
        <w:rPr>
          <w:rFonts w:ascii="Book Antiqua" w:hAnsi="Book Antiqua"/>
          <w:i/>
          <w:sz w:val="24"/>
          <w:szCs w:val="24"/>
        </w:rPr>
        <w:t>World J Gastrointest Oncol</w:t>
      </w:r>
      <w:r w:rsidRPr="00B72CD2">
        <w:rPr>
          <w:rFonts w:ascii="Book Antiqua" w:hAnsi="Book Antiqua"/>
          <w:sz w:val="24"/>
          <w:szCs w:val="24"/>
        </w:rPr>
        <w:t xml:space="preserve"> 2015; </w:t>
      </w:r>
      <w:r w:rsidRPr="00B72CD2">
        <w:rPr>
          <w:rFonts w:ascii="Book Antiqua" w:hAnsi="Book Antiqua"/>
          <w:b/>
          <w:sz w:val="24"/>
          <w:szCs w:val="24"/>
        </w:rPr>
        <w:t>7</w:t>
      </w:r>
      <w:r w:rsidRPr="00B72CD2">
        <w:rPr>
          <w:rFonts w:ascii="Book Antiqua" w:hAnsi="Book Antiqua"/>
          <w:sz w:val="24"/>
          <w:szCs w:val="24"/>
        </w:rPr>
        <w:t>: 71-86 [PMID: 26191351 DOI: 10.4251/wjgo.v7.i7.71]</w:t>
      </w:r>
    </w:p>
    <w:p w14:paraId="1E2329BD"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8 </w:t>
      </w:r>
      <w:r w:rsidRPr="00B72CD2">
        <w:rPr>
          <w:rFonts w:ascii="Book Antiqua" w:hAnsi="Book Antiqua"/>
          <w:b/>
          <w:sz w:val="24"/>
          <w:szCs w:val="24"/>
        </w:rPr>
        <w:t>Shibuya M</w:t>
      </w:r>
      <w:r w:rsidRPr="00B72CD2">
        <w:rPr>
          <w:rFonts w:ascii="Book Antiqua" w:hAnsi="Book Antiqua"/>
          <w:sz w:val="24"/>
          <w:szCs w:val="24"/>
        </w:rPr>
        <w:t xml:space="preserve">. Vascular endothelial growth factor receptor-2: its unique signaling and specific ligand, VEGF-E. </w:t>
      </w:r>
      <w:r w:rsidRPr="00B72CD2">
        <w:rPr>
          <w:rFonts w:ascii="Book Antiqua" w:hAnsi="Book Antiqua"/>
          <w:i/>
          <w:sz w:val="24"/>
          <w:szCs w:val="24"/>
        </w:rPr>
        <w:t>Cancer Sci</w:t>
      </w:r>
      <w:r w:rsidRPr="00B72CD2">
        <w:rPr>
          <w:rFonts w:ascii="Book Antiqua" w:hAnsi="Book Antiqua"/>
          <w:sz w:val="24"/>
          <w:szCs w:val="24"/>
        </w:rPr>
        <w:t xml:space="preserve"> 2003; </w:t>
      </w:r>
      <w:r w:rsidRPr="00B72CD2">
        <w:rPr>
          <w:rFonts w:ascii="Book Antiqua" w:hAnsi="Book Antiqua"/>
          <w:b/>
          <w:sz w:val="24"/>
          <w:szCs w:val="24"/>
        </w:rPr>
        <w:t>94</w:t>
      </w:r>
      <w:r w:rsidRPr="00B72CD2">
        <w:rPr>
          <w:rFonts w:ascii="Book Antiqua" w:hAnsi="Book Antiqua"/>
          <w:sz w:val="24"/>
          <w:szCs w:val="24"/>
        </w:rPr>
        <w:t>: 751-756 [PMID: 12967471 DOI: 10.1111/j.1349-7006.2003.tb01514.x]</w:t>
      </w:r>
    </w:p>
    <w:p w14:paraId="46050895"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9 </w:t>
      </w:r>
      <w:r w:rsidRPr="00B72CD2">
        <w:rPr>
          <w:rFonts w:ascii="Book Antiqua" w:hAnsi="Book Antiqua"/>
          <w:b/>
          <w:sz w:val="24"/>
          <w:szCs w:val="24"/>
        </w:rPr>
        <w:t>Sun W</w:t>
      </w:r>
      <w:r w:rsidRPr="00B72CD2">
        <w:rPr>
          <w:rFonts w:ascii="Book Antiqua" w:hAnsi="Book Antiqua"/>
          <w:sz w:val="24"/>
          <w:szCs w:val="24"/>
        </w:rPr>
        <w:t xml:space="preserve">. Angiogenesis in metastatic colorectal cancer and the benefits of targeted therapy. </w:t>
      </w:r>
      <w:r w:rsidRPr="00B72CD2">
        <w:rPr>
          <w:rFonts w:ascii="Book Antiqua" w:hAnsi="Book Antiqua"/>
          <w:i/>
          <w:sz w:val="24"/>
          <w:szCs w:val="24"/>
        </w:rPr>
        <w:t>J Hematol Oncol</w:t>
      </w:r>
      <w:r w:rsidRPr="00B72CD2">
        <w:rPr>
          <w:rFonts w:ascii="Book Antiqua" w:hAnsi="Book Antiqua"/>
          <w:sz w:val="24"/>
          <w:szCs w:val="24"/>
        </w:rPr>
        <w:t xml:space="preserve"> 2012; </w:t>
      </w:r>
      <w:r w:rsidRPr="00B72CD2">
        <w:rPr>
          <w:rFonts w:ascii="Book Antiqua" w:hAnsi="Book Antiqua"/>
          <w:b/>
          <w:sz w:val="24"/>
          <w:szCs w:val="24"/>
        </w:rPr>
        <w:t>5</w:t>
      </w:r>
      <w:r w:rsidRPr="00B72CD2">
        <w:rPr>
          <w:rFonts w:ascii="Book Antiqua" w:hAnsi="Book Antiqua"/>
          <w:sz w:val="24"/>
          <w:szCs w:val="24"/>
        </w:rPr>
        <w:t>: 63 [PMID: 23057939 DOI: 10.1186/1756-8722-5-63]</w:t>
      </w:r>
    </w:p>
    <w:p w14:paraId="4A271C90" w14:textId="15ECD706"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10 </w:t>
      </w:r>
      <w:r w:rsidRPr="00B72CD2">
        <w:rPr>
          <w:rFonts w:ascii="Book Antiqua" w:hAnsi="Book Antiqua"/>
          <w:b/>
          <w:sz w:val="24"/>
          <w:szCs w:val="24"/>
        </w:rPr>
        <w:t>Peach CJ</w:t>
      </w:r>
      <w:r w:rsidRPr="00B72CD2">
        <w:rPr>
          <w:rFonts w:ascii="Book Antiqua" w:hAnsi="Book Antiqua"/>
          <w:sz w:val="24"/>
          <w:szCs w:val="24"/>
        </w:rPr>
        <w:t xml:space="preserve">, Mignone VW, Arruda MA, Alcobia DC, Hill SJ, Kilpatrick LE, Woolard J. Molecular Pharmacology of VEGF-A Isoforms: Binding and Signalling at VEGFR2. </w:t>
      </w:r>
      <w:r w:rsidRPr="00B72CD2">
        <w:rPr>
          <w:rFonts w:ascii="Book Antiqua" w:hAnsi="Book Antiqua"/>
          <w:i/>
          <w:sz w:val="24"/>
          <w:szCs w:val="24"/>
        </w:rPr>
        <w:t>Int J Mol Sci</w:t>
      </w:r>
      <w:r w:rsidRPr="00B72CD2">
        <w:rPr>
          <w:rFonts w:ascii="Book Antiqua" w:hAnsi="Book Antiqua"/>
          <w:sz w:val="24"/>
          <w:szCs w:val="24"/>
        </w:rPr>
        <w:t xml:space="preserve"> 2018; </w:t>
      </w:r>
      <w:r w:rsidRPr="00B72CD2">
        <w:rPr>
          <w:rFonts w:ascii="Book Antiqua" w:hAnsi="Book Antiqua"/>
          <w:b/>
          <w:sz w:val="24"/>
          <w:szCs w:val="24"/>
        </w:rPr>
        <w:t>19</w:t>
      </w:r>
      <w:r w:rsidRPr="00B72CD2">
        <w:rPr>
          <w:rFonts w:ascii="Book Antiqua" w:hAnsi="Book Antiqua"/>
          <w:sz w:val="24"/>
          <w:szCs w:val="24"/>
        </w:rPr>
        <w:t xml:space="preserve">:  </w:t>
      </w:r>
      <w:r w:rsidR="00C732F1" w:rsidRPr="00C732F1">
        <w:rPr>
          <w:rFonts w:ascii="Book Antiqua" w:hAnsi="Book Antiqua"/>
          <w:sz w:val="24"/>
          <w:szCs w:val="24"/>
        </w:rPr>
        <w:t>pii: E1264</w:t>
      </w:r>
      <w:r w:rsidR="00C732F1" w:rsidRPr="00B72CD2">
        <w:rPr>
          <w:rFonts w:ascii="Book Antiqua" w:hAnsi="Book Antiqua"/>
          <w:sz w:val="24"/>
          <w:szCs w:val="24"/>
        </w:rPr>
        <w:t xml:space="preserve"> </w:t>
      </w:r>
      <w:r w:rsidRPr="00B72CD2">
        <w:rPr>
          <w:rFonts w:ascii="Book Antiqua" w:hAnsi="Book Antiqua"/>
          <w:sz w:val="24"/>
          <w:szCs w:val="24"/>
        </w:rPr>
        <w:t>[PMID: 29690653 DOI: 10.3390/ijms19041264]</w:t>
      </w:r>
    </w:p>
    <w:p w14:paraId="597F9162"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lastRenderedPageBreak/>
        <w:t xml:space="preserve">11 </w:t>
      </w:r>
      <w:r w:rsidRPr="00B72CD2">
        <w:rPr>
          <w:rFonts w:ascii="Book Antiqua" w:hAnsi="Book Antiqua"/>
          <w:b/>
          <w:sz w:val="24"/>
          <w:szCs w:val="24"/>
        </w:rPr>
        <w:t>Niu G</w:t>
      </w:r>
      <w:r w:rsidRPr="00B72CD2">
        <w:rPr>
          <w:rFonts w:ascii="Book Antiqua" w:hAnsi="Book Antiqua"/>
          <w:sz w:val="24"/>
          <w:szCs w:val="24"/>
        </w:rPr>
        <w:t xml:space="preserve">, Chen X. Vascular endothelial growth factor as an anti-angiogenic target for cancer therapy. </w:t>
      </w:r>
      <w:r w:rsidRPr="00B72CD2">
        <w:rPr>
          <w:rFonts w:ascii="Book Antiqua" w:hAnsi="Book Antiqua"/>
          <w:i/>
          <w:sz w:val="24"/>
          <w:szCs w:val="24"/>
        </w:rPr>
        <w:t>Curr Drug Targets</w:t>
      </w:r>
      <w:r w:rsidRPr="00B72CD2">
        <w:rPr>
          <w:rFonts w:ascii="Book Antiqua" w:hAnsi="Book Antiqua"/>
          <w:sz w:val="24"/>
          <w:szCs w:val="24"/>
        </w:rPr>
        <w:t xml:space="preserve"> 2010; </w:t>
      </w:r>
      <w:r w:rsidRPr="00B72CD2">
        <w:rPr>
          <w:rFonts w:ascii="Book Antiqua" w:hAnsi="Book Antiqua"/>
          <w:b/>
          <w:sz w:val="24"/>
          <w:szCs w:val="24"/>
        </w:rPr>
        <w:t>11</w:t>
      </w:r>
      <w:r w:rsidRPr="00B72CD2">
        <w:rPr>
          <w:rFonts w:ascii="Book Antiqua" w:hAnsi="Book Antiqua"/>
          <w:sz w:val="24"/>
          <w:szCs w:val="24"/>
        </w:rPr>
        <w:t>: 1000-1017 [PMID: 20426765 DOI: 10.2174/138945010791591395]</w:t>
      </w:r>
    </w:p>
    <w:p w14:paraId="0DF94AF9"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12 </w:t>
      </w:r>
      <w:r w:rsidRPr="00B72CD2">
        <w:rPr>
          <w:rFonts w:ascii="Book Antiqua" w:hAnsi="Book Antiqua"/>
          <w:b/>
          <w:sz w:val="24"/>
          <w:szCs w:val="24"/>
        </w:rPr>
        <w:t>Cébe-Suarez S</w:t>
      </w:r>
      <w:r w:rsidRPr="00B72CD2">
        <w:rPr>
          <w:rFonts w:ascii="Book Antiqua" w:hAnsi="Book Antiqua"/>
          <w:sz w:val="24"/>
          <w:szCs w:val="24"/>
        </w:rPr>
        <w:t xml:space="preserve">, Zehnder-Fjällman A, Ballmer-Hofer K. The role of VEGF receptors in angiogenesis; complex partnerships. </w:t>
      </w:r>
      <w:r w:rsidRPr="00B72CD2">
        <w:rPr>
          <w:rFonts w:ascii="Book Antiqua" w:hAnsi="Book Antiqua"/>
          <w:i/>
          <w:sz w:val="24"/>
          <w:szCs w:val="24"/>
        </w:rPr>
        <w:t>Cell Mol Life Sci</w:t>
      </w:r>
      <w:r w:rsidRPr="00B72CD2">
        <w:rPr>
          <w:rFonts w:ascii="Book Antiqua" w:hAnsi="Book Antiqua"/>
          <w:sz w:val="24"/>
          <w:szCs w:val="24"/>
        </w:rPr>
        <w:t xml:space="preserve"> 2006; </w:t>
      </w:r>
      <w:r w:rsidRPr="00B72CD2">
        <w:rPr>
          <w:rFonts w:ascii="Book Antiqua" w:hAnsi="Book Antiqua"/>
          <w:b/>
          <w:sz w:val="24"/>
          <w:szCs w:val="24"/>
        </w:rPr>
        <w:t>63</w:t>
      </w:r>
      <w:r w:rsidRPr="00B72CD2">
        <w:rPr>
          <w:rFonts w:ascii="Book Antiqua" w:hAnsi="Book Antiqua"/>
          <w:sz w:val="24"/>
          <w:szCs w:val="24"/>
        </w:rPr>
        <w:t>: 601-615 [PMID: 16465447 DOI: 10.1007/s00018-005-5426-3]</w:t>
      </w:r>
    </w:p>
    <w:p w14:paraId="2FBDFB4A"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13 </w:t>
      </w:r>
      <w:r w:rsidRPr="00B72CD2">
        <w:rPr>
          <w:rFonts w:ascii="Book Antiqua" w:hAnsi="Book Antiqua"/>
          <w:b/>
          <w:sz w:val="24"/>
          <w:szCs w:val="24"/>
        </w:rPr>
        <w:t>Jang HJ</w:t>
      </w:r>
      <w:r w:rsidRPr="00B72CD2">
        <w:rPr>
          <w:rFonts w:ascii="Book Antiqua" w:hAnsi="Book Antiqua"/>
          <w:sz w:val="24"/>
          <w:szCs w:val="24"/>
        </w:rPr>
        <w:t xml:space="preserve">, Kim BJ, Kim JH, Kim HS. The addition of bevacizumab in the first-line treatment for metastatic colorectal cancer: an updated meta-analysis of randomized trials. </w:t>
      </w:r>
      <w:r w:rsidRPr="00B72CD2">
        <w:rPr>
          <w:rFonts w:ascii="Book Antiqua" w:hAnsi="Book Antiqua"/>
          <w:i/>
          <w:sz w:val="24"/>
          <w:szCs w:val="24"/>
        </w:rPr>
        <w:t>Oncotarget</w:t>
      </w:r>
      <w:r w:rsidRPr="00B72CD2">
        <w:rPr>
          <w:rFonts w:ascii="Book Antiqua" w:hAnsi="Book Antiqua"/>
          <w:sz w:val="24"/>
          <w:szCs w:val="24"/>
        </w:rPr>
        <w:t xml:space="preserve"> 2017; </w:t>
      </w:r>
      <w:r w:rsidRPr="00B72CD2">
        <w:rPr>
          <w:rFonts w:ascii="Book Antiqua" w:hAnsi="Book Antiqua"/>
          <w:b/>
          <w:sz w:val="24"/>
          <w:szCs w:val="24"/>
        </w:rPr>
        <w:t>8</w:t>
      </w:r>
      <w:r w:rsidRPr="00B72CD2">
        <w:rPr>
          <w:rFonts w:ascii="Book Antiqua" w:hAnsi="Book Antiqua"/>
          <w:sz w:val="24"/>
          <w:szCs w:val="24"/>
        </w:rPr>
        <w:t>: 73009-73016 [PMID: 29069844 DOI: 10.18632/oncotarget.20314]</w:t>
      </w:r>
    </w:p>
    <w:p w14:paraId="265E0EA4"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14 </w:t>
      </w:r>
      <w:r w:rsidRPr="00B72CD2">
        <w:rPr>
          <w:rFonts w:ascii="Book Antiqua" w:hAnsi="Book Antiqua"/>
          <w:b/>
          <w:sz w:val="24"/>
          <w:szCs w:val="24"/>
        </w:rPr>
        <w:t>Chebib R</w:t>
      </w:r>
      <w:r w:rsidRPr="00B72CD2">
        <w:rPr>
          <w:rFonts w:ascii="Book Antiqua" w:hAnsi="Book Antiqua"/>
          <w:sz w:val="24"/>
          <w:szCs w:val="24"/>
        </w:rPr>
        <w:t xml:space="preserve">, Verlingue L, Cozic N, Faron M, Burtin P, Boige V, Hollebecque A, Malka D. Angiogenesis inhibition in the second-line treatment of metastatic colorectal cancer: A systematic review and pooled analysis. </w:t>
      </w:r>
      <w:r w:rsidRPr="00B72CD2">
        <w:rPr>
          <w:rFonts w:ascii="Book Antiqua" w:hAnsi="Book Antiqua"/>
          <w:i/>
          <w:sz w:val="24"/>
          <w:szCs w:val="24"/>
        </w:rPr>
        <w:t>Semin Oncol</w:t>
      </w:r>
      <w:r w:rsidRPr="00B72CD2">
        <w:rPr>
          <w:rFonts w:ascii="Book Antiqua" w:hAnsi="Book Antiqua"/>
          <w:sz w:val="24"/>
          <w:szCs w:val="24"/>
        </w:rPr>
        <w:t xml:space="preserve"> 2017; </w:t>
      </w:r>
      <w:r w:rsidRPr="00B72CD2">
        <w:rPr>
          <w:rFonts w:ascii="Book Antiqua" w:hAnsi="Book Antiqua"/>
          <w:b/>
          <w:sz w:val="24"/>
          <w:szCs w:val="24"/>
        </w:rPr>
        <w:t>44</w:t>
      </w:r>
      <w:r w:rsidRPr="00B72CD2">
        <w:rPr>
          <w:rFonts w:ascii="Book Antiqua" w:hAnsi="Book Antiqua"/>
          <w:sz w:val="24"/>
          <w:szCs w:val="24"/>
        </w:rPr>
        <w:t>: 114-128 [PMID: 28923209 DOI: 10.1053/j.seminoncol.2017.07.004]</w:t>
      </w:r>
    </w:p>
    <w:p w14:paraId="01646B5F"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15 </w:t>
      </w:r>
      <w:r w:rsidRPr="00B72CD2">
        <w:rPr>
          <w:rFonts w:ascii="Book Antiqua" w:hAnsi="Book Antiqua"/>
          <w:b/>
          <w:sz w:val="24"/>
          <w:szCs w:val="24"/>
        </w:rPr>
        <w:t>Giampieri R</w:t>
      </w:r>
      <w:r w:rsidRPr="00B72CD2">
        <w:rPr>
          <w:rFonts w:ascii="Book Antiqua" w:hAnsi="Book Antiqua"/>
          <w:sz w:val="24"/>
          <w:szCs w:val="24"/>
        </w:rPr>
        <w:t xml:space="preserve">, Caporale M, Pietrantonio F, De Braud F, Negri FV, Giuliani F, Pusceddu V, Demurtas L, Restivo A, Fontanella C, Aprile G, Cascinu S, Scartozzi M. Second-line angiogenesis inhibition in metastatic colorectal cancer patients: Straightforward or overcrowded? </w:t>
      </w:r>
      <w:r w:rsidRPr="00B72CD2">
        <w:rPr>
          <w:rFonts w:ascii="Book Antiqua" w:hAnsi="Book Antiqua"/>
          <w:i/>
          <w:sz w:val="24"/>
          <w:szCs w:val="24"/>
        </w:rPr>
        <w:t>Crit Rev Oncol Hematol</w:t>
      </w:r>
      <w:r w:rsidRPr="00B72CD2">
        <w:rPr>
          <w:rFonts w:ascii="Book Antiqua" w:hAnsi="Book Antiqua"/>
          <w:sz w:val="24"/>
          <w:szCs w:val="24"/>
        </w:rPr>
        <w:t xml:space="preserve"> 2016; </w:t>
      </w:r>
      <w:r w:rsidRPr="00B72CD2">
        <w:rPr>
          <w:rFonts w:ascii="Book Antiqua" w:hAnsi="Book Antiqua"/>
          <w:b/>
          <w:sz w:val="24"/>
          <w:szCs w:val="24"/>
        </w:rPr>
        <w:t>100</w:t>
      </w:r>
      <w:r w:rsidRPr="00B72CD2">
        <w:rPr>
          <w:rFonts w:ascii="Book Antiqua" w:hAnsi="Book Antiqua"/>
          <w:sz w:val="24"/>
          <w:szCs w:val="24"/>
        </w:rPr>
        <w:t>: 99-106 [PMID: 26907512 DOI: 10.1016/j.critrevonc.2016.02.005]</w:t>
      </w:r>
    </w:p>
    <w:p w14:paraId="0477BB0F"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16 </w:t>
      </w:r>
      <w:r w:rsidRPr="00B72CD2">
        <w:rPr>
          <w:rFonts w:ascii="Book Antiqua" w:hAnsi="Book Antiqua"/>
          <w:b/>
          <w:sz w:val="24"/>
          <w:szCs w:val="24"/>
        </w:rPr>
        <w:t>Grothey A</w:t>
      </w:r>
      <w:r w:rsidRPr="00B72CD2">
        <w:rPr>
          <w:rFonts w:ascii="Book Antiqua" w:hAnsi="Book Antiqua"/>
          <w:sz w:val="24"/>
          <w:szCs w:val="24"/>
        </w:rPr>
        <w:t xml:space="preserve">, Sugrue MM, Purdie DM, Dong W, Sargent D, Hedrick E, Kozloff M. Bevacizumab beyond first progression is associated with prolonged overall survival in metastatic colorectal cancer: results from a large observational cohort study (BRiTE). </w:t>
      </w:r>
      <w:r w:rsidRPr="00B72CD2">
        <w:rPr>
          <w:rFonts w:ascii="Book Antiqua" w:hAnsi="Book Antiqua"/>
          <w:i/>
          <w:sz w:val="24"/>
          <w:szCs w:val="24"/>
        </w:rPr>
        <w:t>J Clin Oncol</w:t>
      </w:r>
      <w:r w:rsidRPr="00B72CD2">
        <w:rPr>
          <w:rFonts w:ascii="Book Antiqua" w:hAnsi="Book Antiqua"/>
          <w:sz w:val="24"/>
          <w:szCs w:val="24"/>
        </w:rPr>
        <w:t xml:space="preserve"> 2008; </w:t>
      </w:r>
      <w:r w:rsidRPr="00B72CD2">
        <w:rPr>
          <w:rFonts w:ascii="Book Antiqua" w:hAnsi="Book Antiqua"/>
          <w:b/>
          <w:sz w:val="24"/>
          <w:szCs w:val="24"/>
        </w:rPr>
        <w:t>26</w:t>
      </w:r>
      <w:r w:rsidRPr="00B72CD2">
        <w:rPr>
          <w:rFonts w:ascii="Book Antiqua" w:hAnsi="Book Antiqua"/>
          <w:sz w:val="24"/>
          <w:szCs w:val="24"/>
        </w:rPr>
        <w:t>: 5326-5334 [PMID: 18854571 DOI: 10.1200/JCO.2008.16.3212]</w:t>
      </w:r>
    </w:p>
    <w:p w14:paraId="004FF3FD"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17 </w:t>
      </w:r>
      <w:r w:rsidRPr="00B72CD2">
        <w:rPr>
          <w:rFonts w:ascii="Book Antiqua" w:hAnsi="Book Antiqua"/>
          <w:b/>
          <w:sz w:val="24"/>
          <w:szCs w:val="24"/>
        </w:rPr>
        <w:t>Hurwitz HI</w:t>
      </w:r>
      <w:r w:rsidRPr="00B72CD2">
        <w:rPr>
          <w:rFonts w:ascii="Book Antiqua" w:hAnsi="Book Antiqua"/>
          <w:sz w:val="24"/>
          <w:szCs w:val="24"/>
        </w:rPr>
        <w:t xml:space="preserve">, Bekaii-Saab TS, Bendell JC, Cohn AL, Kozloff M, Roach N, Mun Y, Fish S, Flick ED, Grothey A; ARIES Study Investigators. Safety and effectiveness of bevacizumab treatment for metastatic colorectal cancer: final results from the Avastin(®) Registry - Investigation of Effectiveness and Safety (ARIES) observational cohort study. </w:t>
      </w:r>
      <w:r w:rsidRPr="00B72CD2">
        <w:rPr>
          <w:rFonts w:ascii="Book Antiqua" w:hAnsi="Book Antiqua"/>
          <w:i/>
          <w:sz w:val="24"/>
          <w:szCs w:val="24"/>
        </w:rPr>
        <w:t>Clin Oncol (R Coll Radiol)</w:t>
      </w:r>
      <w:r w:rsidRPr="00B72CD2">
        <w:rPr>
          <w:rFonts w:ascii="Book Antiqua" w:hAnsi="Book Antiqua"/>
          <w:sz w:val="24"/>
          <w:szCs w:val="24"/>
        </w:rPr>
        <w:t xml:space="preserve"> 2014; </w:t>
      </w:r>
      <w:r w:rsidRPr="00B72CD2">
        <w:rPr>
          <w:rFonts w:ascii="Book Antiqua" w:hAnsi="Book Antiqua"/>
          <w:b/>
          <w:sz w:val="24"/>
          <w:szCs w:val="24"/>
        </w:rPr>
        <w:t>26</w:t>
      </w:r>
      <w:r w:rsidRPr="00B72CD2">
        <w:rPr>
          <w:rFonts w:ascii="Book Antiqua" w:hAnsi="Book Antiqua"/>
          <w:sz w:val="24"/>
          <w:szCs w:val="24"/>
        </w:rPr>
        <w:t>: 323-332 [PMID: 24686090 DOI: 10.1016/j.clon.2014.03.001]</w:t>
      </w:r>
    </w:p>
    <w:p w14:paraId="164FDF1A"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18 </w:t>
      </w:r>
      <w:r w:rsidRPr="00B72CD2">
        <w:rPr>
          <w:rFonts w:ascii="Book Antiqua" w:hAnsi="Book Antiqua"/>
          <w:b/>
          <w:sz w:val="24"/>
          <w:szCs w:val="24"/>
        </w:rPr>
        <w:t>Cartwright TH</w:t>
      </w:r>
      <w:r w:rsidRPr="00B72CD2">
        <w:rPr>
          <w:rFonts w:ascii="Book Antiqua" w:hAnsi="Book Antiqua"/>
          <w:sz w:val="24"/>
          <w:szCs w:val="24"/>
        </w:rPr>
        <w:t xml:space="preserve">, Yim YM, Yu E, Chung H, Halm M, Forsyth M. Survival outcomes of bevacizumab beyond progression in metastatic colorectal cancer patients treated in </w:t>
      </w:r>
      <w:r w:rsidRPr="00B72CD2">
        <w:rPr>
          <w:rFonts w:ascii="Book Antiqua" w:hAnsi="Book Antiqua"/>
          <w:sz w:val="24"/>
          <w:szCs w:val="24"/>
        </w:rPr>
        <w:lastRenderedPageBreak/>
        <w:t xml:space="preserve">US community oncology. </w:t>
      </w:r>
      <w:r w:rsidRPr="00B72CD2">
        <w:rPr>
          <w:rFonts w:ascii="Book Antiqua" w:hAnsi="Book Antiqua"/>
          <w:i/>
          <w:sz w:val="24"/>
          <w:szCs w:val="24"/>
        </w:rPr>
        <w:t>Clin Colorectal Cancer</w:t>
      </w:r>
      <w:r w:rsidRPr="00B72CD2">
        <w:rPr>
          <w:rFonts w:ascii="Book Antiqua" w:hAnsi="Book Antiqua"/>
          <w:sz w:val="24"/>
          <w:szCs w:val="24"/>
        </w:rPr>
        <w:t xml:space="preserve"> 2012; </w:t>
      </w:r>
      <w:r w:rsidRPr="00B72CD2">
        <w:rPr>
          <w:rFonts w:ascii="Book Antiqua" w:hAnsi="Book Antiqua"/>
          <w:b/>
          <w:sz w:val="24"/>
          <w:szCs w:val="24"/>
        </w:rPr>
        <w:t>11</w:t>
      </w:r>
      <w:r w:rsidRPr="00B72CD2">
        <w:rPr>
          <w:rFonts w:ascii="Book Antiqua" w:hAnsi="Book Antiqua"/>
          <w:sz w:val="24"/>
          <w:szCs w:val="24"/>
        </w:rPr>
        <w:t>: 238-246 [PMID: 22658457 DOI: 10.1016/j.clcc.2012.05.005]</w:t>
      </w:r>
    </w:p>
    <w:p w14:paraId="112EA6C4"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19 </w:t>
      </w:r>
      <w:r w:rsidRPr="00B72CD2">
        <w:rPr>
          <w:rFonts w:ascii="Book Antiqua" w:hAnsi="Book Antiqua"/>
          <w:b/>
          <w:sz w:val="24"/>
          <w:szCs w:val="24"/>
        </w:rPr>
        <w:t>Bennouna J</w:t>
      </w:r>
      <w:r w:rsidRPr="00B72CD2">
        <w:rPr>
          <w:rFonts w:ascii="Book Antiqua" w:hAnsi="Book Antiqua"/>
          <w:sz w:val="24"/>
          <w:szCs w:val="24"/>
        </w:rPr>
        <w:t xml:space="preserve">, Sastre J, Arnold D, Österlund P, Greil R, Van Cutsem E, von Moos R, Viéitez JM, Bouché O, Borg C, Steffens CC, Alonso-Orduña V, Schlichting C, Reyes-Rivera I, Bendahmane B, André T, Kubicka S; ML18147 Study Investigators. Continuation of bevacizumab after first progression in metastatic colorectal cancer (ML18147): a randomised phase 3 trial. </w:t>
      </w:r>
      <w:r w:rsidRPr="00B72CD2">
        <w:rPr>
          <w:rFonts w:ascii="Book Antiqua" w:hAnsi="Book Antiqua"/>
          <w:i/>
          <w:sz w:val="24"/>
          <w:szCs w:val="24"/>
        </w:rPr>
        <w:t>Lancet Oncol</w:t>
      </w:r>
      <w:r w:rsidRPr="00B72CD2">
        <w:rPr>
          <w:rFonts w:ascii="Book Antiqua" w:hAnsi="Book Antiqua"/>
          <w:sz w:val="24"/>
          <w:szCs w:val="24"/>
        </w:rPr>
        <w:t xml:space="preserve"> 2013; </w:t>
      </w:r>
      <w:r w:rsidRPr="00B72CD2">
        <w:rPr>
          <w:rFonts w:ascii="Book Antiqua" w:hAnsi="Book Antiqua"/>
          <w:b/>
          <w:sz w:val="24"/>
          <w:szCs w:val="24"/>
        </w:rPr>
        <w:t>14</w:t>
      </w:r>
      <w:r w:rsidRPr="00B72CD2">
        <w:rPr>
          <w:rFonts w:ascii="Book Antiqua" w:hAnsi="Book Antiqua"/>
          <w:sz w:val="24"/>
          <w:szCs w:val="24"/>
        </w:rPr>
        <w:t>: 29-37 [PMID: 23168366 DOI: 10.1016/S1470-2045(12)70477-1]</w:t>
      </w:r>
    </w:p>
    <w:p w14:paraId="45C07411"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20 </w:t>
      </w:r>
      <w:r w:rsidRPr="00B72CD2">
        <w:rPr>
          <w:rFonts w:ascii="Book Antiqua" w:hAnsi="Book Antiqua"/>
          <w:b/>
          <w:sz w:val="24"/>
          <w:szCs w:val="24"/>
        </w:rPr>
        <w:t>Masi G</w:t>
      </w:r>
      <w:r w:rsidRPr="00B72CD2">
        <w:rPr>
          <w:rFonts w:ascii="Book Antiqua" w:hAnsi="Book Antiqua"/>
          <w:sz w:val="24"/>
          <w:szCs w:val="24"/>
        </w:rPr>
        <w:t xml:space="preserve">, Salvatore L, Boni L, Loupakis F, Cremolini C, Fornaro L, Schirripa M, Cupini S, Barbara C, Safina V, Granetto C, Fea E, Antonuzzo L, Boni C, Allegrini G, Chiara S, Amoroso D, Bonetti A, Falcone A; BEBYP Study Investigators. Continuation or reintroduction of bevacizumab beyond progression to first-line therapy in metastatic colorectal cancer: final results of the randomized BEBYP trial. </w:t>
      </w:r>
      <w:r w:rsidRPr="00B72CD2">
        <w:rPr>
          <w:rFonts w:ascii="Book Antiqua" w:hAnsi="Book Antiqua"/>
          <w:i/>
          <w:sz w:val="24"/>
          <w:szCs w:val="24"/>
        </w:rPr>
        <w:t>Ann Oncol</w:t>
      </w:r>
      <w:r w:rsidRPr="00B72CD2">
        <w:rPr>
          <w:rFonts w:ascii="Book Antiqua" w:hAnsi="Book Antiqua"/>
          <w:sz w:val="24"/>
          <w:szCs w:val="24"/>
        </w:rPr>
        <w:t xml:space="preserve"> 2015; </w:t>
      </w:r>
      <w:r w:rsidRPr="00B72CD2">
        <w:rPr>
          <w:rFonts w:ascii="Book Antiqua" w:hAnsi="Book Antiqua"/>
          <w:b/>
          <w:sz w:val="24"/>
          <w:szCs w:val="24"/>
        </w:rPr>
        <w:t>26</w:t>
      </w:r>
      <w:r w:rsidRPr="00B72CD2">
        <w:rPr>
          <w:rFonts w:ascii="Book Antiqua" w:hAnsi="Book Antiqua"/>
          <w:sz w:val="24"/>
          <w:szCs w:val="24"/>
        </w:rPr>
        <w:t>: 724-730 [PMID: 25600568 DOI: 10.1093/annonc/mdv012]</w:t>
      </w:r>
    </w:p>
    <w:p w14:paraId="03318B6C"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21 </w:t>
      </w:r>
      <w:r w:rsidRPr="00B72CD2">
        <w:rPr>
          <w:rFonts w:ascii="Book Antiqua" w:hAnsi="Book Antiqua"/>
          <w:b/>
          <w:sz w:val="24"/>
          <w:szCs w:val="24"/>
        </w:rPr>
        <w:t>Chung C</w:t>
      </w:r>
      <w:r w:rsidRPr="00B72CD2">
        <w:rPr>
          <w:rFonts w:ascii="Book Antiqua" w:hAnsi="Book Antiqua"/>
          <w:sz w:val="24"/>
          <w:szCs w:val="24"/>
        </w:rPr>
        <w:t xml:space="preserve">, Pherwani N. Ziv-aflibercept: a novel angiogenesis inhibitor for the treatment of metastatic colorectal cancer. </w:t>
      </w:r>
      <w:r w:rsidRPr="00B72CD2">
        <w:rPr>
          <w:rFonts w:ascii="Book Antiqua" w:hAnsi="Book Antiqua"/>
          <w:i/>
          <w:sz w:val="24"/>
          <w:szCs w:val="24"/>
        </w:rPr>
        <w:t>Am J Health Syst Pharm</w:t>
      </w:r>
      <w:r w:rsidRPr="00B72CD2">
        <w:rPr>
          <w:rFonts w:ascii="Book Antiqua" w:hAnsi="Book Antiqua"/>
          <w:sz w:val="24"/>
          <w:szCs w:val="24"/>
        </w:rPr>
        <w:t xml:space="preserve"> 2013; </w:t>
      </w:r>
      <w:r w:rsidRPr="00B72CD2">
        <w:rPr>
          <w:rFonts w:ascii="Book Antiqua" w:hAnsi="Book Antiqua"/>
          <w:b/>
          <w:sz w:val="24"/>
          <w:szCs w:val="24"/>
        </w:rPr>
        <w:t>70</w:t>
      </w:r>
      <w:r w:rsidRPr="00B72CD2">
        <w:rPr>
          <w:rFonts w:ascii="Book Antiqua" w:hAnsi="Book Antiqua"/>
          <w:sz w:val="24"/>
          <w:szCs w:val="24"/>
        </w:rPr>
        <w:t>: 1887-1896 [PMID: 24128964 DOI: 10.2146/ajhp130143]</w:t>
      </w:r>
    </w:p>
    <w:p w14:paraId="1EBE72B9"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22 </w:t>
      </w:r>
      <w:r w:rsidRPr="00B72CD2">
        <w:rPr>
          <w:rFonts w:ascii="Book Antiqua" w:hAnsi="Book Antiqua"/>
          <w:b/>
          <w:sz w:val="24"/>
          <w:szCs w:val="24"/>
        </w:rPr>
        <w:t>Tang PA</w:t>
      </w:r>
      <w:r w:rsidRPr="00B72CD2">
        <w:rPr>
          <w:rFonts w:ascii="Book Antiqua" w:hAnsi="Book Antiqua"/>
          <w:sz w:val="24"/>
          <w:szCs w:val="24"/>
        </w:rPr>
        <w:t xml:space="preserve">, Moore MJ. Aflibercept in the treatment of patients with metastatic colorectal cancer: latest findings and interpretations. </w:t>
      </w:r>
      <w:r w:rsidRPr="00B72CD2">
        <w:rPr>
          <w:rFonts w:ascii="Book Antiqua" w:hAnsi="Book Antiqua"/>
          <w:i/>
          <w:sz w:val="24"/>
          <w:szCs w:val="24"/>
        </w:rPr>
        <w:t>Therap Adv Gastroenterol</w:t>
      </w:r>
      <w:r w:rsidRPr="00B72CD2">
        <w:rPr>
          <w:rFonts w:ascii="Book Antiqua" w:hAnsi="Book Antiqua"/>
          <w:sz w:val="24"/>
          <w:szCs w:val="24"/>
        </w:rPr>
        <w:t xml:space="preserve"> 2013; </w:t>
      </w:r>
      <w:r w:rsidRPr="00B72CD2">
        <w:rPr>
          <w:rFonts w:ascii="Book Antiqua" w:hAnsi="Book Antiqua"/>
          <w:b/>
          <w:sz w:val="24"/>
          <w:szCs w:val="24"/>
        </w:rPr>
        <w:t>6</w:t>
      </w:r>
      <w:r w:rsidRPr="00B72CD2">
        <w:rPr>
          <w:rFonts w:ascii="Book Antiqua" w:hAnsi="Book Antiqua"/>
          <w:sz w:val="24"/>
          <w:szCs w:val="24"/>
        </w:rPr>
        <w:t>: 459-473 [PMID: 24179482 DOI: 10.1177/1756283X13502637]</w:t>
      </w:r>
    </w:p>
    <w:p w14:paraId="0B43D770"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23 </w:t>
      </w:r>
      <w:r w:rsidRPr="00B72CD2">
        <w:rPr>
          <w:rFonts w:ascii="Book Antiqua" w:hAnsi="Book Antiqua"/>
          <w:b/>
          <w:sz w:val="24"/>
          <w:szCs w:val="24"/>
        </w:rPr>
        <w:t>Falcon BL</w:t>
      </w:r>
      <w:r w:rsidRPr="00B72CD2">
        <w:rPr>
          <w:rFonts w:ascii="Book Antiqua" w:hAnsi="Book Antiqua"/>
          <w:sz w:val="24"/>
          <w:szCs w:val="24"/>
        </w:rPr>
        <w:t xml:space="preserve">, Chintharlapalli S, Uhlik MT, Pytowski B. Antagonist antibodies to vascular endothelial growth factor receptor 2 (VEGFR-2) as anti-angiogenic agents. </w:t>
      </w:r>
      <w:r w:rsidRPr="00B72CD2">
        <w:rPr>
          <w:rFonts w:ascii="Book Antiqua" w:hAnsi="Book Antiqua"/>
          <w:i/>
          <w:sz w:val="24"/>
          <w:szCs w:val="24"/>
        </w:rPr>
        <w:t>Pharmacol Ther</w:t>
      </w:r>
      <w:r w:rsidRPr="00B72CD2">
        <w:rPr>
          <w:rFonts w:ascii="Book Antiqua" w:hAnsi="Book Antiqua"/>
          <w:sz w:val="24"/>
          <w:szCs w:val="24"/>
        </w:rPr>
        <w:t xml:space="preserve"> 2016; </w:t>
      </w:r>
      <w:r w:rsidRPr="00B72CD2">
        <w:rPr>
          <w:rFonts w:ascii="Book Antiqua" w:hAnsi="Book Antiqua"/>
          <w:b/>
          <w:sz w:val="24"/>
          <w:szCs w:val="24"/>
        </w:rPr>
        <w:t>164</w:t>
      </w:r>
      <w:r w:rsidRPr="00B72CD2">
        <w:rPr>
          <w:rFonts w:ascii="Book Antiqua" w:hAnsi="Book Antiqua"/>
          <w:sz w:val="24"/>
          <w:szCs w:val="24"/>
        </w:rPr>
        <w:t>: 204-225 [PMID: 27288725 DOI: 10.1016/j.pharmthera.2016.06.001]</w:t>
      </w:r>
    </w:p>
    <w:p w14:paraId="44AC9EF5"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24 </w:t>
      </w:r>
      <w:r w:rsidRPr="00B72CD2">
        <w:rPr>
          <w:rFonts w:ascii="Book Antiqua" w:hAnsi="Book Antiqua"/>
          <w:b/>
          <w:sz w:val="24"/>
          <w:szCs w:val="24"/>
        </w:rPr>
        <w:t>Ricci V</w:t>
      </w:r>
      <w:r w:rsidRPr="00B72CD2">
        <w:rPr>
          <w:rFonts w:ascii="Book Antiqua" w:hAnsi="Book Antiqua"/>
          <w:sz w:val="24"/>
          <w:szCs w:val="24"/>
        </w:rPr>
        <w:t xml:space="preserve">, Ronzoni M, Fabozzi T. Aflibercept a new target therapy in cancer treatment: a review. </w:t>
      </w:r>
      <w:r w:rsidRPr="00B72CD2">
        <w:rPr>
          <w:rFonts w:ascii="Book Antiqua" w:hAnsi="Book Antiqua"/>
          <w:i/>
          <w:sz w:val="24"/>
          <w:szCs w:val="24"/>
        </w:rPr>
        <w:t>Crit Rev Oncol Hematol</w:t>
      </w:r>
      <w:r w:rsidRPr="00B72CD2">
        <w:rPr>
          <w:rFonts w:ascii="Book Antiqua" w:hAnsi="Book Antiqua"/>
          <w:sz w:val="24"/>
          <w:szCs w:val="24"/>
        </w:rPr>
        <w:t xml:space="preserve"> 2015; </w:t>
      </w:r>
      <w:r w:rsidRPr="00B72CD2">
        <w:rPr>
          <w:rFonts w:ascii="Book Antiqua" w:hAnsi="Book Antiqua"/>
          <w:b/>
          <w:sz w:val="24"/>
          <w:szCs w:val="24"/>
        </w:rPr>
        <w:t>96</w:t>
      </w:r>
      <w:r w:rsidRPr="00B72CD2">
        <w:rPr>
          <w:rFonts w:ascii="Book Antiqua" w:hAnsi="Book Antiqua"/>
          <w:sz w:val="24"/>
          <w:szCs w:val="24"/>
        </w:rPr>
        <w:t>: 569-576 [PMID: 26224565 DOI: 10.1016/j.critrevonc.2015.07.001]</w:t>
      </w:r>
    </w:p>
    <w:p w14:paraId="2D5AEA7B"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25 </w:t>
      </w:r>
      <w:r w:rsidRPr="00B72CD2">
        <w:rPr>
          <w:rFonts w:ascii="Book Antiqua" w:hAnsi="Book Antiqua"/>
          <w:b/>
          <w:sz w:val="24"/>
          <w:szCs w:val="24"/>
        </w:rPr>
        <w:t>Lieu CH</w:t>
      </w:r>
      <w:r w:rsidRPr="00B72CD2">
        <w:rPr>
          <w:rFonts w:ascii="Book Antiqua" w:hAnsi="Book Antiqua"/>
          <w:sz w:val="24"/>
          <w:szCs w:val="24"/>
        </w:rPr>
        <w:t xml:space="preserve">, Tran H, Jiang ZQ, Mao M, Overman MJ, Lin E, Eng C, Morris J, Ellis L, Heymach JV, Kopetz S. The association of alternate VEGF ligands with resistance to anti-VEGF therapy in metastatic colorectal cancer. </w:t>
      </w:r>
      <w:r w:rsidRPr="00B72CD2">
        <w:rPr>
          <w:rFonts w:ascii="Book Antiqua" w:hAnsi="Book Antiqua"/>
          <w:i/>
          <w:sz w:val="24"/>
          <w:szCs w:val="24"/>
        </w:rPr>
        <w:t>PLoS One</w:t>
      </w:r>
      <w:r w:rsidRPr="00B72CD2">
        <w:rPr>
          <w:rFonts w:ascii="Book Antiqua" w:hAnsi="Book Antiqua"/>
          <w:sz w:val="24"/>
          <w:szCs w:val="24"/>
        </w:rPr>
        <w:t xml:space="preserve"> 2013; </w:t>
      </w:r>
      <w:r w:rsidRPr="00B72CD2">
        <w:rPr>
          <w:rFonts w:ascii="Book Antiqua" w:hAnsi="Book Antiqua"/>
          <w:b/>
          <w:sz w:val="24"/>
          <w:szCs w:val="24"/>
        </w:rPr>
        <w:t>8</w:t>
      </w:r>
      <w:r w:rsidRPr="00B72CD2">
        <w:rPr>
          <w:rFonts w:ascii="Book Antiqua" w:hAnsi="Book Antiqua"/>
          <w:sz w:val="24"/>
          <w:szCs w:val="24"/>
        </w:rPr>
        <w:t>: e77117 [PMID: 24143206 DOI: 10.1371/journal.pone.0077117]</w:t>
      </w:r>
    </w:p>
    <w:p w14:paraId="13E2437B"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lastRenderedPageBreak/>
        <w:t xml:space="preserve">26 </w:t>
      </w:r>
      <w:r w:rsidRPr="00B72CD2">
        <w:rPr>
          <w:rFonts w:ascii="Book Antiqua" w:hAnsi="Book Antiqua"/>
          <w:b/>
          <w:sz w:val="24"/>
          <w:szCs w:val="24"/>
        </w:rPr>
        <w:t>Chiron M</w:t>
      </w:r>
      <w:r w:rsidRPr="00B72CD2">
        <w:rPr>
          <w:rFonts w:ascii="Book Antiqua" w:hAnsi="Book Antiqua"/>
          <w:sz w:val="24"/>
          <w:szCs w:val="24"/>
        </w:rPr>
        <w:t xml:space="preserve">, Bagley RG, Pollard J, Mankoo PK, Henry C, Vincent L, Geslin C, Baltes N, Bergstrom DA. Differential antitumor activity of aflibercept and bevacizumab in patient-derived xenograft models of colorectal cancer. </w:t>
      </w:r>
      <w:r w:rsidRPr="00B72CD2">
        <w:rPr>
          <w:rFonts w:ascii="Book Antiqua" w:hAnsi="Book Antiqua"/>
          <w:i/>
          <w:sz w:val="24"/>
          <w:szCs w:val="24"/>
        </w:rPr>
        <w:t>Mol Cancer Ther</w:t>
      </w:r>
      <w:r w:rsidRPr="00B72CD2">
        <w:rPr>
          <w:rFonts w:ascii="Book Antiqua" w:hAnsi="Book Antiqua"/>
          <w:sz w:val="24"/>
          <w:szCs w:val="24"/>
        </w:rPr>
        <w:t xml:space="preserve"> 2014; </w:t>
      </w:r>
      <w:r w:rsidRPr="00B72CD2">
        <w:rPr>
          <w:rFonts w:ascii="Book Antiqua" w:hAnsi="Book Antiqua"/>
          <w:b/>
          <w:sz w:val="24"/>
          <w:szCs w:val="24"/>
        </w:rPr>
        <w:t>13</w:t>
      </w:r>
      <w:r w:rsidRPr="00B72CD2">
        <w:rPr>
          <w:rFonts w:ascii="Book Antiqua" w:hAnsi="Book Antiqua"/>
          <w:sz w:val="24"/>
          <w:szCs w:val="24"/>
        </w:rPr>
        <w:t>: 1636-1644 [PMID: 24688047 DOI: 10.1158/1535-7163.MCT-13-0753]</w:t>
      </w:r>
    </w:p>
    <w:p w14:paraId="6A439482"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27 </w:t>
      </w:r>
      <w:r w:rsidRPr="00B72CD2">
        <w:rPr>
          <w:rFonts w:ascii="Book Antiqua" w:hAnsi="Book Antiqua"/>
          <w:b/>
          <w:sz w:val="24"/>
          <w:szCs w:val="24"/>
        </w:rPr>
        <w:t>Van Cutsem E</w:t>
      </w:r>
      <w:r w:rsidRPr="00B72CD2">
        <w:rPr>
          <w:rFonts w:ascii="Book Antiqua" w:hAnsi="Book Antiqua"/>
          <w:sz w:val="24"/>
          <w:szCs w:val="24"/>
        </w:rPr>
        <w:t xml:space="preserve">, Tabernero J, Lakomy R, Prenen H, Prausová J, Macarulla T, Ruff P, van Hazel GA, Moiseyenko V, Ferry D, McKendrick J, Polikoff J, Tellier A, Castan R, Allegra C. Addition of aflibercept to fluorouracil, leucovorin, and irinotecan improves survival in a phase III randomized trial in patients with metastatic colorectal cancer previously treated with an oxaliplatin-based regimen. </w:t>
      </w:r>
      <w:r w:rsidRPr="00B72CD2">
        <w:rPr>
          <w:rFonts w:ascii="Book Antiqua" w:hAnsi="Book Antiqua"/>
          <w:i/>
          <w:sz w:val="24"/>
          <w:szCs w:val="24"/>
        </w:rPr>
        <w:t>J Clin Oncol</w:t>
      </w:r>
      <w:r w:rsidRPr="00B72CD2">
        <w:rPr>
          <w:rFonts w:ascii="Book Antiqua" w:hAnsi="Book Antiqua"/>
          <w:sz w:val="24"/>
          <w:szCs w:val="24"/>
        </w:rPr>
        <w:t xml:space="preserve"> 2012; </w:t>
      </w:r>
      <w:r w:rsidRPr="00B72CD2">
        <w:rPr>
          <w:rFonts w:ascii="Book Antiqua" w:hAnsi="Book Antiqua"/>
          <w:b/>
          <w:sz w:val="24"/>
          <w:szCs w:val="24"/>
        </w:rPr>
        <w:t>30</w:t>
      </w:r>
      <w:r w:rsidRPr="00B72CD2">
        <w:rPr>
          <w:rFonts w:ascii="Book Antiqua" w:hAnsi="Book Antiqua"/>
          <w:sz w:val="24"/>
          <w:szCs w:val="24"/>
        </w:rPr>
        <w:t>: 3499-3506 [PMID: 22949147 DOI: 10.1200/JCO.2012.42.8201]</w:t>
      </w:r>
    </w:p>
    <w:p w14:paraId="3DA51C5D"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28 </w:t>
      </w:r>
      <w:r w:rsidRPr="00B72CD2">
        <w:rPr>
          <w:rFonts w:ascii="Book Antiqua" w:hAnsi="Book Antiqua"/>
          <w:b/>
          <w:sz w:val="24"/>
          <w:szCs w:val="24"/>
        </w:rPr>
        <w:t>Van Cutsem E</w:t>
      </w:r>
      <w:r w:rsidRPr="00B72CD2">
        <w:rPr>
          <w:rFonts w:ascii="Book Antiqua" w:hAnsi="Book Antiqua"/>
          <w:sz w:val="24"/>
          <w:szCs w:val="24"/>
        </w:rPr>
        <w:t xml:space="preserve">, Joulain F, Hoff PM, Mitchell E, Ruff P, Lakomý R, Prausová J, Moiseyenko VM, van Hazel G, Cunningham D, Arnold D, Schmoll HJ, Ten Tije AJ, McKendrick J, Kröning H, Humblet Y, Grávalos C, Le-Guennec S, Andria M, Dochy E, Vishwanath RL, Macarulla T, Tabernero J. Aflibercept Plus FOLFIRI vs. Placebo Plus FOLFIRI in Second-Line Metastatic Colorectal Cancer: a Post Hoc Analysis of Survival from the Phase III VELOUR Study Subsequent to Exclusion of Patients who had Recurrence During or Within 6 Months of Completing Adjuvant Oxaliplatin-Based Therapy. </w:t>
      </w:r>
      <w:r w:rsidRPr="00B72CD2">
        <w:rPr>
          <w:rFonts w:ascii="Book Antiqua" w:hAnsi="Book Antiqua"/>
          <w:i/>
          <w:sz w:val="24"/>
          <w:szCs w:val="24"/>
        </w:rPr>
        <w:t>Target Oncol</w:t>
      </w:r>
      <w:r w:rsidRPr="00B72CD2">
        <w:rPr>
          <w:rFonts w:ascii="Book Antiqua" w:hAnsi="Book Antiqua"/>
          <w:sz w:val="24"/>
          <w:szCs w:val="24"/>
        </w:rPr>
        <w:t xml:space="preserve"> 2016; </w:t>
      </w:r>
      <w:r w:rsidRPr="00B72CD2">
        <w:rPr>
          <w:rFonts w:ascii="Book Antiqua" w:hAnsi="Book Antiqua"/>
          <w:b/>
          <w:sz w:val="24"/>
          <w:szCs w:val="24"/>
        </w:rPr>
        <w:t>11</w:t>
      </w:r>
      <w:r w:rsidRPr="00B72CD2">
        <w:rPr>
          <w:rFonts w:ascii="Book Antiqua" w:hAnsi="Book Antiqua"/>
          <w:sz w:val="24"/>
          <w:szCs w:val="24"/>
        </w:rPr>
        <w:t>: 383-400 [PMID: 26706237 DOI: 10.1007/s11523-015-0402-9]</w:t>
      </w:r>
    </w:p>
    <w:p w14:paraId="023DED29"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29 </w:t>
      </w:r>
      <w:r w:rsidRPr="00B72CD2">
        <w:rPr>
          <w:rFonts w:ascii="Book Antiqua" w:hAnsi="Book Antiqua"/>
          <w:b/>
          <w:sz w:val="24"/>
          <w:szCs w:val="24"/>
        </w:rPr>
        <w:t>Tabernero J</w:t>
      </w:r>
      <w:r w:rsidRPr="00B72CD2">
        <w:rPr>
          <w:rFonts w:ascii="Book Antiqua" w:hAnsi="Book Antiqua"/>
          <w:sz w:val="24"/>
          <w:szCs w:val="24"/>
        </w:rPr>
        <w:t xml:space="preserve">, Van Cutsem E, Lakomý R, Prausová J, Ruff P, van Hazel GA, Moiseyenko VM, Ferry DR, McKendrick JJ, Soussan-Lazard K, Chevalier S, Allegra CJ. Aflibercept versus placebo in combination with fluorouracil, leucovorin and irinotecan in the treatment of previously treated metastatic colorectal cancer: prespecified subgroup analyses from the VELOUR trial. </w:t>
      </w:r>
      <w:r w:rsidRPr="00B72CD2">
        <w:rPr>
          <w:rFonts w:ascii="Book Antiqua" w:hAnsi="Book Antiqua"/>
          <w:i/>
          <w:sz w:val="24"/>
          <w:szCs w:val="24"/>
        </w:rPr>
        <w:t>Eur J Cancer</w:t>
      </w:r>
      <w:r w:rsidRPr="00B72CD2">
        <w:rPr>
          <w:rFonts w:ascii="Book Antiqua" w:hAnsi="Book Antiqua"/>
          <w:sz w:val="24"/>
          <w:szCs w:val="24"/>
        </w:rPr>
        <w:t xml:space="preserve"> 2014; </w:t>
      </w:r>
      <w:r w:rsidRPr="00B72CD2">
        <w:rPr>
          <w:rFonts w:ascii="Book Antiqua" w:hAnsi="Book Antiqua"/>
          <w:b/>
          <w:sz w:val="24"/>
          <w:szCs w:val="24"/>
        </w:rPr>
        <w:t>50</w:t>
      </w:r>
      <w:r w:rsidRPr="00B72CD2">
        <w:rPr>
          <w:rFonts w:ascii="Book Antiqua" w:hAnsi="Book Antiqua"/>
          <w:sz w:val="24"/>
          <w:szCs w:val="24"/>
        </w:rPr>
        <w:t>: 320-331 [PMID: 24140268 DOI: 10.1016/j.ejca.2013.09.013]</w:t>
      </w:r>
    </w:p>
    <w:p w14:paraId="1CBFFB6A"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30 </w:t>
      </w:r>
      <w:r w:rsidRPr="00B72CD2">
        <w:rPr>
          <w:rFonts w:ascii="Book Antiqua" w:hAnsi="Book Antiqua"/>
          <w:b/>
          <w:sz w:val="24"/>
          <w:szCs w:val="24"/>
        </w:rPr>
        <w:t>Chau I</w:t>
      </w:r>
      <w:r w:rsidRPr="00B72CD2">
        <w:rPr>
          <w:rFonts w:ascii="Book Antiqua" w:hAnsi="Book Antiqua"/>
          <w:sz w:val="24"/>
          <w:szCs w:val="24"/>
        </w:rPr>
        <w:t xml:space="preserve">, Joulain F, Iqbal SU, Bridgewater J. A VELOUR post hoc subset analysis: prognostic groups and treatment outcomes in patients with metastatic colorectal cancer treated with aflibercept and FOLFIRI. </w:t>
      </w:r>
      <w:r w:rsidRPr="00B72CD2">
        <w:rPr>
          <w:rFonts w:ascii="Book Antiqua" w:hAnsi="Book Antiqua"/>
          <w:i/>
          <w:sz w:val="24"/>
          <w:szCs w:val="24"/>
        </w:rPr>
        <w:t>BMC Cancer</w:t>
      </w:r>
      <w:r w:rsidRPr="00B72CD2">
        <w:rPr>
          <w:rFonts w:ascii="Book Antiqua" w:hAnsi="Book Antiqua"/>
          <w:sz w:val="24"/>
          <w:szCs w:val="24"/>
        </w:rPr>
        <w:t xml:space="preserve"> 2014; </w:t>
      </w:r>
      <w:r w:rsidRPr="00B72CD2">
        <w:rPr>
          <w:rFonts w:ascii="Book Antiqua" w:hAnsi="Book Antiqua"/>
          <w:b/>
          <w:sz w:val="24"/>
          <w:szCs w:val="24"/>
        </w:rPr>
        <w:t>14</w:t>
      </w:r>
      <w:r w:rsidRPr="00B72CD2">
        <w:rPr>
          <w:rFonts w:ascii="Book Antiqua" w:hAnsi="Book Antiqua"/>
          <w:sz w:val="24"/>
          <w:szCs w:val="24"/>
        </w:rPr>
        <w:t>: 605 [PMID: 25142418 DOI: 10.1186/1471-2407-14-605]</w:t>
      </w:r>
    </w:p>
    <w:p w14:paraId="0C1CC9DC"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31 </w:t>
      </w:r>
      <w:r w:rsidRPr="00B72CD2">
        <w:rPr>
          <w:rFonts w:ascii="Book Antiqua" w:hAnsi="Book Antiqua"/>
          <w:b/>
          <w:sz w:val="24"/>
          <w:szCs w:val="24"/>
        </w:rPr>
        <w:t>Joulain F</w:t>
      </w:r>
      <w:r w:rsidRPr="00B72CD2">
        <w:rPr>
          <w:rFonts w:ascii="Book Antiqua" w:hAnsi="Book Antiqua"/>
          <w:sz w:val="24"/>
          <w:szCs w:val="24"/>
        </w:rPr>
        <w:t xml:space="preserve">, Proskorovsky I, Allegra C, Tabernero J, Hoyle M, Iqbal SU, Van Cutsem E. Mean overall survival gain with aflibercept plus FOLFIRI vs placebo plus FOLFIRI </w:t>
      </w:r>
      <w:r w:rsidRPr="00B72CD2">
        <w:rPr>
          <w:rFonts w:ascii="Book Antiqua" w:hAnsi="Book Antiqua"/>
          <w:sz w:val="24"/>
          <w:szCs w:val="24"/>
        </w:rPr>
        <w:lastRenderedPageBreak/>
        <w:t xml:space="preserve">in patients with previously treated metastatic colorectal cancer. </w:t>
      </w:r>
      <w:r w:rsidRPr="00B72CD2">
        <w:rPr>
          <w:rFonts w:ascii="Book Antiqua" w:hAnsi="Book Antiqua"/>
          <w:i/>
          <w:sz w:val="24"/>
          <w:szCs w:val="24"/>
        </w:rPr>
        <w:t>Br J Cancer</w:t>
      </w:r>
      <w:r w:rsidRPr="00B72CD2">
        <w:rPr>
          <w:rFonts w:ascii="Book Antiqua" w:hAnsi="Book Antiqua"/>
          <w:sz w:val="24"/>
          <w:szCs w:val="24"/>
        </w:rPr>
        <w:t xml:space="preserve"> 2013; </w:t>
      </w:r>
      <w:r w:rsidRPr="00B72CD2">
        <w:rPr>
          <w:rFonts w:ascii="Book Antiqua" w:hAnsi="Book Antiqua"/>
          <w:b/>
          <w:sz w:val="24"/>
          <w:szCs w:val="24"/>
        </w:rPr>
        <w:t>109</w:t>
      </w:r>
      <w:r w:rsidRPr="00B72CD2">
        <w:rPr>
          <w:rFonts w:ascii="Book Antiqua" w:hAnsi="Book Antiqua"/>
          <w:sz w:val="24"/>
          <w:szCs w:val="24"/>
        </w:rPr>
        <w:t>: 1735-1743 [PMID: 24045663 DOI: 10.1038/bjc.2013.523]</w:t>
      </w:r>
    </w:p>
    <w:p w14:paraId="4778B7D1"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32 </w:t>
      </w:r>
      <w:r w:rsidRPr="00B72CD2">
        <w:rPr>
          <w:rFonts w:ascii="Book Antiqua" w:hAnsi="Book Antiqua"/>
          <w:b/>
          <w:sz w:val="24"/>
          <w:szCs w:val="24"/>
        </w:rPr>
        <w:t>Ruff P</w:t>
      </w:r>
      <w:r w:rsidRPr="00B72CD2">
        <w:rPr>
          <w:rFonts w:ascii="Book Antiqua" w:hAnsi="Book Antiqua"/>
          <w:sz w:val="24"/>
          <w:szCs w:val="24"/>
        </w:rPr>
        <w:t xml:space="preserve">, Ferry DR, Lakomỳ R, Prausová J, Van Hazel GA, Hoff PM, Cunningham D, Arnold D, Schmoll HJ, Moiseyenko VM, McKendrick JJ, Ten Tije AJ, Vishwanath RL, Bhargava P, Chevalier S, Macarulla T, Van Cutsem E. Time course of safety and efficacy of aflibercept in combination with FOLFIRI in patients with metastatic colorectal cancer who progressed on previous oxaliplatin-based therapy. </w:t>
      </w:r>
      <w:r w:rsidRPr="00B72CD2">
        <w:rPr>
          <w:rFonts w:ascii="Book Antiqua" w:hAnsi="Book Antiqua"/>
          <w:i/>
          <w:sz w:val="24"/>
          <w:szCs w:val="24"/>
        </w:rPr>
        <w:t>Eur J Cancer</w:t>
      </w:r>
      <w:r w:rsidRPr="00B72CD2">
        <w:rPr>
          <w:rFonts w:ascii="Book Antiqua" w:hAnsi="Book Antiqua"/>
          <w:sz w:val="24"/>
          <w:szCs w:val="24"/>
        </w:rPr>
        <w:t xml:space="preserve"> 2015; </w:t>
      </w:r>
      <w:r w:rsidRPr="00B72CD2">
        <w:rPr>
          <w:rFonts w:ascii="Book Antiqua" w:hAnsi="Book Antiqua"/>
          <w:b/>
          <w:sz w:val="24"/>
          <w:szCs w:val="24"/>
        </w:rPr>
        <w:t>51</w:t>
      </w:r>
      <w:r w:rsidRPr="00B72CD2">
        <w:rPr>
          <w:rFonts w:ascii="Book Antiqua" w:hAnsi="Book Antiqua"/>
          <w:sz w:val="24"/>
          <w:szCs w:val="24"/>
        </w:rPr>
        <w:t>: 18-26 [PMID: 25466509 DOI: 10.1016/j.ejca.2014.10.019]</w:t>
      </w:r>
    </w:p>
    <w:p w14:paraId="7D309DEB"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33 </w:t>
      </w:r>
      <w:r w:rsidRPr="00B72CD2">
        <w:rPr>
          <w:rFonts w:ascii="Book Antiqua" w:hAnsi="Book Antiqua"/>
          <w:b/>
          <w:sz w:val="24"/>
          <w:szCs w:val="24"/>
        </w:rPr>
        <w:t>Ruff P</w:t>
      </w:r>
      <w:r w:rsidRPr="00B72CD2">
        <w:rPr>
          <w:rFonts w:ascii="Book Antiqua" w:hAnsi="Book Antiqua"/>
          <w:sz w:val="24"/>
          <w:szCs w:val="24"/>
        </w:rPr>
        <w:t xml:space="preserve">, Van Cutsem E, Lakomy R, Prausova J, van Hazel GA, Moiseyenko VM, Soussan-Lazard K, Dochy E, Magherini E, Macarulla T, Papamichael D. Observed benefit and safety of aflibercept in elderly patients with metastatic colorectal cancer: An age-based analysis from the randomized placebo-controlled phase III VELOUR trial. </w:t>
      </w:r>
      <w:r w:rsidRPr="00B72CD2">
        <w:rPr>
          <w:rFonts w:ascii="Book Antiqua" w:hAnsi="Book Antiqua"/>
          <w:i/>
          <w:sz w:val="24"/>
          <w:szCs w:val="24"/>
        </w:rPr>
        <w:t>J Geriatr Oncol</w:t>
      </w:r>
      <w:r w:rsidRPr="00B72CD2">
        <w:rPr>
          <w:rFonts w:ascii="Book Antiqua" w:hAnsi="Book Antiqua"/>
          <w:sz w:val="24"/>
          <w:szCs w:val="24"/>
        </w:rPr>
        <w:t xml:space="preserve"> 2018; </w:t>
      </w:r>
      <w:r w:rsidRPr="00B72CD2">
        <w:rPr>
          <w:rFonts w:ascii="Book Antiqua" w:hAnsi="Book Antiqua"/>
          <w:b/>
          <w:sz w:val="24"/>
          <w:szCs w:val="24"/>
        </w:rPr>
        <w:t>9</w:t>
      </w:r>
      <w:r w:rsidRPr="00B72CD2">
        <w:rPr>
          <w:rFonts w:ascii="Book Antiqua" w:hAnsi="Book Antiqua"/>
          <w:sz w:val="24"/>
          <w:szCs w:val="24"/>
        </w:rPr>
        <w:t>: 32-39 [PMID: 28807738 DOI: 10.1016/j.jgo.2017.07.010]</w:t>
      </w:r>
    </w:p>
    <w:p w14:paraId="4D274E23"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34 </w:t>
      </w:r>
      <w:r w:rsidRPr="00B72CD2">
        <w:rPr>
          <w:rFonts w:ascii="Book Antiqua" w:hAnsi="Book Antiqua"/>
          <w:b/>
          <w:sz w:val="24"/>
          <w:szCs w:val="24"/>
        </w:rPr>
        <w:t>Verdaguer H</w:t>
      </w:r>
      <w:r w:rsidRPr="00B72CD2">
        <w:rPr>
          <w:rFonts w:ascii="Book Antiqua" w:hAnsi="Book Antiqua"/>
          <w:sz w:val="24"/>
          <w:szCs w:val="24"/>
        </w:rPr>
        <w:t xml:space="preserve">, Tabernero J, Macarulla T. Ramucirumab in metastatic colorectal cancer: evidence to date and place in therapy. </w:t>
      </w:r>
      <w:r w:rsidRPr="00B72CD2">
        <w:rPr>
          <w:rFonts w:ascii="Book Antiqua" w:hAnsi="Book Antiqua"/>
          <w:i/>
          <w:sz w:val="24"/>
          <w:szCs w:val="24"/>
        </w:rPr>
        <w:t>Ther Adv Med Oncol</w:t>
      </w:r>
      <w:r w:rsidRPr="00B72CD2">
        <w:rPr>
          <w:rFonts w:ascii="Book Antiqua" w:hAnsi="Book Antiqua"/>
          <w:sz w:val="24"/>
          <w:szCs w:val="24"/>
        </w:rPr>
        <w:t xml:space="preserve"> 2016; </w:t>
      </w:r>
      <w:r w:rsidRPr="00B72CD2">
        <w:rPr>
          <w:rFonts w:ascii="Book Antiqua" w:hAnsi="Book Antiqua"/>
          <w:b/>
          <w:sz w:val="24"/>
          <w:szCs w:val="24"/>
        </w:rPr>
        <w:t>8</w:t>
      </w:r>
      <w:r w:rsidRPr="00B72CD2">
        <w:rPr>
          <w:rFonts w:ascii="Book Antiqua" w:hAnsi="Book Antiqua"/>
          <w:sz w:val="24"/>
          <w:szCs w:val="24"/>
        </w:rPr>
        <w:t>: 230-242 [PMID: 27239240 DOI: 10.1177/1758834016635888]</w:t>
      </w:r>
    </w:p>
    <w:p w14:paraId="77ED61AA"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35 </w:t>
      </w:r>
      <w:r w:rsidRPr="00B72CD2">
        <w:rPr>
          <w:rFonts w:ascii="Book Antiqua" w:hAnsi="Book Antiqua"/>
          <w:b/>
          <w:sz w:val="24"/>
          <w:szCs w:val="24"/>
        </w:rPr>
        <w:t>Tonra JR</w:t>
      </w:r>
      <w:r w:rsidRPr="00B72CD2">
        <w:rPr>
          <w:rFonts w:ascii="Book Antiqua" w:hAnsi="Book Antiqua"/>
          <w:sz w:val="24"/>
          <w:szCs w:val="24"/>
        </w:rPr>
        <w:t xml:space="preserve">, Deevi DS, Corcoran E, Li H, Wang S, Carrick FE, Hicklin DJ. Synergistic antitumor effects of combined epidermal growth factor receptor and vascular endothelial growth factor receptor-2 targeted therapy. </w:t>
      </w:r>
      <w:r w:rsidRPr="00B72CD2">
        <w:rPr>
          <w:rFonts w:ascii="Book Antiqua" w:hAnsi="Book Antiqua"/>
          <w:i/>
          <w:sz w:val="24"/>
          <w:szCs w:val="24"/>
        </w:rPr>
        <w:t>Clin Cancer Res</w:t>
      </w:r>
      <w:r w:rsidRPr="00B72CD2">
        <w:rPr>
          <w:rFonts w:ascii="Book Antiqua" w:hAnsi="Book Antiqua"/>
          <w:sz w:val="24"/>
          <w:szCs w:val="24"/>
        </w:rPr>
        <w:t xml:space="preserve"> 2006; </w:t>
      </w:r>
      <w:r w:rsidRPr="00B72CD2">
        <w:rPr>
          <w:rFonts w:ascii="Book Antiqua" w:hAnsi="Book Antiqua"/>
          <w:b/>
          <w:sz w:val="24"/>
          <w:szCs w:val="24"/>
        </w:rPr>
        <w:t>12</w:t>
      </w:r>
      <w:r w:rsidRPr="00B72CD2">
        <w:rPr>
          <w:rFonts w:ascii="Book Antiqua" w:hAnsi="Book Antiqua"/>
          <w:sz w:val="24"/>
          <w:szCs w:val="24"/>
        </w:rPr>
        <w:t>: 2197-2207 [PMID: 16609035]</w:t>
      </w:r>
    </w:p>
    <w:p w14:paraId="68C8A580"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36 </w:t>
      </w:r>
      <w:r w:rsidRPr="00B72CD2">
        <w:rPr>
          <w:rFonts w:ascii="Book Antiqua" w:hAnsi="Book Antiqua"/>
          <w:b/>
          <w:sz w:val="24"/>
          <w:szCs w:val="24"/>
        </w:rPr>
        <w:t>Bruns CJ</w:t>
      </w:r>
      <w:r w:rsidRPr="00B72CD2">
        <w:rPr>
          <w:rFonts w:ascii="Book Antiqua" w:hAnsi="Book Antiqua"/>
          <w:sz w:val="24"/>
          <w:szCs w:val="24"/>
        </w:rPr>
        <w:t xml:space="preserve">, Liu W, Davis DW, Shaheen RM, McConkey DJ, Wilson MR, Bucana CD, Hicklin DJ, Ellis LM. Vascular endothelial growth factor is an in vivo survival factor for tumor endothelium in a murine model of colorectal carcinoma liver metastases. </w:t>
      </w:r>
      <w:r w:rsidRPr="00B72CD2">
        <w:rPr>
          <w:rFonts w:ascii="Book Antiqua" w:hAnsi="Book Antiqua"/>
          <w:i/>
          <w:sz w:val="24"/>
          <w:szCs w:val="24"/>
        </w:rPr>
        <w:t>Cancer</w:t>
      </w:r>
      <w:r w:rsidRPr="00B72CD2">
        <w:rPr>
          <w:rFonts w:ascii="Book Antiqua" w:hAnsi="Book Antiqua"/>
          <w:sz w:val="24"/>
          <w:szCs w:val="24"/>
        </w:rPr>
        <w:t xml:space="preserve"> 2000; </w:t>
      </w:r>
      <w:r w:rsidRPr="00B72CD2">
        <w:rPr>
          <w:rFonts w:ascii="Book Antiqua" w:hAnsi="Book Antiqua"/>
          <w:b/>
          <w:sz w:val="24"/>
          <w:szCs w:val="24"/>
        </w:rPr>
        <w:t>89</w:t>
      </w:r>
      <w:r w:rsidRPr="00B72CD2">
        <w:rPr>
          <w:rFonts w:ascii="Book Antiqua" w:hAnsi="Book Antiqua"/>
          <w:sz w:val="24"/>
          <w:szCs w:val="24"/>
        </w:rPr>
        <w:t>: 488-499 [PMID: 10931447 DOI: 10.1002/1097-0142(20000801)89:33.0.co;2-x]</w:t>
      </w:r>
    </w:p>
    <w:p w14:paraId="74820B52"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37 </w:t>
      </w:r>
      <w:r w:rsidRPr="00B72CD2">
        <w:rPr>
          <w:rFonts w:ascii="Book Antiqua" w:hAnsi="Book Antiqua"/>
          <w:b/>
          <w:sz w:val="24"/>
          <w:szCs w:val="24"/>
        </w:rPr>
        <w:t>Tabernero J</w:t>
      </w:r>
      <w:r w:rsidRPr="00B72CD2">
        <w:rPr>
          <w:rFonts w:ascii="Book Antiqua" w:hAnsi="Book Antiqua"/>
          <w:sz w:val="24"/>
          <w:szCs w:val="24"/>
        </w:rPr>
        <w:t xml:space="preserve">, Yoshino T, Cohn AL, Obermannova R, Bodoky G, Garcia-Carbonero R, Ciuleanu TE, Portnoy DC, Van Cutsem E, Grothey A, Prausová J, Garcia-Alfonso P, Yamazaki K, Clingan PR, Lonardi S, Kim TW, Simms L, Chang SC, Nasroulah F; RAISE Study Investigators. Ramucirumab versus placebo in combination with second-line FOLFIRI in patients with metastatic colorectal carcinoma that progressed during or after first-line therapy with bevacizumab, oxaliplatin, and a fluoropyrimidine (RAISE): </w:t>
      </w:r>
      <w:r w:rsidRPr="00B72CD2">
        <w:rPr>
          <w:rFonts w:ascii="Book Antiqua" w:hAnsi="Book Antiqua"/>
          <w:sz w:val="24"/>
          <w:szCs w:val="24"/>
        </w:rPr>
        <w:lastRenderedPageBreak/>
        <w:t xml:space="preserve">a randomised, double-blind, multicentre, phase 3 study. </w:t>
      </w:r>
      <w:r w:rsidRPr="00B72CD2">
        <w:rPr>
          <w:rFonts w:ascii="Book Antiqua" w:hAnsi="Book Antiqua"/>
          <w:i/>
          <w:sz w:val="24"/>
          <w:szCs w:val="24"/>
        </w:rPr>
        <w:t>Lancet Oncol</w:t>
      </w:r>
      <w:r w:rsidRPr="00B72CD2">
        <w:rPr>
          <w:rFonts w:ascii="Book Antiqua" w:hAnsi="Book Antiqua"/>
          <w:sz w:val="24"/>
          <w:szCs w:val="24"/>
        </w:rPr>
        <w:t xml:space="preserve"> 2015; </w:t>
      </w:r>
      <w:r w:rsidRPr="00B72CD2">
        <w:rPr>
          <w:rFonts w:ascii="Book Antiqua" w:hAnsi="Book Antiqua"/>
          <w:b/>
          <w:sz w:val="24"/>
          <w:szCs w:val="24"/>
        </w:rPr>
        <w:t>16</w:t>
      </w:r>
      <w:r w:rsidRPr="00B72CD2">
        <w:rPr>
          <w:rFonts w:ascii="Book Antiqua" w:hAnsi="Book Antiqua"/>
          <w:sz w:val="24"/>
          <w:szCs w:val="24"/>
        </w:rPr>
        <w:t>: 499-508 [PMID: 25877855 DOI: 10.1016/S1470-2045(15)70127-0]</w:t>
      </w:r>
    </w:p>
    <w:p w14:paraId="3BF9313D"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38 </w:t>
      </w:r>
      <w:r w:rsidRPr="00B72CD2">
        <w:rPr>
          <w:rFonts w:ascii="Book Antiqua" w:hAnsi="Book Antiqua"/>
          <w:b/>
          <w:sz w:val="24"/>
          <w:szCs w:val="24"/>
        </w:rPr>
        <w:t>Tabernero J</w:t>
      </w:r>
      <w:r w:rsidRPr="00B72CD2">
        <w:rPr>
          <w:rFonts w:ascii="Book Antiqua" w:hAnsi="Book Antiqua"/>
          <w:sz w:val="24"/>
          <w:szCs w:val="24"/>
        </w:rPr>
        <w:t xml:space="preserve">, Hozak RR, Yoshino T, Cohn AL, Obermannova R, Bodoky G, Garcia-Carbonero R, Ciuleanu TE, Portnoy DC, Prausová J, Muro K, Siegel RW, Konrad RJ, Ouyang H, Melemed SA, Ferry D, Nasroulah F, Van Cutsem E. Analysis of angiogenesis biomarkers for ramucirumab efficacy in patients with metastatic colorectal cancer from RAISE, a global, randomized, double-blind, phase III study. </w:t>
      </w:r>
      <w:r w:rsidRPr="00B72CD2">
        <w:rPr>
          <w:rFonts w:ascii="Book Antiqua" w:hAnsi="Book Antiqua"/>
          <w:i/>
          <w:sz w:val="24"/>
          <w:szCs w:val="24"/>
        </w:rPr>
        <w:t>Ann Oncol</w:t>
      </w:r>
      <w:r w:rsidRPr="00B72CD2">
        <w:rPr>
          <w:rFonts w:ascii="Book Antiqua" w:hAnsi="Book Antiqua"/>
          <w:sz w:val="24"/>
          <w:szCs w:val="24"/>
        </w:rPr>
        <w:t xml:space="preserve"> 2018; </w:t>
      </w:r>
      <w:r w:rsidRPr="00B72CD2">
        <w:rPr>
          <w:rFonts w:ascii="Book Antiqua" w:hAnsi="Book Antiqua"/>
          <w:b/>
          <w:sz w:val="24"/>
          <w:szCs w:val="24"/>
        </w:rPr>
        <w:t>29</w:t>
      </w:r>
      <w:r w:rsidRPr="00B72CD2">
        <w:rPr>
          <w:rFonts w:ascii="Book Antiqua" w:hAnsi="Book Antiqua"/>
          <w:sz w:val="24"/>
          <w:szCs w:val="24"/>
        </w:rPr>
        <w:t>: 602-609 [PMID: 29228087 DOI: 10.1093/annonc/mdx767]</w:t>
      </w:r>
    </w:p>
    <w:p w14:paraId="61E2D317"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39 </w:t>
      </w:r>
      <w:r w:rsidRPr="00B72CD2">
        <w:rPr>
          <w:rFonts w:ascii="Book Antiqua" w:hAnsi="Book Antiqua"/>
          <w:b/>
          <w:sz w:val="24"/>
          <w:szCs w:val="24"/>
        </w:rPr>
        <w:t>Van Cutsem E</w:t>
      </w:r>
      <w:r w:rsidRPr="00B72CD2">
        <w:rPr>
          <w:rFonts w:ascii="Book Antiqua" w:hAnsi="Book Antiqua"/>
          <w:sz w:val="24"/>
          <w:szCs w:val="24"/>
        </w:rPr>
        <w:t xml:space="preserve">, Cervantes A, Adam R, Sobrero A, Van Krieken JH, Aderka D, Aranda Aguilar E, Bardelli A, Benson A, Bodoky G, Ciardiello F, D'Hoore A, Diaz-Rubio E, Douillard JY, Ducreux M, Falcone A, Grothey A, Gruenberger T, Haustermans K, Heinemann V, Hoff P, Köhne CH, Labianca R, Laurent-Puig P, Ma B, Maughan T, Muro K, Normanno N, Österlund P, Oyen WJ, Papamichael D, Pentheroudakis G, Pfeiffer P, Price TJ, Punt C, Ricke J, Roth A, Salazar R, Scheithauer W, Schmoll HJ, Tabernero J, Taïeb J, Tejpar S, Wasan H, Yoshino T, Zaanan A, Arnold D. ESMO consensus guidelines for the management of patients with metastatic colorectal cancer. </w:t>
      </w:r>
      <w:r w:rsidRPr="00B72CD2">
        <w:rPr>
          <w:rFonts w:ascii="Book Antiqua" w:hAnsi="Book Antiqua"/>
          <w:i/>
          <w:sz w:val="24"/>
          <w:szCs w:val="24"/>
        </w:rPr>
        <w:t>Ann Oncol</w:t>
      </w:r>
      <w:r w:rsidRPr="00B72CD2">
        <w:rPr>
          <w:rFonts w:ascii="Book Antiqua" w:hAnsi="Book Antiqua"/>
          <w:sz w:val="24"/>
          <w:szCs w:val="24"/>
        </w:rPr>
        <w:t xml:space="preserve"> 2016; </w:t>
      </w:r>
      <w:r w:rsidRPr="00B72CD2">
        <w:rPr>
          <w:rFonts w:ascii="Book Antiqua" w:hAnsi="Book Antiqua"/>
          <w:b/>
          <w:sz w:val="24"/>
          <w:szCs w:val="24"/>
        </w:rPr>
        <w:t>27</w:t>
      </w:r>
      <w:r w:rsidRPr="00B72CD2">
        <w:rPr>
          <w:rFonts w:ascii="Book Antiqua" w:hAnsi="Book Antiqua"/>
          <w:sz w:val="24"/>
          <w:szCs w:val="24"/>
        </w:rPr>
        <w:t>: 1386-1422 [PMID: 27380959 DOI: 10.1093/annonc/mdw235]</w:t>
      </w:r>
    </w:p>
    <w:p w14:paraId="55C902B4"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40 </w:t>
      </w:r>
      <w:r w:rsidRPr="00B72CD2">
        <w:rPr>
          <w:rFonts w:ascii="Book Antiqua" w:hAnsi="Book Antiqua"/>
          <w:b/>
          <w:sz w:val="24"/>
          <w:szCs w:val="24"/>
        </w:rPr>
        <w:t>Goldstein DA</w:t>
      </w:r>
      <w:r w:rsidRPr="00B72CD2">
        <w:rPr>
          <w:rFonts w:ascii="Book Antiqua" w:hAnsi="Book Antiqua"/>
          <w:sz w:val="24"/>
          <w:szCs w:val="24"/>
        </w:rPr>
        <w:t xml:space="preserve">, El-Rayes BF. Considering Efficacy and Cost, Where Does Ramucirumab Fit in the Management of Metastatic Colorectal Cancer? </w:t>
      </w:r>
      <w:r w:rsidRPr="00B72CD2">
        <w:rPr>
          <w:rFonts w:ascii="Book Antiqua" w:hAnsi="Book Antiqua"/>
          <w:i/>
          <w:sz w:val="24"/>
          <w:szCs w:val="24"/>
        </w:rPr>
        <w:t>Oncologist</w:t>
      </w:r>
      <w:r w:rsidRPr="00B72CD2">
        <w:rPr>
          <w:rFonts w:ascii="Book Antiqua" w:hAnsi="Book Antiqua"/>
          <w:sz w:val="24"/>
          <w:szCs w:val="24"/>
        </w:rPr>
        <w:t xml:space="preserve"> 2015; </w:t>
      </w:r>
      <w:r w:rsidRPr="00B72CD2">
        <w:rPr>
          <w:rFonts w:ascii="Book Antiqua" w:hAnsi="Book Antiqua"/>
          <w:b/>
          <w:sz w:val="24"/>
          <w:szCs w:val="24"/>
        </w:rPr>
        <w:t>20</w:t>
      </w:r>
      <w:r w:rsidRPr="00B72CD2">
        <w:rPr>
          <w:rFonts w:ascii="Book Antiqua" w:hAnsi="Book Antiqua"/>
          <w:sz w:val="24"/>
          <w:szCs w:val="24"/>
        </w:rPr>
        <w:t>: 981-982 [PMID: 26265225 DOI: 10.1634/theoncologist.2015-0028]</w:t>
      </w:r>
    </w:p>
    <w:p w14:paraId="1B799C11" w14:textId="0EC50FF9"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41 </w:t>
      </w:r>
      <w:r w:rsidRPr="00B72CD2">
        <w:rPr>
          <w:rFonts w:ascii="Book Antiqua" w:hAnsi="Book Antiqua"/>
          <w:b/>
          <w:sz w:val="24"/>
          <w:szCs w:val="24"/>
        </w:rPr>
        <w:t>Morlock R</w:t>
      </w:r>
      <w:r w:rsidRPr="002C3988">
        <w:rPr>
          <w:rFonts w:ascii="Book Antiqua" w:hAnsi="Book Antiqua"/>
          <w:sz w:val="24"/>
          <w:szCs w:val="24"/>
        </w:rPr>
        <w:t>,</w:t>
      </w:r>
      <w:r w:rsidRPr="00B72CD2">
        <w:rPr>
          <w:rFonts w:ascii="Book Antiqua" w:hAnsi="Book Antiqua"/>
          <w:sz w:val="24"/>
          <w:szCs w:val="24"/>
        </w:rPr>
        <w:t xml:space="preserve"> Yu E, Ray J. A cost-effectiveness analysis of bevacizumab (BV) plus chemotherapy (CT) versus aflibercept (AFLI) plus CT in patients with metastatic colorectal cancer (mCRC) previously treated with BV.</w:t>
      </w:r>
      <w:r w:rsidRPr="002C3988">
        <w:rPr>
          <w:rFonts w:ascii="Book Antiqua" w:hAnsi="Book Antiqua"/>
          <w:i/>
          <w:sz w:val="24"/>
          <w:szCs w:val="24"/>
        </w:rPr>
        <w:t xml:space="preserve"> J Clın Oncol </w:t>
      </w:r>
      <w:r w:rsidRPr="00B72CD2">
        <w:rPr>
          <w:rFonts w:ascii="Book Antiqua" w:hAnsi="Book Antiqua"/>
          <w:sz w:val="24"/>
          <w:szCs w:val="24"/>
        </w:rPr>
        <w:t xml:space="preserve">2013; </w:t>
      </w:r>
      <w:r w:rsidRPr="002C3988">
        <w:rPr>
          <w:rFonts w:ascii="Book Antiqua" w:hAnsi="Book Antiqua"/>
          <w:b/>
          <w:sz w:val="24"/>
          <w:szCs w:val="24"/>
        </w:rPr>
        <w:t>31</w:t>
      </w:r>
      <w:r w:rsidRPr="00B72CD2">
        <w:rPr>
          <w:rFonts w:ascii="Book Antiqua" w:hAnsi="Book Antiqua"/>
          <w:sz w:val="24"/>
          <w:szCs w:val="24"/>
        </w:rPr>
        <w:t>: 417-417 [DOI: 10.1200/jco.2013.31.4_suppl.417]</w:t>
      </w:r>
    </w:p>
    <w:p w14:paraId="23650880" w14:textId="77777777"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42 </w:t>
      </w:r>
      <w:r w:rsidRPr="00B72CD2">
        <w:rPr>
          <w:rFonts w:ascii="Book Antiqua" w:hAnsi="Book Antiqua"/>
          <w:b/>
          <w:sz w:val="24"/>
          <w:szCs w:val="24"/>
        </w:rPr>
        <w:t>Hecht JR</w:t>
      </w:r>
      <w:r w:rsidRPr="00B72CD2">
        <w:rPr>
          <w:rFonts w:ascii="Book Antiqua" w:hAnsi="Book Antiqua"/>
          <w:sz w:val="24"/>
          <w:szCs w:val="24"/>
        </w:rPr>
        <w:t xml:space="preserve">, Cohn A, Dakhil S, Saleh M, Piperdi B, Cline-Burkhardt M, Tian Y, Go WY. SPIRITT: A Randomized, Multicenter, Phase II Study of Panitumumab with FOLFIRI and Bevacizumab with FOLFIRI as Second-Line Treatment in Patients with Unresectable Wild Type KRAS Metastatic Colorectal Cancer. </w:t>
      </w:r>
      <w:r w:rsidRPr="00B72CD2">
        <w:rPr>
          <w:rFonts w:ascii="Book Antiqua" w:hAnsi="Book Antiqua"/>
          <w:i/>
          <w:sz w:val="24"/>
          <w:szCs w:val="24"/>
        </w:rPr>
        <w:t>Clin Colorectal Cancer</w:t>
      </w:r>
      <w:r w:rsidRPr="00B72CD2">
        <w:rPr>
          <w:rFonts w:ascii="Book Antiqua" w:hAnsi="Book Antiqua"/>
          <w:sz w:val="24"/>
          <w:szCs w:val="24"/>
        </w:rPr>
        <w:t xml:space="preserve"> 2015; </w:t>
      </w:r>
      <w:r w:rsidRPr="00B72CD2">
        <w:rPr>
          <w:rFonts w:ascii="Book Antiqua" w:hAnsi="Book Antiqua"/>
          <w:b/>
          <w:sz w:val="24"/>
          <w:szCs w:val="24"/>
        </w:rPr>
        <w:t>14</w:t>
      </w:r>
      <w:r w:rsidRPr="00B72CD2">
        <w:rPr>
          <w:rFonts w:ascii="Book Antiqua" w:hAnsi="Book Antiqua"/>
          <w:sz w:val="24"/>
          <w:szCs w:val="24"/>
        </w:rPr>
        <w:t>: 72-80 [PMID: 25982297 DOI: 10.1016/j.clcc.2014.12.009]</w:t>
      </w:r>
    </w:p>
    <w:p w14:paraId="7603E58C" w14:textId="05C9EDCB" w:rsidR="00B72CD2" w:rsidRPr="00B72CD2" w:rsidRDefault="00B72CD2" w:rsidP="00B72CD2">
      <w:pPr>
        <w:spacing w:after="0" w:line="360" w:lineRule="auto"/>
        <w:jc w:val="both"/>
        <w:rPr>
          <w:rFonts w:ascii="Book Antiqua" w:hAnsi="Book Antiqua"/>
          <w:sz w:val="24"/>
          <w:szCs w:val="24"/>
        </w:rPr>
      </w:pPr>
      <w:r w:rsidRPr="00B72CD2">
        <w:rPr>
          <w:rFonts w:ascii="Book Antiqua" w:hAnsi="Book Antiqua"/>
          <w:sz w:val="24"/>
          <w:szCs w:val="24"/>
        </w:rPr>
        <w:t xml:space="preserve">43 </w:t>
      </w:r>
      <w:r w:rsidRPr="00B72CD2">
        <w:rPr>
          <w:rFonts w:ascii="Book Antiqua" w:hAnsi="Book Antiqua"/>
          <w:b/>
          <w:sz w:val="24"/>
          <w:szCs w:val="24"/>
        </w:rPr>
        <w:t>Bennouna J</w:t>
      </w:r>
      <w:r w:rsidRPr="002C3988">
        <w:rPr>
          <w:rFonts w:ascii="Book Antiqua" w:hAnsi="Book Antiqua"/>
          <w:sz w:val="24"/>
          <w:szCs w:val="24"/>
        </w:rPr>
        <w:t xml:space="preserve">, </w:t>
      </w:r>
      <w:r w:rsidRPr="00B72CD2">
        <w:rPr>
          <w:rFonts w:ascii="Book Antiqua" w:hAnsi="Book Antiqua"/>
          <w:sz w:val="24"/>
          <w:szCs w:val="24"/>
        </w:rPr>
        <w:t xml:space="preserve">Hiret S, Borg C, Bertaut A, Bouche O, Deplanque G, Francois E, Conroy T, Ghiringhelli F, des Guetz G, Seitz JF, Artru P, Stanbury T, Charpentier S, Denis M, </w:t>
      </w:r>
      <w:r w:rsidRPr="00B72CD2">
        <w:rPr>
          <w:rFonts w:ascii="Book Antiqua" w:hAnsi="Book Antiqua"/>
          <w:sz w:val="24"/>
          <w:szCs w:val="24"/>
        </w:rPr>
        <w:lastRenderedPageBreak/>
        <w:t>Adenis A. 477O Bevacizumab (Bev) or cetuximab (Cet) plus chemotherapy after progression with bevacizumab plus chemotherapy in patients with wild-type (WT) KRAS metastatic colorectal cancer (mCRC): Final analysis of a French randomized, multicenter, phase II study (PRODIGE 18).</w:t>
      </w:r>
      <w:r w:rsidRPr="002C3988">
        <w:rPr>
          <w:rFonts w:ascii="Book Antiqua" w:hAnsi="Book Antiqua"/>
          <w:i/>
          <w:sz w:val="24"/>
          <w:szCs w:val="24"/>
        </w:rPr>
        <w:t xml:space="preserve"> Ann Oncol</w:t>
      </w:r>
      <w:r w:rsidRPr="00B72CD2">
        <w:rPr>
          <w:rFonts w:ascii="Book Antiqua" w:hAnsi="Book Antiqua"/>
          <w:sz w:val="24"/>
          <w:szCs w:val="24"/>
        </w:rPr>
        <w:t xml:space="preserve"> 2017; </w:t>
      </w:r>
      <w:r w:rsidRPr="002C3988">
        <w:rPr>
          <w:rFonts w:ascii="Book Antiqua" w:hAnsi="Book Antiqua"/>
          <w:b/>
          <w:sz w:val="24"/>
          <w:szCs w:val="24"/>
        </w:rPr>
        <w:t>28</w:t>
      </w:r>
      <w:r w:rsidRPr="00B72CD2">
        <w:rPr>
          <w:rFonts w:ascii="Book Antiqua" w:hAnsi="Book Antiqua"/>
          <w:sz w:val="24"/>
          <w:szCs w:val="24"/>
        </w:rPr>
        <w:t>: mdx393.004 [DOI: 10.1093/annonc/mdx393.004]</w:t>
      </w:r>
    </w:p>
    <w:p w14:paraId="09225213" w14:textId="77777777" w:rsidR="001E4EF7" w:rsidRPr="002C3988" w:rsidRDefault="001E4EF7" w:rsidP="002C3988">
      <w:pPr>
        <w:spacing w:after="0" w:line="360" w:lineRule="auto"/>
        <w:jc w:val="right"/>
        <w:rPr>
          <w:rFonts w:ascii="Book Antiqua" w:eastAsiaTheme="minorHAnsi" w:hAnsi="Book Antiqua"/>
          <w:sz w:val="24"/>
          <w:szCs w:val="24"/>
        </w:rPr>
      </w:pPr>
    </w:p>
    <w:p w14:paraId="556DE647" w14:textId="7B3A135B" w:rsidR="00C92AE1" w:rsidRPr="002C3988" w:rsidRDefault="00C92AE1" w:rsidP="002C3988">
      <w:pPr>
        <w:pStyle w:val="PlainText"/>
        <w:spacing w:line="360" w:lineRule="auto"/>
        <w:jc w:val="right"/>
        <w:rPr>
          <w:rFonts w:ascii="Book Antiqua" w:hAnsi="Book Antiqua"/>
          <w:b/>
          <w:sz w:val="24"/>
          <w:szCs w:val="24"/>
        </w:rPr>
      </w:pPr>
      <w:r w:rsidRPr="002C3988">
        <w:rPr>
          <w:rFonts w:ascii="Book Antiqua" w:hAnsi="Book Antiqua"/>
          <w:b/>
          <w:sz w:val="24"/>
          <w:szCs w:val="24"/>
        </w:rPr>
        <w:t xml:space="preserve">P-Reviewer: </w:t>
      </w:r>
      <w:r w:rsidR="00CA5EAB" w:rsidRPr="002C3988">
        <w:rPr>
          <w:rFonts w:ascii="Book Antiqua" w:hAnsi="Book Antiqua"/>
          <w:color w:val="000000"/>
          <w:sz w:val="24"/>
          <w:szCs w:val="24"/>
        </w:rPr>
        <w:t xml:space="preserve">Cao D, Kim HS, Morelli F, Yuan Y </w:t>
      </w:r>
      <w:r w:rsidRPr="002C3988">
        <w:rPr>
          <w:rFonts w:ascii="Book Antiqua" w:hAnsi="Book Antiqua"/>
          <w:b/>
          <w:sz w:val="24"/>
          <w:szCs w:val="24"/>
        </w:rPr>
        <w:t xml:space="preserve">S-Editor: </w:t>
      </w:r>
      <w:r w:rsidRPr="002C3988">
        <w:rPr>
          <w:rFonts w:ascii="Book Antiqua" w:hAnsi="Book Antiqua"/>
          <w:sz w:val="24"/>
          <w:szCs w:val="24"/>
        </w:rPr>
        <w:t>Ji FF</w:t>
      </w:r>
      <w:r w:rsidRPr="002C3988">
        <w:rPr>
          <w:rFonts w:ascii="Book Antiqua" w:hAnsi="Book Antiqua"/>
          <w:b/>
          <w:sz w:val="24"/>
          <w:szCs w:val="24"/>
        </w:rPr>
        <w:t xml:space="preserve"> L-Editor: E-Editor: </w:t>
      </w:r>
    </w:p>
    <w:p w14:paraId="7428246E" w14:textId="77777777" w:rsidR="00C92AE1" w:rsidRPr="00B72CD2" w:rsidRDefault="00C92AE1" w:rsidP="00B72CD2">
      <w:pPr>
        <w:pStyle w:val="PlainText"/>
        <w:spacing w:line="360" w:lineRule="auto"/>
        <w:rPr>
          <w:rFonts w:ascii="Book Antiqua" w:hAnsi="Book Antiqua"/>
          <w:b/>
          <w:sz w:val="24"/>
          <w:szCs w:val="24"/>
        </w:rPr>
      </w:pPr>
      <w:r w:rsidRPr="00B72CD2">
        <w:rPr>
          <w:rFonts w:ascii="Book Antiqua" w:hAnsi="Book Antiqua"/>
          <w:b/>
          <w:sz w:val="24"/>
          <w:szCs w:val="24"/>
        </w:rPr>
        <w:t xml:space="preserve"> </w:t>
      </w:r>
    </w:p>
    <w:p w14:paraId="430A8CB7" w14:textId="7128E811" w:rsidR="00C92AE1" w:rsidRPr="00B72CD2" w:rsidRDefault="00C92AE1" w:rsidP="00B72CD2">
      <w:pPr>
        <w:snapToGrid w:val="0"/>
        <w:spacing w:after="0" w:line="360" w:lineRule="auto"/>
        <w:jc w:val="both"/>
        <w:rPr>
          <w:rFonts w:ascii="Book Antiqua" w:eastAsia="SimSun" w:hAnsi="Book Antiqua" w:cs="Helvetica"/>
          <w:b/>
          <w:sz w:val="24"/>
          <w:szCs w:val="24"/>
        </w:rPr>
      </w:pPr>
      <w:r w:rsidRPr="00B72CD2">
        <w:rPr>
          <w:rFonts w:ascii="Book Antiqua" w:eastAsia="SimSun" w:hAnsi="Book Antiqua" w:cs="Helvetica"/>
          <w:b/>
          <w:sz w:val="24"/>
          <w:szCs w:val="24"/>
        </w:rPr>
        <w:t xml:space="preserve">Specialty type: </w:t>
      </w:r>
      <w:r w:rsidR="00CA5EAB" w:rsidRPr="00B72CD2">
        <w:rPr>
          <w:rFonts w:ascii="Book Antiqua" w:eastAsia="Microsoft YaHei" w:hAnsi="Book Antiqua" w:cs="SimSun"/>
          <w:sz w:val="24"/>
          <w:szCs w:val="24"/>
        </w:rPr>
        <w:t>Oncology</w:t>
      </w:r>
    </w:p>
    <w:p w14:paraId="06C532F5" w14:textId="71A12D92" w:rsidR="00C92AE1" w:rsidRPr="00B72CD2" w:rsidRDefault="00C92AE1" w:rsidP="00B72CD2">
      <w:pPr>
        <w:snapToGrid w:val="0"/>
        <w:spacing w:after="0" w:line="360" w:lineRule="auto"/>
        <w:jc w:val="both"/>
        <w:rPr>
          <w:rFonts w:ascii="Book Antiqua" w:eastAsia="SimSun" w:hAnsi="Book Antiqua" w:cs="Helvetica"/>
          <w:b/>
          <w:sz w:val="24"/>
          <w:szCs w:val="24"/>
        </w:rPr>
      </w:pPr>
      <w:r w:rsidRPr="00B72CD2">
        <w:rPr>
          <w:rFonts w:ascii="Book Antiqua" w:eastAsia="SimSun" w:hAnsi="Book Antiqua" w:cs="Helvetica"/>
          <w:b/>
          <w:sz w:val="24"/>
          <w:szCs w:val="24"/>
        </w:rPr>
        <w:t xml:space="preserve">Country of origin: </w:t>
      </w:r>
      <w:r w:rsidR="00CA5EAB" w:rsidRPr="00B72CD2">
        <w:rPr>
          <w:rFonts w:ascii="Book Antiqua" w:eastAsia="SimSun" w:hAnsi="Book Antiqua"/>
          <w:sz w:val="24"/>
          <w:szCs w:val="24"/>
        </w:rPr>
        <w:t>Turkey</w:t>
      </w:r>
    </w:p>
    <w:p w14:paraId="564098C0" w14:textId="77777777" w:rsidR="00C92AE1" w:rsidRPr="00B72CD2" w:rsidRDefault="00C92AE1" w:rsidP="00B72CD2">
      <w:pPr>
        <w:snapToGrid w:val="0"/>
        <w:spacing w:after="0" w:line="360" w:lineRule="auto"/>
        <w:jc w:val="both"/>
        <w:rPr>
          <w:rFonts w:ascii="Book Antiqua" w:eastAsia="SimSun" w:hAnsi="Book Antiqua" w:cs="Helvetica"/>
          <w:b/>
          <w:sz w:val="24"/>
          <w:szCs w:val="24"/>
        </w:rPr>
      </w:pPr>
      <w:r w:rsidRPr="00B72CD2">
        <w:rPr>
          <w:rFonts w:ascii="Book Antiqua" w:eastAsia="SimSun" w:hAnsi="Book Antiqua" w:cs="Helvetica"/>
          <w:b/>
          <w:sz w:val="24"/>
          <w:szCs w:val="24"/>
        </w:rPr>
        <w:t>Peer-review report classification</w:t>
      </w:r>
    </w:p>
    <w:p w14:paraId="0730DCFD" w14:textId="3293A0BF" w:rsidR="00C92AE1" w:rsidRPr="00B72CD2" w:rsidRDefault="00C92AE1" w:rsidP="00B72CD2">
      <w:pPr>
        <w:snapToGrid w:val="0"/>
        <w:spacing w:after="0" w:line="360" w:lineRule="auto"/>
        <w:jc w:val="both"/>
        <w:rPr>
          <w:rFonts w:ascii="Book Antiqua" w:eastAsia="SimSun" w:hAnsi="Book Antiqua" w:cs="Helvetica"/>
          <w:sz w:val="24"/>
          <w:szCs w:val="24"/>
          <w:lang w:eastAsia="zh-CN"/>
        </w:rPr>
      </w:pPr>
      <w:r w:rsidRPr="00B72CD2">
        <w:rPr>
          <w:rFonts w:ascii="Book Antiqua" w:eastAsia="SimSun" w:hAnsi="Book Antiqua" w:cs="Helvetica"/>
          <w:sz w:val="24"/>
          <w:szCs w:val="24"/>
        </w:rPr>
        <w:t xml:space="preserve">Grade A (Excellent): </w:t>
      </w:r>
      <w:r w:rsidR="00CA5EAB" w:rsidRPr="00B72CD2">
        <w:rPr>
          <w:rFonts w:ascii="Book Antiqua" w:eastAsia="SimSun" w:hAnsi="Book Antiqua" w:cs="Helvetica"/>
          <w:sz w:val="24"/>
          <w:szCs w:val="24"/>
          <w:lang w:eastAsia="zh-CN"/>
        </w:rPr>
        <w:t>0</w:t>
      </w:r>
    </w:p>
    <w:p w14:paraId="789A8436" w14:textId="648A97BA" w:rsidR="00C92AE1" w:rsidRPr="00B72CD2" w:rsidRDefault="00C92AE1" w:rsidP="00B72CD2">
      <w:pPr>
        <w:snapToGrid w:val="0"/>
        <w:spacing w:after="0" w:line="360" w:lineRule="auto"/>
        <w:jc w:val="both"/>
        <w:rPr>
          <w:rFonts w:ascii="Book Antiqua" w:eastAsia="SimSun" w:hAnsi="Book Antiqua" w:cs="Helvetica"/>
          <w:sz w:val="24"/>
          <w:szCs w:val="24"/>
          <w:lang w:eastAsia="zh-CN"/>
        </w:rPr>
      </w:pPr>
      <w:r w:rsidRPr="00B72CD2">
        <w:rPr>
          <w:rFonts w:ascii="Book Antiqua" w:eastAsia="SimSun" w:hAnsi="Book Antiqua" w:cs="Helvetica"/>
          <w:sz w:val="24"/>
          <w:szCs w:val="24"/>
        </w:rPr>
        <w:t>Grade B (Very good): B</w:t>
      </w:r>
      <w:r w:rsidR="00CA5EAB" w:rsidRPr="00B72CD2">
        <w:rPr>
          <w:rFonts w:ascii="Book Antiqua" w:eastAsia="SimSun" w:hAnsi="Book Antiqua" w:cs="Helvetica"/>
          <w:sz w:val="24"/>
          <w:szCs w:val="24"/>
          <w:lang w:eastAsia="zh-CN"/>
        </w:rPr>
        <w:t>, B</w:t>
      </w:r>
    </w:p>
    <w:p w14:paraId="5ACF158F" w14:textId="33EB9A54" w:rsidR="00C92AE1" w:rsidRPr="00B72CD2" w:rsidRDefault="00C92AE1" w:rsidP="00B72CD2">
      <w:pPr>
        <w:snapToGrid w:val="0"/>
        <w:spacing w:after="0" w:line="360" w:lineRule="auto"/>
        <w:jc w:val="both"/>
        <w:rPr>
          <w:rFonts w:ascii="Book Antiqua" w:eastAsia="SimSun" w:hAnsi="Book Antiqua" w:cs="Helvetica"/>
          <w:sz w:val="24"/>
          <w:szCs w:val="24"/>
          <w:lang w:eastAsia="zh-CN"/>
        </w:rPr>
      </w:pPr>
      <w:r w:rsidRPr="00B72CD2">
        <w:rPr>
          <w:rFonts w:ascii="Book Antiqua" w:eastAsia="SimSun" w:hAnsi="Book Antiqua" w:cs="Helvetica"/>
          <w:sz w:val="24"/>
          <w:szCs w:val="24"/>
        </w:rPr>
        <w:t>Grade C (Good): C</w:t>
      </w:r>
      <w:r w:rsidR="00CA5EAB" w:rsidRPr="00B72CD2">
        <w:rPr>
          <w:rFonts w:ascii="Book Antiqua" w:eastAsia="SimSun" w:hAnsi="Book Antiqua" w:cs="Helvetica"/>
          <w:sz w:val="24"/>
          <w:szCs w:val="24"/>
          <w:lang w:eastAsia="zh-CN"/>
        </w:rPr>
        <w:t>, C</w:t>
      </w:r>
    </w:p>
    <w:p w14:paraId="557AF839" w14:textId="77777777" w:rsidR="00C92AE1" w:rsidRPr="00B72CD2" w:rsidRDefault="00C92AE1" w:rsidP="00B72CD2">
      <w:pPr>
        <w:snapToGrid w:val="0"/>
        <w:spacing w:after="0" w:line="360" w:lineRule="auto"/>
        <w:jc w:val="both"/>
        <w:rPr>
          <w:rFonts w:ascii="Book Antiqua" w:eastAsia="SimSun" w:hAnsi="Book Antiqua" w:cs="Helvetica"/>
          <w:sz w:val="24"/>
          <w:szCs w:val="24"/>
        </w:rPr>
      </w:pPr>
      <w:r w:rsidRPr="00B72CD2">
        <w:rPr>
          <w:rFonts w:ascii="Book Antiqua" w:eastAsia="SimSun" w:hAnsi="Book Antiqua" w:cs="Helvetica"/>
          <w:sz w:val="24"/>
          <w:szCs w:val="24"/>
        </w:rPr>
        <w:t xml:space="preserve">Grade D (Fair): 0 </w:t>
      </w:r>
    </w:p>
    <w:p w14:paraId="04B350EA" w14:textId="69918469" w:rsidR="001E4EF7" w:rsidRPr="00B72CD2" w:rsidRDefault="00C92AE1" w:rsidP="00B72CD2">
      <w:pPr>
        <w:spacing w:after="0" w:line="360" w:lineRule="auto"/>
        <w:jc w:val="both"/>
        <w:rPr>
          <w:rFonts w:ascii="Book Antiqua" w:eastAsiaTheme="minorHAnsi" w:hAnsi="Book Antiqua"/>
          <w:sz w:val="24"/>
          <w:szCs w:val="24"/>
        </w:rPr>
      </w:pPr>
      <w:r w:rsidRPr="00B72CD2">
        <w:rPr>
          <w:rFonts w:ascii="Book Antiqua" w:eastAsia="SimSun" w:hAnsi="Book Antiqua" w:cs="Helvetica"/>
          <w:sz w:val="24"/>
          <w:szCs w:val="24"/>
        </w:rPr>
        <w:t>Grade E (Poor): 0</w:t>
      </w:r>
    </w:p>
    <w:p w14:paraId="3C1445EA" w14:textId="0686FC22" w:rsidR="00C732F1" w:rsidRDefault="00C732F1">
      <w:pPr>
        <w:rPr>
          <w:rFonts w:ascii="Book Antiqua" w:hAnsi="Book Antiqua"/>
          <w:sz w:val="24"/>
          <w:szCs w:val="24"/>
          <w:lang w:val="en-US"/>
        </w:rPr>
      </w:pPr>
      <w:r>
        <w:rPr>
          <w:rFonts w:ascii="Book Antiqua" w:hAnsi="Book Antiqua"/>
          <w:sz w:val="24"/>
          <w:szCs w:val="24"/>
          <w:lang w:val="en-US"/>
        </w:rPr>
        <w:br w:type="page"/>
      </w:r>
    </w:p>
    <w:p w14:paraId="038348FF" w14:textId="77777777" w:rsidR="00FA0680" w:rsidRPr="007966B6" w:rsidRDefault="00FA0680" w:rsidP="005831C8">
      <w:pPr>
        <w:spacing w:after="0" w:line="360" w:lineRule="auto"/>
        <w:jc w:val="both"/>
        <w:rPr>
          <w:rFonts w:ascii="Book Antiqua" w:hAnsi="Book Antiqua"/>
          <w:sz w:val="24"/>
          <w:szCs w:val="24"/>
          <w:lang w:val="en-US"/>
        </w:rPr>
      </w:pPr>
    </w:p>
    <w:p w14:paraId="58EF6719" w14:textId="77777777" w:rsidR="00FA0680" w:rsidRPr="007966B6" w:rsidRDefault="00FA0680" w:rsidP="005831C8">
      <w:pPr>
        <w:spacing w:after="0" w:line="360" w:lineRule="auto"/>
        <w:jc w:val="both"/>
        <w:rPr>
          <w:rFonts w:ascii="Book Antiqua" w:hAnsi="Book Antiqua"/>
          <w:sz w:val="24"/>
          <w:szCs w:val="24"/>
        </w:rPr>
      </w:pPr>
      <w:r w:rsidRPr="007966B6">
        <w:rPr>
          <w:rFonts w:ascii="Book Antiqua" w:hAnsi="Book Antiqua"/>
          <w:noProof/>
          <w:sz w:val="24"/>
          <w:szCs w:val="24"/>
          <w:lang w:val="en-US" w:eastAsia="zh-CN"/>
        </w:rPr>
        <w:drawing>
          <wp:inline distT="0" distB="0" distL="0" distR="0" wp14:anchorId="41352A2B" wp14:editId="5FE1DF1A">
            <wp:extent cx="4613563" cy="257435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187" t="15905" r="2316" b="12181"/>
                    <a:stretch/>
                  </pic:blipFill>
                  <pic:spPr bwMode="auto">
                    <a:xfrm>
                      <a:off x="0" y="0"/>
                      <a:ext cx="4644129" cy="2591413"/>
                    </a:xfrm>
                    <a:prstGeom prst="rect">
                      <a:avLst/>
                    </a:prstGeom>
                    <a:ln>
                      <a:noFill/>
                    </a:ln>
                    <a:extLst>
                      <a:ext uri="{53640926-AAD7-44D8-BBD7-CCE9431645EC}">
                        <a14:shadowObscured xmlns:a14="http://schemas.microsoft.com/office/drawing/2010/main"/>
                      </a:ext>
                    </a:extLst>
                  </pic:spPr>
                </pic:pic>
              </a:graphicData>
            </a:graphic>
          </wp:inline>
        </w:drawing>
      </w:r>
    </w:p>
    <w:p w14:paraId="73532257" w14:textId="77089AA8" w:rsidR="00FA0680" w:rsidRPr="007966B6" w:rsidRDefault="00FA0680" w:rsidP="005831C8">
      <w:pPr>
        <w:spacing w:after="0" w:line="360" w:lineRule="auto"/>
        <w:jc w:val="both"/>
        <w:rPr>
          <w:rFonts w:ascii="Book Antiqua" w:hAnsi="Book Antiqua"/>
          <w:sz w:val="24"/>
          <w:szCs w:val="24"/>
          <w:lang w:val="en-US" w:eastAsia="zh-CN"/>
        </w:rPr>
      </w:pPr>
      <w:r w:rsidRPr="00CA5EAB">
        <w:rPr>
          <w:rFonts w:ascii="Book Antiqua" w:hAnsi="Book Antiqua"/>
          <w:b/>
          <w:sz w:val="24"/>
          <w:szCs w:val="24"/>
          <w:lang w:val="en-US"/>
        </w:rPr>
        <w:t>Figure 1 Approved anti-vascular endothelial growth factor monoclonal antibodies in the treatment of metastatic colorectal cancer and their mechanisms of action.</w:t>
      </w:r>
      <w:r w:rsidRPr="007966B6">
        <w:rPr>
          <w:rFonts w:ascii="Book Antiqua" w:hAnsi="Book Antiqua"/>
          <w:sz w:val="24"/>
          <w:szCs w:val="24"/>
          <w:lang w:val="en-US"/>
        </w:rPr>
        <w:t xml:space="preserve"> </w:t>
      </w:r>
      <w:r w:rsidR="00CA5EAB" w:rsidRPr="00CA5EAB">
        <w:rPr>
          <w:rFonts w:ascii="Book Antiqua" w:hAnsi="Book Antiqua"/>
          <w:sz w:val="24"/>
          <w:szCs w:val="24"/>
          <w:lang w:val="en-US"/>
        </w:rPr>
        <w:t>VEGF</w:t>
      </w:r>
      <w:r w:rsidR="00CA5EAB" w:rsidRPr="00CA5EAB">
        <w:rPr>
          <w:rFonts w:ascii="Book Antiqua" w:hAnsi="Book Antiqua" w:hint="eastAsia"/>
          <w:sz w:val="24"/>
          <w:szCs w:val="24"/>
          <w:lang w:val="en-US" w:eastAsia="zh-CN"/>
        </w:rPr>
        <w:t>:</w:t>
      </w:r>
      <w:r w:rsidR="00CA5EAB" w:rsidRPr="00CA5EAB">
        <w:rPr>
          <w:rFonts w:ascii="Book Antiqua" w:hAnsi="Book Antiqua"/>
          <w:sz w:val="24"/>
          <w:szCs w:val="24"/>
          <w:lang w:val="en-US"/>
        </w:rPr>
        <w:t xml:space="preserve"> Vascular endothelial growth factor</w:t>
      </w:r>
      <w:r w:rsidR="00CA5EAB">
        <w:rPr>
          <w:rFonts w:ascii="Book Antiqua" w:hAnsi="Book Antiqua" w:hint="eastAsia"/>
          <w:sz w:val="24"/>
          <w:szCs w:val="24"/>
          <w:lang w:val="en-US" w:eastAsia="zh-CN"/>
        </w:rPr>
        <w:t xml:space="preserve">; </w:t>
      </w:r>
      <w:r w:rsidRPr="007966B6">
        <w:rPr>
          <w:rFonts w:ascii="Book Antiqua" w:hAnsi="Book Antiqua"/>
          <w:sz w:val="24"/>
          <w:szCs w:val="24"/>
          <w:lang w:val="en-US"/>
        </w:rPr>
        <w:t>PIGF</w:t>
      </w:r>
      <w:r w:rsidR="00CA5EAB">
        <w:rPr>
          <w:rFonts w:ascii="Book Antiqua" w:hAnsi="Book Antiqua" w:hint="eastAsia"/>
          <w:sz w:val="24"/>
          <w:szCs w:val="24"/>
          <w:lang w:val="en-US" w:eastAsia="zh-CN"/>
        </w:rPr>
        <w:t>:</w:t>
      </w:r>
      <w:r w:rsidRPr="007966B6">
        <w:rPr>
          <w:rFonts w:ascii="Book Antiqua" w:hAnsi="Book Antiqua"/>
          <w:sz w:val="24"/>
          <w:szCs w:val="24"/>
          <w:lang w:val="en-US"/>
        </w:rPr>
        <w:t xml:space="preserve"> </w:t>
      </w:r>
      <w:r w:rsidR="00CA5EAB" w:rsidRPr="007966B6">
        <w:rPr>
          <w:rFonts w:ascii="Book Antiqua" w:hAnsi="Book Antiqua"/>
          <w:sz w:val="24"/>
          <w:szCs w:val="24"/>
          <w:lang w:val="en-US"/>
        </w:rPr>
        <w:t xml:space="preserve">Placental </w:t>
      </w:r>
      <w:r w:rsidRPr="007966B6">
        <w:rPr>
          <w:rFonts w:ascii="Book Antiqua" w:hAnsi="Book Antiqua"/>
          <w:sz w:val="24"/>
          <w:szCs w:val="24"/>
          <w:lang w:val="en-US"/>
        </w:rPr>
        <w:t>growth factor; FAK</w:t>
      </w:r>
      <w:r w:rsidR="00CA5EAB">
        <w:rPr>
          <w:rFonts w:ascii="Book Antiqua" w:hAnsi="Book Antiqua" w:hint="eastAsia"/>
          <w:sz w:val="24"/>
          <w:szCs w:val="24"/>
          <w:lang w:val="en-US" w:eastAsia="zh-CN"/>
        </w:rPr>
        <w:t>:</w:t>
      </w:r>
      <w:r w:rsidRPr="007966B6">
        <w:rPr>
          <w:rFonts w:ascii="Book Antiqua" w:hAnsi="Book Antiqua"/>
          <w:sz w:val="24"/>
          <w:szCs w:val="24"/>
          <w:lang w:val="en-US"/>
        </w:rPr>
        <w:t xml:space="preserve"> </w:t>
      </w:r>
      <w:r w:rsidR="00CA5EAB" w:rsidRPr="007966B6">
        <w:rPr>
          <w:rFonts w:ascii="Book Antiqua" w:hAnsi="Book Antiqua"/>
          <w:sz w:val="24"/>
          <w:szCs w:val="24"/>
          <w:lang w:val="en-US"/>
        </w:rPr>
        <w:t xml:space="preserve">Focal </w:t>
      </w:r>
      <w:r w:rsidRPr="007966B6">
        <w:rPr>
          <w:rFonts w:ascii="Book Antiqua" w:hAnsi="Book Antiqua"/>
          <w:sz w:val="24"/>
          <w:szCs w:val="24"/>
          <w:lang w:val="en-US"/>
        </w:rPr>
        <w:t>adhesion kinase; PI3K</w:t>
      </w:r>
      <w:r w:rsidR="00CA5EAB">
        <w:rPr>
          <w:rFonts w:ascii="Book Antiqua" w:hAnsi="Book Antiqua" w:hint="eastAsia"/>
          <w:sz w:val="24"/>
          <w:szCs w:val="24"/>
          <w:lang w:val="en-US" w:eastAsia="zh-CN"/>
        </w:rPr>
        <w:t>:</w:t>
      </w:r>
      <w:r w:rsidRPr="007966B6">
        <w:rPr>
          <w:rFonts w:ascii="Book Antiqua" w:hAnsi="Book Antiqua"/>
          <w:sz w:val="24"/>
          <w:szCs w:val="24"/>
          <w:lang w:val="en-US"/>
        </w:rPr>
        <w:t xml:space="preserve"> </w:t>
      </w:r>
      <w:r w:rsidR="00CA5EAB" w:rsidRPr="007966B6">
        <w:rPr>
          <w:rFonts w:ascii="Book Antiqua" w:hAnsi="Book Antiqua"/>
          <w:sz w:val="24"/>
          <w:szCs w:val="24"/>
          <w:lang w:val="en-US"/>
        </w:rPr>
        <w:t xml:space="preserve">Phosphoinositide </w:t>
      </w:r>
      <w:r w:rsidRPr="007966B6">
        <w:rPr>
          <w:rFonts w:ascii="Book Antiqua" w:hAnsi="Book Antiqua"/>
          <w:sz w:val="24"/>
          <w:szCs w:val="24"/>
          <w:lang w:val="en-US"/>
        </w:rPr>
        <w:t>3-kinase</w:t>
      </w:r>
      <w:r w:rsidR="00CA5EAB">
        <w:rPr>
          <w:rFonts w:ascii="Book Antiqua" w:hAnsi="Book Antiqua"/>
          <w:sz w:val="24"/>
          <w:szCs w:val="24"/>
          <w:lang w:val="en-US"/>
        </w:rPr>
        <w:t>; PLC-</w:t>
      </w:r>
      <w:r w:rsidRPr="007966B6">
        <w:rPr>
          <w:rFonts w:ascii="Times New Roman" w:hAnsi="Times New Roman" w:cs="Times New Roman"/>
          <w:sz w:val="24"/>
          <w:szCs w:val="24"/>
          <w:lang w:val="en-US"/>
        </w:rPr>
        <w:t>ɣ</w:t>
      </w:r>
      <w:r w:rsidR="00CA5EAB">
        <w:rPr>
          <w:rFonts w:ascii="Book Antiqua" w:hAnsi="Book Antiqua" w:hint="eastAsia"/>
          <w:sz w:val="24"/>
          <w:szCs w:val="24"/>
          <w:lang w:val="en-US" w:eastAsia="zh-CN"/>
        </w:rPr>
        <w:t>:</w:t>
      </w:r>
      <w:r w:rsidRPr="007966B6">
        <w:rPr>
          <w:rFonts w:ascii="Book Antiqua" w:hAnsi="Book Antiqua"/>
          <w:sz w:val="24"/>
          <w:szCs w:val="24"/>
          <w:lang w:val="en-US"/>
        </w:rPr>
        <w:t xml:space="preserve"> </w:t>
      </w:r>
      <w:r w:rsidR="00CA5EAB" w:rsidRPr="007966B6">
        <w:rPr>
          <w:rFonts w:ascii="Book Antiqua" w:hAnsi="Book Antiqua"/>
          <w:sz w:val="24"/>
          <w:szCs w:val="24"/>
          <w:lang w:val="en-US"/>
        </w:rPr>
        <w:t xml:space="preserve">Phospholipase </w:t>
      </w:r>
      <w:r w:rsidRPr="007966B6">
        <w:rPr>
          <w:rFonts w:ascii="Book Antiqua" w:hAnsi="Book Antiqua"/>
          <w:sz w:val="24"/>
          <w:szCs w:val="24"/>
          <w:lang w:val="en-US"/>
        </w:rPr>
        <w:t>C gamma; PKC</w:t>
      </w:r>
      <w:r w:rsidR="00CA5EAB">
        <w:rPr>
          <w:rFonts w:ascii="Book Antiqua" w:hAnsi="Book Antiqua" w:hint="eastAsia"/>
          <w:sz w:val="24"/>
          <w:szCs w:val="24"/>
          <w:lang w:val="en-US" w:eastAsia="zh-CN"/>
        </w:rPr>
        <w:t>:</w:t>
      </w:r>
      <w:r w:rsidRPr="007966B6">
        <w:rPr>
          <w:rFonts w:ascii="Book Antiqua" w:hAnsi="Book Antiqua"/>
          <w:sz w:val="24"/>
          <w:szCs w:val="24"/>
          <w:lang w:val="en-US"/>
        </w:rPr>
        <w:t xml:space="preserve"> </w:t>
      </w:r>
      <w:r w:rsidR="00CA5EAB" w:rsidRPr="007966B6">
        <w:rPr>
          <w:rFonts w:ascii="Book Antiqua" w:hAnsi="Book Antiqua"/>
          <w:sz w:val="24"/>
          <w:szCs w:val="24"/>
          <w:lang w:val="en-US"/>
        </w:rPr>
        <w:t xml:space="preserve">Protein </w:t>
      </w:r>
      <w:r w:rsidRPr="007966B6">
        <w:rPr>
          <w:rFonts w:ascii="Book Antiqua" w:hAnsi="Book Antiqua"/>
          <w:sz w:val="24"/>
          <w:szCs w:val="24"/>
          <w:lang w:val="en-US"/>
        </w:rPr>
        <w:t>kinase C; MAPK</w:t>
      </w:r>
      <w:r w:rsidR="00CA5EAB">
        <w:rPr>
          <w:rFonts w:ascii="Book Antiqua" w:hAnsi="Book Antiqua" w:hint="eastAsia"/>
          <w:sz w:val="24"/>
          <w:szCs w:val="24"/>
          <w:lang w:val="en-US" w:eastAsia="zh-CN"/>
        </w:rPr>
        <w:t>:</w:t>
      </w:r>
      <w:r w:rsidRPr="007966B6">
        <w:rPr>
          <w:rFonts w:ascii="Book Antiqua" w:hAnsi="Book Antiqua"/>
          <w:sz w:val="24"/>
          <w:szCs w:val="24"/>
          <w:lang w:val="en-US"/>
        </w:rPr>
        <w:t xml:space="preserve"> </w:t>
      </w:r>
      <w:r w:rsidR="00CA5EAB" w:rsidRPr="007966B6">
        <w:rPr>
          <w:rFonts w:ascii="Book Antiqua" w:hAnsi="Book Antiqua"/>
          <w:sz w:val="24"/>
          <w:szCs w:val="24"/>
          <w:lang w:val="en-US"/>
        </w:rPr>
        <w:t>Mitogen</w:t>
      </w:r>
      <w:r w:rsidRPr="007966B6">
        <w:rPr>
          <w:rFonts w:ascii="Book Antiqua" w:hAnsi="Book Antiqua"/>
          <w:sz w:val="24"/>
          <w:szCs w:val="24"/>
          <w:lang w:val="en-US"/>
        </w:rPr>
        <w:t xml:space="preserve">-activated protein kinases; </w:t>
      </w:r>
      <w:proofErr w:type="spellStart"/>
      <w:r w:rsidRPr="007966B6">
        <w:rPr>
          <w:rFonts w:ascii="Book Antiqua" w:hAnsi="Book Antiqua"/>
          <w:sz w:val="24"/>
          <w:szCs w:val="24"/>
          <w:lang w:val="en-US"/>
        </w:rPr>
        <w:t>Erk</w:t>
      </w:r>
      <w:proofErr w:type="spellEnd"/>
      <w:r w:rsidR="00CA5EAB">
        <w:rPr>
          <w:rFonts w:ascii="Book Antiqua" w:hAnsi="Book Antiqua" w:hint="eastAsia"/>
          <w:sz w:val="24"/>
          <w:szCs w:val="24"/>
          <w:lang w:val="en-US" w:eastAsia="zh-CN"/>
        </w:rPr>
        <w:t>:</w:t>
      </w:r>
      <w:r w:rsidRPr="007966B6">
        <w:rPr>
          <w:rFonts w:ascii="Book Antiqua" w:hAnsi="Book Antiqua"/>
          <w:sz w:val="24"/>
          <w:szCs w:val="24"/>
          <w:lang w:val="en-US"/>
        </w:rPr>
        <w:t xml:space="preserve"> </w:t>
      </w:r>
      <w:r w:rsidR="00CA5EAB" w:rsidRPr="007966B6">
        <w:rPr>
          <w:rFonts w:ascii="Book Antiqua" w:hAnsi="Book Antiqua"/>
          <w:sz w:val="24"/>
          <w:szCs w:val="24"/>
          <w:lang w:val="en-US"/>
        </w:rPr>
        <w:t xml:space="preserve">Extracellular </w:t>
      </w:r>
      <w:r w:rsidRPr="007966B6">
        <w:rPr>
          <w:rFonts w:ascii="Book Antiqua" w:hAnsi="Book Antiqua"/>
          <w:sz w:val="24"/>
          <w:szCs w:val="24"/>
          <w:lang w:val="en-US"/>
        </w:rPr>
        <w:t>signal-regulated kinase</w:t>
      </w:r>
      <w:r w:rsidR="00CA5EAB">
        <w:rPr>
          <w:rFonts w:ascii="Book Antiqua" w:hAnsi="Book Antiqua" w:hint="eastAsia"/>
          <w:sz w:val="24"/>
          <w:szCs w:val="24"/>
          <w:lang w:val="en-US" w:eastAsia="zh-CN"/>
        </w:rPr>
        <w:t>.</w:t>
      </w:r>
    </w:p>
    <w:p w14:paraId="17E652DC" w14:textId="77777777" w:rsidR="00FA0680" w:rsidRPr="007966B6" w:rsidRDefault="00FA0680" w:rsidP="005831C8">
      <w:pPr>
        <w:spacing w:after="0" w:line="360" w:lineRule="auto"/>
        <w:jc w:val="both"/>
        <w:rPr>
          <w:rFonts w:ascii="Book Antiqua" w:hAnsi="Book Antiqua"/>
          <w:noProof/>
          <w:sz w:val="24"/>
          <w:szCs w:val="24"/>
          <w:lang w:val="en-US"/>
        </w:rPr>
      </w:pPr>
      <w:r w:rsidRPr="007966B6">
        <w:rPr>
          <w:rFonts w:ascii="Book Antiqua" w:hAnsi="Book Antiqua"/>
          <w:noProof/>
          <w:sz w:val="24"/>
          <w:szCs w:val="24"/>
          <w:lang w:val="en-US" w:eastAsia="zh-CN"/>
        </w:rPr>
        <w:drawing>
          <wp:inline distT="0" distB="0" distL="0" distR="0" wp14:anchorId="16957E75" wp14:editId="002104AE">
            <wp:extent cx="5984221" cy="27857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707" t="28983" r="17074" b="29458"/>
                    <a:stretch/>
                  </pic:blipFill>
                  <pic:spPr bwMode="auto">
                    <a:xfrm>
                      <a:off x="0" y="0"/>
                      <a:ext cx="6055469" cy="2818912"/>
                    </a:xfrm>
                    <a:prstGeom prst="rect">
                      <a:avLst/>
                    </a:prstGeom>
                    <a:ln>
                      <a:noFill/>
                    </a:ln>
                    <a:extLst>
                      <a:ext uri="{53640926-AAD7-44D8-BBD7-CCE9431645EC}">
                        <a14:shadowObscured xmlns:a14="http://schemas.microsoft.com/office/drawing/2010/main"/>
                      </a:ext>
                    </a:extLst>
                  </pic:spPr>
                </pic:pic>
              </a:graphicData>
            </a:graphic>
          </wp:inline>
        </w:drawing>
      </w:r>
    </w:p>
    <w:p w14:paraId="7A0570E6" w14:textId="620A1F2E" w:rsidR="00FA0680" w:rsidRPr="007966B6" w:rsidRDefault="00FA0680" w:rsidP="005831C8">
      <w:pPr>
        <w:spacing w:after="0" w:line="360" w:lineRule="auto"/>
        <w:jc w:val="both"/>
        <w:rPr>
          <w:rFonts w:ascii="Book Antiqua" w:hAnsi="Book Antiqua"/>
          <w:sz w:val="24"/>
          <w:szCs w:val="24"/>
          <w:lang w:val="en-US" w:eastAsia="zh-CN"/>
        </w:rPr>
      </w:pPr>
      <w:bookmarkStart w:id="0" w:name="_GoBack"/>
      <w:r w:rsidRPr="00663832">
        <w:rPr>
          <w:rFonts w:ascii="Book Antiqua" w:hAnsi="Book Antiqua"/>
          <w:b/>
          <w:sz w:val="24"/>
          <w:szCs w:val="24"/>
          <w:lang w:val="en-US"/>
        </w:rPr>
        <w:t>Figure</w:t>
      </w:r>
      <w:bookmarkEnd w:id="0"/>
      <w:r w:rsidRPr="00663832">
        <w:rPr>
          <w:rFonts w:ascii="Book Antiqua" w:hAnsi="Book Antiqua"/>
          <w:b/>
          <w:sz w:val="24"/>
          <w:szCs w:val="24"/>
          <w:lang w:val="en-US"/>
        </w:rPr>
        <w:t xml:space="preserve"> 2 A proposed algorithm for the management of patients with metastatic colorectal cancer after disease progression following bevacizumab-based first-line therapy.</w:t>
      </w:r>
      <w:r w:rsidRPr="007966B6">
        <w:rPr>
          <w:rFonts w:ascii="Book Antiqua" w:hAnsi="Book Antiqua"/>
          <w:sz w:val="24"/>
          <w:szCs w:val="24"/>
          <w:lang w:val="en-US"/>
        </w:rPr>
        <w:t xml:space="preserve"> Rapid </w:t>
      </w:r>
      <w:proofErr w:type="spellStart"/>
      <w:r w:rsidRPr="007966B6">
        <w:rPr>
          <w:rFonts w:ascii="Book Antiqua" w:hAnsi="Book Antiqua"/>
          <w:sz w:val="24"/>
          <w:szCs w:val="24"/>
          <w:lang w:val="en-US"/>
        </w:rPr>
        <w:t>progressors</w:t>
      </w:r>
      <w:proofErr w:type="spellEnd"/>
      <w:r w:rsidRPr="007966B6">
        <w:rPr>
          <w:rFonts w:ascii="Book Antiqua" w:hAnsi="Book Antiqua"/>
          <w:sz w:val="24"/>
          <w:szCs w:val="24"/>
          <w:lang w:val="en-US"/>
        </w:rPr>
        <w:t xml:space="preserve">: Patients progressing within 3 </w:t>
      </w:r>
      <w:r w:rsidR="007462D1">
        <w:rPr>
          <w:rFonts w:ascii="Book Antiqua" w:hAnsi="Book Antiqua" w:hint="eastAsia"/>
          <w:noProof/>
          <w:sz w:val="24"/>
          <w:szCs w:val="24"/>
          <w:lang w:val="en-US" w:eastAsia="zh-CN"/>
        </w:rPr>
        <w:t>mo</w:t>
      </w:r>
      <w:r w:rsidRPr="007966B6">
        <w:rPr>
          <w:rFonts w:ascii="Book Antiqua" w:hAnsi="Book Antiqua"/>
          <w:sz w:val="24"/>
          <w:szCs w:val="24"/>
          <w:lang w:val="en-US"/>
        </w:rPr>
        <w:t xml:space="preserve"> after starting first-line chemotherapy</w:t>
      </w:r>
      <w:r w:rsidR="0053203B">
        <w:rPr>
          <w:rFonts w:ascii="Book Antiqua" w:hAnsi="Book Antiqua" w:hint="eastAsia"/>
          <w:sz w:val="24"/>
          <w:szCs w:val="24"/>
          <w:lang w:val="en-US" w:eastAsia="zh-CN"/>
        </w:rPr>
        <w:t>.</w:t>
      </w:r>
      <w:r w:rsidRPr="007966B6">
        <w:rPr>
          <w:rFonts w:ascii="Book Antiqua" w:hAnsi="Book Antiqua"/>
          <w:sz w:val="24"/>
          <w:szCs w:val="24"/>
          <w:lang w:val="en-US"/>
        </w:rPr>
        <w:t xml:space="preserve"> </w:t>
      </w:r>
      <w:r w:rsidRPr="0053203B">
        <w:rPr>
          <w:rFonts w:ascii="Book Antiqua" w:hAnsi="Book Antiqua"/>
          <w:sz w:val="24"/>
          <w:szCs w:val="24"/>
          <w:vertAlign w:val="superscript"/>
          <w:lang w:val="en-US"/>
        </w:rPr>
        <w:t>1</w:t>
      </w:r>
      <w:r w:rsidR="0053203B" w:rsidRPr="0053203B">
        <w:rPr>
          <w:rFonts w:ascii="Book Antiqua" w:hAnsi="Book Antiqua"/>
          <w:sz w:val="24"/>
          <w:szCs w:val="24"/>
          <w:lang w:val="en-US"/>
        </w:rPr>
        <w:t>I</w:t>
      </w:r>
      <w:r w:rsidRPr="007966B6">
        <w:rPr>
          <w:rFonts w:ascii="Book Antiqua" w:hAnsi="Book Antiqua"/>
          <w:sz w:val="24"/>
          <w:szCs w:val="24"/>
          <w:lang w:val="en-US"/>
        </w:rPr>
        <w:t>n patients who did not receive irinotecan-based first-line chemotherapy and only in combination with FOLFIRI. Pts</w:t>
      </w:r>
      <w:r w:rsidR="0053203B">
        <w:rPr>
          <w:rFonts w:ascii="Book Antiqua" w:hAnsi="Book Antiqua" w:hint="eastAsia"/>
          <w:sz w:val="24"/>
          <w:szCs w:val="24"/>
          <w:lang w:val="en-US" w:eastAsia="zh-CN"/>
        </w:rPr>
        <w:t>:</w:t>
      </w:r>
      <w:r w:rsidRPr="007966B6">
        <w:rPr>
          <w:rFonts w:ascii="Book Antiqua" w:hAnsi="Book Antiqua"/>
          <w:sz w:val="24"/>
          <w:szCs w:val="24"/>
          <w:lang w:val="en-US"/>
        </w:rPr>
        <w:t xml:space="preserve"> </w:t>
      </w:r>
      <w:r w:rsidR="0053203B" w:rsidRPr="007966B6">
        <w:rPr>
          <w:rFonts w:ascii="Book Antiqua" w:hAnsi="Book Antiqua"/>
          <w:sz w:val="24"/>
          <w:szCs w:val="24"/>
          <w:lang w:val="en-US"/>
        </w:rPr>
        <w:t>Patients</w:t>
      </w:r>
      <w:r w:rsidRPr="007966B6">
        <w:rPr>
          <w:rFonts w:ascii="Book Antiqua" w:hAnsi="Book Antiqua"/>
          <w:sz w:val="24"/>
          <w:szCs w:val="24"/>
          <w:lang w:val="en-US"/>
        </w:rPr>
        <w:t>; PD</w:t>
      </w:r>
      <w:r w:rsidR="0053203B">
        <w:rPr>
          <w:rFonts w:ascii="Book Antiqua" w:hAnsi="Book Antiqua" w:hint="eastAsia"/>
          <w:sz w:val="24"/>
          <w:szCs w:val="24"/>
          <w:lang w:val="en-US" w:eastAsia="zh-CN"/>
        </w:rPr>
        <w:t>:</w:t>
      </w:r>
      <w:r w:rsidRPr="007966B6">
        <w:rPr>
          <w:rFonts w:ascii="Book Antiqua" w:hAnsi="Book Antiqua"/>
          <w:sz w:val="24"/>
          <w:szCs w:val="24"/>
          <w:lang w:val="en-US"/>
        </w:rPr>
        <w:t xml:space="preserve"> </w:t>
      </w:r>
      <w:r w:rsidR="0053203B" w:rsidRPr="007966B6">
        <w:rPr>
          <w:rFonts w:ascii="Book Antiqua" w:hAnsi="Book Antiqua"/>
          <w:sz w:val="24"/>
          <w:szCs w:val="24"/>
          <w:lang w:val="en-US"/>
        </w:rPr>
        <w:t xml:space="preserve">Progressive </w:t>
      </w:r>
      <w:r w:rsidRPr="007966B6">
        <w:rPr>
          <w:rFonts w:ascii="Book Antiqua" w:hAnsi="Book Antiqua"/>
          <w:sz w:val="24"/>
          <w:szCs w:val="24"/>
          <w:lang w:val="en-US"/>
        </w:rPr>
        <w:lastRenderedPageBreak/>
        <w:t>disease; CT</w:t>
      </w:r>
      <w:r w:rsidR="0053203B">
        <w:rPr>
          <w:rFonts w:ascii="Book Antiqua" w:hAnsi="Book Antiqua" w:hint="eastAsia"/>
          <w:sz w:val="24"/>
          <w:szCs w:val="24"/>
          <w:lang w:val="en-US" w:eastAsia="zh-CN"/>
        </w:rPr>
        <w:t>:</w:t>
      </w:r>
      <w:r w:rsidRPr="007966B6">
        <w:rPr>
          <w:rFonts w:ascii="Book Antiqua" w:hAnsi="Book Antiqua"/>
          <w:sz w:val="24"/>
          <w:szCs w:val="24"/>
          <w:lang w:val="en-US"/>
        </w:rPr>
        <w:t xml:space="preserve"> </w:t>
      </w:r>
      <w:r w:rsidR="0053203B" w:rsidRPr="007966B6">
        <w:rPr>
          <w:rFonts w:ascii="Book Antiqua" w:hAnsi="Book Antiqua"/>
          <w:sz w:val="24"/>
          <w:szCs w:val="24"/>
          <w:lang w:val="en-US"/>
        </w:rPr>
        <w:t>Chemotherapy</w:t>
      </w:r>
      <w:r w:rsidRPr="007966B6">
        <w:rPr>
          <w:rFonts w:ascii="Book Antiqua" w:hAnsi="Book Antiqua"/>
          <w:sz w:val="24"/>
          <w:szCs w:val="24"/>
          <w:lang w:val="en-US"/>
        </w:rPr>
        <w:t>; BEV</w:t>
      </w:r>
      <w:r w:rsidR="0053203B">
        <w:rPr>
          <w:rFonts w:ascii="Book Antiqua" w:hAnsi="Book Antiqua" w:hint="eastAsia"/>
          <w:sz w:val="24"/>
          <w:szCs w:val="24"/>
          <w:lang w:val="en-US" w:eastAsia="zh-CN"/>
        </w:rPr>
        <w:t>:</w:t>
      </w:r>
      <w:r w:rsidRPr="007966B6">
        <w:rPr>
          <w:rFonts w:ascii="Book Antiqua" w:hAnsi="Book Antiqua"/>
          <w:sz w:val="24"/>
          <w:szCs w:val="24"/>
          <w:lang w:val="en-US"/>
        </w:rPr>
        <w:t xml:space="preserve"> </w:t>
      </w:r>
      <w:r w:rsidR="0053203B" w:rsidRPr="007966B6">
        <w:rPr>
          <w:rFonts w:ascii="Book Antiqua" w:hAnsi="Book Antiqua"/>
          <w:sz w:val="24"/>
          <w:szCs w:val="24"/>
          <w:lang w:val="en-US"/>
        </w:rPr>
        <w:t>Bevacizumab</w:t>
      </w:r>
      <w:r w:rsidRPr="007966B6">
        <w:rPr>
          <w:rFonts w:ascii="Book Antiqua" w:hAnsi="Book Antiqua"/>
          <w:sz w:val="24"/>
          <w:szCs w:val="24"/>
          <w:lang w:val="en-US"/>
        </w:rPr>
        <w:t xml:space="preserve">; </w:t>
      </w:r>
      <w:proofErr w:type="spellStart"/>
      <w:r w:rsidRPr="007966B6">
        <w:rPr>
          <w:rFonts w:ascii="Book Antiqua" w:hAnsi="Book Antiqua"/>
          <w:sz w:val="24"/>
          <w:szCs w:val="24"/>
          <w:lang w:val="en-US"/>
        </w:rPr>
        <w:t>wt</w:t>
      </w:r>
      <w:proofErr w:type="spellEnd"/>
      <w:r w:rsidR="0053203B">
        <w:rPr>
          <w:rFonts w:ascii="Book Antiqua" w:hAnsi="Book Antiqua" w:hint="eastAsia"/>
          <w:sz w:val="24"/>
          <w:szCs w:val="24"/>
          <w:lang w:val="en-US" w:eastAsia="zh-CN"/>
        </w:rPr>
        <w:t>:</w:t>
      </w:r>
      <w:r w:rsidRPr="007966B6">
        <w:rPr>
          <w:rFonts w:ascii="Book Antiqua" w:hAnsi="Book Antiqua"/>
          <w:sz w:val="24"/>
          <w:szCs w:val="24"/>
          <w:lang w:val="en-US"/>
        </w:rPr>
        <w:t xml:space="preserve"> </w:t>
      </w:r>
      <w:r w:rsidR="0053203B" w:rsidRPr="007966B6">
        <w:rPr>
          <w:rFonts w:ascii="Book Antiqua" w:hAnsi="Book Antiqua"/>
          <w:sz w:val="24"/>
          <w:szCs w:val="24"/>
          <w:lang w:val="en-US"/>
        </w:rPr>
        <w:t>Wild</w:t>
      </w:r>
      <w:r w:rsidRPr="007966B6">
        <w:rPr>
          <w:rFonts w:ascii="Book Antiqua" w:hAnsi="Book Antiqua"/>
          <w:sz w:val="24"/>
          <w:szCs w:val="24"/>
          <w:lang w:val="en-US"/>
        </w:rPr>
        <w:t xml:space="preserve">-type; </w:t>
      </w:r>
      <w:proofErr w:type="spellStart"/>
      <w:r w:rsidRPr="007966B6">
        <w:rPr>
          <w:rFonts w:ascii="Book Antiqua" w:hAnsi="Book Antiqua"/>
          <w:sz w:val="24"/>
          <w:szCs w:val="24"/>
          <w:lang w:val="en-US"/>
        </w:rPr>
        <w:t>mt</w:t>
      </w:r>
      <w:proofErr w:type="spellEnd"/>
      <w:r w:rsidR="0053203B">
        <w:rPr>
          <w:rFonts w:ascii="Book Antiqua" w:hAnsi="Book Antiqua" w:hint="eastAsia"/>
          <w:sz w:val="24"/>
          <w:szCs w:val="24"/>
          <w:lang w:val="en-US" w:eastAsia="zh-CN"/>
        </w:rPr>
        <w:t>:</w:t>
      </w:r>
      <w:r w:rsidRPr="007966B6">
        <w:rPr>
          <w:rFonts w:ascii="Book Antiqua" w:hAnsi="Book Antiqua"/>
          <w:sz w:val="24"/>
          <w:szCs w:val="24"/>
          <w:lang w:val="en-US"/>
        </w:rPr>
        <w:t xml:space="preserve"> </w:t>
      </w:r>
      <w:r w:rsidR="0053203B" w:rsidRPr="007966B6">
        <w:rPr>
          <w:rFonts w:ascii="Book Antiqua" w:hAnsi="Book Antiqua"/>
          <w:sz w:val="24"/>
          <w:szCs w:val="24"/>
          <w:lang w:val="en-US"/>
        </w:rPr>
        <w:t>Mutant</w:t>
      </w:r>
      <w:r w:rsidRPr="007966B6">
        <w:rPr>
          <w:rFonts w:ascii="Book Antiqua" w:hAnsi="Book Antiqua"/>
          <w:sz w:val="24"/>
          <w:szCs w:val="24"/>
          <w:lang w:val="en-US"/>
        </w:rPr>
        <w:t>; EGFR</w:t>
      </w:r>
      <w:r w:rsidR="0053203B">
        <w:rPr>
          <w:rFonts w:ascii="Book Antiqua" w:hAnsi="Book Antiqua" w:hint="eastAsia"/>
          <w:sz w:val="24"/>
          <w:szCs w:val="24"/>
          <w:lang w:val="en-US" w:eastAsia="zh-CN"/>
        </w:rPr>
        <w:t>:</w:t>
      </w:r>
      <w:r w:rsidRPr="007966B6">
        <w:rPr>
          <w:rFonts w:ascii="Book Antiqua" w:hAnsi="Book Antiqua"/>
          <w:sz w:val="24"/>
          <w:szCs w:val="24"/>
          <w:lang w:val="en-US"/>
        </w:rPr>
        <w:t xml:space="preserve"> </w:t>
      </w:r>
      <w:r w:rsidR="0053203B" w:rsidRPr="007966B6">
        <w:rPr>
          <w:rFonts w:ascii="Book Antiqua" w:hAnsi="Book Antiqua"/>
          <w:sz w:val="24"/>
          <w:szCs w:val="24"/>
          <w:lang w:val="en-US"/>
        </w:rPr>
        <w:t xml:space="preserve">Epidermal </w:t>
      </w:r>
      <w:r w:rsidRPr="007966B6">
        <w:rPr>
          <w:rFonts w:ascii="Book Antiqua" w:hAnsi="Book Antiqua"/>
          <w:sz w:val="24"/>
          <w:szCs w:val="24"/>
          <w:lang w:val="en-US"/>
        </w:rPr>
        <w:t>growth factor receptor</w:t>
      </w:r>
      <w:r w:rsidR="0053203B">
        <w:rPr>
          <w:rFonts w:ascii="Book Antiqua" w:hAnsi="Book Antiqua" w:hint="eastAsia"/>
          <w:sz w:val="24"/>
          <w:szCs w:val="24"/>
          <w:lang w:val="en-US" w:eastAsia="zh-CN"/>
        </w:rPr>
        <w:t>.</w:t>
      </w:r>
    </w:p>
    <w:p w14:paraId="252F77E4" w14:textId="77777777" w:rsidR="00A8159C" w:rsidRPr="007966B6" w:rsidRDefault="00A8159C" w:rsidP="005831C8">
      <w:pPr>
        <w:spacing w:after="0" w:line="360" w:lineRule="auto"/>
        <w:jc w:val="both"/>
        <w:rPr>
          <w:rFonts w:ascii="Book Antiqua" w:eastAsia="Calibri" w:hAnsi="Book Antiqua" w:cs="Times New Roman"/>
          <w:b/>
          <w:sz w:val="24"/>
          <w:szCs w:val="24"/>
          <w:lang w:val="en-US" w:eastAsia="zh-CN"/>
        </w:rPr>
        <w:sectPr w:rsidR="00A8159C" w:rsidRPr="007966B6" w:rsidSect="001A51C5">
          <w:pgSz w:w="11906" w:h="16838"/>
          <w:pgMar w:top="1417" w:right="1417" w:bottom="1417" w:left="1417" w:header="708" w:footer="708" w:gutter="0"/>
          <w:cols w:space="708"/>
          <w:docGrid w:linePitch="360"/>
        </w:sectPr>
      </w:pPr>
    </w:p>
    <w:p w14:paraId="40050C69" w14:textId="4088400B" w:rsidR="00A8159C" w:rsidRPr="003E2988" w:rsidRDefault="00A8159C" w:rsidP="005831C8">
      <w:pPr>
        <w:spacing w:after="0" w:line="360" w:lineRule="auto"/>
        <w:jc w:val="both"/>
        <w:rPr>
          <w:rFonts w:ascii="Book Antiqua" w:eastAsia="Calibri" w:hAnsi="Book Antiqua" w:cs="Times New Roman"/>
          <w:b/>
          <w:sz w:val="24"/>
          <w:szCs w:val="24"/>
          <w:lang w:val="en-US"/>
        </w:rPr>
      </w:pPr>
      <w:r w:rsidRPr="003E2988">
        <w:rPr>
          <w:rFonts w:ascii="Book Antiqua" w:eastAsia="Calibri" w:hAnsi="Book Antiqua" w:cs="Times New Roman"/>
          <w:b/>
          <w:sz w:val="24"/>
          <w:szCs w:val="24"/>
          <w:lang w:val="en-US"/>
        </w:rPr>
        <w:lastRenderedPageBreak/>
        <w:t xml:space="preserve">Table 1 </w:t>
      </w:r>
      <w:r w:rsidR="003E2988" w:rsidRPr="003E2988">
        <w:rPr>
          <w:rFonts w:ascii="Book Antiqua" w:eastAsiaTheme="minorHAnsi" w:hAnsi="Book Antiqua"/>
          <w:b/>
          <w:noProof/>
          <w:sz w:val="24"/>
          <w:szCs w:val="24"/>
          <w:lang w:val="en-US"/>
        </w:rPr>
        <w:t>Food and Drug Administration</w:t>
      </w:r>
      <w:r w:rsidRPr="003E2988">
        <w:rPr>
          <w:rFonts w:ascii="Book Antiqua" w:eastAsia="Calibri" w:hAnsi="Book Antiqua" w:cs="Times New Roman"/>
          <w:b/>
          <w:noProof/>
          <w:sz w:val="24"/>
          <w:szCs w:val="24"/>
          <w:lang w:val="en-US"/>
        </w:rPr>
        <w:t>-approved</w:t>
      </w:r>
      <w:r w:rsidRPr="003E2988">
        <w:rPr>
          <w:rFonts w:ascii="Book Antiqua" w:eastAsia="Calibri" w:hAnsi="Book Antiqua" w:cs="Times New Roman"/>
          <w:b/>
          <w:sz w:val="24"/>
          <w:szCs w:val="24"/>
          <w:lang w:val="en-US"/>
        </w:rPr>
        <w:t xml:space="preserve"> antiangiogenic drugs for the treatment of metastatic colorectal cancer </w:t>
      </w:r>
    </w:p>
    <w:tbl>
      <w:tblPr>
        <w:tblStyle w:val="TabloKlavuzu11"/>
        <w:tblW w:w="11902" w:type="dxa"/>
        <w:tblLook w:val="04A0" w:firstRow="1" w:lastRow="0" w:firstColumn="1" w:lastColumn="0" w:noHBand="0" w:noVBand="1"/>
      </w:tblPr>
      <w:tblGrid>
        <w:gridCol w:w="1734"/>
        <w:gridCol w:w="1484"/>
        <w:gridCol w:w="1898"/>
        <w:gridCol w:w="1975"/>
        <w:gridCol w:w="2395"/>
        <w:gridCol w:w="2416"/>
      </w:tblGrid>
      <w:tr w:rsidR="007966B6" w:rsidRPr="007966B6" w14:paraId="11992A03" w14:textId="77777777" w:rsidTr="001434F8">
        <w:trPr>
          <w:trHeight w:val="498"/>
        </w:trPr>
        <w:tc>
          <w:tcPr>
            <w:tcW w:w="1352" w:type="dxa"/>
          </w:tcPr>
          <w:p w14:paraId="1CB9F210" w14:textId="77777777" w:rsidR="00A8159C" w:rsidRPr="007966B6" w:rsidRDefault="00A8159C" w:rsidP="005831C8">
            <w:pPr>
              <w:spacing w:line="360" w:lineRule="auto"/>
              <w:jc w:val="both"/>
              <w:rPr>
                <w:rFonts w:ascii="Book Antiqua" w:eastAsia="Calibri" w:hAnsi="Book Antiqua" w:cs="Times New Roman"/>
                <w:b/>
                <w:sz w:val="24"/>
                <w:szCs w:val="24"/>
                <w:lang w:val="en-US"/>
              </w:rPr>
            </w:pPr>
            <w:r w:rsidRPr="007966B6">
              <w:rPr>
                <w:rFonts w:ascii="Book Antiqua" w:eastAsia="Calibri" w:hAnsi="Book Antiqua" w:cs="Times New Roman"/>
                <w:b/>
                <w:sz w:val="24"/>
                <w:szCs w:val="24"/>
                <w:lang w:val="en-US"/>
              </w:rPr>
              <w:t>Agent</w:t>
            </w:r>
          </w:p>
        </w:tc>
        <w:tc>
          <w:tcPr>
            <w:tcW w:w="1337" w:type="dxa"/>
          </w:tcPr>
          <w:p w14:paraId="24880217" w14:textId="77777777" w:rsidR="00A8159C" w:rsidRPr="007966B6" w:rsidRDefault="00A8159C" w:rsidP="005831C8">
            <w:pPr>
              <w:spacing w:line="360" w:lineRule="auto"/>
              <w:jc w:val="both"/>
              <w:rPr>
                <w:rFonts w:ascii="Book Antiqua" w:eastAsia="Calibri" w:hAnsi="Book Antiqua" w:cs="Times New Roman"/>
                <w:b/>
                <w:sz w:val="24"/>
                <w:szCs w:val="24"/>
                <w:lang w:val="en-US"/>
              </w:rPr>
            </w:pPr>
            <w:r w:rsidRPr="007966B6">
              <w:rPr>
                <w:rFonts w:ascii="Book Antiqua" w:eastAsia="Calibri" w:hAnsi="Book Antiqua" w:cs="Times New Roman"/>
                <w:b/>
                <w:sz w:val="24"/>
                <w:szCs w:val="24"/>
                <w:lang w:val="en-US"/>
              </w:rPr>
              <w:t>Class</w:t>
            </w:r>
          </w:p>
        </w:tc>
        <w:tc>
          <w:tcPr>
            <w:tcW w:w="1984" w:type="dxa"/>
          </w:tcPr>
          <w:p w14:paraId="10C501A1" w14:textId="77777777" w:rsidR="00A8159C" w:rsidRPr="007966B6" w:rsidRDefault="00A8159C" w:rsidP="005831C8">
            <w:pPr>
              <w:spacing w:line="360" w:lineRule="auto"/>
              <w:jc w:val="both"/>
              <w:rPr>
                <w:rFonts w:ascii="Book Antiqua" w:eastAsia="Calibri" w:hAnsi="Book Antiqua" w:cs="Times New Roman"/>
                <w:b/>
                <w:sz w:val="24"/>
                <w:szCs w:val="24"/>
                <w:lang w:val="en-US"/>
              </w:rPr>
            </w:pPr>
            <w:r w:rsidRPr="007966B6">
              <w:rPr>
                <w:rFonts w:ascii="Book Antiqua" w:eastAsia="Calibri" w:hAnsi="Book Antiqua" w:cs="Times New Roman"/>
                <w:b/>
                <w:sz w:val="24"/>
                <w:szCs w:val="24"/>
                <w:lang w:val="en-US"/>
              </w:rPr>
              <w:t>Target</w:t>
            </w:r>
          </w:p>
        </w:tc>
        <w:tc>
          <w:tcPr>
            <w:tcW w:w="2126" w:type="dxa"/>
          </w:tcPr>
          <w:p w14:paraId="70DC25B9" w14:textId="77777777" w:rsidR="00A8159C" w:rsidRPr="007966B6" w:rsidRDefault="00A8159C" w:rsidP="005831C8">
            <w:pPr>
              <w:spacing w:line="360" w:lineRule="auto"/>
              <w:jc w:val="both"/>
              <w:rPr>
                <w:rFonts w:ascii="Book Antiqua" w:eastAsia="Calibri" w:hAnsi="Book Antiqua" w:cs="Times New Roman"/>
                <w:b/>
                <w:sz w:val="24"/>
                <w:szCs w:val="24"/>
                <w:lang w:val="en-US"/>
              </w:rPr>
            </w:pPr>
            <w:r w:rsidRPr="007966B6">
              <w:rPr>
                <w:rFonts w:ascii="Book Antiqua" w:eastAsia="Calibri" w:hAnsi="Book Antiqua" w:cs="Times New Roman"/>
                <w:b/>
                <w:sz w:val="24"/>
                <w:szCs w:val="24"/>
                <w:lang w:val="en-US"/>
              </w:rPr>
              <w:t>Indication</w:t>
            </w:r>
          </w:p>
        </w:tc>
        <w:tc>
          <w:tcPr>
            <w:tcW w:w="2552" w:type="dxa"/>
          </w:tcPr>
          <w:p w14:paraId="48A018CD" w14:textId="77777777" w:rsidR="00A8159C" w:rsidRPr="007966B6" w:rsidRDefault="00A8159C" w:rsidP="005831C8">
            <w:pPr>
              <w:spacing w:line="360" w:lineRule="auto"/>
              <w:jc w:val="both"/>
              <w:rPr>
                <w:rFonts w:ascii="Book Antiqua" w:eastAsia="Calibri" w:hAnsi="Book Antiqua" w:cs="Times New Roman"/>
                <w:b/>
                <w:sz w:val="24"/>
                <w:szCs w:val="24"/>
                <w:lang w:val="en-US"/>
              </w:rPr>
            </w:pPr>
            <w:r w:rsidRPr="007966B6">
              <w:rPr>
                <w:rFonts w:ascii="Book Antiqua" w:eastAsia="Calibri" w:hAnsi="Book Antiqua" w:cs="Times New Roman"/>
                <w:b/>
                <w:sz w:val="24"/>
                <w:szCs w:val="24"/>
                <w:lang w:val="en-US"/>
              </w:rPr>
              <w:t xml:space="preserve">Approved for </w:t>
            </w:r>
          </w:p>
        </w:tc>
        <w:tc>
          <w:tcPr>
            <w:tcW w:w="2551" w:type="dxa"/>
          </w:tcPr>
          <w:p w14:paraId="40E44E35" w14:textId="77777777" w:rsidR="00A8159C" w:rsidRPr="007966B6" w:rsidRDefault="00A8159C" w:rsidP="005831C8">
            <w:pPr>
              <w:spacing w:line="360" w:lineRule="auto"/>
              <w:jc w:val="both"/>
              <w:rPr>
                <w:rFonts w:ascii="Book Antiqua" w:eastAsia="Calibri" w:hAnsi="Book Antiqua" w:cs="Times New Roman"/>
                <w:b/>
                <w:sz w:val="24"/>
                <w:szCs w:val="24"/>
                <w:lang w:val="en-US"/>
              </w:rPr>
            </w:pPr>
            <w:r w:rsidRPr="007966B6">
              <w:rPr>
                <w:rFonts w:ascii="Book Antiqua" w:eastAsia="Calibri" w:hAnsi="Book Antiqua" w:cs="Times New Roman"/>
                <w:b/>
                <w:sz w:val="24"/>
                <w:szCs w:val="24"/>
                <w:lang w:val="en-US"/>
              </w:rPr>
              <w:t>Recommended Dose</w:t>
            </w:r>
          </w:p>
        </w:tc>
      </w:tr>
      <w:tr w:rsidR="007966B6" w:rsidRPr="007966B6" w14:paraId="54FFAE39" w14:textId="77777777" w:rsidTr="001434F8">
        <w:trPr>
          <w:trHeight w:val="1023"/>
        </w:trPr>
        <w:tc>
          <w:tcPr>
            <w:tcW w:w="1352" w:type="dxa"/>
          </w:tcPr>
          <w:p w14:paraId="3BED7800"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Bevacizumab</w:t>
            </w:r>
          </w:p>
        </w:tc>
        <w:tc>
          <w:tcPr>
            <w:tcW w:w="1337" w:type="dxa"/>
          </w:tcPr>
          <w:p w14:paraId="202179B5"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Humanized M</w:t>
            </w:r>
            <w:r w:rsidRPr="007966B6">
              <w:rPr>
                <w:rFonts w:ascii="Book Antiqua" w:eastAsia="Calibri" w:hAnsi="Book Antiqua" w:cs="Times New Roman"/>
                <w:noProof/>
                <w:sz w:val="24"/>
                <w:szCs w:val="24"/>
                <w:lang w:val="en-US"/>
              </w:rPr>
              <w:t>oab</w:t>
            </w:r>
          </w:p>
        </w:tc>
        <w:tc>
          <w:tcPr>
            <w:tcW w:w="1984" w:type="dxa"/>
          </w:tcPr>
          <w:p w14:paraId="3F46E933"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VEGF-A</w:t>
            </w:r>
          </w:p>
        </w:tc>
        <w:tc>
          <w:tcPr>
            <w:tcW w:w="2126" w:type="dxa"/>
          </w:tcPr>
          <w:p w14:paraId="1E6D1834"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 xml:space="preserve">First- and second-line </w:t>
            </w:r>
          </w:p>
        </w:tc>
        <w:tc>
          <w:tcPr>
            <w:tcW w:w="2552" w:type="dxa"/>
          </w:tcPr>
          <w:p w14:paraId="5A465217"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 xml:space="preserve">Use in combination with oxaliplatin and </w:t>
            </w:r>
            <w:r w:rsidRPr="007966B6">
              <w:rPr>
                <w:rFonts w:ascii="Book Antiqua" w:eastAsia="Calibri" w:hAnsi="Book Antiqua" w:cs="Times New Roman"/>
                <w:noProof/>
                <w:sz w:val="24"/>
                <w:szCs w:val="24"/>
                <w:lang w:val="en-US"/>
              </w:rPr>
              <w:t>irinotecan-based</w:t>
            </w:r>
            <w:r w:rsidRPr="007966B6">
              <w:rPr>
                <w:rFonts w:ascii="Book Antiqua" w:eastAsia="Calibri" w:hAnsi="Book Antiqua" w:cs="Times New Roman"/>
                <w:sz w:val="24"/>
                <w:szCs w:val="24"/>
                <w:lang w:val="en-US"/>
              </w:rPr>
              <w:t xml:space="preserve"> chemotherapy</w:t>
            </w:r>
          </w:p>
        </w:tc>
        <w:tc>
          <w:tcPr>
            <w:tcW w:w="2551" w:type="dxa"/>
          </w:tcPr>
          <w:p w14:paraId="56C815F8" w14:textId="0D3A8FE7" w:rsidR="00A8159C" w:rsidRPr="005978F6" w:rsidRDefault="00A8159C" w:rsidP="005831C8">
            <w:pPr>
              <w:spacing w:line="360" w:lineRule="auto"/>
              <w:jc w:val="both"/>
              <w:rPr>
                <w:rFonts w:ascii="Book Antiqua" w:hAnsi="Book Antiqua" w:cs="Times New Roman"/>
                <w:sz w:val="24"/>
                <w:szCs w:val="24"/>
                <w:lang w:val="en-US" w:eastAsia="zh-CN"/>
              </w:rPr>
            </w:pPr>
            <w:r w:rsidRPr="007966B6">
              <w:rPr>
                <w:rFonts w:ascii="Book Antiqua" w:eastAsia="Calibri" w:hAnsi="Book Antiqua" w:cs="Times New Roman"/>
                <w:sz w:val="24"/>
                <w:szCs w:val="24"/>
                <w:lang w:val="en-US"/>
              </w:rPr>
              <w:t xml:space="preserve">5 mg/kg or 10 mg/kg </w:t>
            </w:r>
            <w:proofErr w:type="spellStart"/>
            <w:r w:rsidRPr="005978F6">
              <w:rPr>
                <w:rFonts w:ascii="Book Antiqua" w:eastAsia="Calibri" w:hAnsi="Book Antiqua" w:cs="Times New Roman"/>
                <w:i/>
                <w:sz w:val="24"/>
                <w:szCs w:val="24"/>
                <w:lang w:val="en-US"/>
              </w:rPr>
              <w:t>i.v.</w:t>
            </w:r>
            <w:proofErr w:type="spellEnd"/>
            <w:r w:rsidR="005978F6">
              <w:rPr>
                <w:rFonts w:ascii="Book Antiqua" w:eastAsia="Calibri" w:hAnsi="Book Antiqua" w:cs="Times New Roman"/>
                <w:sz w:val="24"/>
                <w:szCs w:val="24"/>
                <w:lang w:val="en-US"/>
              </w:rPr>
              <w:t xml:space="preserve"> every 2 </w:t>
            </w:r>
            <w:proofErr w:type="spellStart"/>
            <w:r w:rsidR="005978F6">
              <w:rPr>
                <w:rFonts w:ascii="Book Antiqua" w:eastAsia="Calibri" w:hAnsi="Book Antiqua" w:cs="Times New Roman"/>
                <w:sz w:val="24"/>
                <w:szCs w:val="24"/>
                <w:lang w:val="en-US"/>
              </w:rPr>
              <w:t>wk</w:t>
            </w:r>
            <w:proofErr w:type="spellEnd"/>
          </w:p>
        </w:tc>
      </w:tr>
      <w:tr w:rsidR="007966B6" w:rsidRPr="007966B6" w14:paraId="4919C9F0" w14:textId="77777777" w:rsidTr="001434F8">
        <w:trPr>
          <w:trHeight w:val="1029"/>
        </w:trPr>
        <w:tc>
          <w:tcPr>
            <w:tcW w:w="1352" w:type="dxa"/>
          </w:tcPr>
          <w:p w14:paraId="6FCBA675"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Aflibercept</w:t>
            </w:r>
          </w:p>
        </w:tc>
        <w:tc>
          <w:tcPr>
            <w:tcW w:w="1337" w:type="dxa"/>
          </w:tcPr>
          <w:p w14:paraId="72BDC9F7"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Fully human Moab</w:t>
            </w:r>
          </w:p>
        </w:tc>
        <w:tc>
          <w:tcPr>
            <w:tcW w:w="1984" w:type="dxa"/>
          </w:tcPr>
          <w:p w14:paraId="75FA057C"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VEGF-A, -B, and PIGF</w:t>
            </w:r>
          </w:p>
        </w:tc>
        <w:tc>
          <w:tcPr>
            <w:tcW w:w="2126" w:type="dxa"/>
          </w:tcPr>
          <w:p w14:paraId="13B15086"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 xml:space="preserve">Second-line </w:t>
            </w:r>
          </w:p>
        </w:tc>
        <w:tc>
          <w:tcPr>
            <w:tcW w:w="2552" w:type="dxa"/>
          </w:tcPr>
          <w:p w14:paraId="146ADC81"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 xml:space="preserve">Use in </w:t>
            </w:r>
            <w:r w:rsidRPr="007966B6">
              <w:rPr>
                <w:rFonts w:ascii="Book Antiqua" w:eastAsia="Calibri" w:hAnsi="Book Antiqua" w:cs="Times New Roman"/>
                <w:noProof/>
                <w:sz w:val="24"/>
                <w:szCs w:val="24"/>
                <w:lang w:val="en-US"/>
              </w:rPr>
              <w:t>combination</w:t>
            </w:r>
            <w:r w:rsidRPr="007966B6">
              <w:rPr>
                <w:rFonts w:ascii="Book Antiqua" w:eastAsia="Calibri" w:hAnsi="Book Antiqua" w:cs="Times New Roman"/>
                <w:sz w:val="24"/>
                <w:szCs w:val="24"/>
                <w:lang w:val="en-US"/>
              </w:rPr>
              <w:t xml:space="preserve"> with FOLFIRI</w:t>
            </w:r>
          </w:p>
        </w:tc>
        <w:tc>
          <w:tcPr>
            <w:tcW w:w="2551" w:type="dxa"/>
          </w:tcPr>
          <w:p w14:paraId="629A00B3" w14:textId="4FB227C9"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 xml:space="preserve">4 mg/kg </w:t>
            </w:r>
            <w:proofErr w:type="spellStart"/>
            <w:r w:rsidRPr="007966B6">
              <w:rPr>
                <w:rFonts w:ascii="Book Antiqua" w:eastAsia="Calibri" w:hAnsi="Book Antiqua" w:cs="Times New Roman"/>
                <w:sz w:val="24"/>
                <w:szCs w:val="24"/>
                <w:lang w:val="en-US"/>
              </w:rPr>
              <w:t>i.v.</w:t>
            </w:r>
            <w:proofErr w:type="spellEnd"/>
            <w:r w:rsidRPr="007966B6">
              <w:rPr>
                <w:rFonts w:ascii="Book Antiqua" w:eastAsia="Calibri" w:hAnsi="Book Antiqua" w:cs="Times New Roman"/>
                <w:sz w:val="24"/>
                <w:szCs w:val="24"/>
                <w:lang w:val="en-US"/>
              </w:rPr>
              <w:t xml:space="preserve"> every 2 </w:t>
            </w:r>
            <w:proofErr w:type="spellStart"/>
            <w:r w:rsidR="005978F6">
              <w:rPr>
                <w:rFonts w:ascii="Book Antiqua" w:eastAsia="Calibri" w:hAnsi="Book Antiqua" w:cs="Times New Roman"/>
                <w:sz w:val="24"/>
                <w:szCs w:val="24"/>
                <w:lang w:val="en-US"/>
              </w:rPr>
              <w:t>wk</w:t>
            </w:r>
            <w:proofErr w:type="spellEnd"/>
          </w:p>
        </w:tc>
      </w:tr>
      <w:tr w:rsidR="007966B6" w:rsidRPr="007966B6" w14:paraId="0CC6CB4E" w14:textId="77777777" w:rsidTr="001434F8">
        <w:trPr>
          <w:trHeight w:val="950"/>
        </w:trPr>
        <w:tc>
          <w:tcPr>
            <w:tcW w:w="1352" w:type="dxa"/>
          </w:tcPr>
          <w:p w14:paraId="7D64E023"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Ramucirumab</w:t>
            </w:r>
          </w:p>
        </w:tc>
        <w:tc>
          <w:tcPr>
            <w:tcW w:w="1337" w:type="dxa"/>
          </w:tcPr>
          <w:p w14:paraId="21F7AAC2"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Fully human M</w:t>
            </w:r>
            <w:r w:rsidRPr="007966B6">
              <w:rPr>
                <w:rFonts w:ascii="Book Antiqua" w:eastAsia="Calibri" w:hAnsi="Book Antiqua" w:cs="Times New Roman"/>
                <w:noProof/>
                <w:sz w:val="24"/>
                <w:szCs w:val="24"/>
                <w:lang w:val="en-US"/>
              </w:rPr>
              <w:t>oab</w:t>
            </w:r>
          </w:p>
        </w:tc>
        <w:tc>
          <w:tcPr>
            <w:tcW w:w="1984" w:type="dxa"/>
          </w:tcPr>
          <w:p w14:paraId="355E9AAF"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noProof/>
                <w:sz w:val="24"/>
                <w:szCs w:val="24"/>
                <w:lang w:val="en-US"/>
              </w:rPr>
              <w:t>The extracellular</w:t>
            </w:r>
            <w:r w:rsidRPr="007966B6">
              <w:rPr>
                <w:rFonts w:ascii="Book Antiqua" w:eastAsia="Calibri" w:hAnsi="Book Antiqua" w:cs="Times New Roman"/>
                <w:sz w:val="24"/>
                <w:szCs w:val="24"/>
                <w:lang w:val="en-US"/>
              </w:rPr>
              <w:t xml:space="preserve"> domain of VEGFR-2</w:t>
            </w:r>
          </w:p>
        </w:tc>
        <w:tc>
          <w:tcPr>
            <w:tcW w:w="2126" w:type="dxa"/>
          </w:tcPr>
          <w:p w14:paraId="09610CFC"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Second-line</w:t>
            </w:r>
          </w:p>
        </w:tc>
        <w:tc>
          <w:tcPr>
            <w:tcW w:w="2552" w:type="dxa"/>
          </w:tcPr>
          <w:p w14:paraId="6B3BD81E"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Use in combination with FOLFIRI</w:t>
            </w:r>
          </w:p>
        </w:tc>
        <w:tc>
          <w:tcPr>
            <w:tcW w:w="2551" w:type="dxa"/>
          </w:tcPr>
          <w:p w14:paraId="71DED60E" w14:textId="0D036392"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 xml:space="preserve">8 mg/kg </w:t>
            </w:r>
            <w:proofErr w:type="spellStart"/>
            <w:r w:rsidRPr="007966B6">
              <w:rPr>
                <w:rFonts w:ascii="Book Antiqua" w:eastAsia="Calibri" w:hAnsi="Book Antiqua" w:cs="Times New Roman"/>
                <w:sz w:val="24"/>
                <w:szCs w:val="24"/>
                <w:lang w:val="en-US"/>
              </w:rPr>
              <w:t>i.v.</w:t>
            </w:r>
            <w:proofErr w:type="spellEnd"/>
            <w:r w:rsidRPr="007966B6">
              <w:rPr>
                <w:rFonts w:ascii="Book Antiqua" w:eastAsia="Calibri" w:hAnsi="Book Antiqua" w:cs="Times New Roman"/>
                <w:sz w:val="24"/>
                <w:szCs w:val="24"/>
                <w:lang w:val="en-US"/>
              </w:rPr>
              <w:t xml:space="preserve"> every 2 </w:t>
            </w:r>
            <w:proofErr w:type="spellStart"/>
            <w:r w:rsidR="005978F6">
              <w:rPr>
                <w:rFonts w:ascii="Book Antiqua" w:eastAsia="Calibri" w:hAnsi="Book Antiqua" w:cs="Times New Roman"/>
                <w:sz w:val="24"/>
                <w:szCs w:val="24"/>
                <w:lang w:val="en-US"/>
              </w:rPr>
              <w:t>wk</w:t>
            </w:r>
            <w:proofErr w:type="spellEnd"/>
          </w:p>
        </w:tc>
      </w:tr>
      <w:tr w:rsidR="007966B6" w:rsidRPr="007966B6" w14:paraId="52FB38CE" w14:textId="77777777" w:rsidTr="001434F8">
        <w:trPr>
          <w:trHeight w:val="1638"/>
        </w:trPr>
        <w:tc>
          <w:tcPr>
            <w:tcW w:w="1352" w:type="dxa"/>
          </w:tcPr>
          <w:p w14:paraId="41721852"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Regorafenib</w:t>
            </w:r>
          </w:p>
        </w:tc>
        <w:tc>
          <w:tcPr>
            <w:tcW w:w="1337" w:type="dxa"/>
          </w:tcPr>
          <w:p w14:paraId="511BE957"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 xml:space="preserve">Oral </w:t>
            </w:r>
            <w:proofErr w:type="spellStart"/>
            <w:r w:rsidRPr="007966B6">
              <w:rPr>
                <w:rFonts w:ascii="Book Antiqua" w:eastAsia="Calibri" w:hAnsi="Book Antiqua" w:cs="Times New Roman"/>
                <w:sz w:val="24"/>
                <w:szCs w:val="24"/>
                <w:lang w:val="en-US"/>
              </w:rPr>
              <w:t>multikinase</w:t>
            </w:r>
            <w:proofErr w:type="spellEnd"/>
            <w:r w:rsidRPr="007966B6">
              <w:rPr>
                <w:rFonts w:ascii="Book Antiqua" w:eastAsia="Calibri" w:hAnsi="Book Antiqua" w:cs="Times New Roman"/>
                <w:sz w:val="24"/>
                <w:szCs w:val="24"/>
                <w:lang w:val="en-US"/>
              </w:rPr>
              <w:t xml:space="preserve"> inhibitor </w:t>
            </w:r>
          </w:p>
        </w:tc>
        <w:tc>
          <w:tcPr>
            <w:tcW w:w="1984" w:type="dxa"/>
          </w:tcPr>
          <w:p w14:paraId="36D3897F" w14:textId="126526AF" w:rsidR="00A8159C" w:rsidRPr="007966B6" w:rsidRDefault="00A8159C" w:rsidP="005831C8">
            <w:pPr>
              <w:spacing w:line="360" w:lineRule="auto"/>
              <w:jc w:val="both"/>
              <w:rPr>
                <w:rFonts w:ascii="Book Antiqua" w:eastAsia="Calibri" w:hAnsi="Book Antiqua" w:cs="Times New Roman"/>
                <w:noProof/>
                <w:sz w:val="24"/>
                <w:szCs w:val="24"/>
                <w:lang w:val="en-US"/>
              </w:rPr>
            </w:pPr>
            <w:r w:rsidRPr="007966B6">
              <w:rPr>
                <w:rFonts w:ascii="Book Antiqua" w:eastAsia="Calibri" w:hAnsi="Book Antiqua" w:cs="Times New Roman"/>
                <w:noProof/>
                <w:sz w:val="24"/>
                <w:szCs w:val="24"/>
                <w:lang w:val="en-US"/>
              </w:rPr>
              <w:t>VEGFR-1,</w:t>
            </w:r>
            <w:r w:rsidR="00644615">
              <w:rPr>
                <w:rFonts w:ascii="Book Antiqua" w:hAnsi="Book Antiqua" w:cs="Times New Roman" w:hint="eastAsia"/>
                <w:noProof/>
                <w:sz w:val="24"/>
                <w:szCs w:val="24"/>
                <w:lang w:val="en-US" w:eastAsia="zh-CN"/>
              </w:rPr>
              <w:t xml:space="preserve"> </w:t>
            </w:r>
            <w:r w:rsidRPr="007966B6">
              <w:rPr>
                <w:rFonts w:ascii="Book Antiqua" w:eastAsia="Calibri" w:hAnsi="Book Antiqua" w:cs="Times New Roman"/>
                <w:noProof/>
                <w:sz w:val="24"/>
                <w:szCs w:val="24"/>
                <w:lang w:val="en-US"/>
              </w:rPr>
              <w:t>-2, and -3 (in addition to RET, KIT, PDGFR, and FGFR</w:t>
            </w:r>
          </w:p>
        </w:tc>
        <w:tc>
          <w:tcPr>
            <w:tcW w:w="2126" w:type="dxa"/>
          </w:tcPr>
          <w:p w14:paraId="6C4E8D46"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 xml:space="preserve">Beyond second-line </w:t>
            </w:r>
          </w:p>
        </w:tc>
        <w:tc>
          <w:tcPr>
            <w:tcW w:w="2552" w:type="dxa"/>
          </w:tcPr>
          <w:p w14:paraId="1C8EA2DA" w14:textId="77777777"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Single-use</w:t>
            </w:r>
          </w:p>
        </w:tc>
        <w:tc>
          <w:tcPr>
            <w:tcW w:w="2551" w:type="dxa"/>
          </w:tcPr>
          <w:p w14:paraId="270A58BE" w14:textId="30CBB82B" w:rsidR="00A8159C" w:rsidRPr="007966B6" w:rsidRDefault="00A8159C" w:rsidP="005831C8">
            <w:pPr>
              <w:spacing w:line="360" w:lineRule="auto"/>
              <w:jc w:val="both"/>
              <w:rPr>
                <w:rFonts w:ascii="Book Antiqua" w:eastAsia="Calibri" w:hAnsi="Book Antiqua" w:cs="Times New Roman"/>
                <w:sz w:val="24"/>
                <w:szCs w:val="24"/>
                <w:lang w:val="en-US"/>
              </w:rPr>
            </w:pPr>
            <w:r w:rsidRPr="007966B6">
              <w:rPr>
                <w:rFonts w:ascii="Book Antiqua" w:eastAsia="Calibri" w:hAnsi="Book Antiqua" w:cs="Times New Roman"/>
                <w:sz w:val="24"/>
                <w:szCs w:val="24"/>
                <w:lang w:val="en-US"/>
              </w:rPr>
              <w:t>160 mg once daily, d</w:t>
            </w:r>
            <w:r w:rsidR="00644615">
              <w:rPr>
                <w:rFonts w:ascii="Book Antiqua" w:eastAsia="Calibri" w:hAnsi="Book Antiqua" w:cs="Times New Roman"/>
                <w:bCs/>
                <w:sz w:val="24"/>
                <w:szCs w:val="24"/>
                <w:lang w:val="en-US"/>
              </w:rPr>
              <w:t>ays 1–21 of 28-d</w:t>
            </w:r>
            <w:r w:rsidRPr="007966B6">
              <w:rPr>
                <w:rFonts w:ascii="Book Antiqua" w:eastAsia="Calibri" w:hAnsi="Book Antiqua" w:cs="Times New Roman"/>
                <w:bCs/>
                <w:sz w:val="24"/>
                <w:szCs w:val="24"/>
                <w:lang w:val="en-US"/>
              </w:rPr>
              <w:t xml:space="preserve"> cycle</w:t>
            </w:r>
          </w:p>
        </w:tc>
      </w:tr>
    </w:tbl>
    <w:p w14:paraId="78B67A09" w14:textId="583E7F3F" w:rsidR="00A8159C" w:rsidRPr="00644615" w:rsidRDefault="00A8159C" w:rsidP="005831C8">
      <w:pPr>
        <w:spacing w:after="0" w:line="360" w:lineRule="auto"/>
        <w:jc w:val="both"/>
        <w:rPr>
          <w:rFonts w:ascii="Book Antiqua" w:hAnsi="Book Antiqua" w:cs="Times New Roman"/>
          <w:sz w:val="24"/>
          <w:szCs w:val="24"/>
          <w:lang w:val="en-US" w:eastAsia="zh-CN"/>
        </w:rPr>
        <w:sectPr w:rsidR="00A8159C" w:rsidRPr="00644615" w:rsidSect="00A8159C">
          <w:pgSz w:w="16838" w:h="11906" w:orient="landscape"/>
          <w:pgMar w:top="1418" w:right="1418" w:bottom="1418" w:left="1418" w:header="709" w:footer="709" w:gutter="0"/>
          <w:cols w:space="708"/>
          <w:docGrid w:linePitch="360"/>
        </w:sectPr>
      </w:pPr>
      <w:r w:rsidRPr="007966B6">
        <w:rPr>
          <w:rFonts w:ascii="Book Antiqua" w:eastAsia="Calibri" w:hAnsi="Book Antiqua" w:cs="Times New Roman"/>
          <w:bCs/>
          <w:sz w:val="24"/>
          <w:szCs w:val="24"/>
          <w:lang w:val="en-US"/>
        </w:rPr>
        <w:lastRenderedPageBreak/>
        <w:t>Moab</w:t>
      </w:r>
      <w:r w:rsidR="00644615">
        <w:rPr>
          <w:rFonts w:ascii="Book Antiqua" w:hAnsi="Book Antiqua" w:cs="Times New Roman" w:hint="eastAsia"/>
          <w:bCs/>
          <w:sz w:val="24"/>
          <w:szCs w:val="24"/>
          <w:lang w:val="en-US" w:eastAsia="zh-CN"/>
        </w:rPr>
        <w:t>:</w:t>
      </w:r>
      <w:r w:rsidRPr="007966B6">
        <w:rPr>
          <w:rFonts w:ascii="Book Antiqua" w:eastAsia="Calibri" w:hAnsi="Book Antiqua" w:cs="Times New Roman"/>
          <w:bCs/>
          <w:sz w:val="24"/>
          <w:szCs w:val="24"/>
          <w:lang w:val="en-US"/>
        </w:rPr>
        <w:t xml:space="preserve"> </w:t>
      </w:r>
      <w:r w:rsidR="00644615" w:rsidRPr="007966B6">
        <w:rPr>
          <w:rFonts w:ascii="Book Antiqua" w:eastAsia="Calibri" w:hAnsi="Book Antiqua" w:cs="Times New Roman"/>
          <w:bCs/>
          <w:sz w:val="24"/>
          <w:szCs w:val="24"/>
          <w:lang w:val="en-US"/>
        </w:rPr>
        <w:t xml:space="preserve">Monoclonal </w:t>
      </w:r>
      <w:r w:rsidRPr="007966B6">
        <w:rPr>
          <w:rFonts w:ascii="Book Antiqua" w:eastAsia="Calibri" w:hAnsi="Book Antiqua" w:cs="Times New Roman"/>
          <w:bCs/>
          <w:sz w:val="24"/>
          <w:szCs w:val="24"/>
          <w:lang w:val="en-US"/>
        </w:rPr>
        <w:t xml:space="preserve">antibody; </w:t>
      </w:r>
      <w:r w:rsidRPr="007966B6">
        <w:rPr>
          <w:rFonts w:ascii="Book Antiqua" w:eastAsia="Calibri" w:hAnsi="Book Antiqua" w:cs="Times New Roman"/>
          <w:sz w:val="24"/>
          <w:szCs w:val="24"/>
          <w:lang w:val="en-US"/>
        </w:rPr>
        <w:t>VEGF</w:t>
      </w:r>
      <w:r w:rsidR="00644615">
        <w:rPr>
          <w:rFonts w:ascii="Book Antiqua" w:hAnsi="Book Antiqua" w:cs="Times New Roman" w:hint="eastAsia"/>
          <w:sz w:val="24"/>
          <w:szCs w:val="24"/>
          <w:lang w:val="en-US" w:eastAsia="zh-CN"/>
        </w:rPr>
        <w:t>:</w:t>
      </w:r>
      <w:r w:rsidRPr="007966B6">
        <w:rPr>
          <w:rFonts w:ascii="Book Antiqua" w:eastAsia="Calibri" w:hAnsi="Book Antiqua" w:cs="Times New Roman"/>
          <w:sz w:val="24"/>
          <w:szCs w:val="24"/>
          <w:lang w:val="en-US"/>
        </w:rPr>
        <w:t xml:space="preserve"> </w:t>
      </w:r>
      <w:r w:rsidR="00644615" w:rsidRPr="007966B6">
        <w:rPr>
          <w:rFonts w:ascii="Book Antiqua" w:eastAsia="Calibri" w:hAnsi="Book Antiqua" w:cs="Times New Roman"/>
          <w:sz w:val="24"/>
          <w:szCs w:val="24"/>
          <w:lang w:val="en-US"/>
        </w:rPr>
        <w:t xml:space="preserve">Vascular </w:t>
      </w:r>
      <w:r w:rsidRPr="007966B6">
        <w:rPr>
          <w:rFonts w:ascii="Book Antiqua" w:eastAsia="Calibri" w:hAnsi="Book Antiqua" w:cs="Times New Roman"/>
          <w:sz w:val="24"/>
          <w:szCs w:val="24"/>
          <w:lang w:val="en-US"/>
        </w:rPr>
        <w:t>endothelial growth factor; VEGFR</w:t>
      </w:r>
      <w:r w:rsidR="00644615">
        <w:rPr>
          <w:rFonts w:ascii="Book Antiqua" w:hAnsi="Book Antiqua" w:cs="Times New Roman" w:hint="eastAsia"/>
          <w:sz w:val="24"/>
          <w:szCs w:val="24"/>
          <w:lang w:val="en-US" w:eastAsia="zh-CN"/>
        </w:rPr>
        <w:t>:</w:t>
      </w:r>
      <w:r w:rsidRPr="007966B6">
        <w:rPr>
          <w:rFonts w:ascii="Book Antiqua" w:eastAsia="Calibri" w:hAnsi="Book Antiqua" w:cs="Times New Roman"/>
          <w:sz w:val="24"/>
          <w:szCs w:val="24"/>
          <w:lang w:val="en-US"/>
        </w:rPr>
        <w:t xml:space="preserve"> </w:t>
      </w:r>
      <w:r w:rsidRPr="007966B6">
        <w:rPr>
          <w:rFonts w:ascii="Book Antiqua" w:eastAsia="Calibri" w:hAnsi="Book Antiqua" w:cs="Times New Roman"/>
          <w:noProof/>
          <w:sz w:val="24"/>
          <w:szCs w:val="24"/>
          <w:lang w:val="en-US"/>
        </w:rPr>
        <w:t>vascu</w:t>
      </w:r>
      <w:r w:rsidRPr="007966B6">
        <w:rPr>
          <w:rFonts w:ascii="Book Antiqua" w:eastAsia="Calibri" w:hAnsi="Book Antiqua" w:cs="Times New Roman"/>
          <w:sz w:val="24"/>
          <w:szCs w:val="24"/>
          <w:lang w:val="en-US"/>
        </w:rPr>
        <w:t xml:space="preserve">lar </w:t>
      </w:r>
      <w:r w:rsidRPr="007966B6">
        <w:rPr>
          <w:rFonts w:ascii="Book Antiqua" w:eastAsia="Calibri" w:hAnsi="Book Antiqua" w:cs="Times New Roman"/>
          <w:noProof/>
          <w:sz w:val="24"/>
          <w:szCs w:val="24"/>
          <w:lang w:val="en-US"/>
        </w:rPr>
        <w:t>endothelial growth factor receptor; PIFG, placental growth factor; PDGF</w:t>
      </w:r>
      <w:r w:rsidR="00644615">
        <w:rPr>
          <w:rFonts w:ascii="Book Antiqua" w:hAnsi="Book Antiqua" w:cs="Times New Roman" w:hint="eastAsia"/>
          <w:noProof/>
          <w:sz w:val="24"/>
          <w:szCs w:val="24"/>
          <w:lang w:val="en-US" w:eastAsia="zh-CN"/>
        </w:rPr>
        <w:t>:</w:t>
      </w:r>
      <w:r w:rsidRPr="007966B6">
        <w:rPr>
          <w:rFonts w:ascii="Book Antiqua" w:eastAsia="Calibri" w:hAnsi="Book Antiqua" w:cs="Times New Roman"/>
          <w:noProof/>
          <w:sz w:val="24"/>
          <w:szCs w:val="24"/>
          <w:lang w:val="en-US"/>
        </w:rPr>
        <w:t xml:space="preserve"> </w:t>
      </w:r>
      <w:r w:rsidR="00644615" w:rsidRPr="007966B6">
        <w:rPr>
          <w:rFonts w:ascii="Book Antiqua" w:eastAsia="Calibri" w:hAnsi="Book Antiqua" w:cs="Times New Roman"/>
          <w:noProof/>
          <w:sz w:val="24"/>
          <w:szCs w:val="24"/>
          <w:lang w:val="en-US"/>
        </w:rPr>
        <w:t xml:space="preserve">Platelet </w:t>
      </w:r>
      <w:r w:rsidRPr="007966B6">
        <w:rPr>
          <w:rFonts w:ascii="Book Antiqua" w:eastAsia="Calibri" w:hAnsi="Book Antiqua" w:cs="Times New Roman"/>
          <w:noProof/>
          <w:sz w:val="24"/>
          <w:szCs w:val="24"/>
          <w:lang w:val="en-US"/>
        </w:rPr>
        <w:t>derived growth factor; FGFR</w:t>
      </w:r>
      <w:r w:rsidR="00644615">
        <w:rPr>
          <w:rFonts w:ascii="Book Antiqua" w:hAnsi="Book Antiqua" w:cs="Times New Roman" w:hint="eastAsia"/>
          <w:noProof/>
          <w:sz w:val="24"/>
          <w:szCs w:val="24"/>
          <w:lang w:val="en-US" w:eastAsia="zh-CN"/>
        </w:rPr>
        <w:t>:</w:t>
      </w:r>
      <w:r w:rsidRPr="007966B6">
        <w:rPr>
          <w:rFonts w:ascii="Book Antiqua" w:eastAsia="Calibri" w:hAnsi="Book Antiqua" w:cs="Times New Roman"/>
          <w:noProof/>
          <w:sz w:val="24"/>
          <w:szCs w:val="24"/>
          <w:lang w:val="en-US"/>
        </w:rPr>
        <w:t xml:space="preserve"> Fibroblast </w:t>
      </w:r>
      <w:r w:rsidR="00644615" w:rsidRPr="007966B6">
        <w:rPr>
          <w:rFonts w:ascii="Book Antiqua" w:eastAsia="Calibri" w:hAnsi="Book Antiqua" w:cs="Times New Roman"/>
          <w:noProof/>
          <w:sz w:val="24"/>
          <w:szCs w:val="24"/>
          <w:lang w:val="en-US"/>
        </w:rPr>
        <w:t>growth fact</w:t>
      </w:r>
      <w:r w:rsidRPr="007966B6">
        <w:rPr>
          <w:rFonts w:ascii="Book Antiqua" w:eastAsia="Calibri" w:hAnsi="Book Antiqua" w:cs="Times New Roman"/>
          <w:noProof/>
          <w:sz w:val="24"/>
          <w:szCs w:val="24"/>
          <w:lang w:val="en-US"/>
        </w:rPr>
        <w:t>or;</w:t>
      </w:r>
      <w:r w:rsidR="00644615">
        <w:rPr>
          <w:rFonts w:ascii="Book Antiqua" w:hAnsi="Book Antiqua" w:cs="Times New Roman" w:hint="eastAsia"/>
          <w:sz w:val="24"/>
          <w:szCs w:val="24"/>
          <w:lang w:val="en-US" w:eastAsia="zh-CN"/>
        </w:rPr>
        <w:t xml:space="preserve"> </w:t>
      </w:r>
      <w:r w:rsidRPr="007966B6">
        <w:rPr>
          <w:rFonts w:ascii="Book Antiqua" w:eastAsia="Calibri" w:hAnsi="Book Antiqua" w:cs="Times New Roman"/>
          <w:noProof/>
          <w:sz w:val="24"/>
          <w:szCs w:val="24"/>
          <w:lang w:val="en-US"/>
        </w:rPr>
        <w:t>FOLFIRI</w:t>
      </w:r>
      <w:r w:rsidR="00644615">
        <w:rPr>
          <w:rFonts w:ascii="Book Antiqua" w:hAnsi="Book Antiqua" w:cs="Times New Roman" w:hint="eastAsia"/>
          <w:noProof/>
          <w:sz w:val="24"/>
          <w:szCs w:val="24"/>
          <w:lang w:val="en-US" w:eastAsia="zh-CN"/>
        </w:rPr>
        <w:t>:</w:t>
      </w:r>
      <w:r w:rsidRPr="007966B6">
        <w:rPr>
          <w:rFonts w:ascii="Book Antiqua" w:eastAsia="Calibri" w:hAnsi="Book Antiqua" w:cs="Times New Roman"/>
          <w:noProof/>
          <w:sz w:val="24"/>
          <w:szCs w:val="24"/>
          <w:lang w:val="en-US"/>
        </w:rPr>
        <w:t xml:space="preserve"> 5-fluorouracil, leucovorin, irinotecan</w:t>
      </w:r>
      <w:r w:rsidR="00644615">
        <w:rPr>
          <w:rFonts w:ascii="Book Antiqua" w:hAnsi="Book Antiqua" w:cs="Times New Roman" w:hint="eastAsia"/>
          <w:noProof/>
          <w:sz w:val="24"/>
          <w:szCs w:val="24"/>
          <w:lang w:val="en-US" w:eastAsia="zh-CN"/>
        </w:rPr>
        <w:t>.</w:t>
      </w:r>
      <w:r w:rsidR="005831C8" w:rsidRPr="007966B6">
        <w:rPr>
          <w:rFonts w:ascii="Book Antiqua" w:eastAsia="Calibri" w:hAnsi="Book Antiqua" w:cs="Times New Roman"/>
          <w:noProof/>
          <w:sz w:val="24"/>
          <w:szCs w:val="24"/>
          <w:lang w:val="en-US"/>
        </w:rPr>
        <w:t xml:space="preserve"> </w:t>
      </w:r>
    </w:p>
    <w:p w14:paraId="328D0557" w14:textId="77777777" w:rsidR="00F82A88" w:rsidRPr="00644615" w:rsidRDefault="00F82A88" w:rsidP="005831C8">
      <w:pPr>
        <w:spacing w:after="0" w:line="360" w:lineRule="auto"/>
        <w:jc w:val="both"/>
        <w:rPr>
          <w:rFonts w:ascii="Book Antiqua" w:eastAsia="Calibri" w:hAnsi="Book Antiqua" w:cs="Times New Roman"/>
          <w:b/>
          <w:sz w:val="24"/>
          <w:szCs w:val="24"/>
          <w:lang w:val="en-US"/>
        </w:rPr>
      </w:pPr>
      <w:r w:rsidRPr="00644615">
        <w:rPr>
          <w:rFonts w:ascii="Book Antiqua" w:eastAsia="Calibri" w:hAnsi="Book Antiqua" w:cs="Times New Roman"/>
          <w:b/>
          <w:sz w:val="24"/>
          <w:szCs w:val="24"/>
          <w:lang w:val="en-US"/>
        </w:rPr>
        <w:lastRenderedPageBreak/>
        <w:t>Table 2 Randomized clinical studies comparing the efficacy of second-line chemotherapy plus antiangiogenic agent with chemotherapy alone (or plus placebo) in metastatic colorectal cancer</w:t>
      </w:r>
    </w:p>
    <w:p w14:paraId="67129D5D" w14:textId="77777777" w:rsidR="00F82A88" w:rsidRPr="007966B6" w:rsidRDefault="00F82A88" w:rsidP="005831C8">
      <w:pPr>
        <w:spacing w:after="0" w:line="360" w:lineRule="auto"/>
        <w:jc w:val="both"/>
        <w:rPr>
          <w:rFonts w:ascii="Book Antiqua" w:eastAsia="Calibri" w:hAnsi="Book Antiqua" w:cs="Times New Roman"/>
          <w:sz w:val="24"/>
          <w:szCs w:val="24"/>
          <w:lang w:val="en-US"/>
        </w:rPr>
      </w:pPr>
    </w:p>
    <w:tbl>
      <w:tblPr>
        <w:tblStyle w:val="TabloKlavuzu12"/>
        <w:tblW w:w="0" w:type="auto"/>
        <w:tblLook w:val="04A0" w:firstRow="1" w:lastRow="0" w:firstColumn="1" w:lastColumn="0" w:noHBand="0" w:noVBand="1"/>
      </w:tblPr>
      <w:tblGrid>
        <w:gridCol w:w="1485"/>
        <w:gridCol w:w="1714"/>
        <w:gridCol w:w="1539"/>
        <w:gridCol w:w="2882"/>
        <w:gridCol w:w="1078"/>
        <w:gridCol w:w="1368"/>
        <w:gridCol w:w="1336"/>
        <w:gridCol w:w="1338"/>
        <w:gridCol w:w="1252"/>
      </w:tblGrid>
      <w:tr w:rsidR="007966B6" w:rsidRPr="007966B6" w14:paraId="0937D408" w14:textId="77777777" w:rsidTr="00010984">
        <w:tc>
          <w:tcPr>
            <w:tcW w:w="1271" w:type="dxa"/>
          </w:tcPr>
          <w:p w14:paraId="502BF2EB" w14:textId="77777777" w:rsidR="00F82A88" w:rsidRPr="007966B6" w:rsidRDefault="00F82A88" w:rsidP="005831C8">
            <w:pPr>
              <w:spacing w:line="360" w:lineRule="auto"/>
              <w:jc w:val="both"/>
              <w:rPr>
                <w:rFonts w:ascii="Book Antiqua" w:eastAsia="Calibri" w:hAnsi="Book Antiqua" w:cs="Times New Roman"/>
                <w:b/>
                <w:lang w:val="en-US"/>
              </w:rPr>
            </w:pPr>
            <w:r w:rsidRPr="007966B6">
              <w:rPr>
                <w:rFonts w:ascii="Book Antiqua" w:eastAsia="Calibri" w:hAnsi="Book Antiqua" w:cs="Times New Roman"/>
                <w:b/>
                <w:lang w:val="en-US"/>
              </w:rPr>
              <w:t>Study</w:t>
            </w:r>
          </w:p>
        </w:tc>
        <w:tc>
          <w:tcPr>
            <w:tcW w:w="1418" w:type="dxa"/>
          </w:tcPr>
          <w:p w14:paraId="4112FE0F" w14:textId="77777777" w:rsidR="00F82A88" w:rsidRPr="007966B6" w:rsidRDefault="00F82A88" w:rsidP="005831C8">
            <w:pPr>
              <w:spacing w:line="360" w:lineRule="auto"/>
              <w:jc w:val="both"/>
              <w:rPr>
                <w:rFonts w:ascii="Book Antiqua" w:eastAsia="Calibri" w:hAnsi="Book Antiqua" w:cs="Times New Roman"/>
                <w:b/>
                <w:lang w:val="en-US"/>
              </w:rPr>
            </w:pPr>
            <w:r w:rsidRPr="007966B6">
              <w:rPr>
                <w:rFonts w:ascii="Book Antiqua" w:eastAsia="Calibri" w:hAnsi="Book Antiqua" w:cs="Times New Roman"/>
                <w:b/>
                <w:lang w:val="en-US"/>
              </w:rPr>
              <w:t>Type of study</w:t>
            </w:r>
          </w:p>
        </w:tc>
        <w:tc>
          <w:tcPr>
            <w:tcW w:w="1559" w:type="dxa"/>
          </w:tcPr>
          <w:p w14:paraId="10A95361" w14:textId="77777777" w:rsidR="00F82A88" w:rsidRPr="007966B6" w:rsidRDefault="00F82A88" w:rsidP="005831C8">
            <w:pPr>
              <w:spacing w:line="360" w:lineRule="auto"/>
              <w:jc w:val="both"/>
              <w:rPr>
                <w:rFonts w:ascii="Book Antiqua" w:eastAsia="Calibri" w:hAnsi="Book Antiqua" w:cs="Times New Roman"/>
                <w:b/>
                <w:lang w:val="en-US"/>
              </w:rPr>
            </w:pPr>
            <w:r w:rsidRPr="007966B6">
              <w:rPr>
                <w:rFonts w:ascii="Book Antiqua" w:eastAsia="Calibri" w:hAnsi="Book Antiqua" w:cs="Times New Roman"/>
                <w:b/>
                <w:noProof/>
                <w:lang w:val="en-US"/>
              </w:rPr>
              <w:t>The proportion</w:t>
            </w:r>
            <w:r w:rsidRPr="007966B6">
              <w:rPr>
                <w:rFonts w:ascii="Book Antiqua" w:eastAsia="Calibri" w:hAnsi="Book Antiqua" w:cs="Times New Roman"/>
                <w:b/>
                <w:lang w:val="en-US"/>
              </w:rPr>
              <w:t xml:space="preserve"> of patients who received prior BEV</w:t>
            </w:r>
          </w:p>
        </w:tc>
        <w:tc>
          <w:tcPr>
            <w:tcW w:w="2977" w:type="dxa"/>
          </w:tcPr>
          <w:p w14:paraId="4AF0601E" w14:textId="77777777" w:rsidR="00F82A88" w:rsidRPr="007966B6" w:rsidRDefault="00F82A88" w:rsidP="005831C8">
            <w:pPr>
              <w:spacing w:line="360" w:lineRule="auto"/>
              <w:jc w:val="both"/>
              <w:rPr>
                <w:rFonts w:ascii="Book Antiqua" w:eastAsia="Calibri" w:hAnsi="Book Antiqua" w:cs="Times New Roman"/>
                <w:b/>
                <w:lang w:val="en-US"/>
              </w:rPr>
            </w:pPr>
            <w:r w:rsidRPr="007966B6">
              <w:rPr>
                <w:rFonts w:ascii="Book Antiqua" w:eastAsia="Calibri" w:hAnsi="Book Antiqua" w:cs="Times New Roman"/>
                <w:b/>
                <w:lang w:val="en-US"/>
              </w:rPr>
              <w:t>Treatment arms (No. of patients)</w:t>
            </w:r>
          </w:p>
        </w:tc>
        <w:tc>
          <w:tcPr>
            <w:tcW w:w="1125" w:type="dxa"/>
          </w:tcPr>
          <w:p w14:paraId="02A43B5D" w14:textId="77777777" w:rsidR="00F82A88" w:rsidRPr="007966B6" w:rsidRDefault="00F82A88" w:rsidP="005831C8">
            <w:pPr>
              <w:spacing w:line="360" w:lineRule="auto"/>
              <w:jc w:val="both"/>
              <w:rPr>
                <w:rFonts w:ascii="Book Antiqua" w:eastAsia="Calibri" w:hAnsi="Book Antiqua" w:cs="Times New Roman"/>
                <w:b/>
                <w:lang w:val="en-US"/>
              </w:rPr>
            </w:pPr>
            <w:r w:rsidRPr="007966B6">
              <w:rPr>
                <w:rFonts w:ascii="Book Antiqua" w:eastAsia="Calibri" w:hAnsi="Book Antiqua" w:cs="Times New Roman"/>
                <w:b/>
                <w:lang w:val="en-US"/>
              </w:rPr>
              <w:t>ORR (%)</w:t>
            </w:r>
          </w:p>
        </w:tc>
        <w:tc>
          <w:tcPr>
            <w:tcW w:w="1443" w:type="dxa"/>
          </w:tcPr>
          <w:p w14:paraId="718617CE" w14:textId="77777777" w:rsidR="00F82A88" w:rsidRPr="007966B6" w:rsidRDefault="00F82A88" w:rsidP="005831C8">
            <w:pPr>
              <w:spacing w:line="360" w:lineRule="auto"/>
              <w:jc w:val="both"/>
              <w:rPr>
                <w:rFonts w:ascii="Book Antiqua" w:eastAsia="Calibri" w:hAnsi="Book Antiqua" w:cs="Times New Roman"/>
                <w:b/>
                <w:lang w:val="en-US"/>
              </w:rPr>
            </w:pPr>
            <w:r w:rsidRPr="007966B6">
              <w:rPr>
                <w:rFonts w:ascii="Book Antiqua" w:eastAsia="Calibri" w:hAnsi="Book Antiqua" w:cs="Times New Roman"/>
                <w:b/>
                <w:noProof/>
                <w:lang w:val="en-US"/>
              </w:rPr>
              <w:t>mPFS</w:t>
            </w:r>
            <w:r w:rsidRPr="007966B6">
              <w:rPr>
                <w:rFonts w:ascii="Book Antiqua" w:eastAsia="Calibri" w:hAnsi="Book Antiqua" w:cs="Times New Roman"/>
                <w:b/>
                <w:lang w:val="en-US"/>
              </w:rPr>
              <w:t xml:space="preserve"> (</w:t>
            </w:r>
            <w:proofErr w:type="spellStart"/>
            <w:r w:rsidRPr="007966B6">
              <w:rPr>
                <w:rFonts w:ascii="Book Antiqua" w:eastAsia="Calibri" w:hAnsi="Book Antiqua" w:cs="Times New Roman"/>
                <w:b/>
                <w:lang w:val="en-US"/>
              </w:rPr>
              <w:t>mo</w:t>
            </w:r>
            <w:proofErr w:type="spellEnd"/>
            <w:r w:rsidRPr="007966B6">
              <w:rPr>
                <w:rFonts w:ascii="Book Antiqua" w:eastAsia="Calibri" w:hAnsi="Book Antiqua" w:cs="Times New Roman"/>
                <w:b/>
                <w:lang w:val="en-US"/>
              </w:rPr>
              <w:t>)</w:t>
            </w:r>
          </w:p>
        </w:tc>
        <w:tc>
          <w:tcPr>
            <w:tcW w:w="1439" w:type="dxa"/>
          </w:tcPr>
          <w:p w14:paraId="404C1C72" w14:textId="77777777" w:rsidR="00F82A88" w:rsidRPr="007966B6" w:rsidRDefault="00F82A88" w:rsidP="005831C8">
            <w:pPr>
              <w:spacing w:line="360" w:lineRule="auto"/>
              <w:jc w:val="both"/>
              <w:rPr>
                <w:rFonts w:ascii="Book Antiqua" w:eastAsia="Calibri" w:hAnsi="Book Antiqua" w:cs="Times New Roman"/>
                <w:b/>
                <w:lang w:val="en-US"/>
              </w:rPr>
            </w:pPr>
            <w:r w:rsidRPr="007966B6">
              <w:rPr>
                <w:rFonts w:ascii="Book Antiqua" w:eastAsia="Calibri" w:hAnsi="Book Antiqua" w:cs="Times New Roman"/>
                <w:b/>
                <w:lang w:val="en-US"/>
              </w:rPr>
              <w:t>HR</w:t>
            </w:r>
          </w:p>
        </w:tc>
        <w:tc>
          <w:tcPr>
            <w:tcW w:w="1421" w:type="dxa"/>
          </w:tcPr>
          <w:p w14:paraId="42EC0D77" w14:textId="77777777" w:rsidR="00F82A88" w:rsidRPr="007966B6" w:rsidRDefault="00F82A88" w:rsidP="005831C8">
            <w:pPr>
              <w:spacing w:line="360" w:lineRule="auto"/>
              <w:jc w:val="both"/>
              <w:rPr>
                <w:rFonts w:ascii="Book Antiqua" w:eastAsia="Calibri" w:hAnsi="Book Antiqua" w:cs="Times New Roman"/>
                <w:b/>
                <w:lang w:val="en-US"/>
              </w:rPr>
            </w:pPr>
            <w:r w:rsidRPr="007966B6">
              <w:rPr>
                <w:rFonts w:ascii="Book Antiqua" w:eastAsia="Calibri" w:hAnsi="Book Antiqua" w:cs="Times New Roman"/>
                <w:b/>
                <w:noProof/>
                <w:lang w:val="en-US"/>
              </w:rPr>
              <w:t>mOS</w:t>
            </w:r>
            <w:r w:rsidRPr="007966B6">
              <w:rPr>
                <w:rFonts w:ascii="Book Antiqua" w:eastAsia="Calibri" w:hAnsi="Book Antiqua" w:cs="Times New Roman"/>
                <w:b/>
                <w:lang w:val="en-US"/>
              </w:rPr>
              <w:t xml:space="preserve"> (</w:t>
            </w:r>
            <w:proofErr w:type="spellStart"/>
            <w:r w:rsidRPr="007966B6">
              <w:rPr>
                <w:rFonts w:ascii="Book Antiqua" w:eastAsia="Calibri" w:hAnsi="Book Antiqua" w:cs="Times New Roman"/>
                <w:b/>
                <w:lang w:val="en-US"/>
              </w:rPr>
              <w:t>mo</w:t>
            </w:r>
            <w:proofErr w:type="spellEnd"/>
            <w:r w:rsidRPr="007966B6">
              <w:rPr>
                <w:rFonts w:ascii="Book Antiqua" w:eastAsia="Calibri" w:hAnsi="Book Antiqua" w:cs="Times New Roman"/>
                <w:b/>
                <w:lang w:val="en-US"/>
              </w:rPr>
              <w:t>)</w:t>
            </w:r>
          </w:p>
        </w:tc>
        <w:tc>
          <w:tcPr>
            <w:tcW w:w="1343" w:type="dxa"/>
          </w:tcPr>
          <w:p w14:paraId="74CD7614" w14:textId="77777777" w:rsidR="00F82A88" w:rsidRPr="007966B6" w:rsidRDefault="00F82A88" w:rsidP="005831C8">
            <w:pPr>
              <w:spacing w:line="360" w:lineRule="auto"/>
              <w:jc w:val="both"/>
              <w:rPr>
                <w:rFonts w:ascii="Book Antiqua" w:eastAsia="Calibri" w:hAnsi="Book Antiqua" w:cs="Times New Roman"/>
                <w:b/>
                <w:lang w:val="en-US"/>
              </w:rPr>
            </w:pPr>
            <w:r w:rsidRPr="007966B6">
              <w:rPr>
                <w:rFonts w:ascii="Book Antiqua" w:eastAsia="Calibri" w:hAnsi="Book Antiqua" w:cs="Times New Roman"/>
                <w:b/>
                <w:lang w:val="en-US"/>
              </w:rPr>
              <w:t>HR</w:t>
            </w:r>
          </w:p>
        </w:tc>
      </w:tr>
      <w:tr w:rsidR="007966B6" w:rsidRPr="007966B6" w14:paraId="01EC0961" w14:textId="77777777" w:rsidTr="00010984">
        <w:tc>
          <w:tcPr>
            <w:tcW w:w="1271" w:type="dxa"/>
          </w:tcPr>
          <w:p w14:paraId="3DCDE6A3" w14:textId="6E998FAC" w:rsidR="00F82A88" w:rsidRPr="007966B6" w:rsidRDefault="00644615" w:rsidP="005831C8">
            <w:pPr>
              <w:spacing w:line="360" w:lineRule="auto"/>
              <w:jc w:val="both"/>
              <w:rPr>
                <w:rFonts w:ascii="Book Antiqua" w:eastAsia="Calibri" w:hAnsi="Book Antiqua" w:cs="Times New Roman"/>
                <w:lang w:val="en-US"/>
              </w:rPr>
            </w:pPr>
            <w:proofErr w:type="spellStart"/>
            <w:r>
              <w:rPr>
                <w:rFonts w:ascii="Book Antiqua" w:eastAsia="Calibri" w:hAnsi="Book Antiqua" w:cs="Times New Roman"/>
                <w:lang w:val="en-US"/>
              </w:rPr>
              <w:t>BRiTE</w:t>
            </w:r>
            <w:proofErr w:type="spellEnd"/>
            <w:r w:rsidR="00F82A88" w:rsidRPr="007966B6">
              <w:rPr>
                <w:rFonts w:ascii="Book Antiqua" w:eastAsia="Calibri" w:hAnsi="Book Antiqua" w:cs="Calibri"/>
                <w:vertAlign w:val="superscript"/>
                <w:lang w:val="en-US"/>
              </w:rPr>
              <w:t>[</w:t>
            </w:r>
            <w:r w:rsidR="00F82A88" w:rsidRPr="007966B6">
              <w:rPr>
                <w:rFonts w:ascii="Book Antiqua" w:eastAsia="Calibri" w:hAnsi="Book Antiqua" w:cs="Times New Roman"/>
                <w:vertAlign w:val="superscript"/>
                <w:lang w:val="en-US"/>
              </w:rPr>
              <w:t>16</w:t>
            </w:r>
            <w:r w:rsidR="00F82A88" w:rsidRPr="007966B6">
              <w:rPr>
                <w:rFonts w:ascii="Book Antiqua" w:eastAsia="Calibri" w:hAnsi="Book Antiqua" w:cs="Calibri"/>
                <w:vertAlign w:val="superscript"/>
                <w:lang w:val="en-US"/>
              </w:rPr>
              <w:t>]</w:t>
            </w:r>
            <w:r w:rsidR="00F82A88" w:rsidRPr="007966B6">
              <w:rPr>
                <w:rFonts w:ascii="Book Antiqua" w:eastAsia="Calibri" w:hAnsi="Book Antiqua" w:cs="Times New Roman"/>
                <w:lang w:val="en-US"/>
              </w:rPr>
              <w:t xml:space="preserve"> </w:t>
            </w:r>
          </w:p>
        </w:tc>
        <w:tc>
          <w:tcPr>
            <w:tcW w:w="1418" w:type="dxa"/>
          </w:tcPr>
          <w:p w14:paraId="1F15C9BE"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Observational cohort</w:t>
            </w:r>
          </w:p>
        </w:tc>
        <w:tc>
          <w:tcPr>
            <w:tcW w:w="1559" w:type="dxa"/>
          </w:tcPr>
          <w:p w14:paraId="21E93F4A"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100%</w:t>
            </w:r>
          </w:p>
        </w:tc>
        <w:tc>
          <w:tcPr>
            <w:tcW w:w="2977" w:type="dxa"/>
          </w:tcPr>
          <w:p w14:paraId="0C2DB561"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CT + BEV (642)</w:t>
            </w:r>
          </w:p>
          <w:p w14:paraId="50940641"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CT alone (531)</w:t>
            </w:r>
          </w:p>
          <w:p w14:paraId="59C0D868"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No treatment (253)</w:t>
            </w:r>
          </w:p>
        </w:tc>
        <w:tc>
          <w:tcPr>
            <w:tcW w:w="1125" w:type="dxa"/>
          </w:tcPr>
          <w:p w14:paraId="563B0418"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NA</w:t>
            </w:r>
          </w:p>
          <w:p w14:paraId="3118DF4A"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NA</w:t>
            </w:r>
          </w:p>
          <w:p w14:paraId="223AFA2B"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NA</w:t>
            </w:r>
          </w:p>
        </w:tc>
        <w:tc>
          <w:tcPr>
            <w:tcW w:w="1443" w:type="dxa"/>
          </w:tcPr>
          <w:p w14:paraId="4B9C06C2"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19.2</w:t>
            </w:r>
          </w:p>
          <w:p w14:paraId="3BBC10BA"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9.5</w:t>
            </w:r>
          </w:p>
          <w:p w14:paraId="38DA77A7"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3.6</w:t>
            </w:r>
          </w:p>
        </w:tc>
        <w:tc>
          <w:tcPr>
            <w:tcW w:w="1439" w:type="dxa"/>
          </w:tcPr>
          <w:p w14:paraId="302D1178"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0.49</w:t>
            </w:r>
          </w:p>
          <w:p w14:paraId="4C03ED3A" w14:textId="77777777" w:rsidR="00F82A88" w:rsidRPr="007966B6" w:rsidRDefault="00F82A88" w:rsidP="005831C8">
            <w:pPr>
              <w:spacing w:line="360" w:lineRule="auto"/>
              <w:jc w:val="both"/>
              <w:rPr>
                <w:rFonts w:ascii="Book Antiqua" w:eastAsia="Calibri" w:hAnsi="Book Antiqua" w:cs="Times New Roman"/>
                <w:lang w:val="en-US"/>
              </w:rPr>
            </w:pPr>
          </w:p>
          <w:p w14:paraId="4DB0B298"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2.05</w:t>
            </w:r>
          </w:p>
        </w:tc>
        <w:tc>
          <w:tcPr>
            <w:tcW w:w="1421" w:type="dxa"/>
          </w:tcPr>
          <w:p w14:paraId="0EC059F9"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31.8</w:t>
            </w:r>
          </w:p>
          <w:p w14:paraId="04485664"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19.9</w:t>
            </w:r>
          </w:p>
          <w:p w14:paraId="6626DEE4"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12.6</w:t>
            </w:r>
          </w:p>
        </w:tc>
        <w:tc>
          <w:tcPr>
            <w:tcW w:w="1343" w:type="dxa"/>
          </w:tcPr>
          <w:p w14:paraId="7C41C33E"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0.48</w:t>
            </w:r>
          </w:p>
        </w:tc>
      </w:tr>
      <w:tr w:rsidR="007966B6" w:rsidRPr="007966B6" w14:paraId="4CDEB924" w14:textId="77777777" w:rsidTr="00010984">
        <w:tc>
          <w:tcPr>
            <w:tcW w:w="1271" w:type="dxa"/>
          </w:tcPr>
          <w:p w14:paraId="5730786C" w14:textId="1CE587CB" w:rsidR="00F82A88" w:rsidRPr="007966B6" w:rsidRDefault="00644615" w:rsidP="005831C8">
            <w:pPr>
              <w:spacing w:line="360" w:lineRule="auto"/>
              <w:jc w:val="both"/>
              <w:rPr>
                <w:rFonts w:ascii="Book Antiqua" w:eastAsia="Calibri" w:hAnsi="Book Antiqua" w:cs="Times New Roman"/>
                <w:lang w:val="en-US"/>
              </w:rPr>
            </w:pPr>
            <w:r>
              <w:rPr>
                <w:rFonts w:ascii="Book Antiqua" w:eastAsia="Calibri" w:hAnsi="Book Antiqua" w:cs="Times New Roman"/>
                <w:lang w:val="en-US"/>
              </w:rPr>
              <w:t>ARIES</w:t>
            </w:r>
            <w:r w:rsidR="00F82A88" w:rsidRPr="007966B6">
              <w:rPr>
                <w:rFonts w:ascii="Book Antiqua" w:eastAsia="Calibri" w:hAnsi="Book Antiqua" w:cs="Calibri"/>
                <w:vertAlign w:val="superscript"/>
                <w:lang w:val="en-US"/>
              </w:rPr>
              <w:t>[</w:t>
            </w:r>
            <w:r w:rsidR="00F82A88" w:rsidRPr="007966B6">
              <w:rPr>
                <w:rFonts w:ascii="Book Antiqua" w:eastAsia="Calibri" w:hAnsi="Book Antiqua" w:cs="Times New Roman"/>
                <w:vertAlign w:val="superscript"/>
                <w:lang w:val="en-US"/>
              </w:rPr>
              <w:t>17</w:t>
            </w:r>
            <w:r w:rsidR="00F82A88" w:rsidRPr="007966B6">
              <w:rPr>
                <w:rFonts w:ascii="Book Antiqua" w:eastAsia="Calibri" w:hAnsi="Book Antiqua" w:cs="Calibri"/>
                <w:vertAlign w:val="superscript"/>
                <w:lang w:val="en-US"/>
              </w:rPr>
              <w:t>]</w:t>
            </w:r>
          </w:p>
        </w:tc>
        <w:tc>
          <w:tcPr>
            <w:tcW w:w="1418" w:type="dxa"/>
          </w:tcPr>
          <w:p w14:paraId="7988AB30"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Observational cohort</w:t>
            </w:r>
          </w:p>
        </w:tc>
        <w:tc>
          <w:tcPr>
            <w:tcW w:w="1559" w:type="dxa"/>
          </w:tcPr>
          <w:p w14:paraId="0B1C4D1F"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100%</w:t>
            </w:r>
          </w:p>
        </w:tc>
        <w:tc>
          <w:tcPr>
            <w:tcW w:w="2977" w:type="dxa"/>
          </w:tcPr>
          <w:p w14:paraId="57C75B54"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CT + BEV (438)</w:t>
            </w:r>
          </w:p>
          <w:p w14:paraId="160780C8"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CT alone (667)</w:t>
            </w:r>
          </w:p>
        </w:tc>
        <w:tc>
          <w:tcPr>
            <w:tcW w:w="1125" w:type="dxa"/>
          </w:tcPr>
          <w:p w14:paraId="38E43546"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NA</w:t>
            </w:r>
          </w:p>
          <w:p w14:paraId="25DC963F"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NA</w:t>
            </w:r>
          </w:p>
        </w:tc>
        <w:tc>
          <w:tcPr>
            <w:tcW w:w="1443" w:type="dxa"/>
          </w:tcPr>
          <w:p w14:paraId="1A7CC43C"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14.4</w:t>
            </w:r>
          </w:p>
          <w:p w14:paraId="3F80E101"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10.6</w:t>
            </w:r>
          </w:p>
        </w:tc>
        <w:tc>
          <w:tcPr>
            <w:tcW w:w="1439" w:type="dxa"/>
          </w:tcPr>
          <w:p w14:paraId="4E44A779"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0.84</w:t>
            </w:r>
          </w:p>
        </w:tc>
        <w:tc>
          <w:tcPr>
            <w:tcW w:w="1421" w:type="dxa"/>
          </w:tcPr>
          <w:p w14:paraId="3AD9AB11"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NA</w:t>
            </w:r>
          </w:p>
          <w:p w14:paraId="4B848A69"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NA</w:t>
            </w:r>
          </w:p>
        </w:tc>
        <w:tc>
          <w:tcPr>
            <w:tcW w:w="1343" w:type="dxa"/>
          </w:tcPr>
          <w:p w14:paraId="36BEB2D0" w14:textId="77777777" w:rsidR="00F82A88" w:rsidRPr="007966B6" w:rsidRDefault="00F82A88" w:rsidP="005831C8">
            <w:pPr>
              <w:spacing w:line="360" w:lineRule="auto"/>
              <w:jc w:val="both"/>
              <w:rPr>
                <w:rFonts w:ascii="Book Antiqua" w:eastAsia="Calibri" w:hAnsi="Book Antiqua" w:cs="Times New Roman"/>
                <w:lang w:val="en-US"/>
              </w:rPr>
            </w:pPr>
          </w:p>
        </w:tc>
      </w:tr>
      <w:tr w:rsidR="007966B6" w:rsidRPr="007966B6" w14:paraId="313450F3" w14:textId="77777777" w:rsidTr="00010984">
        <w:tc>
          <w:tcPr>
            <w:tcW w:w="1271" w:type="dxa"/>
          </w:tcPr>
          <w:p w14:paraId="17718348" w14:textId="32580C43" w:rsidR="00F82A88" w:rsidRPr="007966B6" w:rsidRDefault="00644615" w:rsidP="005831C8">
            <w:pPr>
              <w:spacing w:line="360" w:lineRule="auto"/>
              <w:jc w:val="both"/>
              <w:rPr>
                <w:rFonts w:ascii="Book Antiqua" w:eastAsia="Calibri" w:hAnsi="Book Antiqua" w:cs="Times New Roman"/>
                <w:lang w:val="en-US"/>
              </w:rPr>
            </w:pPr>
            <w:r>
              <w:rPr>
                <w:rFonts w:ascii="Book Antiqua" w:eastAsia="Calibri" w:hAnsi="Book Antiqua" w:cs="Times New Roman"/>
                <w:lang w:val="en-US"/>
              </w:rPr>
              <w:t xml:space="preserve">Cartwright </w:t>
            </w:r>
            <w:r w:rsidRPr="00644615">
              <w:rPr>
                <w:rFonts w:ascii="Book Antiqua" w:eastAsia="Calibri" w:hAnsi="Book Antiqua" w:cs="Times New Roman"/>
                <w:i/>
                <w:lang w:val="en-US"/>
              </w:rPr>
              <w:t>et al</w:t>
            </w:r>
            <w:r w:rsidR="00F82A88" w:rsidRPr="007966B6">
              <w:rPr>
                <w:rFonts w:ascii="Book Antiqua" w:eastAsia="Calibri" w:hAnsi="Book Antiqua" w:cs="Calibri"/>
                <w:vertAlign w:val="superscript"/>
                <w:lang w:val="en-US"/>
              </w:rPr>
              <w:t>[</w:t>
            </w:r>
            <w:r w:rsidR="00F82A88" w:rsidRPr="007966B6">
              <w:rPr>
                <w:rFonts w:ascii="Book Antiqua" w:eastAsia="Calibri" w:hAnsi="Book Antiqua" w:cs="Times New Roman"/>
                <w:vertAlign w:val="superscript"/>
                <w:lang w:val="en-US"/>
              </w:rPr>
              <w:t>18</w:t>
            </w:r>
            <w:r w:rsidR="00F82A88" w:rsidRPr="007966B6">
              <w:rPr>
                <w:rFonts w:ascii="Book Antiqua" w:eastAsia="Calibri" w:hAnsi="Book Antiqua" w:cs="Calibri"/>
                <w:vertAlign w:val="superscript"/>
                <w:lang w:val="en-US"/>
              </w:rPr>
              <w:t>]</w:t>
            </w:r>
          </w:p>
        </w:tc>
        <w:tc>
          <w:tcPr>
            <w:tcW w:w="1418" w:type="dxa"/>
          </w:tcPr>
          <w:p w14:paraId="78C61587"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Observational cohort</w:t>
            </w:r>
          </w:p>
        </w:tc>
        <w:tc>
          <w:tcPr>
            <w:tcW w:w="1559" w:type="dxa"/>
          </w:tcPr>
          <w:p w14:paraId="6234DAF8"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100%</w:t>
            </w:r>
          </w:p>
        </w:tc>
        <w:tc>
          <w:tcPr>
            <w:tcW w:w="2977" w:type="dxa"/>
          </w:tcPr>
          <w:p w14:paraId="20C150E9"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CT+ BEV (267)</w:t>
            </w:r>
          </w:p>
          <w:p w14:paraId="3349B4F1"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CT alone (306)</w:t>
            </w:r>
          </w:p>
        </w:tc>
        <w:tc>
          <w:tcPr>
            <w:tcW w:w="1125" w:type="dxa"/>
          </w:tcPr>
          <w:p w14:paraId="2DAF412B"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NA</w:t>
            </w:r>
          </w:p>
          <w:p w14:paraId="3763CA44"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NA</w:t>
            </w:r>
          </w:p>
        </w:tc>
        <w:tc>
          <w:tcPr>
            <w:tcW w:w="1443" w:type="dxa"/>
          </w:tcPr>
          <w:p w14:paraId="0A535CA9"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14.6</w:t>
            </w:r>
          </w:p>
          <w:p w14:paraId="3B167D96"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10.1</w:t>
            </w:r>
          </w:p>
        </w:tc>
        <w:tc>
          <w:tcPr>
            <w:tcW w:w="1439" w:type="dxa"/>
          </w:tcPr>
          <w:p w14:paraId="68DCB430"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0.74</w:t>
            </w:r>
          </w:p>
        </w:tc>
        <w:tc>
          <w:tcPr>
            <w:tcW w:w="1421" w:type="dxa"/>
          </w:tcPr>
          <w:p w14:paraId="75F98753"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27.9</w:t>
            </w:r>
          </w:p>
          <w:p w14:paraId="00C97EF5"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21.4</w:t>
            </w:r>
          </w:p>
        </w:tc>
        <w:tc>
          <w:tcPr>
            <w:tcW w:w="1343" w:type="dxa"/>
          </w:tcPr>
          <w:p w14:paraId="4D181D99"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0.76</w:t>
            </w:r>
          </w:p>
        </w:tc>
      </w:tr>
      <w:tr w:rsidR="007966B6" w:rsidRPr="007966B6" w14:paraId="3260AF3F" w14:textId="77777777" w:rsidTr="00010984">
        <w:tc>
          <w:tcPr>
            <w:tcW w:w="1271" w:type="dxa"/>
          </w:tcPr>
          <w:p w14:paraId="3F123B77" w14:textId="55118CAF" w:rsidR="00F82A88" w:rsidRPr="007966B6" w:rsidRDefault="00644615" w:rsidP="005831C8">
            <w:pPr>
              <w:spacing w:line="360" w:lineRule="auto"/>
              <w:jc w:val="both"/>
              <w:rPr>
                <w:rFonts w:ascii="Book Antiqua" w:eastAsia="Calibri" w:hAnsi="Book Antiqua" w:cs="Times New Roman"/>
                <w:lang w:val="en-US"/>
              </w:rPr>
            </w:pPr>
            <w:r>
              <w:rPr>
                <w:rFonts w:ascii="Book Antiqua" w:eastAsia="Calibri" w:hAnsi="Book Antiqua" w:cs="Times New Roman"/>
                <w:lang w:val="en-US"/>
              </w:rPr>
              <w:t>ML18147</w:t>
            </w:r>
            <w:r w:rsidR="00F82A88" w:rsidRPr="007966B6">
              <w:rPr>
                <w:rFonts w:ascii="Book Antiqua" w:eastAsia="Calibri" w:hAnsi="Book Antiqua" w:cs="Calibri"/>
                <w:vertAlign w:val="superscript"/>
                <w:lang w:val="en-US"/>
              </w:rPr>
              <w:t>[</w:t>
            </w:r>
            <w:r w:rsidR="00F82A88" w:rsidRPr="007966B6">
              <w:rPr>
                <w:rFonts w:ascii="Book Antiqua" w:eastAsia="Calibri" w:hAnsi="Book Antiqua" w:cs="Times New Roman"/>
                <w:vertAlign w:val="superscript"/>
                <w:lang w:val="en-US"/>
              </w:rPr>
              <w:t>19</w:t>
            </w:r>
            <w:r w:rsidR="00F82A88" w:rsidRPr="007966B6">
              <w:rPr>
                <w:rFonts w:ascii="Book Antiqua" w:eastAsia="Calibri" w:hAnsi="Book Antiqua" w:cs="Calibri"/>
                <w:vertAlign w:val="superscript"/>
                <w:lang w:val="en-US"/>
              </w:rPr>
              <w:t>]</w:t>
            </w:r>
          </w:p>
        </w:tc>
        <w:tc>
          <w:tcPr>
            <w:tcW w:w="1418" w:type="dxa"/>
          </w:tcPr>
          <w:p w14:paraId="39801F1F"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Phase 3</w:t>
            </w:r>
          </w:p>
        </w:tc>
        <w:tc>
          <w:tcPr>
            <w:tcW w:w="1559" w:type="dxa"/>
          </w:tcPr>
          <w:p w14:paraId="0336A868"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100%</w:t>
            </w:r>
          </w:p>
        </w:tc>
        <w:tc>
          <w:tcPr>
            <w:tcW w:w="2977" w:type="dxa"/>
          </w:tcPr>
          <w:p w14:paraId="62E73D79"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FOLFOX/FOLFIRI + BEV (409)</w:t>
            </w:r>
          </w:p>
          <w:p w14:paraId="5C2E44CB"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FOLFOX/FOLFIRI + placebo (411)</w:t>
            </w:r>
          </w:p>
        </w:tc>
        <w:tc>
          <w:tcPr>
            <w:tcW w:w="1125" w:type="dxa"/>
          </w:tcPr>
          <w:p w14:paraId="7611F78F"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5</w:t>
            </w:r>
          </w:p>
          <w:p w14:paraId="2A5324A8"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4</w:t>
            </w:r>
          </w:p>
        </w:tc>
        <w:tc>
          <w:tcPr>
            <w:tcW w:w="1443" w:type="dxa"/>
          </w:tcPr>
          <w:p w14:paraId="52B216AC"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5.7</w:t>
            </w:r>
          </w:p>
          <w:p w14:paraId="151CB5EE"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4.1</w:t>
            </w:r>
          </w:p>
        </w:tc>
        <w:tc>
          <w:tcPr>
            <w:tcW w:w="1439" w:type="dxa"/>
          </w:tcPr>
          <w:p w14:paraId="097C1F17"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0.68</w:t>
            </w:r>
          </w:p>
        </w:tc>
        <w:tc>
          <w:tcPr>
            <w:tcW w:w="1421" w:type="dxa"/>
          </w:tcPr>
          <w:p w14:paraId="79C16E99"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11.2</w:t>
            </w:r>
          </w:p>
          <w:p w14:paraId="0CBCDB19"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9.8</w:t>
            </w:r>
          </w:p>
        </w:tc>
        <w:tc>
          <w:tcPr>
            <w:tcW w:w="1343" w:type="dxa"/>
          </w:tcPr>
          <w:p w14:paraId="442DF6C5"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0.81</w:t>
            </w:r>
          </w:p>
        </w:tc>
      </w:tr>
      <w:tr w:rsidR="007966B6" w:rsidRPr="007966B6" w14:paraId="278E0156" w14:textId="77777777" w:rsidTr="00010984">
        <w:tc>
          <w:tcPr>
            <w:tcW w:w="1271" w:type="dxa"/>
          </w:tcPr>
          <w:p w14:paraId="422FC8E5" w14:textId="77E1CB93" w:rsidR="00F82A88" w:rsidRPr="007966B6" w:rsidRDefault="00644615" w:rsidP="005831C8">
            <w:pPr>
              <w:spacing w:line="360" w:lineRule="auto"/>
              <w:jc w:val="both"/>
              <w:rPr>
                <w:rFonts w:ascii="Book Antiqua" w:eastAsia="Calibri" w:hAnsi="Book Antiqua" w:cs="Times New Roman"/>
                <w:lang w:val="en-US"/>
              </w:rPr>
            </w:pPr>
            <w:r>
              <w:rPr>
                <w:rFonts w:ascii="Book Antiqua" w:eastAsia="Calibri" w:hAnsi="Book Antiqua" w:cs="Times New Roman"/>
                <w:lang w:val="en-US"/>
              </w:rPr>
              <w:lastRenderedPageBreak/>
              <w:t>BEBYP</w:t>
            </w:r>
            <w:r w:rsidR="00F82A88" w:rsidRPr="007966B6">
              <w:rPr>
                <w:rFonts w:ascii="Book Antiqua" w:eastAsia="Calibri" w:hAnsi="Book Antiqua" w:cs="Calibri"/>
                <w:vertAlign w:val="superscript"/>
                <w:lang w:val="en-US"/>
              </w:rPr>
              <w:t>[</w:t>
            </w:r>
            <w:r w:rsidR="00F82A88" w:rsidRPr="007966B6">
              <w:rPr>
                <w:rFonts w:ascii="Book Antiqua" w:eastAsia="Calibri" w:hAnsi="Book Antiqua" w:cs="Times New Roman"/>
                <w:vertAlign w:val="superscript"/>
                <w:lang w:val="en-US"/>
              </w:rPr>
              <w:t>20</w:t>
            </w:r>
            <w:r w:rsidR="00F82A88" w:rsidRPr="007966B6">
              <w:rPr>
                <w:rFonts w:ascii="Book Antiqua" w:eastAsia="Calibri" w:hAnsi="Book Antiqua" w:cs="Calibri"/>
                <w:vertAlign w:val="superscript"/>
                <w:lang w:val="en-US"/>
              </w:rPr>
              <w:t>]</w:t>
            </w:r>
          </w:p>
        </w:tc>
        <w:tc>
          <w:tcPr>
            <w:tcW w:w="1418" w:type="dxa"/>
          </w:tcPr>
          <w:p w14:paraId="3E3ADE32"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Phase 3</w:t>
            </w:r>
          </w:p>
        </w:tc>
        <w:tc>
          <w:tcPr>
            <w:tcW w:w="1559" w:type="dxa"/>
          </w:tcPr>
          <w:p w14:paraId="736AF84E"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100%</w:t>
            </w:r>
          </w:p>
        </w:tc>
        <w:tc>
          <w:tcPr>
            <w:tcW w:w="2977" w:type="dxa"/>
          </w:tcPr>
          <w:p w14:paraId="69C4C7DD"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FOLFOX/FOLFIRI + BEV (92)</w:t>
            </w:r>
          </w:p>
          <w:p w14:paraId="3D34491E"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FOLFOX/FOLFIRI + placebo (92)</w:t>
            </w:r>
          </w:p>
        </w:tc>
        <w:tc>
          <w:tcPr>
            <w:tcW w:w="1125" w:type="dxa"/>
          </w:tcPr>
          <w:p w14:paraId="19E5E9F4"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21</w:t>
            </w:r>
          </w:p>
          <w:p w14:paraId="244CF841"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17</w:t>
            </w:r>
          </w:p>
        </w:tc>
        <w:tc>
          <w:tcPr>
            <w:tcW w:w="1443" w:type="dxa"/>
          </w:tcPr>
          <w:p w14:paraId="37DC9B73"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6.8</w:t>
            </w:r>
          </w:p>
          <w:p w14:paraId="25444958"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5.0</w:t>
            </w:r>
          </w:p>
        </w:tc>
        <w:tc>
          <w:tcPr>
            <w:tcW w:w="1439" w:type="dxa"/>
          </w:tcPr>
          <w:p w14:paraId="47BE8225"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0.70</w:t>
            </w:r>
          </w:p>
        </w:tc>
        <w:tc>
          <w:tcPr>
            <w:tcW w:w="1421" w:type="dxa"/>
          </w:tcPr>
          <w:p w14:paraId="7293A2B9"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15.5</w:t>
            </w:r>
          </w:p>
          <w:p w14:paraId="24D698E2"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14.4</w:t>
            </w:r>
          </w:p>
        </w:tc>
        <w:tc>
          <w:tcPr>
            <w:tcW w:w="1343" w:type="dxa"/>
          </w:tcPr>
          <w:p w14:paraId="57B3CB60"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0.77</w:t>
            </w:r>
          </w:p>
        </w:tc>
      </w:tr>
      <w:tr w:rsidR="007966B6" w:rsidRPr="007966B6" w14:paraId="1619AA58" w14:textId="77777777" w:rsidTr="00010984">
        <w:tc>
          <w:tcPr>
            <w:tcW w:w="1271" w:type="dxa"/>
          </w:tcPr>
          <w:p w14:paraId="0DD60375" w14:textId="6FFE11D9" w:rsidR="00F82A88" w:rsidRPr="007966B6" w:rsidRDefault="00644615" w:rsidP="005831C8">
            <w:pPr>
              <w:spacing w:line="360" w:lineRule="auto"/>
              <w:jc w:val="both"/>
              <w:rPr>
                <w:rFonts w:ascii="Book Antiqua" w:eastAsia="Calibri" w:hAnsi="Book Antiqua" w:cs="Times New Roman"/>
                <w:lang w:val="en-US"/>
              </w:rPr>
            </w:pPr>
            <w:r>
              <w:rPr>
                <w:rFonts w:ascii="Book Antiqua" w:eastAsia="Calibri" w:hAnsi="Book Antiqua" w:cs="Times New Roman"/>
                <w:lang w:val="en-US"/>
              </w:rPr>
              <w:t>VELOUR</w:t>
            </w:r>
            <w:r w:rsidR="00F82A88" w:rsidRPr="007966B6">
              <w:rPr>
                <w:rFonts w:ascii="Book Antiqua" w:eastAsia="Calibri" w:hAnsi="Book Antiqua" w:cs="Calibri"/>
                <w:vertAlign w:val="superscript"/>
                <w:lang w:val="en-US"/>
              </w:rPr>
              <w:t>[</w:t>
            </w:r>
            <w:r w:rsidR="00F82A88" w:rsidRPr="007966B6">
              <w:rPr>
                <w:rFonts w:ascii="Book Antiqua" w:eastAsia="Calibri" w:hAnsi="Book Antiqua" w:cs="Times New Roman"/>
                <w:vertAlign w:val="superscript"/>
                <w:lang w:val="en-US"/>
              </w:rPr>
              <w:t>27</w:t>
            </w:r>
            <w:r w:rsidR="00F82A88" w:rsidRPr="007966B6">
              <w:rPr>
                <w:rFonts w:ascii="Book Antiqua" w:eastAsia="Calibri" w:hAnsi="Book Antiqua" w:cs="Calibri"/>
                <w:vertAlign w:val="superscript"/>
                <w:lang w:val="en-US"/>
              </w:rPr>
              <w:t>]</w:t>
            </w:r>
          </w:p>
        </w:tc>
        <w:tc>
          <w:tcPr>
            <w:tcW w:w="1418" w:type="dxa"/>
          </w:tcPr>
          <w:p w14:paraId="664F505B"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Phase 3</w:t>
            </w:r>
          </w:p>
        </w:tc>
        <w:tc>
          <w:tcPr>
            <w:tcW w:w="1559" w:type="dxa"/>
          </w:tcPr>
          <w:p w14:paraId="0BCA9D63"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30%</w:t>
            </w:r>
          </w:p>
        </w:tc>
        <w:tc>
          <w:tcPr>
            <w:tcW w:w="2977" w:type="dxa"/>
          </w:tcPr>
          <w:p w14:paraId="770488C6"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FOLFIRI + Aflibercept (612)</w:t>
            </w:r>
          </w:p>
          <w:p w14:paraId="03FFFB69"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FOLFIRI + placebo (614)</w:t>
            </w:r>
          </w:p>
        </w:tc>
        <w:tc>
          <w:tcPr>
            <w:tcW w:w="1125" w:type="dxa"/>
          </w:tcPr>
          <w:p w14:paraId="0E5C98C7"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19.8</w:t>
            </w:r>
          </w:p>
          <w:p w14:paraId="115DD586"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11.1</w:t>
            </w:r>
          </w:p>
        </w:tc>
        <w:tc>
          <w:tcPr>
            <w:tcW w:w="1443" w:type="dxa"/>
          </w:tcPr>
          <w:p w14:paraId="57D5373E"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6.9</w:t>
            </w:r>
          </w:p>
          <w:p w14:paraId="29B51CE4"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4.7</w:t>
            </w:r>
          </w:p>
        </w:tc>
        <w:tc>
          <w:tcPr>
            <w:tcW w:w="1439" w:type="dxa"/>
          </w:tcPr>
          <w:p w14:paraId="242228BA"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0.76</w:t>
            </w:r>
          </w:p>
        </w:tc>
        <w:tc>
          <w:tcPr>
            <w:tcW w:w="1421" w:type="dxa"/>
          </w:tcPr>
          <w:p w14:paraId="4D812F80"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13.5</w:t>
            </w:r>
          </w:p>
          <w:p w14:paraId="700829B9"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12.0</w:t>
            </w:r>
          </w:p>
        </w:tc>
        <w:tc>
          <w:tcPr>
            <w:tcW w:w="1343" w:type="dxa"/>
          </w:tcPr>
          <w:p w14:paraId="04359173"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0.82</w:t>
            </w:r>
          </w:p>
        </w:tc>
      </w:tr>
      <w:tr w:rsidR="007966B6" w:rsidRPr="007966B6" w14:paraId="3A737B51" w14:textId="77777777" w:rsidTr="00010984">
        <w:tc>
          <w:tcPr>
            <w:tcW w:w="1271" w:type="dxa"/>
          </w:tcPr>
          <w:p w14:paraId="71A8A2F8" w14:textId="6BFEF95B" w:rsidR="00F82A88" w:rsidRPr="007966B6" w:rsidRDefault="00644615" w:rsidP="005831C8">
            <w:pPr>
              <w:spacing w:line="360" w:lineRule="auto"/>
              <w:jc w:val="both"/>
              <w:rPr>
                <w:rFonts w:ascii="Book Antiqua" w:eastAsia="Calibri" w:hAnsi="Book Antiqua" w:cs="Times New Roman"/>
                <w:lang w:val="en-US"/>
              </w:rPr>
            </w:pPr>
            <w:r>
              <w:rPr>
                <w:rFonts w:ascii="Book Antiqua" w:eastAsia="Calibri" w:hAnsi="Book Antiqua" w:cs="Times New Roman"/>
                <w:lang w:val="en-US"/>
              </w:rPr>
              <w:t>RAISE</w:t>
            </w:r>
            <w:r w:rsidR="00F82A88" w:rsidRPr="007966B6">
              <w:rPr>
                <w:rFonts w:ascii="Book Antiqua" w:eastAsia="Calibri" w:hAnsi="Book Antiqua" w:cs="Calibri"/>
                <w:vertAlign w:val="superscript"/>
                <w:lang w:val="en-US"/>
              </w:rPr>
              <w:t>[</w:t>
            </w:r>
            <w:r w:rsidR="00F82A88" w:rsidRPr="007966B6">
              <w:rPr>
                <w:rFonts w:ascii="Book Antiqua" w:eastAsia="Calibri" w:hAnsi="Book Antiqua" w:cs="Times New Roman"/>
                <w:vertAlign w:val="superscript"/>
                <w:lang w:val="en-US"/>
              </w:rPr>
              <w:t>37</w:t>
            </w:r>
            <w:r w:rsidR="00F82A88" w:rsidRPr="007966B6">
              <w:rPr>
                <w:rFonts w:ascii="Book Antiqua" w:eastAsia="Calibri" w:hAnsi="Book Antiqua" w:cs="Calibri"/>
                <w:vertAlign w:val="superscript"/>
                <w:lang w:val="en-US"/>
              </w:rPr>
              <w:t>]</w:t>
            </w:r>
          </w:p>
        </w:tc>
        <w:tc>
          <w:tcPr>
            <w:tcW w:w="1418" w:type="dxa"/>
          </w:tcPr>
          <w:p w14:paraId="6D80FC5A"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Phase 3</w:t>
            </w:r>
          </w:p>
        </w:tc>
        <w:tc>
          <w:tcPr>
            <w:tcW w:w="1559" w:type="dxa"/>
          </w:tcPr>
          <w:p w14:paraId="085DF712"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100%</w:t>
            </w:r>
          </w:p>
        </w:tc>
        <w:tc>
          <w:tcPr>
            <w:tcW w:w="2977" w:type="dxa"/>
          </w:tcPr>
          <w:p w14:paraId="17DC1015"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FOLFIRI + Ramucirumab (536)</w:t>
            </w:r>
          </w:p>
          <w:p w14:paraId="7061C55A"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FOLFIRI + placebo (536)</w:t>
            </w:r>
          </w:p>
        </w:tc>
        <w:tc>
          <w:tcPr>
            <w:tcW w:w="1125" w:type="dxa"/>
          </w:tcPr>
          <w:p w14:paraId="71DCF1B9"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13.4</w:t>
            </w:r>
          </w:p>
          <w:p w14:paraId="443232EE"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12.5</w:t>
            </w:r>
          </w:p>
        </w:tc>
        <w:tc>
          <w:tcPr>
            <w:tcW w:w="1443" w:type="dxa"/>
          </w:tcPr>
          <w:p w14:paraId="54D89D84"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5.7</w:t>
            </w:r>
          </w:p>
          <w:p w14:paraId="151FAE9E"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4.5</w:t>
            </w:r>
          </w:p>
        </w:tc>
        <w:tc>
          <w:tcPr>
            <w:tcW w:w="1439" w:type="dxa"/>
          </w:tcPr>
          <w:p w14:paraId="7B7A98D2"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0.79</w:t>
            </w:r>
          </w:p>
        </w:tc>
        <w:tc>
          <w:tcPr>
            <w:tcW w:w="1421" w:type="dxa"/>
          </w:tcPr>
          <w:p w14:paraId="29459DB0"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13.3</w:t>
            </w:r>
          </w:p>
          <w:p w14:paraId="6EBF23E7"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11.7</w:t>
            </w:r>
          </w:p>
        </w:tc>
        <w:tc>
          <w:tcPr>
            <w:tcW w:w="1343" w:type="dxa"/>
          </w:tcPr>
          <w:p w14:paraId="35D1533F" w14:textId="77777777" w:rsidR="00F82A88" w:rsidRPr="007966B6" w:rsidRDefault="00F82A88" w:rsidP="005831C8">
            <w:pPr>
              <w:spacing w:line="360" w:lineRule="auto"/>
              <w:jc w:val="both"/>
              <w:rPr>
                <w:rFonts w:ascii="Book Antiqua" w:eastAsia="Calibri" w:hAnsi="Book Antiqua" w:cs="Times New Roman"/>
                <w:lang w:val="en-US"/>
              </w:rPr>
            </w:pPr>
            <w:r w:rsidRPr="007966B6">
              <w:rPr>
                <w:rFonts w:ascii="Book Antiqua" w:eastAsia="Calibri" w:hAnsi="Book Antiqua" w:cs="Times New Roman"/>
                <w:lang w:val="en-US"/>
              </w:rPr>
              <w:t>0.84</w:t>
            </w:r>
          </w:p>
        </w:tc>
      </w:tr>
    </w:tbl>
    <w:p w14:paraId="7B4EADAF" w14:textId="469F4F78" w:rsidR="00F82A88" w:rsidRPr="00644615" w:rsidRDefault="00F82A88" w:rsidP="005831C8">
      <w:pPr>
        <w:spacing w:after="0" w:line="360" w:lineRule="auto"/>
        <w:jc w:val="both"/>
        <w:rPr>
          <w:rFonts w:ascii="Book Antiqua" w:hAnsi="Book Antiqua" w:cs="Times New Roman"/>
          <w:sz w:val="24"/>
          <w:szCs w:val="24"/>
          <w:lang w:val="en-US" w:eastAsia="zh-CN"/>
        </w:rPr>
      </w:pPr>
      <w:r w:rsidRPr="007966B6">
        <w:rPr>
          <w:rFonts w:ascii="Book Antiqua" w:eastAsia="Calibri" w:hAnsi="Book Antiqua" w:cs="Times New Roman"/>
          <w:sz w:val="24"/>
          <w:szCs w:val="24"/>
          <w:lang w:val="en-US"/>
        </w:rPr>
        <w:t>BEV</w:t>
      </w:r>
      <w:r w:rsidR="00644615">
        <w:rPr>
          <w:rFonts w:ascii="Book Antiqua" w:hAnsi="Book Antiqua" w:cs="Times New Roman" w:hint="eastAsia"/>
          <w:sz w:val="24"/>
          <w:szCs w:val="24"/>
          <w:lang w:val="en-US" w:eastAsia="zh-CN"/>
        </w:rPr>
        <w:t>:</w:t>
      </w:r>
      <w:r w:rsidRPr="007966B6">
        <w:rPr>
          <w:rFonts w:ascii="Book Antiqua" w:eastAsia="Calibri" w:hAnsi="Book Antiqua" w:cs="Times New Roman"/>
          <w:sz w:val="24"/>
          <w:szCs w:val="24"/>
          <w:lang w:val="en-US"/>
        </w:rPr>
        <w:t xml:space="preserve"> </w:t>
      </w:r>
      <w:r w:rsidR="00644615" w:rsidRPr="007966B6">
        <w:rPr>
          <w:rFonts w:ascii="Book Antiqua" w:eastAsia="Calibri" w:hAnsi="Book Antiqua" w:cs="Times New Roman"/>
          <w:sz w:val="24"/>
          <w:szCs w:val="24"/>
          <w:lang w:val="en-US"/>
        </w:rPr>
        <w:t>Bevacizumab</w:t>
      </w:r>
      <w:r w:rsidRPr="007966B6">
        <w:rPr>
          <w:rFonts w:ascii="Book Antiqua" w:eastAsia="Calibri" w:hAnsi="Book Antiqua" w:cs="Times New Roman"/>
          <w:sz w:val="24"/>
          <w:szCs w:val="24"/>
          <w:lang w:val="en-US"/>
        </w:rPr>
        <w:t xml:space="preserve">; </w:t>
      </w:r>
      <w:proofErr w:type="spellStart"/>
      <w:r w:rsidRPr="007966B6">
        <w:rPr>
          <w:rFonts w:ascii="Book Antiqua" w:eastAsia="Calibri" w:hAnsi="Book Antiqua" w:cs="Times New Roman"/>
          <w:sz w:val="24"/>
          <w:szCs w:val="24"/>
          <w:lang w:val="en-US"/>
        </w:rPr>
        <w:t>mPFS</w:t>
      </w:r>
      <w:proofErr w:type="spellEnd"/>
      <w:r w:rsidR="00644615">
        <w:rPr>
          <w:rFonts w:ascii="Book Antiqua" w:hAnsi="Book Antiqua" w:cs="Times New Roman" w:hint="eastAsia"/>
          <w:sz w:val="24"/>
          <w:szCs w:val="24"/>
          <w:lang w:val="en-US" w:eastAsia="zh-CN"/>
        </w:rPr>
        <w:t>:</w:t>
      </w:r>
      <w:r w:rsidRPr="007966B6">
        <w:rPr>
          <w:rFonts w:ascii="Book Antiqua" w:eastAsia="Calibri" w:hAnsi="Book Antiqua" w:cs="Times New Roman"/>
          <w:sz w:val="24"/>
          <w:szCs w:val="24"/>
          <w:lang w:val="en-US"/>
        </w:rPr>
        <w:t xml:space="preserve"> </w:t>
      </w:r>
      <w:r w:rsidR="00644615" w:rsidRPr="007966B6">
        <w:rPr>
          <w:rFonts w:ascii="Book Antiqua" w:eastAsia="Calibri" w:hAnsi="Book Antiqua" w:cs="Times New Roman"/>
          <w:sz w:val="24"/>
          <w:szCs w:val="24"/>
          <w:lang w:val="en-US"/>
        </w:rPr>
        <w:t xml:space="preserve">Median </w:t>
      </w:r>
      <w:r w:rsidRPr="007966B6">
        <w:rPr>
          <w:rFonts w:ascii="Book Antiqua" w:eastAsia="Calibri" w:hAnsi="Book Antiqua" w:cs="Times New Roman"/>
          <w:sz w:val="24"/>
          <w:szCs w:val="24"/>
          <w:lang w:val="en-US"/>
        </w:rPr>
        <w:t xml:space="preserve">progression-free survival; </w:t>
      </w:r>
      <w:proofErr w:type="spellStart"/>
      <w:r w:rsidRPr="007966B6">
        <w:rPr>
          <w:rFonts w:ascii="Book Antiqua" w:eastAsia="Calibri" w:hAnsi="Book Antiqua" w:cs="Times New Roman"/>
          <w:sz w:val="24"/>
          <w:szCs w:val="24"/>
          <w:lang w:val="en-US"/>
        </w:rPr>
        <w:t>mOS</w:t>
      </w:r>
      <w:proofErr w:type="spellEnd"/>
      <w:r w:rsidR="00644615">
        <w:rPr>
          <w:rFonts w:ascii="Book Antiqua" w:hAnsi="Book Antiqua" w:cs="Times New Roman" w:hint="eastAsia"/>
          <w:sz w:val="24"/>
          <w:szCs w:val="24"/>
          <w:lang w:val="en-US" w:eastAsia="zh-CN"/>
        </w:rPr>
        <w:t>:</w:t>
      </w:r>
      <w:r w:rsidRPr="007966B6">
        <w:rPr>
          <w:rFonts w:ascii="Book Antiqua" w:eastAsia="Calibri" w:hAnsi="Book Antiqua" w:cs="Times New Roman"/>
          <w:sz w:val="24"/>
          <w:szCs w:val="24"/>
          <w:lang w:val="en-US"/>
        </w:rPr>
        <w:t xml:space="preserve"> </w:t>
      </w:r>
      <w:r w:rsidR="00644615" w:rsidRPr="007966B6">
        <w:rPr>
          <w:rFonts w:ascii="Book Antiqua" w:eastAsia="Calibri" w:hAnsi="Book Antiqua" w:cs="Times New Roman"/>
          <w:sz w:val="24"/>
          <w:szCs w:val="24"/>
          <w:lang w:val="en-US"/>
        </w:rPr>
        <w:t xml:space="preserve">Median </w:t>
      </w:r>
      <w:r w:rsidRPr="007966B6">
        <w:rPr>
          <w:rFonts w:ascii="Book Antiqua" w:eastAsia="Calibri" w:hAnsi="Book Antiqua" w:cs="Times New Roman"/>
          <w:sz w:val="24"/>
          <w:szCs w:val="24"/>
          <w:lang w:val="en-US"/>
        </w:rPr>
        <w:t>overall-survival; HR</w:t>
      </w:r>
      <w:r w:rsidR="00644615">
        <w:rPr>
          <w:rFonts w:ascii="Book Antiqua" w:hAnsi="Book Antiqua" w:cs="Times New Roman" w:hint="eastAsia"/>
          <w:sz w:val="24"/>
          <w:szCs w:val="24"/>
          <w:lang w:val="en-US" w:eastAsia="zh-CN"/>
        </w:rPr>
        <w:t>:</w:t>
      </w:r>
      <w:r w:rsidRPr="007966B6">
        <w:rPr>
          <w:rFonts w:ascii="Book Antiqua" w:eastAsia="Calibri" w:hAnsi="Book Antiqua" w:cs="Times New Roman"/>
          <w:sz w:val="24"/>
          <w:szCs w:val="24"/>
          <w:lang w:val="en-US"/>
        </w:rPr>
        <w:t xml:space="preserve"> </w:t>
      </w:r>
      <w:r w:rsidR="00644615" w:rsidRPr="007966B6">
        <w:rPr>
          <w:rFonts w:ascii="Book Antiqua" w:eastAsia="Calibri" w:hAnsi="Book Antiqua" w:cs="Times New Roman"/>
          <w:sz w:val="24"/>
          <w:szCs w:val="24"/>
          <w:lang w:val="en-US"/>
        </w:rPr>
        <w:t xml:space="preserve">Hazard </w:t>
      </w:r>
      <w:r w:rsidRPr="007966B6">
        <w:rPr>
          <w:rFonts w:ascii="Book Antiqua" w:eastAsia="Calibri" w:hAnsi="Book Antiqua" w:cs="Times New Roman"/>
          <w:sz w:val="24"/>
          <w:szCs w:val="24"/>
          <w:lang w:val="en-US"/>
        </w:rPr>
        <w:t>ratio; CT</w:t>
      </w:r>
      <w:r w:rsidR="00644615">
        <w:rPr>
          <w:rFonts w:ascii="Book Antiqua" w:hAnsi="Book Antiqua" w:cs="Times New Roman" w:hint="eastAsia"/>
          <w:sz w:val="24"/>
          <w:szCs w:val="24"/>
          <w:lang w:val="en-US" w:eastAsia="zh-CN"/>
        </w:rPr>
        <w:t>:</w:t>
      </w:r>
      <w:r w:rsidRPr="007966B6">
        <w:rPr>
          <w:rFonts w:ascii="Book Antiqua" w:eastAsia="Calibri" w:hAnsi="Book Antiqua" w:cs="Times New Roman"/>
          <w:sz w:val="24"/>
          <w:szCs w:val="24"/>
          <w:lang w:val="en-US"/>
        </w:rPr>
        <w:t xml:space="preserve"> </w:t>
      </w:r>
      <w:r w:rsidR="00644615" w:rsidRPr="007966B6">
        <w:rPr>
          <w:rFonts w:ascii="Book Antiqua" w:eastAsia="Calibri" w:hAnsi="Book Antiqua" w:cs="Times New Roman"/>
          <w:sz w:val="24"/>
          <w:szCs w:val="24"/>
          <w:lang w:val="en-US"/>
        </w:rPr>
        <w:t>Chemotherapy</w:t>
      </w:r>
      <w:r w:rsidRPr="007966B6">
        <w:rPr>
          <w:rFonts w:ascii="Book Antiqua" w:eastAsia="Calibri" w:hAnsi="Book Antiqua" w:cs="Times New Roman"/>
          <w:sz w:val="24"/>
          <w:szCs w:val="24"/>
          <w:lang w:val="en-US"/>
        </w:rPr>
        <w:t>; NA</w:t>
      </w:r>
      <w:r w:rsidR="00644615">
        <w:rPr>
          <w:rFonts w:ascii="Book Antiqua" w:hAnsi="Book Antiqua" w:cs="Times New Roman" w:hint="eastAsia"/>
          <w:sz w:val="24"/>
          <w:szCs w:val="24"/>
          <w:lang w:val="en-US" w:eastAsia="zh-CN"/>
        </w:rPr>
        <w:t>:</w:t>
      </w:r>
      <w:r w:rsidRPr="007966B6">
        <w:rPr>
          <w:rFonts w:ascii="Book Antiqua" w:eastAsia="Calibri" w:hAnsi="Book Antiqua" w:cs="Times New Roman"/>
          <w:sz w:val="24"/>
          <w:szCs w:val="24"/>
          <w:lang w:val="en-US"/>
        </w:rPr>
        <w:t xml:space="preserve"> </w:t>
      </w:r>
      <w:r w:rsidR="00644615" w:rsidRPr="007966B6">
        <w:rPr>
          <w:rFonts w:ascii="Book Antiqua" w:eastAsia="Calibri" w:hAnsi="Book Antiqua" w:cs="Times New Roman"/>
          <w:sz w:val="24"/>
          <w:szCs w:val="24"/>
          <w:lang w:val="en-US"/>
        </w:rPr>
        <w:t xml:space="preserve">Not </w:t>
      </w:r>
      <w:r w:rsidRPr="007966B6">
        <w:rPr>
          <w:rFonts w:ascii="Book Antiqua" w:eastAsia="Calibri" w:hAnsi="Book Antiqua" w:cs="Times New Roman"/>
          <w:sz w:val="24"/>
          <w:szCs w:val="24"/>
          <w:lang w:val="en-US"/>
        </w:rPr>
        <w:t>available; FOLFOX</w:t>
      </w:r>
      <w:r w:rsidR="00644615">
        <w:rPr>
          <w:rFonts w:ascii="Book Antiqua" w:hAnsi="Book Antiqua" w:cs="Times New Roman" w:hint="eastAsia"/>
          <w:sz w:val="24"/>
          <w:szCs w:val="24"/>
          <w:lang w:val="en-US" w:eastAsia="zh-CN"/>
        </w:rPr>
        <w:t xml:space="preserve">: </w:t>
      </w:r>
      <w:r w:rsidRPr="007966B6">
        <w:rPr>
          <w:rFonts w:ascii="Book Antiqua" w:eastAsia="Calibri" w:hAnsi="Book Antiqua" w:cs="Times New Roman"/>
          <w:sz w:val="24"/>
          <w:szCs w:val="24"/>
          <w:lang w:val="en-US"/>
        </w:rPr>
        <w:t>5-FU, leucovorin, oxaliplatin; FOLFIRI</w:t>
      </w:r>
      <w:r w:rsidR="00644615">
        <w:rPr>
          <w:rFonts w:ascii="Book Antiqua" w:hAnsi="Book Antiqua" w:cs="Times New Roman" w:hint="eastAsia"/>
          <w:sz w:val="24"/>
          <w:szCs w:val="24"/>
          <w:lang w:val="en-US" w:eastAsia="zh-CN"/>
        </w:rPr>
        <w:t xml:space="preserve">: </w:t>
      </w:r>
      <w:r w:rsidRPr="007966B6">
        <w:rPr>
          <w:rFonts w:ascii="Book Antiqua" w:eastAsia="Calibri" w:hAnsi="Book Antiqua" w:cs="Times New Roman"/>
          <w:sz w:val="24"/>
          <w:szCs w:val="24"/>
          <w:lang w:val="en-US"/>
        </w:rPr>
        <w:t>5-FU, leucovorin, irinotecan</w:t>
      </w:r>
      <w:r w:rsidR="00644615">
        <w:rPr>
          <w:rFonts w:ascii="Book Antiqua" w:hAnsi="Book Antiqua" w:cs="Times New Roman" w:hint="eastAsia"/>
          <w:sz w:val="24"/>
          <w:szCs w:val="24"/>
          <w:lang w:val="en-US" w:eastAsia="zh-CN"/>
        </w:rPr>
        <w:t>.</w:t>
      </w:r>
    </w:p>
    <w:p w14:paraId="0BD51896" w14:textId="77777777" w:rsidR="00F82A88" w:rsidRPr="007966B6" w:rsidRDefault="00F82A88" w:rsidP="005831C8">
      <w:pPr>
        <w:spacing w:after="0" w:line="360" w:lineRule="auto"/>
        <w:jc w:val="both"/>
        <w:rPr>
          <w:rFonts w:ascii="Book Antiqua" w:eastAsia="Calibri" w:hAnsi="Book Antiqua" w:cs="Times New Roman"/>
          <w:b/>
          <w:sz w:val="24"/>
          <w:szCs w:val="24"/>
          <w:lang w:val="en-US"/>
        </w:rPr>
      </w:pPr>
    </w:p>
    <w:sectPr w:rsidR="00F82A88" w:rsidRPr="007966B6" w:rsidSect="00A8159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3046E" w14:textId="77777777" w:rsidR="00B81D2D" w:rsidRDefault="00B81D2D" w:rsidP="00DC570A">
      <w:pPr>
        <w:spacing w:after="0" w:line="240" w:lineRule="auto"/>
      </w:pPr>
      <w:r>
        <w:separator/>
      </w:r>
    </w:p>
  </w:endnote>
  <w:endnote w:type="continuationSeparator" w:id="0">
    <w:p w14:paraId="7D5348AD" w14:textId="77777777" w:rsidR="00B81D2D" w:rsidRDefault="00B81D2D" w:rsidP="00DC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8A3A" w14:textId="77777777" w:rsidR="00B81D2D" w:rsidRDefault="00B81D2D" w:rsidP="00DC570A">
      <w:pPr>
        <w:spacing w:after="0" w:line="240" w:lineRule="auto"/>
      </w:pPr>
      <w:r>
        <w:separator/>
      </w:r>
    </w:p>
  </w:footnote>
  <w:footnote w:type="continuationSeparator" w:id="0">
    <w:p w14:paraId="3951B1CC" w14:textId="77777777" w:rsidR="00B81D2D" w:rsidRDefault="00B81D2D" w:rsidP="00DC5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1754"/>
    <w:multiLevelType w:val="hybridMultilevel"/>
    <w:tmpl w:val="0126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C3280"/>
    <w:multiLevelType w:val="hybridMultilevel"/>
    <w:tmpl w:val="B0EE06C8"/>
    <w:lvl w:ilvl="0" w:tplc="3078E4C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S0MDMzMTU3NjSzNLJU0lEKTi0uzszPAykwrgUAfmpBxSwAAAA="/>
  </w:docVars>
  <w:rsids>
    <w:rsidRoot w:val="006926B9"/>
    <w:rsid w:val="000249B1"/>
    <w:rsid w:val="00067F1A"/>
    <w:rsid w:val="000D6B63"/>
    <w:rsid w:val="00116566"/>
    <w:rsid w:val="00180851"/>
    <w:rsid w:val="001A5C30"/>
    <w:rsid w:val="001B415F"/>
    <w:rsid w:val="001E4EF7"/>
    <w:rsid w:val="00262186"/>
    <w:rsid w:val="00273A9A"/>
    <w:rsid w:val="002A3268"/>
    <w:rsid w:val="002C2236"/>
    <w:rsid w:val="002C3988"/>
    <w:rsid w:val="002F7739"/>
    <w:rsid w:val="003173B7"/>
    <w:rsid w:val="00393570"/>
    <w:rsid w:val="003E2988"/>
    <w:rsid w:val="0047634C"/>
    <w:rsid w:val="004C5221"/>
    <w:rsid w:val="004F0CE0"/>
    <w:rsid w:val="005036E9"/>
    <w:rsid w:val="005143B3"/>
    <w:rsid w:val="005275D1"/>
    <w:rsid w:val="0053203B"/>
    <w:rsid w:val="005831C8"/>
    <w:rsid w:val="005978F6"/>
    <w:rsid w:val="005F01C4"/>
    <w:rsid w:val="00644615"/>
    <w:rsid w:val="00663832"/>
    <w:rsid w:val="006926B9"/>
    <w:rsid w:val="006B0F7A"/>
    <w:rsid w:val="006D58D1"/>
    <w:rsid w:val="006E2CA9"/>
    <w:rsid w:val="00744417"/>
    <w:rsid w:val="007462D1"/>
    <w:rsid w:val="007966B6"/>
    <w:rsid w:val="0079711A"/>
    <w:rsid w:val="00802EC7"/>
    <w:rsid w:val="00921768"/>
    <w:rsid w:val="00984EF4"/>
    <w:rsid w:val="009A515A"/>
    <w:rsid w:val="009E71ED"/>
    <w:rsid w:val="00A02450"/>
    <w:rsid w:val="00A8159C"/>
    <w:rsid w:val="00A87B22"/>
    <w:rsid w:val="00AD1CA6"/>
    <w:rsid w:val="00AD60DC"/>
    <w:rsid w:val="00AF6E5B"/>
    <w:rsid w:val="00B34726"/>
    <w:rsid w:val="00B45994"/>
    <w:rsid w:val="00B72CD2"/>
    <w:rsid w:val="00B81D2D"/>
    <w:rsid w:val="00BD4BB0"/>
    <w:rsid w:val="00BE04FE"/>
    <w:rsid w:val="00C54006"/>
    <w:rsid w:val="00C732F1"/>
    <w:rsid w:val="00C92AE1"/>
    <w:rsid w:val="00CA4C3E"/>
    <w:rsid w:val="00CA5EAB"/>
    <w:rsid w:val="00D35D60"/>
    <w:rsid w:val="00DC570A"/>
    <w:rsid w:val="00DD1C3D"/>
    <w:rsid w:val="00E8538F"/>
    <w:rsid w:val="00F0650F"/>
    <w:rsid w:val="00F6540D"/>
    <w:rsid w:val="00F82A88"/>
    <w:rsid w:val="00F82CC7"/>
    <w:rsid w:val="00FA0680"/>
    <w:rsid w:val="00FA17C8"/>
    <w:rsid w:val="00FB1751"/>
    <w:rsid w:val="00FB4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8328"/>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6B9"/>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6B9"/>
    <w:rPr>
      <w:rFonts w:ascii="Segoe UI" w:hAnsi="Segoe UI" w:cs="Segoe UI"/>
      <w:sz w:val="18"/>
      <w:szCs w:val="18"/>
      <w:lang w:val="tr-TR"/>
    </w:rPr>
  </w:style>
  <w:style w:type="table" w:styleId="TableGrid">
    <w:name w:val="Table Grid"/>
    <w:basedOn w:val="TableNormal"/>
    <w:uiPriority w:val="39"/>
    <w:rsid w:val="006926B9"/>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6B9"/>
    <w:pPr>
      <w:ind w:left="720"/>
      <w:contextualSpacing/>
    </w:pPr>
  </w:style>
  <w:style w:type="character" w:styleId="CommentReference">
    <w:name w:val="annotation reference"/>
    <w:basedOn w:val="DefaultParagraphFont"/>
    <w:uiPriority w:val="99"/>
    <w:semiHidden/>
    <w:unhideWhenUsed/>
    <w:rsid w:val="006926B9"/>
    <w:rPr>
      <w:sz w:val="16"/>
      <w:szCs w:val="16"/>
    </w:rPr>
  </w:style>
  <w:style w:type="paragraph" w:styleId="CommentText">
    <w:name w:val="annotation text"/>
    <w:basedOn w:val="Normal"/>
    <w:link w:val="CommentTextChar"/>
    <w:uiPriority w:val="99"/>
    <w:unhideWhenUsed/>
    <w:rsid w:val="006926B9"/>
    <w:pPr>
      <w:spacing w:line="240" w:lineRule="auto"/>
    </w:pPr>
    <w:rPr>
      <w:sz w:val="20"/>
      <w:szCs w:val="20"/>
    </w:rPr>
  </w:style>
  <w:style w:type="character" w:customStyle="1" w:styleId="CommentTextChar">
    <w:name w:val="Comment Text Char"/>
    <w:basedOn w:val="DefaultParagraphFont"/>
    <w:link w:val="CommentText"/>
    <w:rsid w:val="006926B9"/>
    <w:rPr>
      <w:sz w:val="20"/>
      <w:szCs w:val="20"/>
      <w:lang w:val="tr-TR"/>
    </w:rPr>
  </w:style>
  <w:style w:type="paragraph" w:styleId="CommentSubject">
    <w:name w:val="annotation subject"/>
    <w:basedOn w:val="CommentText"/>
    <w:next w:val="CommentText"/>
    <w:link w:val="CommentSubjectChar"/>
    <w:uiPriority w:val="99"/>
    <w:semiHidden/>
    <w:unhideWhenUsed/>
    <w:rsid w:val="006926B9"/>
    <w:rPr>
      <w:b/>
      <w:bCs/>
    </w:rPr>
  </w:style>
  <w:style w:type="character" w:customStyle="1" w:styleId="CommentSubjectChar">
    <w:name w:val="Comment Subject Char"/>
    <w:basedOn w:val="CommentTextChar"/>
    <w:link w:val="CommentSubject"/>
    <w:uiPriority w:val="99"/>
    <w:semiHidden/>
    <w:rsid w:val="006926B9"/>
    <w:rPr>
      <w:b/>
      <w:bCs/>
      <w:sz w:val="20"/>
      <w:szCs w:val="20"/>
      <w:lang w:val="tr-TR"/>
    </w:rPr>
  </w:style>
  <w:style w:type="paragraph" w:styleId="Revision">
    <w:name w:val="Revision"/>
    <w:hidden/>
    <w:uiPriority w:val="99"/>
    <w:semiHidden/>
    <w:rsid w:val="006926B9"/>
    <w:pPr>
      <w:spacing w:after="0" w:line="240" w:lineRule="auto"/>
    </w:pPr>
    <w:rPr>
      <w:lang w:val="tr-TR"/>
    </w:rPr>
  </w:style>
  <w:style w:type="paragraph" w:styleId="Header">
    <w:name w:val="header"/>
    <w:basedOn w:val="Normal"/>
    <w:link w:val="HeaderChar"/>
    <w:uiPriority w:val="99"/>
    <w:unhideWhenUsed/>
    <w:rsid w:val="006926B9"/>
    <w:pPr>
      <w:tabs>
        <w:tab w:val="center" w:pos="4419"/>
        <w:tab w:val="right" w:pos="8838"/>
      </w:tabs>
      <w:spacing w:after="0" w:line="240" w:lineRule="auto"/>
    </w:pPr>
  </w:style>
  <w:style w:type="character" w:customStyle="1" w:styleId="HeaderChar">
    <w:name w:val="Header Char"/>
    <w:basedOn w:val="DefaultParagraphFont"/>
    <w:link w:val="Header"/>
    <w:uiPriority w:val="99"/>
    <w:rsid w:val="006926B9"/>
    <w:rPr>
      <w:lang w:val="tr-TR"/>
    </w:rPr>
  </w:style>
  <w:style w:type="paragraph" w:styleId="Footer">
    <w:name w:val="footer"/>
    <w:basedOn w:val="Normal"/>
    <w:link w:val="FooterChar"/>
    <w:uiPriority w:val="99"/>
    <w:unhideWhenUsed/>
    <w:rsid w:val="006926B9"/>
    <w:pPr>
      <w:tabs>
        <w:tab w:val="center" w:pos="4419"/>
        <w:tab w:val="right" w:pos="8838"/>
      </w:tabs>
      <w:spacing w:after="0" w:line="240" w:lineRule="auto"/>
    </w:pPr>
  </w:style>
  <w:style w:type="character" w:customStyle="1" w:styleId="FooterChar">
    <w:name w:val="Footer Char"/>
    <w:basedOn w:val="DefaultParagraphFont"/>
    <w:link w:val="Footer"/>
    <w:uiPriority w:val="99"/>
    <w:rsid w:val="006926B9"/>
    <w:rPr>
      <w:lang w:val="tr-TR"/>
    </w:rPr>
  </w:style>
  <w:style w:type="table" w:customStyle="1" w:styleId="TabloKlavuzu1">
    <w:name w:val="Tablo Kılavuzu1"/>
    <w:basedOn w:val="TableNormal"/>
    <w:next w:val="TableGrid"/>
    <w:uiPriority w:val="39"/>
    <w:rsid w:val="00A8159C"/>
    <w:pPr>
      <w:spacing w:after="0" w:line="240" w:lineRule="auto"/>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TableNormal"/>
    <w:next w:val="TableGrid"/>
    <w:uiPriority w:val="39"/>
    <w:rsid w:val="00A8159C"/>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CA9"/>
    <w:rPr>
      <w:color w:val="0563C1" w:themeColor="hyperlink"/>
      <w:u w:val="single"/>
    </w:rPr>
  </w:style>
  <w:style w:type="table" w:customStyle="1" w:styleId="TabloKlavuzu12">
    <w:name w:val="Tablo Kılavuzu12"/>
    <w:basedOn w:val="TableNormal"/>
    <w:next w:val="TableGrid"/>
    <w:uiPriority w:val="39"/>
    <w:rsid w:val="00F82A88"/>
    <w:pPr>
      <w:spacing w:after="0" w:line="240" w:lineRule="auto"/>
    </w:pPr>
    <w:rPr>
      <w:rFonts w:eastAsiaTheme="minorHAns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92AE1"/>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C92AE1"/>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6020</Words>
  <Characters>34320</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dc:creator>
  <cp:keywords/>
  <dc:description/>
  <cp:lastModifiedBy>Li Ma</cp:lastModifiedBy>
  <cp:revision>4</cp:revision>
  <dcterms:created xsi:type="dcterms:W3CDTF">2019-01-06T05:05:00Z</dcterms:created>
  <dcterms:modified xsi:type="dcterms:W3CDTF">2019-01-06T05:10:00Z</dcterms:modified>
</cp:coreProperties>
</file>