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9F11" w14:textId="77777777" w:rsidR="00C74ABE" w:rsidRPr="00541840" w:rsidRDefault="00C74ABE" w:rsidP="00442AFA">
      <w:pPr>
        <w:pStyle w:val="BodyText"/>
        <w:adjustRightInd w:val="0"/>
        <w:snapToGrid w:val="0"/>
        <w:jc w:val="both"/>
        <w:outlineLvl w:val="0"/>
        <w:rPr>
          <w:rFonts w:ascii="Book Antiqua" w:hAnsi="Book Antiqua" w:cs="Book Antiqua"/>
          <w:i/>
          <w:iCs/>
          <w:color w:val="000000"/>
          <w:u w:val="none"/>
          <w:lang w:val="en-GB"/>
        </w:rPr>
      </w:pPr>
      <w:r w:rsidRPr="00541840">
        <w:rPr>
          <w:rFonts w:ascii="Book Antiqua" w:hAnsi="Book Antiqua" w:cs="Book Antiqua"/>
          <w:bCs/>
          <w:color w:val="000000"/>
          <w:u w:val="none"/>
          <w:lang w:val="en-GB"/>
        </w:rPr>
        <w:t xml:space="preserve">Name of Journal: </w:t>
      </w:r>
      <w:r w:rsidRPr="00541840">
        <w:rPr>
          <w:rFonts w:ascii="Book Antiqua" w:hAnsi="Book Antiqua" w:cs="Book Antiqua"/>
          <w:i/>
          <w:iCs/>
          <w:color w:val="000000"/>
          <w:u w:val="none"/>
          <w:lang w:val="en-GB"/>
        </w:rPr>
        <w:t xml:space="preserve">World Journal of Gastroenterology </w:t>
      </w:r>
    </w:p>
    <w:p w14:paraId="55CFFEAE" w14:textId="77777777" w:rsidR="00C74ABE" w:rsidRPr="00541840" w:rsidRDefault="00C74ABE" w:rsidP="00442AFA">
      <w:pPr>
        <w:pStyle w:val="BodyText"/>
        <w:adjustRightInd w:val="0"/>
        <w:snapToGrid w:val="0"/>
        <w:jc w:val="both"/>
        <w:outlineLvl w:val="0"/>
        <w:rPr>
          <w:rFonts w:ascii="Book Antiqua" w:hAnsi="Book Antiqua" w:cs="Book Antiqua"/>
          <w:bCs/>
          <w:color w:val="000000"/>
          <w:u w:val="none"/>
          <w:lang w:val="en-GB"/>
        </w:rPr>
      </w:pPr>
      <w:r w:rsidRPr="00541840">
        <w:rPr>
          <w:rFonts w:ascii="Book Antiqua" w:hAnsi="Book Antiqua" w:cs="Book Antiqua"/>
          <w:bCs/>
          <w:color w:val="000000"/>
          <w:u w:val="none"/>
          <w:lang w:val="en-GB"/>
        </w:rPr>
        <w:t>Manuscript NO: 42672</w:t>
      </w:r>
    </w:p>
    <w:p w14:paraId="276A3932" w14:textId="4AABD364" w:rsidR="00C74ABE" w:rsidRPr="00541840" w:rsidRDefault="00C74ABE" w:rsidP="00442AFA">
      <w:pPr>
        <w:pStyle w:val="BodyText"/>
        <w:adjustRightInd w:val="0"/>
        <w:snapToGrid w:val="0"/>
        <w:jc w:val="both"/>
        <w:outlineLvl w:val="0"/>
        <w:rPr>
          <w:rFonts w:ascii="Book Antiqua" w:hAnsi="Book Antiqua" w:cs="Book Antiqua"/>
          <w:b w:val="0"/>
          <w:color w:val="000000"/>
          <w:u w:val="none"/>
          <w:lang w:val="en-GB"/>
        </w:rPr>
      </w:pPr>
      <w:r w:rsidRPr="00541840">
        <w:rPr>
          <w:rFonts w:ascii="Book Antiqua" w:hAnsi="Book Antiqua" w:cs="Book Antiqua"/>
          <w:bCs/>
          <w:color w:val="000000"/>
          <w:u w:val="none"/>
          <w:lang w:val="en-GB"/>
        </w:rPr>
        <w:t xml:space="preserve">Manuscript Type: </w:t>
      </w:r>
      <w:r w:rsidR="00086FF2" w:rsidRPr="00541840">
        <w:rPr>
          <w:rFonts w:ascii="Book Antiqua" w:hAnsi="Book Antiqua" w:cs="Book Antiqua"/>
          <w:bCs/>
          <w:color w:val="000000"/>
          <w:u w:val="none"/>
          <w:lang w:val="en-GB"/>
        </w:rPr>
        <w:t>ORIGINAL ARTICLE</w:t>
      </w:r>
    </w:p>
    <w:p w14:paraId="48373392" w14:textId="77777777" w:rsidR="00C74ABE" w:rsidRPr="00541840" w:rsidRDefault="00C74ABE" w:rsidP="00086FF2">
      <w:pPr>
        <w:pStyle w:val="BodyText"/>
        <w:adjustRightInd w:val="0"/>
        <w:snapToGrid w:val="0"/>
        <w:jc w:val="both"/>
        <w:rPr>
          <w:rFonts w:ascii="Book Antiqua" w:hAnsi="Book Antiqua"/>
          <w:u w:val="none"/>
          <w:lang w:val="en-GB"/>
        </w:rPr>
      </w:pPr>
    </w:p>
    <w:p w14:paraId="7909F7FC" w14:textId="69D5A377" w:rsidR="00086FF2" w:rsidRPr="00541840" w:rsidRDefault="00086FF2" w:rsidP="00442AFA">
      <w:pPr>
        <w:pStyle w:val="BodyText"/>
        <w:adjustRightInd w:val="0"/>
        <w:snapToGrid w:val="0"/>
        <w:jc w:val="both"/>
        <w:outlineLvl w:val="0"/>
        <w:rPr>
          <w:rFonts w:ascii="Book Antiqua" w:hAnsi="Book Antiqua"/>
          <w:i/>
          <w:u w:val="none"/>
          <w:lang w:val="en-GB"/>
        </w:rPr>
      </w:pPr>
      <w:bookmarkStart w:id="0" w:name="OLE_LINK116"/>
      <w:r w:rsidRPr="00541840">
        <w:rPr>
          <w:rFonts w:ascii="Book Antiqua" w:hAnsi="Book Antiqua" w:cs="Book Antiqua"/>
          <w:i/>
          <w:color w:val="000000"/>
          <w:u w:val="none"/>
          <w:lang w:val="en-GB"/>
        </w:rPr>
        <w:t>Retrospective Cohort Study</w:t>
      </w:r>
    </w:p>
    <w:bookmarkEnd w:id="0"/>
    <w:p w14:paraId="3FCC2549" w14:textId="285E8907" w:rsidR="008C488E" w:rsidRPr="00541840" w:rsidRDefault="000355BD" w:rsidP="00086FF2">
      <w:pPr>
        <w:pStyle w:val="BodyText"/>
        <w:adjustRightInd w:val="0"/>
        <w:snapToGrid w:val="0"/>
        <w:jc w:val="both"/>
        <w:rPr>
          <w:rFonts w:ascii="Book Antiqua" w:hAnsi="Book Antiqua"/>
          <w:u w:val="none"/>
          <w:lang w:val="en-GB"/>
        </w:rPr>
      </w:pPr>
      <w:r w:rsidRPr="00541840">
        <w:rPr>
          <w:rFonts w:ascii="Book Antiqua" w:hAnsi="Book Antiqua"/>
          <w:u w:val="none"/>
          <w:lang w:val="en-GB"/>
        </w:rPr>
        <w:t>Pelvic exenterati</w:t>
      </w:r>
      <w:r w:rsidR="00281465" w:rsidRPr="00541840">
        <w:rPr>
          <w:rFonts w:ascii="Book Antiqua" w:hAnsi="Book Antiqua"/>
          <w:u w:val="none"/>
          <w:lang w:val="en-GB"/>
        </w:rPr>
        <w:t>ons for primary rectal cancer: A</w:t>
      </w:r>
      <w:r w:rsidRPr="00541840">
        <w:rPr>
          <w:rFonts w:ascii="Book Antiqua" w:hAnsi="Book Antiqua"/>
          <w:u w:val="none"/>
          <w:lang w:val="en-GB"/>
        </w:rPr>
        <w:t xml:space="preserve">nalysis from a 10-year </w:t>
      </w:r>
      <w:r w:rsidR="000E4421" w:rsidRPr="00541840">
        <w:rPr>
          <w:rFonts w:ascii="Book Antiqua" w:hAnsi="Book Antiqua"/>
          <w:u w:val="none"/>
          <w:lang w:val="en-GB"/>
        </w:rPr>
        <w:t>n</w:t>
      </w:r>
      <w:r w:rsidRPr="00541840">
        <w:rPr>
          <w:rFonts w:ascii="Book Antiqua" w:hAnsi="Book Antiqua"/>
          <w:u w:val="none"/>
          <w:lang w:val="en-GB"/>
        </w:rPr>
        <w:t>ational prospective database</w:t>
      </w:r>
    </w:p>
    <w:p w14:paraId="15BF4122" w14:textId="77777777" w:rsidR="008C488E" w:rsidRPr="00541840" w:rsidRDefault="008C488E" w:rsidP="00086FF2">
      <w:pPr>
        <w:pStyle w:val="BodyText"/>
        <w:adjustRightInd w:val="0"/>
        <w:snapToGrid w:val="0"/>
        <w:jc w:val="both"/>
        <w:rPr>
          <w:rFonts w:ascii="Book Antiqua" w:hAnsi="Book Antiqua"/>
          <w:u w:val="none"/>
          <w:lang w:val="en-GB"/>
        </w:rPr>
      </w:pPr>
    </w:p>
    <w:p w14:paraId="57994033" w14:textId="2AF70081" w:rsidR="00C74ABE" w:rsidRPr="00541840" w:rsidRDefault="00C74ABE" w:rsidP="00442AFA">
      <w:pPr>
        <w:pStyle w:val="BodyText"/>
        <w:adjustRightInd w:val="0"/>
        <w:snapToGrid w:val="0"/>
        <w:jc w:val="both"/>
        <w:outlineLvl w:val="0"/>
        <w:rPr>
          <w:rFonts w:ascii="Book Antiqua" w:hAnsi="Book Antiqua"/>
          <w:b w:val="0"/>
          <w:u w:val="none"/>
          <w:lang w:val="en-GB"/>
        </w:rPr>
      </w:pPr>
      <w:proofErr w:type="spellStart"/>
      <w:r w:rsidRPr="00541840">
        <w:rPr>
          <w:rFonts w:ascii="Book Antiqua" w:hAnsi="Book Antiqua"/>
          <w:b w:val="0"/>
          <w:u w:val="none"/>
          <w:lang w:val="en-GB"/>
        </w:rPr>
        <w:t>Pellino</w:t>
      </w:r>
      <w:proofErr w:type="spellEnd"/>
      <w:r w:rsidRPr="00541840">
        <w:rPr>
          <w:rFonts w:ascii="Book Antiqua" w:hAnsi="Book Antiqua"/>
          <w:b w:val="0"/>
          <w:u w:val="none"/>
          <w:lang w:val="en-GB"/>
        </w:rPr>
        <w:t xml:space="preserve"> G </w:t>
      </w:r>
      <w:r w:rsidRPr="00541840">
        <w:rPr>
          <w:rFonts w:ascii="Book Antiqua" w:hAnsi="Book Antiqua"/>
          <w:b w:val="0"/>
          <w:i/>
          <w:u w:val="none"/>
          <w:lang w:val="en-GB"/>
        </w:rPr>
        <w:t xml:space="preserve">et al. </w:t>
      </w:r>
      <w:r w:rsidRPr="00541840">
        <w:rPr>
          <w:rFonts w:ascii="Book Antiqua" w:hAnsi="Book Antiqua"/>
          <w:b w:val="0"/>
          <w:u w:val="none"/>
          <w:lang w:val="en-GB"/>
        </w:rPr>
        <w:t>P</w:t>
      </w:r>
      <w:r w:rsidR="00442AFA" w:rsidRPr="00541840">
        <w:rPr>
          <w:rFonts w:ascii="Book Antiqua" w:hAnsi="Book Antiqua"/>
          <w:b w:val="0"/>
          <w:u w:val="none"/>
          <w:lang w:val="en-GB"/>
        </w:rPr>
        <w:t>E</w:t>
      </w:r>
      <w:r w:rsidRPr="00541840">
        <w:rPr>
          <w:rFonts w:ascii="Book Antiqua" w:hAnsi="Book Antiqua"/>
          <w:b w:val="0"/>
          <w:u w:val="none"/>
          <w:lang w:val="en-GB"/>
        </w:rPr>
        <w:t xml:space="preserve"> for LAPRC</w:t>
      </w:r>
    </w:p>
    <w:p w14:paraId="2D40C38A" w14:textId="77777777" w:rsidR="00C74ABE" w:rsidRPr="00541840" w:rsidRDefault="00C74ABE" w:rsidP="00086FF2">
      <w:pPr>
        <w:pStyle w:val="BodyText"/>
        <w:adjustRightInd w:val="0"/>
        <w:snapToGrid w:val="0"/>
        <w:jc w:val="both"/>
        <w:rPr>
          <w:rFonts w:ascii="Book Antiqua" w:hAnsi="Book Antiqua"/>
          <w:caps/>
          <w:u w:val="none"/>
          <w:lang w:val="en-GB"/>
        </w:rPr>
      </w:pPr>
    </w:p>
    <w:p w14:paraId="289A44E6" w14:textId="4EDF88D1" w:rsidR="00C74ABE" w:rsidRPr="00541840" w:rsidRDefault="00C74ABE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Gianluca </w:t>
      </w:r>
      <w:proofErr w:type="spellStart"/>
      <w:r w:rsidRPr="00541840">
        <w:rPr>
          <w:rFonts w:ascii="Book Antiqua" w:hAnsi="Book Antiqua"/>
          <w:lang w:val="en-GB"/>
        </w:rPr>
        <w:t>Pellino</w:t>
      </w:r>
      <w:proofErr w:type="spellEnd"/>
      <w:r w:rsidRPr="00541840">
        <w:rPr>
          <w:rFonts w:ascii="Book Antiqua" w:hAnsi="Book Antiqua"/>
          <w:lang w:val="en-GB"/>
        </w:rPr>
        <w:t xml:space="preserve">, Sebastiano Biondo, Antonio </w:t>
      </w:r>
      <w:proofErr w:type="spellStart"/>
      <w:r w:rsidRPr="00541840">
        <w:rPr>
          <w:rFonts w:ascii="Book Antiqua" w:hAnsi="Book Antiqua"/>
          <w:lang w:val="en-GB"/>
        </w:rPr>
        <w:t>Codina</w:t>
      </w:r>
      <w:proofErr w:type="spellEnd"/>
      <w:r w:rsidRPr="00541840">
        <w:rPr>
          <w:rFonts w:ascii="Book Antiqua" w:hAnsi="Book Antiqua"/>
          <w:lang w:val="en-GB"/>
        </w:rPr>
        <w:t xml:space="preserve"> </w:t>
      </w:r>
      <w:proofErr w:type="spellStart"/>
      <w:r w:rsidRPr="00541840">
        <w:rPr>
          <w:rFonts w:ascii="Book Antiqua" w:hAnsi="Book Antiqua"/>
          <w:lang w:val="en-GB"/>
        </w:rPr>
        <w:t>Cazador</w:t>
      </w:r>
      <w:proofErr w:type="spellEnd"/>
      <w:r w:rsidRPr="00541840">
        <w:rPr>
          <w:rFonts w:ascii="Book Antiqua" w:hAnsi="Book Antiqua"/>
          <w:lang w:val="en-GB"/>
        </w:rPr>
        <w:t xml:space="preserve">, José María </w:t>
      </w:r>
      <w:proofErr w:type="spellStart"/>
      <w:r w:rsidRPr="00541840">
        <w:rPr>
          <w:rFonts w:ascii="Book Antiqua" w:hAnsi="Book Antiqua"/>
          <w:lang w:val="en-GB"/>
        </w:rPr>
        <w:t>Enríquez-Navascues</w:t>
      </w:r>
      <w:proofErr w:type="spellEnd"/>
      <w:r w:rsidRPr="00541840">
        <w:rPr>
          <w:rFonts w:ascii="Book Antiqua" w:hAnsi="Book Antiqua"/>
          <w:lang w:val="en-GB"/>
        </w:rPr>
        <w:t xml:space="preserve">, Eloy </w:t>
      </w:r>
      <w:proofErr w:type="spellStart"/>
      <w:r w:rsidRPr="00541840">
        <w:rPr>
          <w:rFonts w:ascii="Book Antiqua" w:hAnsi="Book Antiqua"/>
          <w:lang w:val="en-GB"/>
        </w:rPr>
        <w:t>Espín-Basany</w:t>
      </w:r>
      <w:proofErr w:type="spellEnd"/>
      <w:r w:rsidRPr="00541840">
        <w:rPr>
          <w:rFonts w:ascii="Book Antiqua" w:hAnsi="Book Antiqua"/>
          <w:lang w:val="en-GB"/>
        </w:rPr>
        <w:t xml:space="preserve">, Jose Vicente </w:t>
      </w:r>
      <w:proofErr w:type="spellStart"/>
      <w:r w:rsidRPr="00541840">
        <w:rPr>
          <w:rFonts w:ascii="Book Antiqua" w:hAnsi="Book Antiqua"/>
          <w:lang w:val="en-GB"/>
        </w:rPr>
        <w:t>Roig</w:t>
      </w:r>
      <w:proofErr w:type="spellEnd"/>
      <w:r w:rsidRPr="00541840">
        <w:rPr>
          <w:rFonts w:ascii="Book Antiqua" w:hAnsi="Book Antiqua"/>
          <w:lang w:val="en-GB"/>
        </w:rPr>
        <w:t>-Vila, Eduardo García-</w:t>
      </w:r>
      <w:proofErr w:type="spellStart"/>
      <w:r w:rsidRPr="00541840">
        <w:rPr>
          <w:rFonts w:ascii="Book Antiqua" w:hAnsi="Book Antiqua"/>
          <w:lang w:val="en-GB"/>
        </w:rPr>
        <w:t>Granero</w:t>
      </w:r>
      <w:proofErr w:type="spellEnd"/>
    </w:p>
    <w:p w14:paraId="4151F522" w14:textId="7777777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036016E" w14:textId="4DD5DB7A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541840">
        <w:rPr>
          <w:rFonts w:ascii="Book Antiqua" w:hAnsi="Book Antiqua"/>
          <w:b/>
          <w:lang w:val="en-GB"/>
        </w:rPr>
        <w:t xml:space="preserve">Gianluca </w:t>
      </w:r>
      <w:proofErr w:type="spellStart"/>
      <w:r w:rsidRPr="00541840">
        <w:rPr>
          <w:rFonts w:ascii="Book Antiqua" w:hAnsi="Book Antiqua"/>
          <w:b/>
          <w:lang w:val="en-GB"/>
        </w:rPr>
        <w:t>Pellino</w:t>
      </w:r>
      <w:proofErr w:type="spellEnd"/>
      <w:r w:rsidRPr="00541840">
        <w:rPr>
          <w:rFonts w:ascii="Book Antiqua" w:hAnsi="Book Antiqua"/>
          <w:b/>
          <w:lang w:val="en-GB"/>
        </w:rPr>
        <w:t>, Eduardo García-</w:t>
      </w:r>
      <w:proofErr w:type="spellStart"/>
      <w:r w:rsidRPr="00541840">
        <w:rPr>
          <w:rFonts w:ascii="Book Antiqua" w:hAnsi="Book Antiqua"/>
          <w:b/>
          <w:lang w:val="en-GB"/>
        </w:rPr>
        <w:t>Granero</w:t>
      </w:r>
      <w:proofErr w:type="spellEnd"/>
      <w:r w:rsidR="00086FF2" w:rsidRPr="00541840">
        <w:rPr>
          <w:rFonts w:ascii="Book Antiqua" w:hAnsi="Book Antiqua"/>
          <w:b/>
          <w:lang w:val="en-GB"/>
        </w:rPr>
        <w:t>,</w:t>
      </w:r>
      <w:r w:rsidRPr="00541840">
        <w:rPr>
          <w:rFonts w:ascii="Book Antiqua" w:hAnsi="Book Antiqua"/>
          <w:bCs/>
          <w:lang w:val="en-GB"/>
        </w:rPr>
        <w:t xml:space="preserve"> Colorectal Unit, Hospital Universitario y </w:t>
      </w:r>
      <w:proofErr w:type="spellStart"/>
      <w:r w:rsidRPr="00541840">
        <w:rPr>
          <w:rFonts w:ascii="Book Antiqua" w:hAnsi="Book Antiqua"/>
          <w:bCs/>
          <w:lang w:val="en-GB"/>
        </w:rPr>
        <w:t>Politecnico</w:t>
      </w:r>
      <w:proofErr w:type="spellEnd"/>
      <w:r w:rsidRPr="00541840">
        <w:rPr>
          <w:rFonts w:ascii="Book Antiqua" w:hAnsi="Book Antiqua"/>
          <w:bCs/>
          <w:lang w:val="en-GB"/>
        </w:rPr>
        <w:t xml:space="preserve"> La Fe, University of Valencia, </w:t>
      </w:r>
      <w:r w:rsidR="00086FF2" w:rsidRPr="00541840">
        <w:rPr>
          <w:rFonts w:ascii="Book Antiqua" w:hAnsi="Book Antiqua"/>
          <w:bCs/>
          <w:lang w:val="en-GB"/>
        </w:rPr>
        <w:t xml:space="preserve">Valencia </w:t>
      </w:r>
      <w:r w:rsidRPr="00541840">
        <w:rPr>
          <w:rFonts w:ascii="Book Antiqua" w:hAnsi="Book Antiqua"/>
          <w:bCs/>
          <w:lang w:val="en-GB"/>
        </w:rPr>
        <w:t xml:space="preserve">46026, </w:t>
      </w:r>
      <w:r w:rsidR="00086FF2" w:rsidRPr="00541840">
        <w:rPr>
          <w:rFonts w:ascii="Book Antiqua" w:hAnsi="Book Antiqua"/>
          <w:bCs/>
          <w:lang w:val="en-GB"/>
        </w:rPr>
        <w:t>Spain</w:t>
      </w:r>
    </w:p>
    <w:p w14:paraId="32E197E7" w14:textId="7777777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</w:p>
    <w:p w14:paraId="138D4294" w14:textId="708CCEFA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541840">
        <w:rPr>
          <w:rFonts w:ascii="Book Antiqua" w:hAnsi="Book Antiqua"/>
          <w:b/>
          <w:lang w:val="en-GB"/>
        </w:rPr>
        <w:t>Sebastiano Biondo</w:t>
      </w:r>
      <w:r w:rsidR="00086FF2" w:rsidRPr="00541840">
        <w:rPr>
          <w:rFonts w:ascii="Book Antiqua" w:hAnsi="Book Antiqua"/>
          <w:b/>
          <w:lang w:val="en-GB"/>
        </w:rPr>
        <w:t>,</w:t>
      </w:r>
      <w:r w:rsidRPr="00541840">
        <w:rPr>
          <w:rFonts w:ascii="Book Antiqua" w:hAnsi="Book Antiqua"/>
          <w:bCs/>
          <w:lang w:val="en-GB"/>
        </w:rPr>
        <w:t xml:space="preserve"> Department of General and Digestive Surgery, Colorectal Unit, </w:t>
      </w:r>
      <w:proofErr w:type="spellStart"/>
      <w:r w:rsidRPr="00541840">
        <w:rPr>
          <w:rFonts w:ascii="Book Antiqua" w:hAnsi="Book Antiqua"/>
          <w:bCs/>
          <w:lang w:val="en-GB"/>
        </w:rPr>
        <w:t>Bellvitge</w:t>
      </w:r>
      <w:proofErr w:type="spellEnd"/>
      <w:r w:rsidRPr="00541840">
        <w:rPr>
          <w:rFonts w:ascii="Book Antiqua" w:hAnsi="Book Antiqua"/>
          <w:bCs/>
          <w:lang w:val="en-GB"/>
        </w:rPr>
        <w:t xml:space="preserve"> University Hospital, University of Barcelona and IDIBELL, </w:t>
      </w:r>
      <w:proofErr w:type="spellStart"/>
      <w:r w:rsidRPr="00541840">
        <w:rPr>
          <w:rFonts w:ascii="Book Antiqua" w:hAnsi="Book Antiqua"/>
          <w:bCs/>
          <w:lang w:val="en-GB"/>
        </w:rPr>
        <w:t>L'Hospitalet</w:t>
      </w:r>
      <w:proofErr w:type="spellEnd"/>
      <w:r w:rsidRPr="00541840">
        <w:rPr>
          <w:rFonts w:ascii="Book Antiqua" w:hAnsi="Book Antiqua"/>
          <w:bCs/>
          <w:lang w:val="en-GB"/>
        </w:rPr>
        <w:t xml:space="preserve"> de </w:t>
      </w:r>
      <w:proofErr w:type="spellStart"/>
      <w:r w:rsidRPr="00541840">
        <w:rPr>
          <w:rFonts w:ascii="Book Antiqua" w:hAnsi="Book Antiqua"/>
          <w:bCs/>
          <w:lang w:val="en-GB"/>
        </w:rPr>
        <w:t>Llobregat</w:t>
      </w:r>
      <w:proofErr w:type="spellEnd"/>
      <w:r w:rsidRPr="00541840">
        <w:rPr>
          <w:rFonts w:ascii="Book Antiqua" w:hAnsi="Book Antiqua"/>
          <w:bCs/>
          <w:lang w:val="en-GB"/>
        </w:rPr>
        <w:t>, Barcelona</w:t>
      </w:r>
      <w:r w:rsidR="00086FF2" w:rsidRPr="00541840">
        <w:rPr>
          <w:rFonts w:ascii="Book Antiqua" w:hAnsi="Book Antiqua"/>
          <w:bCs/>
          <w:lang w:val="en-GB"/>
        </w:rPr>
        <w:t xml:space="preserve"> 08907</w:t>
      </w:r>
      <w:r w:rsidRPr="00541840">
        <w:rPr>
          <w:rFonts w:ascii="Book Antiqua" w:hAnsi="Book Antiqua"/>
          <w:bCs/>
          <w:lang w:val="en-GB"/>
        </w:rPr>
        <w:t>, Spain</w:t>
      </w:r>
    </w:p>
    <w:p w14:paraId="2D3FD878" w14:textId="7777777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5604FFC" w14:textId="0F10063D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t xml:space="preserve">Antonio </w:t>
      </w:r>
      <w:proofErr w:type="spellStart"/>
      <w:r w:rsidRPr="00541840">
        <w:rPr>
          <w:rFonts w:ascii="Book Antiqua" w:hAnsi="Book Antiqua"/>
          <w:b/>
          <w:lang w:val="en-GB"/>
        </w:rPr>
        <w:t>Codina</w:t>
      </w:r>
      <w:proofErr w:type="spellEnd"/>
      <w:r w:rsidRPr="00541840">
        <w:rPr>
          <w:rFonts w:ascii="Book Antiqua" w:hAnsi="Book Antiqua"/>
          <w:b/>
          <w:lang w:val="en-GB"/>
        </w:rPr>
        <w:t xml:space="preserve"> </w:t>
      </w:r>
      <w:proofErr w:type="spellStart"/>
      <w:r w:rsidRPr="00541840">
        <w:rPr>
          <w:rFonts w:ascii="Book Antiqua" w:hAnsi="Book Antiqua"/>
          <w:b/>
          <w:lang w:val="en-GB"/>
        </w:rPr>
        <w:t>Cazador</w:t>
      </w:r>
      <w:proofErr w:type="spellEnd"/>
      <w:r w:rsidR="00086FF2" w:rsidRPr="00541840">
        <w:rPr>
          <w:rFonts w:ascii="Book Antiqua" w:hAnsi="Book Antiqua"/>
          <w:b/>
          <w:lang w:val="en-GB"/>
        </w:rPr>
        <w:t>,</w:t>
      </w:r>
      <w:r w:rsidRPr="00541840">
        <w:rPr>
          <w:rFonts w:ascii="Book Antiqua" w:hAnsi="Book Antiqua"/>
          <w:b/>
          <w:vertAlign w:val="superscript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 xml:space="preserve">Department of General and Digestive Surgery--Colorectal Unit, </w:t>
      </w:r>
      <w:proofErr w:type="spellStart"/>
      <w:r w:rsidRPr="00541840">
        <w:rPr>
          <w:rFonts w:ascii="Book Antiqua" w:hAnsi="Book Antiqua"/>
          <w:lang w:val="en-GB"/>
        </w:rPr>
        <w:t>Josep</w:t>
      </w:r>
      <w:proofErr w:type="spellEnd"/>
      <w:r w:rsidRPr="00541840">
        <w:rPr>
          <w:rFonts w:ascii="Book Antiqua" w:hAnsi="Book Antiqua"/>
          <w:lang w:val="en-GB"/>
        </w:rPr>
        <w:t xml:space="preserve"> </w:t>
      </w:r>
      <w:proofErr w:type="spellStart"/>
      <w:r w:rsidRPr="00541840">
        <w:rPr>
          <w:rFonts w:ascii="Book Antiqua" w:hAnsi="Book Antiqua"/>
          <w:lang w:val="en-GB"/>
        </w:rPr>
        <w:t>Trueta</w:t>
      </w:r>
      <w:proofErr w:type="spellEnd"/>
      <w:r w:rsidRPr="00541840">
        <w:rPr>
          <w:rFonts w:ascii="Book Antiqua" w:hAnsi="Book Antiqua"/>
          <w:lang w:val="en-GB"/>
        </w:rPr>
        <w:t xml:space="preserve"> University Hospital, Girona 17001</w:t>
      </w:r>
      <w:r w:rsidR="00086FF2" w:rsidRPr="00541840">
        <w:rPr>
          <w:rFonts w:ascii="Book Antiqua" w:hAnsi="Book Antiqua"/>
          <w:lang w:val="en-GB"/>
        </w:rPr>
        <w:t>, Spain</w:t>
      </w:r>
    </w:p>
    <w:p w14:paraId="5AE92899" w14:textId="7777777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3DC75C4F" w14:textId="739C7760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t xml:space="preserve">José María </w:t>
      </w:r>
      <w:proofErr w:type="spellStart"/>
      <w:r w:rsidRPr="00541840">
        <w:rPr>
          <w:rFonts w:ascii="Book Antiqua" w:hAnsi="Book Antiqua"/>
          <w:b/>
          <w:lang w:val="en-GB"/>
        </w:rPr>
        <w:t>Enríquez-Navascues</w:t>
      </w:r>
      <w:proofErr w:type="spellEnd"/>
      <w:r w:rsidR="00086FF2" w:rsidRPr="00541840">
        <w:rPr>
          <w:rFonts w:ascii="Book Antiqua" w:hAnsi="Book Antiqua"/>
          <w:b/>
          <w:lang w:val="en-GB"/>
        </w:rPr>
        <w:t>,</w:t>
      </w:r>
      <w:r w:rsidRPr="00541840">
        <w:rPr>
          <w:rFonts w:ascii="Book Antiqua" w:hAnsi="Book Antiqua"/>
          <w:lang w:val="en-GB"/>
        </w:rPr>
        <w:t xml:space="preserve"> General and Digestive Surgery Department, </w:t>
      </w:r>
      <w:proofErr w:type="spellStart"/>
      <w:r w:rsidRPr="00541840">
        <w:rPr>
          <w:rFonts w:ascii="Book Antiqua" w:hAnsi="Book Antiqua"/>
          <w:lang w:val="en-GB"/>
        </w:rPr>
        <w:t>Donostia</w:t>
      </w:r>
      <w:proofErr w:type="spellEnd"/>
      <w:r w:rsidRPr="00541840">
        <w:rPr>
          <w:rFonts w:ascii="Book Antiqua" w:hAnsi="Book Antiqua"/>
          <w:lang w:val="en-GB"/>
        </w:rPr>
        <w:t xml:space="preserve"> University Hospital, </w:t>
      </w:r>
      <w:proofErr w:type="spellStart"/>
      <w:r w:rsidRPr="00541840">
        <w:rPr>
          <w:rFonts w:ascii="Book Antiqua" w:hAnsi="Book Antiqua"/>
          <w:lang w:val="en-GB"/>
        </w:rPr>
        <w:t>Donostia</w:t>
      </w:r>
      <w:proofErr w:type="spellEnd"/>
      <w:r w:rsidR="00086FF2" w:rsidRPr="00541840">
        <w:rPr>
          <w:rFonts w:ascii="Book Antiqua" w:hAnsi="Book Antiqua"/>
          <w:lang w:val="en-GB"/>
        </w:rPr>
        <w:t xml:space="preserve"> 20014, Spain</w:t>
      </w:r>
    </w:p>
    <w:p w14:paraId="242D1DAA" w14:textId="7777777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1D7C9DD" w14:textId="44DBDDB2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t xml:space="preserve">Eloy </w:t>
      </w:r>
      <w:proofErr w:type="spellStart"/>
      <w:r w:rsidRPr="00541840">
        <w:rPr>
          <w:rFonts w:ascii="Book Antiqua" w:hAnsi="Book Antiqua"/>
          <w:b/>
          <w:lang w:val="en-GB"/>
        </w:rPr>
        <w:t>Espín-Basany</w:t>
      </w:r>
      <w:proofErr w:type="spellEnd"/>
      <w:r w:rsidR="00086FF2" w:rsidRPr="00541840">
        <w:rPr>
          <w:rFonts w:ascii="Book Antiqua" w:hAnsi="Book Antiqua"/>
          <w:b/>
          <w:lang w:val="en-GB"/>
        </w:rPr>
        <w:t>,</w:t>
      </w:r>
      <w:r w:rsidRPr="00541840">
        <w:rPr>
          <w:rFonts w:ascii="Book Antiqua" w:hAnsi="Book Antiqua"/>
          <w:lang w:val="en-GB"/>
        </w:rPr>
        <w:t xml:space="preserve"> Department of General Surgery, Colorectal Surgery Unit, Hospital Valle de Hebron, Autonomous University of Barcelona, </w:t>
      </w:r>
      <w:r w:rsidR="00086FF2" w:rsidRPr="00541840">
        <w:rPr>
          <w:rFonts w:ascii="Book Antiqua" w:hAnsi="Book Antiqua"/>
          <w:lang w:val="en-GB"/>
        </w:rPr>
        <w:t>Barcelona</w:t>
      </w:r>
      <w:r w:rsidRPr="00541840">
        <w:rPr>
          <w:rFonts w:ascii="Book Antiqua" w:hAnsi="Book Antiqua"/>
          <w:lang w:val="en-GB"/>
        </w:rPr>
        <w:t xml:space="preserve"> 08035, Spain</w:t>
      </w:r>
    </w:p>
    <w:p w14:paraId="7E680B95" w14:textId="7777777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8914D55" w14:textId="2EABD7F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lastRenderedPageBreak/>
        <w:t xml:space="preserve">Jose Vicente </w:t>
      </w:r>
      <w:proofErr w:type="spellStart"/>
      <w:r w:rsidRPr="00541840">
        <w:rPr>
          <w:rFonts w:ascii="Book Antiqua" w:hAnsi="Book Antiqua"/>
          <w:b/>
          <w:lang w:val="en-GB"/>
        </w:rPr>
        <w:t>Roig</w:t>
      </w:r>
      <w:proofErr w:type="spellEnd"/>
      <w:r w:rsidRPr="00541840">
        <w:rPr>
          <w:rFonts w:ascii="Book Antiqua" w:hAnsi="Book Antiqua"/>
          <w:b/>
          <w:lang w:val="en-GB"/>
        </w:rPr>
        <w:t>-Vila</w:t>
      </w:r>
      <w:r w:rsidR="00086FF2" w:rsidRPr="00541840">
        <w:rPr>
          <w:rFonts w:ascii="Book Antiqua" w:hAnsi="Book Antiqua"/>
          <w:b/>
          <w:lang w:val="en-GB"/>
        </w:rPr>
        <w:t>,</w:t>
      </w:r>
      <w:r w:rsidRPr="00541840">
        <w:rPr>
          <w:rFonts w:ascii="Book Antiqua" w:hAnsi="Book Antiqua"/>
          <w:lang w:val="en-GB"/>
        </w:rPr>
        <w:t xml:space="preserve"> Unit of Coloproctology, Hospital </w:t>
      </w:r>
      <w:proofErr w:type="spellStart"/>
      <w:r w:rsidRPr="00541840">
        <w:rPr>
          <w:rFonts w:ascii="Book Antiqua" w:hAnsi="Book Antiqua"/>
          <w:lang w:val="en-GB"/>
        </w:rPr>
        <w:t>Vithas-Nisa</w:t>
      </w:r>
      <w:proofErr w:type="spellEnd"/>
      <w:r w:rsidRPr="00541840">
        <w:rPr>
          <w:rFonts w:ascii="Book Antiqua" w:hAnsi="Book Antiqua"/>
          <w:lang w:val="en-GB"/>
        </w:rPr>
        <w:t xml:space="preserve"> 9 de </w:t>
      </w:r>
      <w:proofErr w:type="spellStart"/>
      <w:r w:rsidRPr="00541840">
        <w:rPr>
          <w:rFonts w:ascii="Book Antiqua" w:hAnsi="Book Antiqua"/>
          <w:lang w:val="en-GB"/>
        </w:rPr>
        <w:t>Octubre</w:t>
      </w:r>
      <w:proofErr w:type="spellEnd"/>
      <w:r w:rsidRPr="00541840">
        <w:rPr>
          <w:rFonts w:ascii="Book Antiqua" w:hAnsi="Book Antiqua"/>
          <w:lang w:val="en-GB"/>
        </w:rPr>
        <w:t>, Valencia</w:t>
      </w:r>
      <w:r w:rsidR="00086FF2" w:rsidRPr="00541840">
        <w:rPr>
          <w:rFonts w:ascii="Book Antiqua" w:hAnsi="Book Antiqua"/>
          <w:lang w:val="en-GB"/>
        </w:rPr>
        <w:t xml:space="preserve"> 46015</w:t>
      </w:r>
      <w:r w:rsidRPr="00541840">
        <w:rPr>
          <w:rFonts w:ascii="Book Antiqua" w:hAnsi="Book Antiqua"/>
          <w:lang w:val="en-GB"/>
        </w:rPr>
        <w:t>, Spain</w:t>
      </w:r>
    </w:p>
    <w:p w14:paraId="4B9D7DE0" w14:textId="77777777" w:rsidR="00C74ABE" w:rsidRPr="00541840" w:rsidRDefault="00C74ABE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73F2D689" w14:textId="1188F80C" w:rsidR="00C74ABE" w:rsidRPr="00541840" w:rsidRDefault="00C74ABE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ORCID number: </w:t>
      </w:r>
      <w:r w:rsidRPr="00541840">
        <w:rPr>
          <w:rFonts w:ascii="Book Antiqua" w:hAnsi="Book Antiqua"/>
          <w:lang w:val="en-GB"/>
        </w:rPr>
        <w:t xml:space="preserve">Gianluca </w:t>
      </w:r>
      <w:proofErr w:type="spellStart"/>
      <w:r w:rsidRPr="00541840">
        <w:rPr>
          <w:rFonts w:ascii="Book Antiqua" w:hAnsi="Book Antiqua"/>
          <w:lang w:val="en-GB"/>
        </w:rPr>
        <w:t>Pellino</w:t>
      </w:r>
      <w:proofErr w:type="spellEnd"/>
      <w:r w:rsidRPr="00541840">
        <w:rPr>
          <w:rFonts w:ascii="Book Antiqua" w:hAnsi="Book Antiqua"/>
          <w:lang w:val="en-GB"/>
        </w:rPr>
        <w:t xml:space="preserve"> (0000-0002-8322-6421); Sebastiano Biondo (0000-0002-7374-0371); Antonio </w:t>
      </w:r>
      <w:proofErr w:type="spellStart"/>
      <w:r w:rsidRPr="00541840">
        <w:rPr>
          <w:rFonts w:ascii="Book Antiqua" w:hAnsi="Book Antiqua"/>
          <w:lang w:val="en-GB"/>
        </w:rPr>
        <w:t>Codina</w:t>
      </w:r>
      <w:proofErr w:type="spellEnd"/>
      <w:r w:rsidRPr="00541840">
        <w:rPr>
          <w:rFonts w:ascii="Book Antiqua" w:hAnsi="Book Antiqua"/>
          <w:lang w:val="en-GB"/>
        </w:rPr>
        <w:t xml:space="preserve"> </w:t>
      </w:r>
      <w:proofErr w:type="spellStart"/>
      <w:r w:rsidRPr="00541840">
        <w:rPr>
          <w:rFonts w:ascii="Book Antiqua" w:hAnsi="Book Antiqua"/>
          <w:lang w:val="en-GB"/>
        </w:rPr>
        <w:t>Cazador</w:t>
      </w:r>
      <w:proofErr w:type="spellEnd"/>
      <w:r w:rsidRPr="00541840">
        <w:rPr>
          <w:rFonts w:ascii="Book Antiqua" w:hAnsi="Book Antiqua"/>
          <w:lang w:val="en-GB"/>
        </w:rPr>
        <w:t xml:space="preserve"> (0000-0003-3040-2716); José María </w:t>
      </w:r>
      <w:proofErr w:type="spellStart"/>
      <w:r w:rsidRPr="00541840">
        <w:rPr>
          <w:rFonts w:ascii="Book Antiqua" w:hAnsi="Book Antiqua"/>
          <w:lang w:val="en-GB"/>
        </w:rPr>
        <w:t>Enríquez-Navascues</w:t>
      </w:r>
      <w:proofErr w:type="spellEnd"/>
      <w:r w:rsidRPr="00541840">
        <w:rPr>
          <w:rFonts w:ascii="Book Antiqua" w:hAnsi="Book Antiqua"/>
          <w:lang w:val="en-GB"/>
        </w:rPr>
        <w:t xml:space="preserve"> (0000-0002-6486-1489); Eloy </w:t>
      </w:r>
      <w:proofErr w:type="spellStart"/>
      <w:r w:rsidRPr="00541840">
        <w:rPr>
          <w:rFonts w:ascii="Book Antiqua" w:hAnsi="Book Antiqua"/>
          <w:lang w:val="en-GB"/>
        </w:rPr>
        <w:t>Espín-Basany</w:t>
      </w:r>
      <w:proofErr w:type="spellEnd"/>
      <w:r w:rsidRPr="00541840">
        <w:rPr>
          <w:rFonts w:ascii="Book Antiqua" w:hAnsi="Book Antiqua"/>
          <w:lang w:val="en-GB"/>
        </w:rPr>
        <w:t xml:space="preserve"> (0000-0003-3784-1359); Jose Vicente </w:t>
      </w:r>
      <w:proofErr w:type="spellStart"/>
      <w:r w:rsidRPr="00541840">
        <w:rPr>
          <w:rFonts w:ascii="Book Antiqua" w:hAnsi="Book Antiqua"/>
          <w:lang w:val="en-GB"/>
        </w:rPr>
        <w:t>Roig</w:t>
      </w:r>
      <w:proofErr w:type="spellEnd"/>
      <w:r w:rsidRPr="00541840">
        <w:rPr>
          <w:rFonts w:ascii="Book Antiqua" w:hAnsi="Book Antiqua"/>
          <w:lang w:val="en-GB"/>
        </w:rPr>
        <w:t>-Vila (0000-0002-8433-140X); Eduardo García-</w:t>
      </w:r>
      <w:proofErr w:type="spellStart"/>
      <w:r w:rsidRPr="00541840">
        <w:rPr>
          <w:rFonts w:ascii="Book Antiqua" w:hAnsi="Book Antiqua"/>
          <w:lang w:val="en-GB"/>
        </w:rPr>
        <w:t>Granero</w:t>
      </w:r>
      <w:proofErr w:type="spellEnd"/>
      <w:r w:rsidRPr="00541840">
        <w:rPr>
          <w:rFonts w:ascii="Book Antiqua" w:hAnsi="Book Antiqua"/>
          <w:vertAlign w:val="superscript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(0000-0003-2657-6852).</w:t>
      </w:r>
    </w:p>
    <w:p w14:paraId="461D2FA5" w14:textId="77777777" w:rsidR="00C74ABE" w:rsidRPr="00541840" w:rsidRDefault="00C74ABE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8B999BE" w14:textId="4A72AD6C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Author contributions: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Pellino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G and García-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Granero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E designed the research;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Pellino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G, Biondo S,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Codina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Cazador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A,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Enríque</w:t>
      </w:r>
      <w:r w:rsidR="00086FF2" w:rsidRPr="00541840">
        <w:rPr>
          <w:rFonts w:ascii="Book Antiqua" w:hAnsi="Book Antiqua" w:cs="Book Antiqua"/>
          <w:color w:val="000000"/>
          <w:lang w:val="en-GB"/>
        </w:rPr>
        <w:t>z-Navascues</w:t>
      </w:r>
      <w:proofErr w:type="spellEnd"/>
      <w:r w:rsidR="00086FF2" w:rsidRPr="00541840">
        <w:rPr>
          <w:rFonts w:ascii="Book Antiqua" w:hAnsi="Book Antiqua" w:cs="Book Antiqua"/>
          <w:color w:val="000000"/>
          <w:lang w:val="en-GB"/>
        </w:rPr>
        <w:t xml:space="preserve"> JM, </w:t>
      </w:r>
      <w:proofErr w:type="spellStart"/>
      <w:r w:rsidR="00086FF2" w:rsidRPr="00541840">
        <w:rPr>
          <w:rFonts w:ascii="Book Antiqua" w:hAnsi="Book Antiqua" w:cs="Book Antiqua"/>
          <w:color w:val="000000"/>
          <w:lang w:val="en-GB"/>
        </w:rPr>
        <w:t>Espín-Basany</w:t>
      </w:r>
      <w:proofErr w:type="spellEnd"/>
      <w:r w:rsidR="00086FF2" w:rsidRPr="00541840">
        <w:rPr>
          <w:rFonts w:ascii="Book Antiqua" w:hAnsi="Book Antiqua" w:cs="Book Antiqua"/>
          <w:color w:val="000000"/>
          <w:lang w:val="en-GB"/>
        </w:rPr>
        <w:t xml:space="preserve"> E and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Roig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>-Vila JV per</w:t>
      </w:r>
      <w:r w:rsidR="00086FF2" w:rsidRPr="00541840">
        <w:rPr>
          <w:rFonts w:ascii="Book Antiqua" w:hAnsi="Book Antiqua" w:cs="Book Antiqua"/>
          <w:color w:val="000000"/>
          <w:lang w:val="en-GB"/>
        </w:rPr>
        <w:t xml:space="preserve">formed the research; </w:t>
      </w:r>
      <w:proofErr w:type="spellStart"/>
      <w:r w:rsidR="00086FF2" w:rsidRPr="00541840">
        <w:rPr>
          <w:rFonts w:ascii="Book Antiqua" w:hAnsi="Book Antiqua" w:cs="Book Antiqua"/>
          <w:color w:val="000000"/>
          <w:lang w:val="en-GB"/>
        </w:rPr>
        <w:t>Pellino</w:t>
      </w:r>
      <w:proofErr w:type="spellEnd"/>
      <w:r w:rsidR="00086FF2" w:rsidRPr="00541840">
        <w:rPr>
          <w:rFonts w:ascii="Book Antiqua" w:hAnsi="Book Antiqua" w:cs="Book Antiqua"/>
          <w:color w:val="000000"/>
          <w:lang w:val="en-GB"/>
        </w:rPr>
        <w:t xml:space="preserve"> G and </w:t>
      </w:r>
      <w:r w:rsidRPr="00541840">
        <w:rPr>
          <w:rFonts w:ascii="Book Antiqua" w:hAnsi="Book Antiqua" w:cs="Book Antiqua"/>
          <w:color w:val="000000"/>
          <w:lang w:val="en-GB"/>
        </w:rPr>
        <w:t>García-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Granero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E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analyzed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the data;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Pellino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G, Biondo S,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Codina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Cazador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A,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Enríquez-Navascues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JM</w:t>
      </w:r>
      <w:r w:rsidR="00086FF2" w:rsidRPr="00541840">
        <w:rPr>
          <w:rFonts w:ascii="Book Antiqua" w:hAnsi="Book Antiqua" w:cs="Book Antiqua"/>
          <w:color w:val="000000"/>
          <w:lang w:val="en-GB"/>
        </w:rPr>
        <w:t xml:space="preserve">, </w:t>
      </w:r>
      <w:proofErr w:type="spellStart"/>
      <w:r w:rsidR="00086FF2" w:rsidRPr="00541840">
        <w:rPr>
          <w:rFonts w:ascii="Book Antiqua" w:hAnsi="Book Antiqua" w:cs="Book Antiqua"/>
          <w:color w:val="000000"/>
          <w:lang w:val="en-GB"/>
        </w:rPr>
        <w:t>Espín-Basany</w:t>
      </w:r>
      <w:proofErr w:type="spellEnd"/>
      <w:r w:rsidR="00086FF2" w:rsidRPr="00541840">
        <w:rPr>
          <w:rFonts w:ascii="Book Antiqua" w:hAnsi="Book Antiqua" w:cs="Book Antiqua"/>
          <w:color w:val="000000"/>
          <w:lang w:val="en-GB"/>
        </w:rPr>
        <w:t xml:space="preserve"> E, </w:t>
      </w:r>
      <w:proofErr w:type="spellStart"/>
      <w:r w:rsidR="00086FF2" w:rsidRPr="00541840">
        <w:rPr>
          <w:rFonts w:ascii="Book Antiqua" w:hAnsi="Book Antiqua" w:cs="Book Antiqua"/>
          <w:color w:val="000000"/>
          <w:lang w:val="en-GB"/>
        </w:rPr>
        <w:t>Roig</w:t>
      </w:r>
      <w:proofErr w:type="spellEnd"/>
      <w:r w:rsidR="00086FF2" w:rsidRPr="00541840">
        <w:rPr>
          <w:rFonts w:ascii="Book Antiqua" w:hAnsi="Book Antiqua" w:cs="Book Antiqua"/>
          <w:color w:val="000000"/>
          <w:lang w:val="en-GB"/>
        </w:rPr>
        <w:t xml:space="preserve">-Vila JV and </w:t>
      </w:r>
      <w:r w:rsidRPr="00541840">
        <w:rPr>
          <w:rFonts w:ascii="Book Antiqua" w:hAnsi="Book Antiqua" w:cs="Book Antiqua"/>
          <w:color w:val="000000"/>
          <w:lang w:val="en-GB"/>
        </w:rPr>
        <w:t>García-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Granero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E wrote the paper and critically revised the manuscript for important intellectual content. </w:t>
      </w:r>
    </w:p>
    <w:p w14:paraId="05133A3B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4DAD8DC7" w14:textId="7521FFA8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Institutional review board statement: </w:t>
      </w:r>
      <w:r w:rsidRPr="00541840">
        <w:rPr>
          <w:rFonts w:ascii="Book Antiqua" w:hAnsi="Book Antiqua" w:cs="Book Antiqua"/>
          <w:bCs/>
          <w:color w:val="000000"/>
          <w:lang w:val="en-GB"/>
        </w:rPr>
        <w:t xml:space="preserve">The study was approved by the </w:t>
      </w:r>
      <w:r w:rsidR="00086FF2" w:rsidRPr="00541840">
        <w:rPr>
          <w:rFonts w:ascii="Book Antiqua" w:hAnsi="Book Antiqua" w:cs="Book Antiqua"/>
          <w:bCs/>
          <w:color w:val="000000"/>
          <w:lang w:val="en-GB"/>
        </w:rPr>
        <w:t>institutional review board.</w:t>
      </w:r>
    </w:p>
    <w:p w14:paraId="1624D970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1EB65330" w14:textId="77777777" w:rsidR="00C74ABE" w:rsidRPr="00541840" w:rsidRDefault="00C74ABE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Informed consent statement: </w:t>
      </w:r>
      <w:r w:rsidRPr="00541840">
        <w:rPr>
          <w:rFonts w:ascii="Book Antiqua" w:hAnsi="Book Antiqua"/>
          <w:lang w:val="en-GB"/>
        </w:rPr>
        <w:t xml:space="preserve">Patients were not required to give informed consent to the study because the analysis used anonymous data that were obtained retrospectively. </w:t>
      </w:r>
    </w:p>
    <w:p w14:paraId="53A22670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GB"/>
        </w:rPr>
      </w:pPr>
    </w:p>
    <w:p w14:paraId="0EA973E7" w14:textId="2AA6C688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>Conflict-of-interest statement:</w:t>
      </w:r>
      <w:r w:rsidRPr="00541840">
        <w:rPr>
          <w:rFonts w:ascii="Book Antiqua" w:hAnsi="Book Antiqua" w:cs="Book Antiqua"/>
          <w:bCs/>
          <w:color w:val="000000"/>
          <w:lang w:val="en-GB"/>
        </w:rPr>
        <w:t xml:space="preserve"> All the authors declare no conflict of interest related to the manuscript</w:t>
      </w:r>
      <w:r w:rsidR="00086FF2" w:rsidRPr="00541840">
        <w:rPr>
          <w:rFonts w:ascii="Book Antiqua" w:hAnsi="Book Antiqua" w:cs="Book Antiqua"/>
          <w:bCs/>
          <w:color w:val="000000"/>
          <w:lang w:val="en-GB"/>
        </w:rPr>
        <w:t>.</w:t>
      </w:r>
    </w:p>
    <w:p w14:paraId="15D016E6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6B0B2EF3" w14:textId="30438DE1" w:rsidR="00C74ABE" w:rsidRPr="00541840" w:rsidRDefault="00C74ABE" w:rsidP="00442AFA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bCs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>Data sharing statement:</w:t>
      </w:r>
      <w:r w:rsidRPr="00541840">
        <w:rPr>
          <w:rFonts w:ascii="Book Antiqua" w:hAnsi="Book Antiqua" w:cs="Book Antiqua"/>
          <w:bCs/>
          <w:color w:val="000000"/>
          <w:lang w:val="en-GB"/>
        </w:rPr>
        <w:t xml:space="preserve"> Data will not be shared</w:t>
      </w:r>
      <w:r w:rsidR="00086FF2" w:rsidRPr="00541840">
        <w:rPr>
          <w:rFonts w:ascii="Book Antiqua" w:hAnsi="Book Antiqua" w:cs="Book Antiqua"/>
          <w:bCs/>
          <w:color w:val="000000"/>
          <w:lang w:val="en-GB"/>
        </w:rPr>
        <w:t>.</w:t>
      </w:r>
    </w:p>
    <w:p w14:paraId="2714FF5D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6B955997" w14:textId="2F95E58B" w:rsidR="00C74ABE" w:rsidRPr="00541840" w:rsidRDefault="00C74ABE" w:rsidP="00442AFA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b/>
          <w:bCs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STROBE statement: </w:t>
      </w:r>
      <w:r w:rsidRPr="00541840">
        <w:rPr>
          <w:rFonts w:ascii="Book Antiqua" w:hAnsi="Book Antiqua" w:cs="Book Antiqua"/>
          <w:bCs/>
          <w:color w:val="000000"/>
          <w:lang w:val="en-GB"/>
        </w:rPr>
        <w:t>The study adheres to STROBE</w:t>
      </w:r>
      <w:r w:rsidR="00086FF2" w:rsidRPr="00541840">
        <w:rPr>
          <w:rFonts w:ascii="Book Antiqua" w:hAnsi="Book Antiqua" w:cs="Book Antiqua"/>
          <w:bCs/>
          <w:color w:val="000000"/>
          <w:lang w:val="en-GB"/>
        </w:rPr>
        <w:t xml:space="preserve"> Guidelines.</w:t>
      </w:r>
      <w:r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 </w:t>
      </w:r>
    </w:p>
    <w:p w14:paraId="5B9AE8A5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60DBE645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lastRenderedPageBreak/>
        <w:t xml:space="preserve">Open-Access: </w:t>
      </w:r>
      <w:r w:rsidRPr="00541840">
        <w:rPr>
          <w:rFonts w:ascii="Book Antiqua" w:hAnsi="Book Antiqua" w:cs="Book Antiqua"/>
          <w:color w:val="000000"/>
          <w:lang w:val="en-GB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F1DC738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1AA85D1B" w14:textId="7C0FFA00" w:rsidR="00086FF2" w:rsidRPr="00541840" w:rsidRDefault="00086FF2" w:rsidP="00442AFA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color w:val="000000"/>
          <w:lang w:val="en-GB"/>
        </w:rPr>
        <w:t xml:space="preserve">Manuscript source: </w:t>
      </w:r>
      <w:r w:rsidRPr="00541840">
        <w:rPr>
          <w:rFonts w:ascii="Book Antiqua" w:hAnsi="Book Antiqua" w:cs="Book Antiqua"/>
          <w:color w:val="000000"/>
          <w:lang w:val="en-GB"/>
        </w:rPr>
        <w:t>Invited manuscript</w:t>
      </w:r>
    </w:p>
    <w:p w14:paraId="48088D14" w14:textId="77777777" w:rsidR="00086FF2" w:rsidRPr="00541840" w:rsidRDefault="00086FF2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51C0A2F8" w14:textId="2E8BC28E" w:rsidR="00C74ABE" w:rsidRPr="00541840" w:rsidRDefault="00086FF2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>Corresponding author</w:t>
      </w:r>
      <w:r w:rsidR="00C74ABE"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 to: Eduardo García-</w:t>
      </w:r>
      <w:proofErr w:type="spellStart"/>
      <w:r w:rsidR="00C74ABE" w:rsidRPr="00541840">
        <w:rPr>
          <w:rFonts w:ascii="Book Antiqua" w:hAnsi="Book Antiqua" w:cs="Book Antiqua"/>
          <w:b/>
          <w:bCs/>
          <w:color w:val="000000"/>
          <w:lang w:val="en-GB"/>
        </w:rPr>
        <w:t>Granero</w:t>
      </w:r>
      <w:proofErr w:type="spellEnd"/>
      <w:r w:rsidR="00C74ABE" w:rsidRPr="00541840">
        <w:rPr>
          <w:rFonts w:ascii="Book Antiqua" w:hAnsi="Book Antiqua" w:cs="Book Antiqua"/>
          <w:b/>
          <w:bCs/>
          <w:color w:val="000000"/>
          <w:lang w:val="en-GB"/>
        </w:rPr>
        <w:t>, MD, PhD, Professor</w:t>
      </w:r>
      <w:r w:rsidR="00BD0F3E" w:rsidRPr="00541840">
        <w:rPr>
          <w:rFonts w:ascii="Book Antiqua" w:hAnsi="Book Antiqua" w:cs="Book Antiqua"/>
          <w:b/>
          <w:bCs/>
          <w:color w:val="000000"/>
          <w:lang w:val="en-GB"/>
        </w:rPr>
        <w:t>,</w:t>
      </w:r>
      <w:r w:rsidR="00C74ABE"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 </w:t>
      </w:r>
      <w:r w:rsidR="00C74ABE" w:rsidRPr="00541840">
        <w:rPr>
          <w:rFonts w:ascii="Book Antiqua" w:hAnsi="Book Antiqua" w:cs="Book Antiqua"/>
          <w:color w:val="000000"/>
          <w:lang w:val="en-GB"/>
        </w:rPr>
        <w:t>Department of Surgery, University of Valencia, C/Pizarro 5 2</w:t>
      </w:r>
      <w:r w:rsidR="00C74ABE" w:rsidRPr="00541840">
        <w:rPr>
          <w:rFonts w:ascii="Calibri" w:eastAsia="Calibri" w:hAnsi="Calibri" w:cs="Calibri"/>
          <w:color w:val="000000"/>
          <w:lang w:val="en-GB"/>
        </w:rPr>
        <w:t>‐</w:t>
      </w:r>
      <w:r w:rsidR="00C74ABE" w:rsidRPr="00541840">
        <w:rPr>
          <w:rFonts w:ascii="Book Antiqua" w:hAnsi="Book Antiqua" w:cs="Book Antiqua"/>
          <w:color w:val="000000"/>
          <w:lang w:val="en-GB"/>
        </w:rPr>
        <w:t>2, Valencia</w:t>
      </w:r>
      <w:r w:rsidR="00BD0F3E" w:rsidRPr="00541840">
        <w:rPr>
          <w:rFonts w:ascii="Book Antiqua" w:hAnsi="Book Antiqua" w:cs="Book Antiqua"/>
          <w:color w:val="000000"/>
          <w:lang w:val="en-GB"/>
        </w:rPr>
        <w:t xml:space="preserve"> 46004</w:t>
      </w:r>
      <w:r w:rsidR="00C74ABE" w:rsidRPr="00541840">
        <w:rPr>
          <w:rFonts w:ascii="Book Antiqua" w:hAnsi="Book Antiqua" w:cs="Book Antiqua"/>
          <w:color w:val="000000"/>
          <w:lang w:val="en-GB"/>
        </w:rPr>
        <w:t>, Spain.</w:t>
      </w:r>
      <w:r w:rsidR="00BD0F3E"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C74ABE" w:rsidRPr="00541840">
        <w:rPr>
          <w:rFonts w:ascii="Book Antiqua" w:hAnsi="Book Antiqua" w:cs="Book Antiqua"/>
          <w:color w:val="000000"/>
          <w:lang w:val="en-GB"/>
        </w:rPr>
        <w:t>egggranero@telefonica.net</w:t>
      </w:r>
    </w:p>
    <w:p w14:paraId="6638DC82" w14:textId="48097FD4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t>Telephone:</w:t>
      </w:r>
      <w:r w:rsidRPr="00541840">
        <w:rPr>
          <w:rFonts w:ascii="Book Antiqua" w:hAnsi="Book Antiqua"/>
          <w:lang w:val="en-GB"/>
        </w:rPr>
        <w:t xml:space="preserve"> +34-96</w:t>
      </w:r>
      <w:r w:rsidR="00B82B38" w:rsidRPr="00541840">
        <w:rPr>
          <w:rFonts w:ascii="Book Antiqua" w:hAnsi="Book Antiqua"/>
          <w:lang w:val="en-GB"/>
        </w:rPr>
        <w:t>-</w:t>
      </w:r>
      <w:r w:rsidRPr="00541840">
        <w:rPr>
          <w:rFonts w:ascii="Book Antiqua" w:hAnsi="Book Antiqua"/>
          <w:lang w:val="en-GB"/>
        </w:rPr>
        <w:t>1244000</w:t>
      </w:r>
    </w:p>
    <w:p w14:paraId="2E704DF4" w14:textId="2F79C41B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t>Fax:</w:t>
      </w:r>
      <w:r w:rsidRPr="00541840">
        <w:rPr>
          <w:rFonts w:ascii="Book Antiqua" w:hAnsi="Book Antiqua"/>
          <w:lang w:val="en-GB"/>
        </w:rPr>
        <w:t xml:space="preserve"> +34-96</w:t>
      </w:r>
      <w:r w:rsidR="00B82B38" w:rsidRPr="00541840">
        <w:rPr>
          <w:rFonts w:ascii="Book Antiqua" w:hAnsi="Book Antiqua"/>
          <w:lang w:val="en-GB"/>
        </w:rPr>
        <w:t>-</w:t>
      </w:r>
      <w:r w:rsidRPr="00541840">
        <w:rPr>
          <w:rFonts w:ascii="Book Antiqua" w:hAnsi="Book Antiqua"/>
          <w:lang w:val="en-GB"/>
        </w:rPr>
        <w:t>3868864</w:t>
      </w:r>
    </w:p>
    <w:p w14:paraId="256B649B" w14:textId="7777777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23FF556B" w14:textId="70484E85" w:rsidR="00C74ABE" w:rsidRPr="00541840" w:rsidRDefault="00C74ABE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bCs/>
          <w:lang w:val="en-GB"/>
        </w:rPr>
        <w:t xml:space="preserve">Received: </w:t>
      </w:r>
      <w:r w:rsidR="00B37C47" w:rsidRPr="00541840">
        <w:rPr>
          <w:rFonts w:ascii="Book Antiqua" w:hAnsi="Book Antiqua"/>
          <w:bCs/>
          <w:lang w:val="en-GB"/>
        </w:rPr>
        <w:t>October 13, 2018</w:t>
      </w:r>
    </w:p>
    <w:p w14:paraId="157CABD0" w14:textId="13ADDEB4" w:rsidR="00C74ABE" w:rsidRPr="00541840" w:rsidRDefault="00C74ABE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bCs/>
          <w:lang w:val="en-GB"/>
        </w:rPr>
        <w:t xml:space="preserve">Peer-review started: </w:t>
      </w:r>
      <w:r w:rsidR="00B37C47" w:rsidRPr="00541840">
        <w:rPr>
          <w:rFonts w:ascii="Book Antiqua" w:hAnsi="Book Antiqua"/>
          <w:bCs/>
          <w:lang w:val="en-GB"/>
        </w:rPr>
        <w:t>October 15, 2018</w:t>
      </w:r>
    </w:p>
    <w:p w14:paraId="6AD7F80B" w14:textId="413D257E" w:rsidR="00C74ABE" w:rsidRPr="00541840" w:rsidRDefault="00C74ABE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bCs/>
          <w:lang w:val="en-GB"/>
        </w:rPr>
        <w:t xml:space="preserve">First decision: </w:t>
      </w:r>
      <w:r w:rsidR="00B37C47" w:rsidRPr="00541840">
        <w:rPr>
          <w:rFonts w:ascii="Book Antiqua" w:hAnsi="Book Antiqua"/>
          <w:bCs/>
          <w:lang w:val="en-GB"/>
        </w:rPr>
        <w:t>October 23, 2018</w:t>
      </w:r>
    </w:p>
    <w:p w14:paraId="7A53A1A6" w14:textId="61D43BF9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bCs/>
          <w:lang w:val="en-GB"/>
        </w:rPr>
        <w:t xml:space="preserve">Revised: </w:t>
      </w:r>
      <w:r w:rsidR="00B37C47" w:rsidRPr="00541840">
        <w:rPr>
          <w:rFonts w:ascii="Book Antiqua" w:hAnsi="Book Antiqua"/>
          <w:bCs/>
          <w:lang w:val="en-GB"/>
        </w:rPr>
        <w:t>November 5, 2018</w:t>
      </w:r>
    </w:p>
    <w:p w14:paraId="756D4D9F" w14:textId="0E3E2433" w:rsidR="00C74ABE" w:rsidRPr="00541840" w:rsidRDefault="00C74ABE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bCs/>
          <w:lang w:val="en-GB"/>
        </w:rPr>
        <w:t>Accepted:</w:t>
      </w:r>
      <w:r w:rsidR="00750557" w:rsidRPr="00750557">
        <w:t xml:space="preserve"> </w:t>
      </w:r>
      <w:r w:rsidR="00750557" w:rsidRPr="00750557">
        <w:rPr>
          <w:rFonts w:ascii="Book Antiqua" w:hAnsi="Book Antiqua"/>
          <w:bCs/>
          <w:lang w:val="en-GB"/>
        </w:rPr>
        <w:t>November 16, 2018</w:t>
      </w:r>
      <w:r w:rsidRPr="00541840">
        <w:rPr>
          <w:rFonts w:ascii="Book Antiqua" w:hAnsi="Book Antiqua"/>
          <w:b/>
          <w:bCs/>
          <w:lang w:val="en-GB"/>
        </w:rPr>
        <w:t xml:space="preserve"> </w:t>
      </w:r>
    </w:p>
    <w:p w14:paraId="7D47B163" w14:textId="77777777" w:rsidR="00C74ABE" w:rsidRPr="00541840" w:rsidRDefault="00C74ABE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bCs/>
          <w:lang w:val="en-GB"/>
        </w:rPr>
        <w:t xml:space="preserve">Article in press: </w:t>
      </w:r>
    </w:p>
    <w:p w14:paraId="426D2112" w14:textId="77777777" w:rsidR="00C74ABE" w:rsidRPr="00541840" w:rsidRDefault="00C74ABE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bCs/>
          <w:lang w:val="en-GB"/>
        </w:rPr>
        <w:t>Published online:</w:t>
      </w:r>
    </w:p>
    <w:p w14:paraId="6F9A7DFD" w14:textId="77777777" w:rsidR="00C74ABE" w:rsidRPr="00541840" w:rsidRDefault="00C74ABE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14E03392" w14:textId="77777777" w:rsidR="00C74ABE" w:rsidRPr="00541840" w:rsidRDefault="00C74ABE" w:rsidP="00086FF2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br w:type="page"/>
      </w:r>
    </w:p>
    <w:p w14:paraId="64116402" w14:textId="77777777" w:rsidR="00203815" w:rsidRPr="00541840" w:rsidRDefault="00203815" w:rsidP="00442AFA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b/>
          <w:bCs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lastRenderedPageBreak/>
        <w:t xml:space="preserve">Abstract </w:t>
      </w:r>
    </w:p>
    <w:p w14:paraId="0A369039" w14:textId="77777777" w:rsidR="00203815" w:rsidRPr="00541840" w:rsidRDefault="00203815" w:rsidP="00442AFA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i/>
          <w:iCs/>
          <w:color w:val="000000"/>
          <w:lang w:val="en-GB"/>
        </w:rPr>
        <w:t xml:space="preserve">AIM </w:t>
      </w:r>
    </w:p>
    <w:p w14:paraId="6A4798F8" w14:textId="560C59FA" w:rsidR="00203815" w:rsidRPr="00541840" w:rsidRDefault="00063E79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color w:val="000000"/>
          <w:lang w:val="en-GB"/>
        </w:rPr>
        <w:t>T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o identify short-term and oncologic outcomes of </w:t>
      </w:r>
      <w:r w:rsidR="00442AFA" w:rsidRPr="00541840">
        <w:rPr>
          <w:rFonts w:ascii="Book Antiqua" w:hAnsi="Book Antiqua" w:cs="Book Antiqua"/>
          <w:color w:val="000000"/>
          <w:lang w:val="en-GB"/>
        </w:rPr>
        <w:t>pelvic exenterations (PE)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for </w:t>
      </w:r>
      <w:r w:rsidR="00442AFA" w:rsidRPr="00541840">
        <w:rPr>
          <w:rFonts w:ascii="Book Antiqua" w:hAnsi="Book Antiqua" w:cs="Book Antiqua"/>
          <w:color w:val="000000"/>
          <w:lang w:val="en-GB"/>
        </w:rPr>
        <w:t>locally advanced primary rectal cancer (LAPRC)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in patients included in a </w:t>
      </w:r>
      <w:r w:rsidR="00003D18" w:rsidRPr="00541840">
        <w:rPr>
          <w:rFonts w:ascii="Book Antiqua" w:hAnsi="Book Antiqua" w:cs="Book Antiqua"/>
          <w:color w:val="000000"/>
          <w:lang w:val="en-GB"/>
        </w:rPr>
        <w:t>n</w:t>
      </w:r>
      <w:r w:rsidR="00203815" w:rsidRPr="00541840">
        <w:rPr>
          <w:rFonts w:ascii="Book Antiqua" w:hAnsi="Book Antiqua" w:cs="Book Antiqua"/>
          <w:color w:val="000000"/>
          <w:lang w:val="en-GB"/>
        </w:rPr>
        <w:t>ational prospective database</w:t>
      </w:r>
      <w:r w:rsidR="00D7447F" w:rsidRPr="00541840">
        <w:rPr>
          <w:rFonts w:ascii="Book Antiqua" w:hAnsi="Book Antiqua" w:cs="Book Antiqua"/>
          <w:color w:val="000000"/>
          <w:lang w:val="en-GB"/>
        </w:rPr>
        <w:t>.</w:t>
      </w:r>
    </w:p>
    <w:p w14:paraId="57C4601F" w14:textId="77777777" w:rsidR="00203815" w:rsidRPr="00541840" w:rsidRDefault="00203815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23A87309" w14:textId="77777777" w:rsidR="00203815" w:rsidRPr="00541840" w:rsidRDefault="00203815" w:rsidP="00442AFA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i/>
          <w:iCs/>
          <w:color w:val="000000"/>
          <w:lang w:val="en-GB"/>
        </w:rPr>
        <w:t xml:space="preserve">METHODS </w:t>
      </w:r>
    </w:p>
    <w:p w14:paraId="1051D7B8" w14:textId="0D2F97E7" w:rsidR="00203815" w:rsidRPr="00541840" w:rsidRDefault="00063E79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color w:val="000000"/>
          <w:lang w:val="en-GB"/>
        </w:rPr>
        <w:t xml:space="preserve">Few studies report on </w:t>
      </w:r>
      <w:r w:rsidR="00442AFA" w:rsidRPr="00541840">
        <w:rPr>
          <w:rFonts w:ascii="Book Antiqua" w:hAnsi="Book Antiqua" w:cs="Book Antiqua"/>
          <w:color w:val="000000"/>
          <w:lang w:val="en-GB"/>
        </w:rPr>
        <w:t>PE</w:t>
      </w:r>
      <w:r w:rsidRPr="00541840">
        <w:rPr>
          <w:rFonts w:ascii="Book Antiqua" w:hAnsi="Book Antiqua" w:cs="Book Antiqua"/>
          <w:color w:val="000000"/>
          <w:lang w:val="en-GB"/>
        </w:rPr>
        <w:t xml:space="preserve"> in patients with </w:t>
      </w:r>
      <w:r w:rsidR="00442AFA" w:rsidRPr="00541840">
        <w:rPr>
          <w:rFonts w:ascii="Book Antiqua" w:hAnsi="Book Antiqua" w:cs="Book Antiqua"/>
          <w:color w:val="000000"/>
          <w:lang w:val="en-GB"/>
        </w:rPr>
        <w:t>LAPRC</w:t>
      </w:r>
      <w:r w:rsidRPr="00541840">
        <w:rPr>
          <w:rFonts w:ascii="Book Antiqua" w:hAnsi="Book Antiqua" w:cs="Book Antiqua"/>
          <w:color w:val="000000"/>
          <w:lang w:val="en-GB"/>
        </w:rPr>
        <w:t xml:space="preserve">. </w:t>
      </w:r>
      <w:r w:rsidR="00203815" w:rsidRPr="00541840">
        <w:rPr>
          <w:rFonts w:ascii="Book Antiqua" w:hAnsi="Book Antiqua" w:cs="Book Antiqua"/>
          <w:color w:val="000000"/>
          <w:lang w:val="en-GB"/>
        </w:rPr>
        <w:t>For this study</w:t>
      </w:r>
      <w:r w:rsidR="003213D0" w:rsidRPr="00541840">
        <w:rPr>
          <w:rFonts w:ascii="Book Antiqua" w:hAnsi="Book Antiqua" w:cs="Book Antiqua"/>
          <w:color w:val="000000"/>
          <w:lang w:val="en-GB"/>
        </w:rPr>
        <w:t>,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we included PE for LAPRC performed between 2006 and 2017</w:t>
      </w:r>
      <w:r w:rsidR="003213D0" w:rsidRPr="00541840">
        <w:rPr>
          <w:rFonts w:ascii="Book Antiqua" w:hAnsi="Book Antiqua" w:cs="Book Antiqua"/>
          <w:color w:val="000000"/>
          <w:lang w:val="en-GB"/>
        </w:rPr>
        <w:t>,</w:t>
      </w:r>
      <w:r w:rsidRPr="00541840">
        <w:rPr>
          <w:rFonts w:ascii="Book Antiqua" w:hAnsi="Book Antiqua" w:cs="Book Antiqua"/>
          <w:color w:val="000000"/>
          <w:lang w:val="en-GB"/>
        </w:rPr>
        <w:t xml:space="preserve"> as avail</w:t>
      </w:r>
      <w:r w:rsidR="003213D0" w:rsidRPr="00541840">
        <w:rPr>
          <w:rFonts w:ascii="Book Antiqua" w:hAnsi="Book Antiqua" w:cs="Book Antiqua"/>
          <w:color w:val="000000"/>
          <w:lang w:val="en-GB"/>
        </w:rPr>
        <w:t>a</w:t>
      </w:r>
      <w:r w:rsidRPr="00541840">
        <w:rPr>
          <w:rFonts w:ascii="Book Antiqua" w:hAnsi="Book Antiqua" w:cs="Book Antiqua"/>
          <w:color w:val="000000"/>
          <w:lang w:val="en-GB"/>
        </w:rPr>
        <w:t>ble</w:t>
      </w:r>
      <w:r w:rsidR="003213D0" w:rsidRPr="00541840">
        <w:rPr>
          <w:rFonts w:ascii="Book Antiqua" w:hAnsi="Book Antiqua" w:cs="Book Antiqua"/>
          <w:color w:val="000000"/>
          <w:lang w:val="en-GB"/>
        </w:rPr>
        <w:t>,</w:t>
      </w:r>
      <w:r w:rsidRPr="00541840">
        <w:rPr>
          <w:rFonts w:ascii="Book Antiqua" w:hAnsi="Book Antiqua" w:cs="Book Antiqua"/>
          <w:color w:val="000000"/>
          <w:lang w:val="en-GB"/>
        </w:rPr>
        <w:t xml:space="preserve"> from the Rectal Cancer Registry of the S</w:t>
      </w:r>
      <w:r w:rsidR="00442AFA" w:rsidRPr="00541840">
        <w:rPr>
          <w:rFonts w:ascii="Book Antiqua" w:hAnsi="Book Antiqua" w:cs="Book Antiqua"/>
          <w:color w:val="000000"/>
          <w:lang w:val="en-GB"/>
        </w:rPr>
        <w:t>panish Association of Surgeons [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A</w:t>
      </w:r>
      <w:r w:rsidR="00442AFA" w:rsidRPr="00541840">
        <w:rPr>
          <w:rFonts w:ascii="Book Antiqua" w:hAnsi="Book Antiqua" w:cs="Book Antiqua"/>
          <w:color w:val="000000"/>
          <w:lang w:val="en-GB"/>
        </w:rPr>
        <w:t>sociación</w:t>
      </w:r>
      <w:proofErr w:type="spellEnd"/>
      <w:r w:rsidR="00442AFA" w:rsidRPr="00541840">
        <w:rPr>
          <w:rFonts w:ascii="Book Antiqua" w:hAnsi="Book Antiqua" w:cs="Book Antiqua"/>
          <w:color w:val="000000"/>
          <w:lang w:val="en-GB"/>
        </w:rPr>
        <w:t xml:space="preserve"> Española de </w:t>
      </w:r>
      <w:proofErr w:type="spellStart"/>
      <w:r w:rsidR="00442AFA" w:rsidRPr="00541840">
        <w:rPr>
          <w:rFonts w:ascii="Book Antiqua" w:hAnsi="Book Antiqua" w:cs="Book Antiqua"/>
          <w:color w:val="000000"/>
          <w:lang w:val="en-GB"/>
        </w:rPr>
        <w:t>Cirujanos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442AFA" w:rsidRPr="00541840">
        <w:rPr>
          <w:rFonts w:ascii="Book Antiqua" w:hAnsi="Book Antiqua" w:cs="Book Antiqua"/>
          <w:color w:val="000000"/>
          <w:lang w:val="en-GB"/>
        </w:rPr>
        <w:t>(</w:t>
      </w:r>
      <w:r w:rsidRPr="00541840">
        <w:rPr>
          <w:rFonts w:ascii="Book Antiqua" w:hAnsi="Book Antiqua" w:cs="Book Antiqua"/>
          <w:color w:val="000000"/>
          <w:lang w:val="en-GB"/>
        </w:rPr>
        <w:t>AEC)</w:t>
      </w:r>
      <w:r w:rsidR="00442AFA" w:rsidRPr="00541840">
        <w:rPr>
          <w:rFonts w:ascii="Book Antiqua" w:hAnsi="Book Antiqua" w:cs="Book Antiqua"/>
          <w:color w:val="000000"/>
          <w:lang w:val="en-GB"/>
        </w:rPr>
        <w:t>]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. Primary endpoints included </w:t>
      </w:r>
      <w:r w:rsidRPr="00541840">
        <w:rPr>
          <w:rFonts w:ascii="Book Antiqua" w:hAnsi="Book Antiqua" w:cs="Book Antiqua"/>
          <w:color w:val="000000"/>
          <w:lang w:val="en-GB"/>
        </w:rPr>
        <w:t xml:space="preserve">procedure-associated </w:t>
      </w:r>
      <w:r w:rsidR="00203815" w:rsidRPr="00541840">
        <w:rPr>
          <w:rFonts w:ascii="Book Antiqua" w:hAnsi="Book Antiqua" w:cs="Book Antiqua"/>
          <w:color w:val="000000"/>
          <w:lang w:val="en-GB"/>
        </w:rPr>
        <w:t>complications, 5-year local recurrence</w:t>
      </w:r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203815" w:rsidRPr="00541840">
        <w:rPr>
          <w:rFonts w:ascii="Book Antiqua" w:hAnsi="Book Antiqua" w:cs="Book Antiqua"/>
          <w:color w:val="000000"/>
          <w:lang w:val="en-GB"/>
        </w:rPr>
        <w:t>(LR), disease-free survival</w:t>
      </w:r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203815" w:rsidRPr="00541840">
        <w:rPr>
          <w:rFonts w:ascii="Book Antiqua" w:hAnsi="Book Antiqua" w:cs="Book Antiqua"/>
          <w:color w:val="000000"/>
          <w:lang w:val="en-GB"/>
        </w:rPr>
        <w:t>(DFS) and overall survival</w:t>
      </w:r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(OS). A </w:t>
      </w:r>
      <w:r w:rsidR="00D43FC2" w:rsidRPr="00541840">
        <w:rPr>
          <w:rFonts w:ascii="Book Antiqua" w:hAnsi="Book Antiqua" w:cs="Book Antiqua"/>
          <w:color w:val="000000"/>
          <w:lang w:val="en-GB"/>
        </w:rPr>
        <w:t>propensity-matched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comparison with patients who underwent non-</w:t>
      </w:r>
      <w:proofErr w:type="spellStart"/>
      <w:r w:rsidR="00203815" w:rsidRPr="00541840">
        <w:rPr>
          <w:rFonts w:ascii="Book Antiqua" w:hAnsi="Book Antiqua" w:cs="Book Antiqua"/>
          <w:color w:val="000000"/>
          <w:lang w:val="en-GB"/>
        </w:rPr>
        <w:t>exenterative</w:t>
      </w:r>
      <w:proofErr w:type="spellEnd"/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surgery for low rectal cancers was performed</w:t>
      </w:r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AB545B" w:rsidRPr="00541840">
        <w:rPr>
          <w:rFonts w:ascii="Book Antiqua" w:hAnsi="Book Antiqua" w:cs="Book Antiqua"/>
          <w:color w:val="000000"/>
          <w:lang w:val="en-GB"/>
        </w:rPr>
        <w:t>as</w:t>
      </w:r>
      <w:r w:rsidRPr="00541840">
        <w:rPr>
          <w:rFonts w:ascii="Book Antiqua" w:hAnsi="Book Antiqua" w:cs="Book Antiqua"/>
          <w:color w:val="000000"/>
          <w:lang w:val="en-GB"/>
        </w:rPr>
        <w:t xml:space="preserve"> a secondary endpoint</w:t>
      </w:r>
      <w:r w:rsidR="00203815" w:rsidRPr="00541840">
        <w:rPr>
          <w:rFonts w:ascii="Book Antiqua" w:hAnsi="Book Antiqua" w:cs="Book Antiqua"/>
          <w:color w:val="000000"/>
          <w:lang w:val="en-GB"/>
        </w:rPr>
        <w:t>.</w:t>
      </w:r>
    </w:p>
    <w:p w14:paraId="2ECD7135" w14:textId="77777777" w:rsidR="00203815" w:rsidRPr="00541840" w:rsidRDefault="00203815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</w:p>
    <w:p w14:paraId="1A7CBD0C" w14:textId="77777777" w:rsidR="00203815" w:rsidRPr="00541840" w:rsidRDefault="00203815" w:rsidP="00442AFA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i/>
          <w:iCs/>
          <w:color w:val="000000"/>
          <w:lang w:val="en-GB"/>
        </w:rPr>
        <w:t xml:space="preserve">RESULTS </w:t>
      </w:r>
    </w:p>
    <w:p w14:paraId="3E6D3114" w14:textId="5D14C1EE" w:rsidR="00203815" w:rsidRPr="00541840" w:rsidRDefault="00063E79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color w:val="000000"/>
          <w:lang w:val="en-GB"/>
        </w:rPr>
        <w:t>Eight-two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patients were included. </w:t>
      </w:r>
      <w:r w:rsidR="00233BEF" w:rsidRPr="00541840">
        <w:rPr>
          <w:rFonts w:ascii="Book Antiqua" w:hAnsi="Book Antiqua" w:cs="Book Antiqua"/>
          <w:color w:val="000000"/>
          <w:lang w:val="en-GB"/>
        </w:rPr>
        <w:t>The m</w:t>
      </w:r>
      <w:r w:rsidR="00203815" w:rsidRPr="00541840">
        <w:rPr>
          <w:rFonts w:ascii="Book Antiqua" w:hAnsi="Book Antiqua" w:cs="Book Antiqua"/>
          <w:color w:val="000000"/>
          <w:lang w:val="en-GB"/>
        </w:rPr>
        <w:t>ean age was 61.8 ± 11.5 years. More than half of</w:t>
      </w:r>
      <w:r w:rsidR="000C748E" w:rsidRPr="00541840">
        <w:rPr>
          <w:rFonts w:ascii="Book Antiqua" w:hAnsi="Book Antiqua" w:cs="Book Antiqua"/>
          <w:color w:val="000000"/>
          <w:lang w:val="en-GB"/>
        </w:rPr>
        <w:t xml:space="preserve"> the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patients experienced at least one complication. Surgical site infections were the most common complication (abdominal wound 18.3%, perineal closure 19.4%). Thirty-three </w:t>
      </w:r>
      <w:proofErr w:type="spellStart"/>
      <w:r w:rsidR="00203815" w:rsidRPr="00541840">
        <w:rPr>
          <w:rFonts w:ascii="Book Antiqua" w:hAnsi="Book Antiqua" w:cs="Book Antiqua"/>
          <w:color w:val="000000"/>
          <w:lang w:val="en-GB"/>
        </w:rPr>
        <w:t>multivisceral</w:t>
      </w:r>
      <w:proofErr w:type="spellEnd"/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resections were performed, including two hepatectomies and four </w:t>
      </w:r>
      <w:proofErr w:type="spellStart"/>
      <w:r w:rsidR="00203815" w:rsidRPr="00541840">
        <w:rPr>
          <w:rFonts w:ascii="Book Antiqua" w:hAnsi="Book Antiqua" w:cs="Book Antiqua"/>
          <w:color w:val="000000"/>
          <w:lang w:val="en-GB"/>
        </w:rPr>
        <w:t>metastasectom</w:t>
      </w:r>
      <w:r w:rsidR="00452B20" w:rsidRPr="00541840">
        <w:rPr>
          <w:rFonts w:ascii="Book Antiqua" w:hAnsi="Book Antiqua" w:cs="Book Antiqua"/>
          <w:color w:val="000000"/>
          <w:lang w:val="en-GB"/>
        </w:rPr>
        <w:t>ies</w:t>
      </w:r>
      <w:proofErr w:type="spellEnd"/>
      <w:r w:rsidR="00203815" w:rsidRPr="00541840">
        <w:rPr>
          <w:rFonts w:ascii="Book Antiqua" w:hAnsi="Book Antiqua" w:cs="Book Antiqua"/>
          <w:color w:val="000000"/>
          <w:lang w:val="en-GB"/>
        </w:rPr>
        <w:t xml:space="preserve">. </w:t>
      </w:r>
      <w:r w:rsidR="000C748E" w:rsidRPr="00541840">
        <w:rPr>
          <w:rFonts w:ascii="Book Antiqua" w:hAnsi="Book Antiqua" w:cs="Book Antiqua"/>
          <w:color w:val="000000"/>
          <w:lang w:val="en-GB"/>
        </w:rPr>
        <w:t>The l</w:t>
      </w:r>
      <w:r w:rsidR="00203815" w:rsidRPr="00541840">
        <w:rPr>
          <w:rFonts w:ascii="Book Antiqua" w:hAnsi="Book Antiqua" w:cs="Book Antiqua"/>
          <w:color w:val="000000"/>
          <w:lang w:val="en-GB"/>
        </w:rPr>
        <w:t>ong-term outcomes of</w:t>
      </w:r>
      <w:r w:rsidR="000C748E" w:rsidRPr="00541840">
        <w:rPr>
          <w:rFonts w:ascii="Book Antiqua" w:hAnsi="Book Antiqua" w:cs="Book Antiqua"/>
          <w:color w:val="000000"/>
          <w:lang w:val="en-GB"/>
        </w:rPr>
        <w:t xml:space="preserve"> the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64 patients operated on before 2013 were assessed. </w:t>
      </w:r>
      <w:r w:rsidR="0017144E" w:rsidRPr="00541840">
        <w:rPr>
          <w:rFonts w:ascii="Book Antiqua" w:hAnsi="Book Antiqua" w:cs="Book Antiqua"/>
          <w:color w:val="000000"/>
          <w:lang w:val="en-GB"/>
        </w:rPr>
        <w:t>The f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ive-year LR was 15.6%, </w:t>
      </w:r>
      <w:r w:rsidR="000C748E" w:rsidRPr="00541840">
        <w:rPr>
          <w:rFonts w:ascii="Book Antiqua" w:hAnsi="Book Antiqua" w:cs="Book Antiqua"/>
          <w:color w:val="000000"/>
          <w:lang w:val="en-GB"/>
        </w:rPr>
        <w:t xml:space="preserve">the 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distant recurrence rate was 21.9%, and OS </w:t>
      </w:r>
      <w:r w:rsidR="00837F91" w:rsidRPr="00541840">
        <w:rPr>
          <w:rFonts w:ascii="Book Antiqua" w:hAnsi="Book Antiqua" w:cs="Book Antiqua"/>
          <w:color w:val="000000"/>
          <w:lang w:val="en-GB"/>
        </w:rPr>
        <w:t xml:space="preserve">was 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67.2%, with </w:t>
      </w:r>
      <w:r w:rsidR="000C748E" w:rsidRPr="00541840">
        <w:rPr>
          <w:rFonts w:ascii="Book Antiqua" w:hAnsi="Book Antiqua" w:cs="Book Antiqua"/>
          <w:color w:val="000000"/>
          <w:lang w:val="en-GB"/>
        </w:rPr>
        <w:t xml:space="preserve">a </w:t>
      </w:r>
      <w:r w:rsidR="00203815" w:rsidRPr="00541840">
        <w:rPr>
          <w:rFonts w:ascii="Book Antiqua" w:hAnsi="Book Antiqua" w:cs="Book Antiqua"/>
          <w:color w:val="000000"/>
          <w:lang w:val="en-GB"/>
        </w:rPr>
        <w:t>mean survival of 43.8 mo</w:t>
      </w:r>
      <w:r w:rsidR="00442AFA" w:rsidRPr="00541840">
        <w:rPr>
          <w:rFonts w:ascii="Book Antiqua" w:hAnsi="Book Antiqua" w:cs="Book Antiqua"/>
          <w:color w:val="000000"/>
          <w:lang w:val="en-GB"/>
        </w:rPr>
        <w:t xml:space="preserve">. </w:t>
      </w:r>
      <w:proofErr w:type="spellStart"/>
      <w:r w:rsidR="00442AFA" w:rsidRPr="00541840">
        <w:rPr>
          <w:rFonts w:ascii="Book Antiqua" w:hAnsi="Book Antiqua" w:cs="Book Antiqua"/>
          <w:color w:val="000000"/>
          <w:lang w:val="en-GB"/>
        </w:rPr>
        <w:t>R+ve</w:t>
      </w:r>
      <w:proofErr w:type="spellEnd"/>
      <w:r w:rsidR="00442AFA" w:rsidRPr="00541840">
        <w:rPr>
          <w:rFonts w:ascii="Book Antiqua" w:hAnsi="Book Antiqua" w:cs="Book Antiqua"/>
          <w:color w:val="000000"/>
          <w:lang w:val="en-GB"/>
        </w:rPr>
        <w:t xml:space="preserve"> resection increased LR [hazard ratio (</w:t>
      </w:r>
      <w:r w:rsidR="00203815" w:rsidRPr="00541840">
        <w:rPr>
          <w:rFonts w:ascii="Book Antiqua" w:hAnsi="Book Antiqua" w:cs="Book Antiqua"/>
          <w:color w:val="000000"/>
          <w:lang w:val="en-GB"/>
        </w:rPr>
        <w:t>HR</w:t>
      </w:r>
      <w:r w:rsidR="00442AFA" w:rsidRPr="00541840">
        <w:rPr>
          <w:rFonts w:ascii="Book Antiqua" w:hAnsi="Book Antiqua" w:cs="Book Antiqua"/>
          <w:color w:val="000000"/>
          <w:lang w:val="en-GB"/>
        </w:rPr>
        <w:t>)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442AFA" w:rsidRPr="00541840">
        <w:rPr>
          <w:rFonts w:ascii="Book Antiqua" w:hAnsi="Book Antiqua" w:cs="Book Antiqua"/>
          <w:color w:val="000000"/>
          <w:lang w:val="en-GB"/>
        </w:rPr>
        <w:t xml:space="preserve">= 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5.58, </w:t>
      </w:r>
      <w:r w:rsidR="00442AFA" w:rsidRPr="00541840">
        <w:rPr>
          <w:rFonts w:ascii="Book Antiqua" w:hAnsi="Book Antiqua" w:cs="Book Antiqua"/>
          <w:color w:val="000000"/>
          <w:lang w:val="en-GB"/>
        </w:rPr>
        <w:t>95%</w:t>
      </w:r>
      <w:r w:rsidR="00296E35" w:rsidRPr="00541840">
        <w:rPr>
          <w:rFonts w:ascii="Book Antiqua" w:hAnsi="Book Antiqua" w:cs="Book Antiqua"/>
          <w:color w:val="000000"/>
          <w:lang w:val="en-GB"/>
        </w:rPr>
        <w:t>CI</w:t>
      </w:r>
      <w:r w:rsidR="00442AFA" w:rsidRPr="00541840">
        <w:rPr>
          <w:rFonts w:ascii="Book Antiqua" w:hAnsi="Book Antiqua" w:cs="Book Antiqua"/>
          <w:color w:val="000000"/>
          <w:lang w:val="en-GB"/>
        </w:rPr>
        <w:t>: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1.04-30.07, </w:t>
      </w:r>
      <w:r w:rsidR="007462BA" w:rsidRPr="00541840">
        <w:rPr>
          <w:rFonts w:ascii="Book Antiqua" w:hAnsi="Book Antiqua" w:cs="Book Antiqua"/>
          <w:i/>
          <w:color w:val="000000"/>
          <w:lang w:val="en-GB"/>
        </w:rPr>
        <w:t>P</w:t>
      </w:r>
      <w:r w:rsidR="00442AFA" w:rsidRPr="00541840">
        <w:rPr>
          <w:rFonts w:ascii="Book Antiqua" w:hAnsi="Book Antiqua" w:cs="Book Antiqua"/>
          <w:i/>
          <w:color w:val="000000"/>
          <w:lang w:val="en-GB"/>
        </w:rPr>
        <w:t xml:space="preserve"> </w:t>
      </w:r>
      <w:r w:rsidR="00203815" w:rsidRPr="00541840">
        <w:rPr>
          <w:rFonts w:ascii="Book Antiqua" w:hAnsi="Book Antiqua" w:cs="Book Antiqua"/>
          <w:color w:val="000000"/>
          <w:lang w:val="en-GB"/>
        </w:rPr>
        <w:t>=</w:t>
      </w:r>
      <w:r w:rsidR="00442AFA" w:rsidRPr="00541840">
        <w:rPr>
          <w:rFonts w:ascii="Book Antiqua" w:hAnsi="Book Antiqua" w:cs="Book Antiqua"/>
          <w:color w:val="000000"/>
          <w:lang w:val="en-GB"/>
        </w:rPr>
        <w:t xml:space="preserve"> 0.04]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. </w:t>
      </w:r>
      <w:r w:rsidR="000C748E" w:rsidRPr="00541840">
        <w:rPr>
          <w:rFonts w:ascii="Book Antiqua" w:hAnsi="Book Antiqua" w:cs="Book Antiqua"/>
          <w:color w:val="000000"/>
          <w:lang w:val="en-GB"/>
        </w:rPr>
        <w:t>The q</w:t>
      </w:r>
      <w:r w:rsidR="00203815" w:rsidRPr="00541840">
        <w:rPr>
          <w:rFonts w:ascii="Book Antiqua" w:hAnsi="Book Antiqua" w:cs="Book Antiqua"/>
          <w:color w:val="000000"/>
          <w:lang w:val="en-GB"/>
        </w:rPr>
        <w:t>uality of the mesorectum was associated with DFS. Perioperative complications were independent pre</w:t>
      </w:r>
      <w:r w:rsidR="00442AFA" w:rsidRPr="00541840">
        <w:rPr>
          <w:rFonts w:ascii="Book Antiqua" w:hAnsi="Book Antiqua" w:cs="Book Antiqua"/>
          <w:color w:val="000000"/>
          <w:lang w:val="en-GB"/>
        </w:rPr>
        <w:t xml:space="preserve">dictors of shorter survival (HR = 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3.53, </w:t>
      </w:r>
      <w:r w:rsidR="00442AFA" w:rsidRPr="00541840">
        <w:rPr>
          <w:rFonts w:ascii="Book Antiqua" w:hAnsi="Book Antiqua" w:cs="Book Antiqua"/>
          <w:color w:val="000000"/>
          <w:lang w:val="en-GB"/>
        </w:rPr>
        <w:t>95%</w:t>
      </w:r>
      <w:r w:rsidR="00296E35" w:rsidRPr="00541840">
        <w:rPr>
          <w:rFonts w:ascii="Book Antiqua" w:hAnsi="Book Antiqua" w:cs="Book Antiqua"/>
          <w:color w:val="000000"/>
          <w:lang w:val="en-GB"/>
        </w:rPr>
        <w:t>CI</w:t>
      </w:r>
      <w:r w:rsidR="00442AFA" w:rsidRPr="00541840">
        <w:rPr>
          <w:rFonts w:ascii="Book Antiqua" w:hAnsi="Book Antiqua" w:cs="Book Antiqua"/>
          <w:color w:val="000000"/>
          <w:lang w:val="en-GB"/>
        </w:rPr>
        <w:t>: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1.12-10.94, </w:t>
      </w:r>
      <w:r w:rsidR="006A5E0D" w:rsidRPr="00541840">
        <w:rPr>
          <w:rFonts w:ascii="Book Antiqua" w:hAnsi="Book Antiqua" w:cs="Book Antiqua"/>
          <w:i/>
          <w:color w:val="000000"/>
          <w:lang w:val="en-GB"/>
        </w:rPr>
        <w:t>P</w:t>
      </w:r>
      <w:r w:rsidR="00442AFA" w:rsidRPr="00541840">
        <w:rPr>
          <w:rFonts w:ascii="Book Antiqua" w:hAnsi="Book Antiqua" w:cs="Book Antiqua"/>
          <w:i/>
          <w:color w:val="000000"/>
          <w:lang w:val="en-GB"/>
        </w:rPr>
        <w:t xml:space="preserve"> </w:t>
      </w:r>
      <w:r w:rsidR="00203815" w:rsidRPr="00541840">
        <w:rPr>
          <w:rFonts w:ascii="Book Antiqua" w:hAnsi="Book Antiqua" w:cs="Book Antiqua"/>
          <w:color w:val="000000"/>
          <w:lang w:val="en-GB"/>
        </w:rPr>
        <w:t>=</w:t>
      </w:r>
      <w:r w:rsidR="00442AFA"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0.03). In the </w:t>
      </w:r>
      <w:r w:rsidR="00D43FC2" w:rsidRPr="00541840">
        <w:rPr>
          <w:rFonts w:ascii="Book Antiqua" w:hAnsi="Book Antiqua" w:cs="Book Antiqua"/>
          <w:color w:val="000000"/>
          <w:lang w:val="en-GB"/>
        </w:rPr>
        <w:t>propensity-matched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analysis</w:t>
      </w:r>
      <w:r w:rsidR="0041156F" w:rsidRPr="00541840">
        <w:rPr>
          <w:rFonts w:ascii="Book Antiqua" w:hAnsi="Book Antiqua" w:cs="Book Antiqua"/>
          <w:color w:val="000000"/>
          <w:lang w:val="en-GB"/>
        </w:rPr>
        <w:t>,</w:t>
      </w:r>
      <w:r w:rsidR="00203815" w:rsidRPr="00541840">
        <w:rPr>
          <w:rFonts w:ascii="Book Antiqua" w:hAnsi="Book Antiqua" w:cs="Book Antiqua"/>
          <w:color w:val="000000"/>
          <w:lang w:val="en-GB"/>
        </w:rPr>
        <w:t xml:space="preserve"> PE was associated with better quality of the specimen and tended to achieve lower LR with similar OS.</w:t>
      </w:r>
    </w:p>
    <w:p w14:paraId="7E009D2F" w14:textId="4FE32EE1" w:rsidR="00203815" w:rsidRPr="00541840" w:rsidRDefault="00203815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val="en-GB"/>
        </w:rPr>
      </w:pPr>
    </w:p>
    <w:p w14:paraId="4A17B1AB" w14:textId="77777777" w:rsidR="00281465" w:rsidRPr="00541840" w:rsidRDefault="00203815" w:rsidP="00281465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i/>
          <w:iCs/>
          <w:color w:val="000000"/>
          <w:lang w:val="en-GB"/>
        </w:rPr>
        <w:lastRenderedPageBreak/>
        <w:t xml:space="preserve">CONCLUSION </w:t>
      </w:r>
    </w:p>
    <w:p w14:paraId="7162AE28" w14:textId="0A07BCEC" w:rsidR="00203815" w:rsidRPr="00541840" w:rsidRDefault="00203815" w:rsidP="00281465">
      <w:pPr>
        <w:autoSpaceDE w:val="0"/>
        <w:autoSpaceDN w:val="0"/>
        <w:adjustRightInd w:val="0"/>
        <w:snapToGrid w:val="0"/>
        <w:spacing w:line="360" w:lineRule="auto"/>
        <w:jc w:val="both"/>
        <w:outlineLvl w:val="0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color w:val="000000"/>
          <w:lang w:val="en-GB"/>
        </w:rPr>
        <w:t>PE is an extensive procedure</w:t>
      </w:r>
      <w:r w:rsidR="006A5E0D" w:rsidRPr="00541840">
        <w:rPr>
          <w:rFonts w:ascii="Book Antiqua" w:hAnsi="Book Antiqua" w:cs="Book Antiqua"/>
          <w:color w:val="000000"/>
          <w:lang w:val="en-GB"/>
        </w:rPr>
        <w:t xml:space="preserve">, </w:t>
      </w:r>
      <w:r w:rsidRPr="00541840">
        <w:rPr>
          <w:rFonts w:ascii="Book Antiqua" w:hAnsi="Book Antiqua" w:cs="Book Antiqua"/>
          <w:color w:val="000000"/>
          <w:lang w:val="en-GB"/>
        </w:rPr>
        <w:t xml:space="preserve">justified if disease-free margins can be obtained. Further studies </w:t>
      </w:r>
      <w:r w:rsidR="006A5E0D" w:rsidRPr="00541840">
        <w:rPr>
          <w:rFonts w:ascii="Book Antiqua" w:hAnsi="Book Antiqua" w:cs="Book Antiqua"/>
          <w:color w:val="000000"/>
          <w:lang w:val="en-GB"/>
        </w:rPr>
        <w:t>should define</w:t>
      </w:r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6A5E0D" w:rsidRPr="00541840">
        <w:rPr>
          <w:rFonts w:ascii="Book Antiqua" w:hAnsi="Book Antiqua" w:cs="Book Antiqua"/>
          <w:color w:val="000000"/>
          <w:lang w:val="en-GB"/>
        </w:rPr>
        <w:t xml:space="preserve">indications, </w:t>
      </w:r>
      <w:r w:rsidRPr="00541840">
        <w:rPr>
          <w:rFonts w:ascii="Book Antiqua" w:hAnsi="Book Antiqua" w:cs="Book Antiqua"/>
          <w:color w:val="000000"/>
          <w:lang w:val="en-GB"/>
        </w:rPr>
        <w:t>accreditation policy, and quality of life in LAPRC.</w:t>
      </w:r>
    </w:p>
    <w:p w14:paraId="71C029F1" w14:textId="77777777" w:rsidR="00203815" w:rsidRPr="00541840" w:rsidRDefault="00203815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7415F4AA" w14:textId="637022A5" w:rsidR="00203815" w:rsidRPr="00541840" w:rsidRDefault="00203815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Key words: </w:t>
      </w:r>
      <w:r w:rsidR="00281465" w:rsidRPr="00541840">
        <w:rPr>
          <w:rFonts w:ascii="Book Antiqua" w:hAnsi="Book Antiqua" w:cs="Book Antiqua"/>
          <w:color w:val="000000"/>
          <w:lang w:val="en-GB"/>
        </w:rPr>
        <w:t>Pelvic exenteration; Advanced rectal cancer; Colorectal surgery; Complication; Outcome</w:t>
      </w:r>
    </w:p>
    <w:p w14:paraId="0958102D" w14:textId="77777777" w:rsidR="00277F49" w:rsidRPr="00541840" w:rsidRDefault="00277F49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12714FEA" w14:textId="77777777" w:rsidR="00277F49" w:rsidRPr="00541840" w:rsidRDefault="00277F49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 xml:space="preserve">© The Author(s) 2018. </w:t>
      </w:r>
      <w:r w:rsidRPr="00541840">
        <w:rPr>
          <w:rFonts w:ascii="Book Antiqua" w:hAnsi="Book Antiqua" w:cs="Book Antiqua"/>
          <w:color w:val="000000"/>
          <w:lang w:val="en-GB"/>
        </w:rPr>
        <w:t xml:space="preserve">Published by 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Baishideng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Publishing Group Inc. All rights reserved.</w:t>
      </w:r>
    </w:p>
    <w:p w14:paraId="20137503" w14:textId="77777777" w:rsidR="00277F49" w:rsidRPr="00541840" w:rsidRDefault="00277F49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257CC5FD" w14:textId="63F40F3D" w:rsidR="00203815" w:rsidRPr="00541840" w:rsidRDefault="00203815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  <w:r w:rsidRPr="00541840">
        <w:rPr>
          <w:rFonts w:ascii="Book Antiqua" w:hAnsi="Book Antiqua" w:cs="Book Antiqua"/>
          <w:b/>
          <w:bCs/>
          <w:color w:val="000000"/>
          <w:lang w:val="en-GB"/>
        </w:rPr>
        <w:t>Core tip</w:t>
      </w:r>
      <w:r w:rsidRPr="00541840">
        <w:rPr>
          <w:rFonts w:ascii="Book Antiqua" w:hAnsi="Book Antiqua" w:cs="Book Antiqua"/>
          <w:color w:val="000000"/>
          <w:lang w:val="en-GB"/>
        </w:rPr>
        <w:t xml:space="preserve">: </w:t>
      </w:r>
      <w:r w:rsidR="00063E79" w:rsidRPr="00541840">
        <w:rPr>
          <w:rFonts w:ascii="Book Antiqua" w:hAnsi="Book Antiqua" w:cs="Book Antiqua"/>
          <w:color w:val="000000"/>
          <w:lang w:val="en-GB"/>
        </w:rPr>
        <w:t>Pelvic exenteration</w:t>
      </w:r>
      <w:r w:rsidR="00E40584"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063E79" w:rsidRPr="00541840">
        <w:rPr>
          <w:rFonts w:ascii="Book Antiqua" w:hAnsi="Book Antiqua" w:cs="Book Antiqua"/>
          <w:color w:val="000000"/>
          <w:lang w:val="en-GB"/>
        </w:rPr>
        <w:t>(</w:t>
      </w:r>
      <w:r w:rsidRPr="00541840">
        <w:rPr>
          <w:rFonts w:ascii="Book Antiqua" w:hAnsi="Book Antiqua" w:cs="Book Antiqua"/>
          <w:color w:val="000000"/>
          <w:lang w:val="en-GB"/>
        </w:rPr>
        <w:t>PE</w:t>
      </w:r>
      <w:r w:rsidR="00063E79" w:rsidRPr="00541840">
        <w:rPr>
          <w:rFonts w:ascii="Book Antiqua" w:hAnsi="Book Antiqua" w:cs="Book Antiqua"/>
          <w:color w:val="000000"/>
          <w:lang w:val="en-GB"/>
        </w:rPr>
        <w:t>)</w:t>
      </w:r>
      <w:r w:rsidRPr="00541840">
        <w:rPr>
          <w:rFonts w:ascii="Book Antiqua" w:hAnsi="Book Antiqua" w:cs="Book Antiqua"/>
          <w:color w:val="000000"/>
          <w:lang w:val="en-GB"/>
        </w:rPr>
        <w:t xml:space="preserve"> for </w:t>
      </w:r>
      <w:r w:rsidR="00063E79" w:rsidRPr="00541840">
        <w:rPr>
          <w:rFonts w:ascii="Book Antiqua" w:hAnsi="Book Antiqua" w:cs="Book Antiqua"/>
          <w:color w:val="000000"/>
          <w:lang w:val="en-GB"/>
        </w:rPr>
        <w:t>locally</w:t>
      </w:r>
      <w:r w:rsidR="000A6F70"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063E79" w:rsidRPr="00541840">
        <w:rPr>
          <w:rFonts w:ascii="Book Antiqua" w:hAnsi="Book Antiqua" w:cs="Book Antiqua"/>
          <w:color w:val="000000"/>
          <w:lang w:val="en-GB"/>
        </w:rPr>
        <w:t>advanced primary rectal cancer</w:t>
      </w:r>
      <w:r w:rsidR="00E67597"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063E79" w:rsidRPr="00541840">
        <w:rPr>
          <w:rFonts w:ascii="Book Antiqua" w:hAnsi="Book Antiqua" w:cs="Book Antiqua"/>
          <w:color w:val="000000"/>
          <w:lang w:val="en-GB"/>
        </w:rPr>
        <w:t>(</w:t>
      </w:r>
      <w:r w:rsidRPr="00541840">
        <w:rPr>
          <w:rFonts w:ascii="Book Antiqua" w:hAnsi="Book Antiqua" w:cs="Book Antiqua"/>
          <w:color w:val="000000"/>
          <w:lang w:val="en-GB"/>
        </w:rPr>
        <w:t>LAPRC</w:t>
      </w:r>
      <w:r w:rsidR="00063E79" w:rsidRPr="00541840">
        <w:rPr>
          <w:rFonts w:ascii="Book Antiqua" w:hAnsi="Book Antiqua" w:cs="Book Antiqua"/>
          <w:color w:val="000000"/>
          <w:lang w:val="en-GB"/>
        </w:rPr>
        <w:t>)</w:t>
      </w:r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063E79" w:rsidRPr="00541840">
        <w:rPr>
          <w:rFonts w:ascii="Book Antiqua" w:hAnsi="Book Antiqua" w:cs="Book Antiqua"/>
          <w:color w:val="000000"/>
          <w:lang w:val="en-GB"/>
        </w:rPr>
        <w:t>is</w:t>
      </w:r>
      <w:r w:rsidRPr="00541840">
        <w:rPr>
          <w:rFonts w:ascii="Book Antiqua" w:hAnsi="Book Antiqua" w:cs="Book Antiqua"/>
          <w:color w:val="000000"/>
          <w:lang w:val="en-GB"/>
        </w:rPr>
        <w:t xml:space="preserve"> associated with high rates of perioperative adverse events, but the survival benefit obtained when R-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ve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margins are achieved outweighs th</w:t>
      </w:r>
      <w:r w:rsidR="00063E79" w:rsidRPr="00541840">
        <w:rPr>
          <w:rFonts w:ascii="Book Antiqua" w:hAnsi="Book Antiqua" w:cs="Book Antiqua"/>
          <w:color w:val="000000"/>
          <w:lang w:val="en-GB"/>
        </w:rPr>
        <w:t>is</w:t>
      </w:r>
      <w:r w:rsidRPr="00541840">
        <w:rPr>
          <w:rFonts w:ascii="Book Antiqua" w:hAnsi="Book Antiqua" w:cs="Book Antiqua"/>
          <w:color w:val="000000"/>
          <w:lang w:val="en-GB"/>
        </w:rPr>
        <w:t xml:space="preserve"> risk. In low LAPRC</w:t>
      </w:r>
      <w:r w:rsidR="00063E79" w:rsidRPr="00541840">
        <w:rPr>
          <w:rFonts w:ascii="Book Antiqua" w:hAnsi="Book Antiqua" w:cs="Book Antiqua"/>
          <w:color w:val="000000"/>
          <w:lang w:val="en-GB"/>
        </w:rPr>
        <w:t>,</w:t>
      </w:r>
      <w:r w:rsidR="008F41DC"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Pr="00541840">
        <w:rPr>
          <w:rFonts w:ascii="Book Antiqua" w:hAnsi="Book Antiqua" w:cs="Book Antiqua"/>
          <w:color w:val="000000"/>
          <w:lang w:val="en-GB"/>
        </w:rPr>
        <w:t>PE achieved better pathologic outcomes</w:t>
      </w:r>
      <w:r w:rsidR="00CB0FF9" w:rsidRPr="00541840">
        <w:rPr>
          <w:rFonts w:ascii="Book Antiqua" w:hAnsi="Book Antiqua" w:cs="Book Antiqua"/>
          <w:color w:val="000000"/>
          <w:lang w:val="en-GB"/>
        </w:rPr>
        <w:t>,</w:t>
      </w:r>
      <w:r w:rsidRPr="00541840">
        <w:rPr>
          <w:rFonts w:ascii="Book Antiqua" w:hAnsi="Book Antiqua" w:cs="Book Antiqua"/>
          <w:color w:val="000000"/>
          <w:lang w:val="en-GB"/>
        </w:rPr>
        <w:t xml:space="preserve"> </w:t>
      </w:r>
      <w:r w:rsidR="000C748E" w:rsidRPr="00541840">
        <w:rPr>
          <w:rFonts w:ascii="Book Antiqua" w:hAnsi="Book Antiqua" w:cs="Book Antiqua"/>
          <w:color w:val="000000"/>
          <w:lang w:val="en-GB"/>
        </w:rPr>
        <w:t>resulting</w:t>
      </w:r>
      <w:r w:rsidRPr="00541840">
        <w:rPr>
          <w:rFonts w:ascii="Book Antiqua" w:hAnsi="Book Antiqua" w:cs="Book Antiqua"/>
          <w:color w:val="000000"/>
          <w:lang w:val="en-GB"/>
        </w:rPr>
        <w:t xml:space="preserve"> in a trend </w:t>
      </w:r>
      <w:r w:rsidR="00296E35" w:rsidRPr="00541840">
        <w:rPr>
          <w:rFonts w:ascii="Book Antiqua" w:hAnsi="Book Antiqua" w:cs="Book Antiqua"/>
          <w:color w:val="000000"/>
          <w:lang w:val="en-GB"/>
        </w:rPr>
        <w:t xml:space="preserve">towards </w:t>
      </w:r>
      <w:r w:rsidRPr="00541840">
        <w:rPr>
          <w:rFonts w:ascii="Book Antiqua" w:hAnsi="Book Antiqua" w:cs="Book Antiqua"/>
          <w:color w:val="000000"/>
          <w:lang w:val="en-GB"/>
        </w:rPr>
        <w:t>reduced LR compared with non-</w:t>
      </w:r>
      <w:proofErr w:type="spellStart"/>
      <w:r w:rsidRPr="00541840">
        <w:rPr>
          <w:rFonts w:ascii="Book Antiqua" w:hAnsi="Book Antiqua" w:cs="Book Antiqua"/>
          <w:color w:val="000000"/>
          <w:lang w:val="en-GB"/>
        </w:rPr>
        <w:t>exenterative</w:t>
      </w:r>
      <w:proofErr w:type="spellEnd"/>
      <w:r w:rsidRPr="00541840">
        <w:rPr>
          <w:rFonts w:ascii="Book Antiqua" w:hAnsi="Book Antiqua" w:cs="Book Antiqua"/>
          <w:color w:val="000000"/>
          <w:lang w:val="en-GB"/>
        </w:rPr>
        <w:t xml:space="preserve"> procedures.</w:t>
      </w:r>
    </w:p>
    <w:p w14:paraId="3EC442D7" w14:textId="77777777" w:rsidR="00203815" w:rsidRPr="00541840" w:rsidRDefault="00203815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val="en-GB"/>
        </w:rPr>
      </w:pPr>
    </w:p>
    <w:p w14:paraId="78DBED77" w14:textId="6694533B" w:rsidR="00C74ABE" w:rsidRPr="00541840" w:rsidRDefault="00C74ABE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541840">
        <w:rPr>
          <w:rFonts w:ascii="Book Antiqua" w:hAnsi="Book Antiqua"/>
          <w:lang w:val="en-GB"/>
        </w:rPr>
        <w:t>Pellino</w:t>
      </w:r>
      <w:proofErr w:type="spellEnd"/>
      <w:r w:rsidRPr="00541840">
        <w:rPr>
          <w:rFonts w:ascii="Book Antiqua" w:hAnsi="Book Antiqua"/>
          <w:lang w:val="en-GB"/>
        </w:rPr>
        <w:t xml:space="preserve"> G, Biondo S, </w:t>
      </w:r>
      <w:proofErr w:type="spellStart"/>
      <w:r w:rsidRPr="00541840">
        <w:rPr>
          <w:rFonts w:ascii="Book Antiqua" w:hAnsi="Book Antiqua"/>
          <w:lang w:val="en-GB"/>
        </w:rPr>
        <w:t>Codina</w:t>
      </w:r>
      <w:proofErr w:type="spellEnd"/>
      <w:r w:rsidRPr="00541840">
        <w:rPr>
          <w:rFonts w:ascii="Book Antiqua" w:hAnsi="Book Antiqua"/>
          <w:lang w:val="en-GB"/>
        </w:rPr>
        <w:t xml:space="preserve"> </w:t>
      </w:r>
      <w:proofErr w:type="spellStart"/>
      <w:r w:rsidRPr="00541840">
        <w:rPr>
          <w:rFonts w:ascii="Book Antiqua" w:hAnsi="Book Antiqua"/>
          <w:lang w:val="en-GB"/>
        </w:rPr>
        <w:t>Cazador</w:t>
      </w:r>
      <w:proofErr w:type="spellEnd"/>
      <w:r w:rsidRPr="00541840">
        <w:rPr>
          <w:rFonts w:ascii="Book Antiqua" w:hAnsi="Book Antiqua"/>
          <w:lang w:val="en-GB"/>
        </w:rPr>
        <w:t xml:space="preserve"> A, </w:t>
      </w:r>
      <w:proofErr w:type="spellStart"/>
      <w:r w:rsidRPr="00541840">
        <w:rPr>
          <w:rFonts w:ascii="Book Antiqua" w:hAnsi="Book Antiqua"/>
          <w:lang w:val="en-GB"/>
        </w:rPr>
        <w:t>Enríquez-Navascues</w:t>
      </w:r>
      <w:proofErr w:type="spellEnd"/>
      <w:r w:rsidRPr="00541840">
        <w:rPr>
          <w:rFonts w:ascii="Book Antiqua" w:hAnsi="Book Antiqua"/>
          <w:lang w:val="en-GB"/>
        </w:rPr>
        <w:t xml:space="preserve"> JM, </w:t>
      </w:r>
      <w:proofErr w:type="spellStart"/>
      <w:r w:rsidRPr="00541840">
        <w:rPr>
          <w:rFonts w:ascii="Book Antiqua" w:hAnsi="Book Antiqua"/>
          <w:lang w:val="en-GB"/>
        </w:rPr>
        <w:t>Espín-Basany</w:t>
      </w:r>
      <w:proofErr w:type="spellEnd"/>
      <w:r w:rsidRPr="00541840">
        <w:rPr>
          <w:rFonts w:ascii="Book Antiqua" w:hAnsi="Book Antiqua"/>
          <w:lang w:val="en-GB"/>
        </w:rPr>
        <w:t xml:space="preserve"> E, </w:t>
      </w:r>
      <w:proofErr w:type="spellStart"/>
      <w:r w:rsidRPr="00541840">
        <w:rPr>
          <w:rFonts w:ascii="Book Antiqua" w:hAnsi="Book Antiqua"/>
          <w:lang w:val="en-GB"/>
        </w:rPr>
        <w:t>Roig</w:t>
      </w:r>
      <w:proofErr w:type="spellEnd"/>
      <w:r w:rsidRPr="00541840">
        <w:rPr>
          <w:rFonts w:ascii="Book Antiqua" w:hAnsi="Book Antiqua"/>
          <w:lang w:val="en-GB"/>
        </w:rPr>
        <w:t>-Vila JV, García-</w:t>
      </w:r>
      <w:proofErr w:type="spellStart"/>
      <w:r w:rsidRPr="00541840">
        <w:rPr>
          <w:rFonts w:ascii="Book Antiqua" w:hAnsi="Book Antiqua"/>
          <w:lang w:val="en-GB"/>
        </w:rPr>
        <w:t>Granero</w:t>
      </w:r>
      <w:proofErr w:type="spellEnd"/>
      <w:r w:rsidRPr="00541840">
        <w:rPr>
          <w:rFonts w:ascii="Book Antiqua" w:hAnsi="Book Antiqua"/>
          <w:lang w:val="en-GB"/>
        </w:rPr>
        <w:t xml:space="preserve"> E. Pelvic exenterati</w:t>
      </w:r>
      <w:r w:rsidR="00281465" w:rsidRPr="00541840">
        <w:rPr>
          <w:rFonts w:ascii="Book Antiqua" w:hAnsi="Book Antiqua"/>
          <w:lang w:val="en-GB"/>
        </w:rPr>
        <w:t>ons for primary rectal cancer: A</w:t>
      </w:r>
      <w:r w:rsidRPr="00541840">
        <w:rPr>
          <w:rFonts w:ascii="Book Antiqua" w:hAnsi="Book Antiqua"/>
          <w:lang w:val="en-GB"/>
        </w:rPr>
        <w:t xml:space="preserve">nalysis from a 10-year national prospective database. </w:t>
      </w:r>
      <w:r w:rsidRPr="00541840">
        <w:rPr>
          <w:rFonts w:ascii="Book Antiqua" w:hAnsi="Book Antiqua"/>
          <w:i/>
          <w:lang w:val="en-GB"/>
        </w:rPr>
        <w:t>World J Gastroenterol</w:t>
      </w:r>
      <w:r w:rsidRPr="00541840">
        <w:rPr>
          <w:rFonts w:ascii="Book Antiqua" w:hAnsi="Book Antiqua"/>
          <w:lang w:val="en-GB"/>
        </w:rPr>
        <w:t xml:space="preserve"> 2018; In press</w:t>
      </w:r>
    </w:p>
    <w:p w14:paraId="248DAE43" w14:textId="77777777" w:rsidR="009F1714" w:rsidRPr="00541840" w:rsidRDefault="007B609C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br w:type="page"/>
      </w:r>
      <w:bookmarkStart w:id="1" w:name="_Hlk514514075"/>
      <w:r w:rsidR="00A405FC" w:rsidRPr="00541840">
        <w:rPr>
          <w:rFonts w:ascii="Book Antiqua" w:hAnsi="Book Antiqua"/>
          <w:b/>
          <w:lang w:val="en-GB"/>
        </w:rPr>
        <w:lastRenderedPageBreak/>
        <w:t>INTRODUCTION</w:t>
      </w:r>
    </w:p>
    <w:p w14:paraId="6A62F41D" w14:textId="2A2EAE7A" w:rsidR="004D0921" w:rsidRPr="00541840" w:rsidRDefault="00E12651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>C</w:t>
      </w:r>
      <w:r w:rsidR="004D0921" w:rsidRPr="00541840">
        <w:rPr>
          <w:rFonts w:ascii="Book Antiqua" w:hAnsi="Book Antiqua"/>
          <w:lang w:val="en-GB"/>
        </w:rPr>
        <w:t xml:space="preserve">olorectal cancer is the fourth cause of cancer-related death in United </w:t>
      </w:r>
      <w:proofErr w:type="gramStart"/>
      <w:r w:rsidR="004D0921" w:rsidRPr="00541840">
        <w:rPr>
          <w:rFonts w:ascii="Book Antiqua" w:hAnsi="Book Antiqua"/>
          <w:lang w:val="en-GB"/>
        </w:rPr>
        <w:t>States</w:t>
      </w:r>
      <w:r w:rsidR="004D0921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A87FFE" w:rsidRPr="00541840">
        <w:rPr>
          <w:rFonts w:ascii="Book Antiqua" w:hAnsi="Book Antiqua"/>
          <w:vertAlign w:val="superscript"/>
          <w:lang w:val="en-GB"/>
        </w:rPr>
        <w:t>1</w:t>
      </w:r>
      <w:r w:rsidR="004D0921" w:rsidRPr="00541840">
        <w:rPr>
          <w:rFonts w:ascii="Book Antiqua" w:hAnsi="Book Antiqua"/>
          <w:vertAlign w:val="superscript"/>
          <w:lang w:val="en-GB"/>
        </w:rPr>
        <w:t>]</w:t>
      </w:r>
      <w:r w:rsidR="004D0921" w:rsidRPr="00541840">
        <w:rPr>
          <w:rFonts w:ascii="Book Antiqua" w:hAnsi="Book Antiqua"/>
          <w:lang w:val="en-GB"/>
        </w:rPr>
        <w:t xml:space="preserve">. A recent analysis of the SEER </w:t>
      </w:r>
      <w:r w:rsidR="00296E35" w:rsidRPr="00541840">
        <w:rPr>
          <w:rFonts w:ascii="Book Antiqua" w:hAnsi="Book Antiqua"/>
          <w:lang w:val="en-GB"/>
        </w:rPr>
        <w:t xml:space="preserve">programme </w:t>
      </w:r>
      <w:r w:rsidR="004D0921" w:rsidRPr="00541840">
        <w:rPr>
          <w:rFonts w:ascii="Book Antiqua" w:hAnsi="Book Antiqua"/>
          <w:lang w:val="en-GB"/>
        </w:rPr>
        <w:t>concerning age-specific annual percent change in incidence rates from 2000 to 2013 showed th</w:t>
      </w:r>
      <w:r w:rsidR="005F7079" w:rsidRPr="00541840">
        <w:rPr>
          <w:rFonts w:ascii="Book Antiqua" w:hAnsi="Book Antiqua"/>
          <w:lang w:val="en-GB"/>
        </w:rPr>
        <w:t>at</w:t>
      </w:r>
      <w:r w:rsidR="004D0921" w:rsidRPr="00541840">
        <w:rPr>
          <w:rFonts w:ascii="Book Antiqua" w:hAnsi="Book Antiqua"/>
          <w:lang w:val="en-GB"/>
        </w:rPr>
        <w:t xml:space="preserve"> </w:t>
      </w:r>
      <w:r w:rsidR="00BF05FB" w:rsidRPr="00541840">
        <w:rPr>
          <w:rFonts w:ascii="Book Antiqua" w:hAnsi="Book Antiqua"/>
          <w:lang w:val="en-GB"/>
        </w:rPr>
        <w:t xml:space="preserve">the </w:t>
      </w:r>
      <w:r w:rsidR="005F7079" w:rsidRPr="00541840">
        <w:rPr>
          <w:rFonts w:ascii="Book Antiqua" w:hAnsi="Book Antiqua"/>
          <w:lang w:val="en-GB"/>
        </w:rPr>
        <w:t>incidence of</w:t>
      </w:r>
      <w:r w:rsidR="004D0921" w:rsidRPr="00541840">
        <w:rPr>
          <w:rFonts w:ascii="Book Antiqua" w:hAnsi="Book Antiqua"/>
          <w:lang w:val="en-GB"/>
        </w:rPr>
        <w:t xml:space="preserve"> rectal </w:t>
      </w:r>
      <w:r w:rsidR="005F7079" w:rsidRPr="00541840">
        <w:rPr>
          <w:rFonts w:ascii="Book Antiqua" w:hAnsi="Book Antiqua"/>
          <w:lang w:val="en-GB"/>
        </w:rPr>
        <w:t xml:space="preserve">cancer and advanced disease has slightly decreased, but </w:t>
      </w:r>
      <w:r w:rsidR="00BF05FB" w:rsidRPr="00541840">
        <w:rPr>
          <w:rFonts w:ascii="Book Antiqua" w:hAnsi="Book Antiqua"/>
          <w:lang w:val="en-GB"/>
        </w:rPr>
        <w:t xml:space="preserve">it is </w:t>
      </w:r>
      <w:r w:rsidR="005F7079" w:rsidRPr="00541840">
        <w:rPr>
          <w:rFonts w:ascii="Book Antiqua" w:hAnsi="Book Antiqua"/>
          <w:lang w:val="en-GB"/>
        </w:rPr>
        <w:t>less than</w:t>
      </w:r>
      <w:r w:rsidR="00EE3E09" w:rsidRPr="00541840">
        <w:rPr>
          <w:rFonts w:ascii="Book Antiqua" w:hAnsi="Book Antiqua"/>
          <w:lang w:val="en-GB"/>
        </w:rPr>
        <w:t xml:space="preserve"> that of</w:t>
      </w:r>
      <w:r w:rsidR="005F7079" w:rsidRPr="00541840">
        <w:rPr>
          <w:rFonts w:ascii="Book Antiqua" w:hAnsi="Book Antiqua"/>
          <w:lang w:val="en-GB"/>
        </w:rPr>
        <w:t xml:space="preserve"> colon </w:t>
      </w:r>
      <w:proofErr w:type="gramStart"/>
      <w:r w:rsidR="005F7079" w:rsidRPr="00541840">
        <w:rPr>
          <w:rFonts w:ascii="Book Antiqua" w:hAnsi="Book Antiqua"/>
          <w:lang w:val="en-GB"/>
        </w:rPr>
        <w:t>cancer</w:t>
      </w:r>
      <w:r w:rsidR="004D0921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A64374" w:rsidRPr="00541840">
        <w:rPr>
          <w:rFonts w:ascii="Book Antiqua" w:hAnsi="Book Antiqua"/>
          <w:vertAlign w:val="superscript"/>
          <w:lang w:val="en-GB"/>
        </w:rPr>
        <w:t>2</w:t>
      </w:r>
      <w:r w:rsidR="004D0921" w:rsidRPr="00541840">
        <w:rPr>
          <w:rFonts w:ascii="Book Antiqua" w:hAnsi="Book Antiqua"/>
          <w:vertAlign w:val="superscript"/>
          <w:lang w:val="en-GB"/>
        </w:rPr>
        <w:t>]</w:t>
      </w:r>
      <w:r w:rsidR="004D0921" w:rsidRPr="00541840">
        <w:rPr>
          <w:rFonts w:ascii="Book Antiqua" w:hAnsi="Book Antiqua"/>
          <w:lang w:val="en-GB"/>
        </w:rPr>
        <w:t xml:space="preserve">. Five-year survival is influenced by </w:t>
      </w:r>
      <w:r w:rsidR="00D43FC2" w:rsidRPr="00541840">
        <w:rPr>
          <w:rFonts w:ascii="Book Antiqua" w:hAnsi="Book Antiqua"/>
          <w:lang w:val="en-GB"/>
        </w:rPr>
        <w:t>tumour</w:t>
      </w:r>
      <w:r w:rsidR="004D0921" w:rsidRPr="00541840">
        <w:rPr>
          <w:rFonts w:ascii="Book Antiqua" w:hAnsi="Book Antiqua"/>
          <w:lang w:val="en-GB"/>
        </w:rPr>
        <w:t xml:space="preserve"> stage, ranging from 90% in cancer confined to </w:t>
      </w:r>
      <w:r w:rsidR="00EE3E09" w:rsidRPr="00541840">
        <w:rPr>
          <w:rFonts w:ascii="Book Antiqua" w:hAnsi="Book Antiqua"/>
          <w:lang w:val="en-GB"/>
        </w:rPr>
        <w:t xml:space="preserve">the </w:t>
      </w:r>
      <w:r w:rsidR="004D0921" w:rsidRPr="00541840">
        <w:rPr>
          <w:rFonts w:ascii="Book Antiqua" w:hAnsi="Book Antiqua"/>
          <w:lang w:val="en-GB"/>
        </w:rPr>
        <w:t>primary site</w:t>
      </w:r>
      <w:r w:rsidR="00D03AC1" w:rsidRPr="00541840">
        <w:rPr>
          <w:rFonts w:ascii="Book Antiqua" w:hAnsi="Book Antiqua"/>
          <w:lang w:val="en-GB"/>
        </w:rPr>
        <w:t xml:space="preserve"> and</w:t>
      </w:r>
      <w:r w:rsidR="004D0921" w:rsidRPr="00541840">
        <w:rPr>
          <w:rFonts w:ascii="Book Antiqua" w:hAnsi="Book Antiqua"/>
          <w:lang w:val="en-GB"/>
        </w:rPr>
        <w:t xml:space="preserve"> 71% in those with local node involvement to </w:t>
      </w:r>
      <w:r w:rsidR="00EC6BC3" w:rsidRPr="00541840">
        <w:rPr>
          <w:rFonts w:ascii="Book Antiqua" w:hAnsi="Book Antiqua"/>
          <w:lang w:val="en-GB"/>
        </w:rPr>
        <w:t xml:space="preserve">14% in Stage </w:t>
      </w:r>
      <w:proofErr w:type="gramStart"/>
      <w:r w:rsidR="00EC6BC3" w:rsidRPr="00541840">
        <w:rPr>
          <w:rFonts w:ascii="Book Antiqua" w:hAnsi="Book Antiqua"/>
          <w:lang w:val="en-GB"/>
        </w:rPr>
        <w:t>IV</w:t>
      </w:r>
      <w:r w:rsidR="00EC6BC3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A64374" w:rsidRPr="00541840">
        <w:rPr>
          <w:rFonts w:ascii="Book Antiqua" w:hAnsi="Book Antiqua"/>
          <w:vertAlign w:val="superscript"/>
          <w:lang w:val="en-GB"/>
        </w:rPr>
        <w:t>3</w:t>
      </w:r>
      <w:r w:rsidR="00EC6BC3" w:rsidRPr="00541840">
        <w:rPr>
          <w:rFonts w:ascii="Book Antiqua" w:hAnsi="Book Antiqua"/>
          <w:vertAlign w:val="superscript"/>
          <w:lang w:val="en-GB"/>
        </w:rPr>
        <w:t>]</w:t>
      </w:r>
      <w:r w:rsidR="00EC6BC3" w:rsidRPr="00541840">
        <w:rPr>
          <w:rFonts w:ascii="Book Antiqua" w:hAnsi="Book Antiqua"/>
          <w:lang w:val="en-GB"/>
        </w:rPr>
        <w:t xml:space="preserve">. </w:t>
      </w:r>
      <w:r w:rsidRPr="00541840">
        <w:rPr>
          <w:rFonts w:ascii="Book Antiqua" w:hAnsi="Book Antiqua"/>
          <w:lang w:val="en-GB"/>
        </w:rPr>
        <w:t>On</w:t>
      </w:r>
      <w:r w:rsidR="00927417" w:rsidRPr="00541840">
        <w:rPr>
          <w:rFonts w:ascii="Book Antiqua" w:hAnsi="Book Antiqua"/>
          <w:lang w:val="en-GB"/>
        </w:rPr>
        <w:t>e</w:t>
      </w:r>
      <w:r w:rsidR="00EE3E09" w:rsidRPr="00541840">
        <w:rPr>
          <w:rFonts w:ascii="Book Antiqua" w:hAnsi="Book Antiqua"/>
          <w:lang w:val="en-GB"/>
        </w:rPr>
        <w:t>-</w:t>
      </w:r>
      <w:r w:rsidR="00927417" w:rsidRPr="00541840">
        <w:rPr>
          <w:rFonts w:ascii="Book Antiqua" w:hAnsi="Book Antiqua"/>
          <w:lang w:val="en-GB"/>
        </w:rPr>
        <w:t>third of newly diagnos</w:t>
      </w:r>
      <w:r w:rsidR="001D3402" w:rsidRPr="00541840">
        <w:rPr>
          <w:rFonts w:ascii="Book Antiqua" w:hAnsi="Book Antiqua"/>
          <w:lang w:val="en-GB"/>
        </w:rPr>
        <w:t>ed</w:t>
      </w:r>
      <w:r w:rsidR="00927417" w:rsidRPr="00541840">
        <w:rPr>
          <w:rFonts w:ascii="Book Antiqua" w:hAnsi="Book Antiqua"/>
          <w:lang w:val="en-GB"/>
        </w:rPr>
        <w:t xml:space="preserve"> rectal cancers in </w:t>
      </w:r>
      <w:r w:rsidR="001D3402" w:rsidRPr="00541840">
        <w:rPr>
          <w:rFonts w:ascii="Book Antiqua" w:hAnsi="Book Antiqua"/>
          <w:lang w:val="en-GB"/>
        </w:rPr>
        <w:t xml:space="preserve">the </w:t>
      </w:r>
      <w:r w:rsidR="00541840" w:rsidRPr="00541840">
        <w:rPr>
          <w:rFonts w:ascii="Book Antiqua" w:hAnsi="Book Antiqua"/>
          <w:lang w:val="en-GB"/>
        </w:rPr>
        <w:t>United Kingdom</w:t>
      </w:r>
      <w:r w:rsidR="00927417" w:rsidRPr="00541840">
        <w:rPr>
          <w:rFonts w:ascii="Book Antiqua" w:hAnsi="Book Antiqua"/>
          <w:lang w:val="en-GB"/>
        </w:rPr>
        <w:t xml:space="preserve"> will be locally advanced at the time of diagnosis, accounting for more than 4600 </w:t>
      </w:r>
      <w:r w:rsidR="001D3402" w:rsidRPr="00541840">
        <w:rPr>
          <w:rFonts w:ascii="Book Antiqua" w:hAnsi="Book Antiqua"/>
          <w:lang w:val="en-GB"/>
        </w:rPr>
        <w:t xml:space="preserve">cases of </w:t>
      </w:r>
      <w:r w:rsidR="00927417" w:rsidRPr="00541840">
        <w:rPr>
          <w:rFonts w:ascii="Book Antiqua" w:hAnsi="Book Antiqua"/>
          <w:lang w:val="en-GB"/>
        </w:rPr>
        <w:t xml:space="preserve">cancer per </w:t>
      </w:r>
      <w:proofErr w:type="gramStart"/>
      <w:r w:rsidR="00927417" w:rsidRPr="00541840">
        <w:rPr>
          <w:rFonts w:ascii="Book Antiqua" w:hAnsi="Book Antiqua"/>
          <w:lang w:val="en-GB"/>
        </w:rPr>
        <w:t>year</w:t>
      </w:r>
      <w:r w:rsidR="00927417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A64374" w:rsidRPr="00541840">
        <w:rPr>
          <w:rFonts w:ascii="Book Antiqua" w:hAnsi="Book Antiqua"/>
          <w:vertAlign w:val="superscript"/>
          <w:lang w:val="en-GB"/>
        </w:rPr>
        <w:t>4</w:t>
      </w:r>
      <w:r w:rsidR="00541840" w:rsidRPr="00541840">
        <w:rPr>
          <w:rFonts w:ascii="Book Antiqua" w:hAnsi="Book Antiqua"/>
          <w:vertAlign w:val="superscript"/>
          <w:lang w:val="en-GB"/>
        </w:rPr>
        <w:t>,</w:t>
      </w:r>
      <w:r w:rsidR="00A64374" w:rsidRPr="00541840">
        <w:rPr>
          <w:rFonts w:ascii="Book Antiqua" w:hAnsi="Book Antiqua"/>
          <w:vertAlign w:val="superscript"/>
          <w:lang w:val="en-GB"/>
        </w:rPr>
        <w:t>5</w:t>
      </w:r>
      <w:r w:rsidR="00927417" w:rsidRPr="00541840">
        <w:rPr>
          <w:rFonts w:ascii="Book Antiqua" w:hAnsi="Book Antiqua"/>
          <w:vertAlign w:val="superscript"/>
          <w:lang w:val="en-GB"/>
        </w:rPr>
        <w:t>]</w:t>
      </w:r>
      <w:r w:rsidR="006960FC" w:rsidRPr="00541840">
        <w:rPr>
          <w:rFonts w:ascii="Book Antiqua" w:hAnsi="Book Antiqua"/>
          <w:lang w:val="en-GB"/>
        </w:rPr>
        <w:t>.</w:t>
      </w:r>
    </w:p>
    <w:p w14:paraId="713BEA14" w14:textId="5BE85550" w:rsidR="00D37640" w:rsidRPr="00541840" w:rsidRDefault="00541840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  </w:t>
      </w:r>
      <w:r w:rsidR="00B62DA4" w:rsidRPr="00541840">
        <w:rPr>
          <w:rFonts w:ascii="Book Antiqua" w:hAnsi="Book Antiqua"/>
          <w:lang w:val="en-GB"/>
        </w:rPr>
        <w:t xml:space="preserve">Recent advances in </w:t>
      </w:r>
      <w:r w:rsidR="0012596A" w:rsidRPr="00541840">
        <w:rPr>
          <w:rFonts w:ascii="Book Antiqua" w:hAnsi="Book Antiqua"/>
          <w:lang w:val="en-GB"/>
        </w:rPr>
        <w:t xml:space="preserve">the </w:t>
      </w:r>
      <w:r w:rsidR="00B62DA4" w:rsidRPr="00541840">
        <w:rPr>
          <w:rFonts w:ascii="Book Antiqua" w:hAnsi="Book Antiqua"/>
          <w:lang w:val="en-GB"/>
        </w:rPr>
        <w:t xml:space="preserve">multimodal management of patients with rectal cancer invading local structures have </w:t>
      </w:r>
      <w:r w:rsidR="00041F99" w:rsidRPr="00541840">
        <w:rPr>
          <w:rFonts w:ascii="Book Antiqua" w:hAnsi="Book Antiqua"/>
          <w:lang w:val="en-GB"/>
        </w:rPr>
        <w:t>led</w:t>
      </w:r>
      <w:r w:rsidR="00B62DA4" w:rsidRPr="00541840">
        <w:rPr>
          <w:rFonts w:ascii="Book Antiqua" w:hAnsi="Book Antiqua"/>
          <w:lang w:val="en-GB"/>
        </w:rPr>
        <w:t xml:space="preserve"> to an increase in the rate of patients amenable to receive surgery along the anatomical planes after neoadjuvant treatment. Nevertheless, a </w:t>
      </w:r>
      <w:r w:rsidR="00C74ABE" w:rsidRPr="00541840">
        <w:rPr>
          <w:rFonts w:ascii="Book Antiqua" w:hAnsi="Book Antiqua"/>
          <w:lang w:val="en-GB"/>
        </w:rPr>
        <w:t>relatively high</w:t>
      </w:r>
      <w:r w:rsidR="00B62DA4" w:rsidRPr="00541840">
        <w:rPr>
          <w:rFonts w:ascii="Book Antiqua" w:hAnsi="Book Antiqua"/>
          <w:lang w:val="en-GB"/>
        </w:rPr>
        <w:t xml:space="preserve"> number of patients might still be found with </w:t>
      </w:r>
      <w:r w:rsidR="00D43FC2" w:rsidRPr="00541840">
        <w:rPr>
          <w:rFonts w:ascii="Book Antiqua" w:hAnsi="Book Antiqua"/>
          <w:lang w:val="en-GB"/>
        </w:rPr>
        <w:t>tumours</w:t>
      </w:r>
      <w:r w:rsidR="00B62DA4" w:rsidRPr="00541840">
        <w:rPr>
          <w:rFonts w:ascii="Book Antiqua" w:hAnsi="Book Antiqua"/>
          <w:lang w:val="en-GB"/>
        </w:rPr>
        <w:t xml:space="preserve"> invading</w:t>
      </w:r>
      <w:r w:rsidR="006D7CDA" w:rsidRPr="00541840">
        <w:rPr>
          <w:rFonts w:ascii="Book Antiqua" w:hAnsi="Book Antiqua"/>
          <w:lang w:val="en-GB"/>
        </w:rPr>
        <w:t xml:space="preserve"> surrounding </w:t>
      </w:r>
      <w:proofErr w:type="gramStart"/>
      <w:r w:rsidR="006D7CDA" w:rsidRPr="00541840">
        <w:rPr>
          <w:rFonts w:ascii="Book Antiqua" w:hAnsi="Book Antiqua"/>
          <w:lang w:val="en-GB"/>
        </w:rPr>
        <w:t>organs</w:t>
      </w:r>
      <w:r w:rsidR="006D7CDA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A64374" w:rsidRPr="00541840">
        <w:rPr>
          <w:rFonts w:ascii="Book Antiqua" w:hAnsi="Book Antiqua"/>
          <w:vertAlign w:val="superscript"/>
          <w:lang w:val="en-GB"/>
        </w:rPr>
        <w:t>4</w:t>
      </w:r>
      <w:r w:rsidR="006D7CDA" w:rsidRPr="00541840">
        <w:rPr>
          <w:rFonts w:ascii="Book Antiqua" w:hAnsi="Book Antiqua"/>
          <w:vertAlign w:val="superscript"/>
          <w:lang w:val="en-GB"/>
        </w:rPr>
        <w:t>]</w:t>
      </w:r>
      <w:r w:rsidR="006D7CDA" w:rsidRPr="00541840">
        <w:rPr>
          <w:rFonts w:ascii="Book Antiqua" w:hAnsi="Book Antiqua"/>
          <w:lang w:val="en-GB"/>
        </w:rPr>
        <w:t xml:space="preserve">. </w:t>
      </w:r>
    </w:p>
    <w:p w14:paraId="228FF089" w14:textId="2F8435F5" w:rsidR="006A2139" w:rsidRPr="00541840" w:rsidRDefault="00541840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  </w:t>
      </w:r>
      <w:r w:rsidR="00D37640" w:rsidRPr="00541840">
        <w:rPr>
          <w:rFonts w:ascii="Book Antiqua" w:hAnsi="Book Antiqua"/>
          <w:lang w:val="en-GB"/>
        </w:rPr>
        <w:t>Pelvic exenteration</w:t>
      </w:r>
      <w:r w:rsidR="00DD2F25" w:rsidRPr="00541840">
        <w:rPr>
          <w:rFonts w:ascii="Book Antiqua" w:hAnsi="Book Antiqua"/>
          <w:lang w:val="en-GB"/>
        </w:rPr>
        <w:t xml:space="preserve"> </w:t>
      </w:r>
      <w:r w:rsidR="00D37640" w:rsidRPr="00541840">
        <w:rPr>
          <w:rFonts w:ascii="Book Antiqua" w:hAnsi="Book Antiqua"/>
          <w:lang w:val="en-GB"/>
        </w:rPr>
        <w:t xml:space="preserve">(PE) is a technically demanding procedure involving </w:t>
      </w:r>
      <w:r w:rsidR="0086342F" w:rsidRPr="00541840">
        <w:rPr>
          <w:rFonts w:ascii="Book Antiqua" w:hAnsi="Book Antiqua"/>
          <w:lang w:val="en-GB"/>
        </w:rPr>
        <w:t>“</w:t>
      </w:r>
      <w:proofErr w:type="spellStart"/>
      <w:r w:rsidR="0086342F" w:rsidRPr="00541840">
        <w:rPr>
          <w:rFonts w:ascii="Book Antiqua" w:hAnsi="Book Antiqua"/>
          <w:i/>
          <w:lang w:val="en-GB"/>
        </w:rPr>
        <w:t>en</w:t>
      </w:r>
      <w:proofErr w:type="spellEnd"/>
      <w:r w:rsidR="0086342F" w:rsidRPr="00541840">
        <w:rPr>
          <w:rFonts w:ascii="Book Antiqua" w:hAnsi="Book Antiqua"/>
          <w:i/>
          <w:lang w:val="en-GB"/>
        </w:rPr>
        <w:t>-bloc</w:t>
      </w:r>
      <w:r w:rsidR="0086342F" w:rsidRPr="00541840">
        <w:rPr>
          <w:rFonts w:ascii="Book Antiqua" w:hAnsi="Book Antiqua"/>
          <w:lang w:val="en-GB"/>
        </w:rPr>
        <w:t xml:space="preserve">” excision </w:t>
      </w:r>
      <w:r w:rsidR="00D37640" w:rsidRPr="00541840">
        <w:rPr>
          <w:rFonts w:ascii="Book Antiqua" w:hAnsi="Book Antiqua"/>
          <w:lang w:val="en-GB"/>
        </w:rPr>
        <w:t xml:space="preserve">of the rectum and adjacent invaded organs, aiming at obtaining disease-free resection margins. </w:t>
      </w:r>
      <w:r w:rsidR="00070221" w:rsidRPr="00541840">
        <w:rPr>
          <w:rFonts w:ascii="Book Antiqua" w:hAnsi="Book Antiqua"/>
          <w:lang w:val="en-GB"/>
        </w:rPr>
        <w:t xml:space="preserve">Over time, contraindications to such </w:t>
      </w:r>
      <w:r w:rsidR="007A5D73" w:rsidRPr="00541840">
        <w:rPr>
          <w:rFonts w:ascii="Book Antiqua" w:hAnsi="Book Antiqua"/>
          <w:lang w:val="en-GB"/>
        </w:rPr>
        <w:t xml:space="preserve">a </w:t>
      </w:r>
      <w:r w:rsidR="00070221" w:rsidRPr="00541840">
        <w:rPr>
          <w:rFonts w:ascii="Book Antiqua" w:hAnsi="Book Antiqua"/>
          <w:lang w:val="en-GB"/>
        </w:rPr>
        <w:t>demolitive approach have been gradually reduc</w:t>
      </w:r>
      <w:r w:rsidR="00DD2F25" w:rsidRPr="00541840">
        <w:rPr>
          <w:rFonts w:ascii="Book Antiqua" w:hAnsi="Book Antiqua"/>
          <w:lang w:val="en-GB"/>
        </w:rPr>
        <w:t>ed</w:t>
      </w:r>
      <w:r w:rsidR="00070221" w:rsidRPr="00541840">
        <w:rPr>
          <w:rFonts w:ascii="Book Antiqua" w:hAnsi="Book Antiqua"/>
          <w:lang w:val="en-GB"/>
        </w:rPr>
        <w:t xml:space="preserve"> </w:t>
      </w:r>
      <w:r w:rsidR="000E0DA8" w:rsidRPr="00541840">
        <w:rPr>
          <w:rFonts w:ascii="Book Antiqua" w:hAnsi="Book Antiqua"/>
          <w:lang w:val="en-GB"/>
        </w:rPr>
        <w:t xml:space="preserve">as a result of perioperative patient </w:t>
      </w:r>
      <w:r w:rsidR="00694D82" w:rsidRPr="00541840">
        <w:rPr>
          <w:rFonts w:ascii="Book Antiqua" w:hAnsi="Book Antiqua"/>
          <w:lang w:val="en-GB"/>
        </w:rPr>
        <w:t>conditioning</w:t>
      </w:r>
      <w:r w:rsidR="000E0DA8" w:rsidRPr="00541840">
        <w:rPr>
          <w:rFonts w:ascii="Book Antiqua" w:hAnsi="Book Antiqua"/>
          <w:lang w:val="en-GB"/>
        </w:rPr>
        <w:t xml:space="preserve">, increased surgical experience, and </w:t>
      </w:r>
      <w:r w:rsidR="00694D82" w:rsidRPr="00541840">
        <w:rPr>
          <w:rFonts w:ascii="Book Antiqua" w:hAnsi="Book Antiqua"/>
          <w:lang w:val="en-GB"/>
        </w:rPr>
        <w:t xml:space="preserve">postoperative multidisciplinary </w:t>
      </w:r>
      <w:proofErr w:type="gramStart"/>
      <w:r w:rsidR="00694D82" w:rsidRPr="00541840">
        <w:rPr>
          <w:rFonts w:ascii="Book Antiqua" w:hAnsi="Book Antiqua"/>
          <w:lang w:val="en-GB"/>
        </w:rPr>
        <w:t>management</w:t>
      </w:r>
      <w:r w:rsidR="00C57DAE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A64374" w:rsidRPr="00541840">
        <w:rPr>
          <w:rFonts w:ascii="Book Antiqua" w:hAnsi="Book Antiqua"/>
          <w:vertAlign w:val="superscript"/>
          <w:lang w:val="en-GB"/>
        </w:rPr>
        <w:t>5-7</w:t>
      </w:r>
      <w:r w:rsidR="00C57DAE" w:rsidRPr="00541840">
        <w:rPr>
          <w:rFonts w:ascii="Book Antiqua" w:hAnsi="Book Antiqua"/>
          <w:vertAlign w:val="superscript"/>
          <w:lang w:val="en-GB"/>
        </w:rPr>
        <w:t>]</w:t>
      </w:r>
      <w:r w:rsidR="00694D82" w:rsidRPr="00541840">
        <w:rPr>
          <w:rFonts w:ascii="Book Antiqua" w:hAnsi="Book Antiqua"/>
          <w:lang w:val="en-GB"/>
        </w:rPr>
        <w:t xml:space="preserve">. </w:t>
      </w:r>
      <w:r w:rsidR="00C57DAE" w:rsidRPr="00541840">
        <w:rPr>
          <w:rFonts w:ascii="Book Antiqua" w:hAnsi="Book Antiqua"/>
          <w:lang w:val="en-GB"/>
        </w:rPr>
        <w:t xml:space="preserve">Surgery beyond the total </w:t>
      </w:r>
      <w:proofErr w:type="spellStart"/>
      <w:r w:rsidR="00C57DAE" w:rsidRPr="00541840">
        <w:rPr>
          <w:rFonts w:ascii="Book Antiqua" w:hAnsi="Book Antiqua"/>
          <w:lang w:val="en-GB"/>
        </w:rPr>
        <w:t>mesorectal</w:t>
      </w:r>
      <w:proofErr w:type="spellEnd"/>
      <w:r w:rsidR="00C57DAE" w:rsidRPr="00541840">
        <w:rPr>
          <w:rFonts w:ascii="Book Antiqua" w:hAnsi="Book Antiqua"/>
          <w:lang w:val="en-GB"/>
        </w:rPr>
        <w:t xml:space="preserve"> excision (TME) plane and involving sacrifice of other pelvic organs for locally recurrent or advanced rectal cancer has been</w:t>
      </w:r>
      <w:r w:rsidR="0063125E" w:rsidRPr="00541840">
        <w:rPr>
          <w:rFonts w:ascii="Book Antiqua" w:hAnsi="Book Antiqua"/>
          <w:lang w:val="en-GB"/>
        </w:rPr>
        <w:t xml:space="preserve"> analog</w:t>
      </w:r>
      <w:r w:rsidR="007A5D73" w:rsidRPr="00541840">
        <w:rPr>
          <w:rFonts w:ascii="Book Antiqua" w:hAnsi="Book Antiqua"/>
          <w:lang w:val="en-GB"/>
        </w:rPr>
        <w:t>ous</w:t>
      </w:r>
      <w:r w:rsidR="0063125E" w:rsidRPr="00541840">
        <w:rPr>
          <w:rFonts w:ascii="Book Antiqua" w:hAnsi="Book Antiqua"/>
          <w:lang w:val="en-GB"/>
        </w:rPr>
        <w:t xml:space="preserve"> to a “sarcoma-like” </w:t>
      </w:r>
      <w:r w:rsidR="009610FA" w:rsidRPr="00541840">
        <w:rPr>
          <w:rFonts w:ascii="Book Antiqua" w:hAnsi="Book Antiqua"/>
          <w:lang w:val="en-GB"/>
        </w:rPr>
        <w:t>procedure</w:t>
      </w:r>
      <w:r w:rsidR="0021062A" w:rsidRPr="00541840">
        <w:rPr>
          <w:rFonts w:ascii="Book Antiqua" w:hAnsi="Book Antiqua"/>
          <w:vertAlign w:val="superscript"/>
          <w:lang w:val="en-GB"/>
        </w:rPr>
        <w:t>[</w:t>
      </w:r>
      <w:r w:rsidR="00A64374" w:rsidRPr="00541840">
        <w:rPr>
          <w:rFonts w:ascii="Book Antiqua" w:hAnsi="Book Antiqua"/>
          <w:vertAlign w:val="superscript"/>
          <w:lang w:val="en-GB"/>
        </w:rPr>
        <w:t>6,8-10</w:t>
      </w:r>
      <w:r w:rsidR="0021062A" w:rsidRPr="00541840">
        <w:rPr>
          <w:rFonts w:ascii="Book Antiqua" w:hAnsi="Book Antiqua"/>
          <w:vertAlign w:val="superscript"/>
          <w:lang w:val="en-GB"/>
        </w:rPr>
        <w:t>]</w:t>
      </w:r>
      <w:r w:rsidR="0063125E" w:rsidRPr="00541840">
        <w:rPr>
          <w:rFonts w:ascii="Book Antiqua" w:hAnsi="Book Antiqua"/>
          <w:lang w:val="en-GB"/>
        </w:rPr>
        <w:t xml:space="preserve">, </w:t>
      </w:r>
      <w:r w:rsidR="009610FA" w:rsidRPr="00541840">
        <w:rPr>
          <w:rFonts w:ascii="Book Antiqua" w:hAnsi="Book Antiqua"/>
          <w:lang w:val="en-GB"/>
        </w:rPr>
        <w:t>during</w:t>
      </w:r>
      <w:r w:rsidR="0063125E" w:rsidRPr="00541840">
        <w:rPr>
          <w:rFonts w:ascii="Book Antiqua" w:hAnsi="Book Antiqua"/>
          <w:lang w:val="en-GB"/>
        </w:rPr>
        <w:t xml:space="preserve"> which several surgical teams and specialties</w:t>
      </w:r>
      <w:r w:rsidR="00991186" w:rsidRPr="00541840">
        <w:rPr>
          <w:rFonts w:ascii="Book Antiqua" w:hAnsi="Book Antiqua"/>
          <w:lang w:val="en-GB"/>
        </w:rPr>
        <w:t xml:space="preserve"> need to be involved.</w:t>
      </w:r>
      <w:r w:rsidR="0063125E" w:rsidRPr="00541840">
        <w:rPr>
          <w:rFonts w:ascii="Book Antiqua" w:hAnsi="Book Antiqua"/>
          <w:lang w:val="en-GB"/>
        </w:rPr>
        <w:t xml:space="preserve"> </w:t>
      </w:r>
      <w:r w:rsidR="0021062A" w:rsidRPr="00541840">
        <w:rPr>
          <w:rFonts w:ascii="Book Antiqua" w:hAnsi="Book Antiqua"/>
          <w:lang w:val="en-GB"/>
        </w:rPr>
        <w:t>PE</w:t>
      </w:r>
      <w:r w:rsidR="009970AC" w:rsidRPr="00541840">
        <w:rPr>
          <w:rFonts w:ascii="Book Antiqua" w:hAnsi="Book Antiqua"/>
          <w:lang w:val="en-GB"/>
        </w:rPr>
        <w:t xml:space="preserve"> </w:t>
      </w:r>
      <w:r w:rsidR="0086342F" w:rsidRPr="00541840">
        <w:rPr>
          <w:rFonts w:ascii="Book Antiqua" w:hAnsi="Book Antiqua"/>
          <w:lang w:val="en-GB"/>
        </w:rPr>
        <w:t>for</w:t>
      </w:r>
      <w:r w:rsidR="009970AC" w:rsidRPr="00541840">
        <w:rPr>
          <w:rFonts w:ascii="Book Antiqua" w:hAnsi="Book Antiqua"/>
          <w:lang w:val="en-GB"/>
        </w:rPr>
        <w:t xml:space="preserve"> rectal cancer</w:t>
      </w:r>
      <w:r w:rsidR="0021062A" w:rsidRPr="00541840">
        <w:rPr>
          <w:rFonts w:ascii="Book Antiqua" w:hAnsi="Book Antiqua"/>
          <w:lang w:val="en-GB"/>
        </w:rPr>
        <w:t xml:space="preserve"> brings higher risks of complications</w:t>
      </w:r>
      <w:r w:rsidR="00F077EF" w:rsidRPr="00541840">
        <w:rPr>
          <w:rFonts w:ascii="Book Antiqua" w:hAnsi="Book Antiqua"/>
          <w:lang w:val="en-GB"/>
        </w:rPr>
        <w:t>,</w:t>
      </w:r>
      <w:r w:rsidR="0021062A" w:rsidRPr="00541840">
        <w:rPr>
          <w:rFonts w:ascii="Book Antiqua" w:hAnsi="Book Antiqua"/>
          <w:lang w:val="en-GB"/>
        </w:rPr>
        <w:t xml:space="preserve"> ranging from </w:t>
      </w:r>
      <w:r w:rsidR="009970AC" w:rsidRPr="00541840">
        <w:rPr>
          <w:rFonts w:ascii="Book Antiqua" w:hAnsi="Book Antiqua"/>
          <w:lang w:val="en-GB"/>
        </w:rPr>
        <w:t>25</w:t>
      </w:r>
      <w:r w:rsidR="0021062A" w:rsidRPr="00541840">
        <w:rPr>
          <w:rFonts w:ascii="Book Antiqua" w:hAnsi="Book Antiqua"/>
          <w:lang w:val="en-GB"/>
        </w:rPr>
        <w:t>% to 42</w:t>
      </w:r>
      <w:proofErr w:type="gramStart"/>
      <w:r w:rsidR="009970AC" w:rsidRPr="00541840">
        <w:rPr>
          <w:rFonts w:ascii="Book Antiqua" w:hAnsi="Book Antiqua"/>
          <w:lang w:val="en-GB"/>
        </w:rPr>
        <w:t>%</w:t>
      </w:r>
      <w:r w:rsidR="00A73B58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A64374" w:rsidRPr="00541840">
        <w:rPr>
          <w:rFonts w:ascii="Book Antiqua" w:hAnsi="Book Antiqua"/>
          <w:vertAlign w:val="superscript"/>
          <w:lang w:val="en-GB"/>
        </w:rPr>
        <w:t>5,8,11</w:t>
      </w:r>
      <w:r w:rsidR="00A73B58" w:rsidRPr="00541840">
        <w:rPr>
          <w:rFonts w:ascii="Book Antiqua" w:hAnsi="Book Antiqua"/>
          <w:vertAlign w:val="superscript"/>
          <w:lang w:val="en-GB"/>
        </w:rPr>
        <w:t>]</w:t>
      </w:r>
      <w:r w:rsidR="00A73B58" w:rsidRPr="00541840">
        <w:rPr>
          <w:rFonts w:ascii="Book Antiqua" w:hAnsi="Book Antiqua"/>
          <w:lang w:val="en-GB"/>
        </w:rPr>
        <w:t xml:space="preserve">, with studies </w:t>
      </w:r>
      <w:r w:rsidR="003B71CA" w:rsidRPr="00541840">
        <w:rPr>
          <w:rFonts w:ascii="Book Antiqua" w:hAnsi="Book Antiqua"/>
          <w:lang w:val="en-GB"/>
        </w:rPr>
        <w:t xml:space="preserve">reporting higher rates when </w:t>
      </w:r>
      <w:r w:rsidR="009B4019" w:rsidRPr="00541840">
        <w:rPr>
          <w:rFonts w:ascii="Book Antiqua" w:hAnsi="Book Antiqua"/>
          <w:lang w:val="en-GB"/>
        </w:rPr>
        <w:t>PE</w:t>
      </w:r>
      <w:r w:rsidR="00A73B58" w:rsidRPr="00541840">
        <w:rPr>
          <w:rFonts w:ascii="Book Antiqua" w:hAnsi="Book Antiqua"/>
          <w:lang w:val="en-GB"/>
        </w:rPr>
        <w:t xml:space="preserve"> for other-than-rectal cancers</w:t>
      </w:r>
      <w:r w:rsidR="009B4019" w:rsidRPr="00541840">
        <w:rPr>
          <w:rFonts w:ascii="Book Antiqua" w:hAnsi="Book Antiqua"/>
          <w:lang w:val="en-GB"/>
        </w:rPr>
        <w:t xml:space="preserve"> </w:t>
      </w:r>
      <w:r w:rsidR="00867DD2" w:rsidRPr="00541840">
        <w:rPr>
          <w:rFonts w:ascii="Book Antiqua" w:hAnsi="Book Antiqua"/>
          <w:lang w:val="en-GB"/>
        </w:rPr>
        <w:t>is</w:t>
      </w:r>
      <w:r w:rsidR="009B4019" w:rsidRPr="00541840">
        <w:rPr>
          <w:rFonts w:ascii="Book Antiqua" w:hAnsi="Book Antiqua"/>
          <w:lang w:val="en-GB"/>
        </w:rPr>
        <w:t xml:space="preserve"> included</w:t>
      </w:r>
      <w:r w:rsidR="009C7D8E" w:rsidRPr="00541840">
        <w:rPr>
          <w:rFonts w:ascii="Book Antiqua" w:hAnsi="Book Antiqua"/>
          <w:vertAlign w:val="superscript"/>
          <w:lang w:val="en-GB"/>
        </w:rPr>
        <w:t>[</w:t>
      </w:r>
      <w:r w:rsidR="00C61D8C" w:rsidRPr="00541840">
        <w:rPr>
          <w:rFonts w:ascii="Book Antiqua" w:hAnsi="Book Antiqua"/>
          <w:vertAlign w:val="superscript"/>
          <w:lang w:val="en-GB"/>
        </w:rPr>
        <w:t>12</w:t>
      </w:r>
      <w:r w:rsidR="009C7D8E" w:rsidRPr="00541840">
        <w:rPr>
          <w:rFonts w:ascii="Book Antiqua" w:hAnsi="Book Antiqua"/>
          <w:vertAlign w:val="superscript"/>
          <w:lang w:val="en-GB"/>
        </w:rPr>
        <w:t>]</w:t>
      </w:r>
      <w:r w:rsidR="003B71CA" w:rsidRPr="00541840">
        <w:rPr>
          <w:rFonts w:ascii="Book Antiqua" w:hAnsi="Book Antiqua"/>
          <w:lang w:val="en-GB"/>
        </w:rPr>
        <w:t>.</w:t>
      </w:r>
      <w:r w:rsidR="00A73B58" w:rsidRPr="00541840">
        <w:rPr>
          <w:rFonts w:ascii="Book Antiqua" w:hAnsi="Book Antiqua"/>
          <w:lang w:val="en-GB"/>
        </w:rPr>
        <w:t xml:space="preserve"> </w:t>
      </w:r>
      <w:r w:rsidR="009B4019" w:rsidRPr="00541840">
        <w:rPr>
          <w:rFonts w:ascii="Book Antiqua" w:hAnsi="Book Antiqua"/>
          <w:lang w:val="en-GB"/>
        </w:rPr>
        <w:t>The</w:t>
      </w:r>
      <w:r w:rsidR="009C7D8E" w:rsidRPr="00541840">
        <w:rPr>
          <w:rFonts w:ascii="Book Antiqua" w:hAnsi="Book Antiqua"/>
          <w:lang w:val="en-GB"/>
        </w:rPr>
        <w:t xml:space="preserve"> high incidence of complications </w:t>
      </w:r>
      <w:r w:rsidR="009B4019" w:rsidRPr="00541840">
        <w:rPr>
          <w:rFonts w:ascii="Book Antiqua" w:hAnsi="Book Antiqua"/>
          <w:lang w:val="en-GB"/>
        </w:rPr>
        <w:t>is</w:t>
      </w:r>
      <w:r w:rsidR="009C7D8E" w:rsidRPr="00541840">
        <w:rPr>
          <w:rFonts w:ascii="Book Antiqua" w:hAnsi="Book Antiqua"/>
          <w:lang w:val="en-GB"/>
        </w:rPr>
        <w:t xml:space="preserve"> downplayed be the survival benefits obtained by excision of the pelvic mass with microscopically negative margins</w:t>
      </w:r>
      <w:r w:rsidR="00F567D1" w:rsidRPr="00541840">
        <w:rPr>
          <w:rFonts w:ascii="Book Antiqua" w:hAnsi="Book Antiqua"/>
          <w:lang w:val="en-GB"/>
        </w:rPr>
        <w:t xml:space="preserve"> </w:t>
      </w:r>
      <w:r w:rsidR="009C7D8E" w:rsidRPr="00541840">
        <w:rPr>
          <w:rFonts w:ascii="Book Antiqua" w:hAnsi="Book Antiqua"/>
          <w:lang w:val="en-GB"/>
        </w:rPr>
        <w:t>(R</w:t>
      </w:r>
      <w:proofErr w:type="gramStart"/>
      <w:r w:rsidR="009C7D8E" w:rsidRPr="00541840">
        <w:rPr>
          <w:rFonts w:ascii="Book Antiqua" w:hAnsi="Book Antiqua"/>
          <w:lang w:val="en-GB"/>
        </w:rPr>
        <w:t>0)</w:t>
      </w:r>
      <w:r w:rsidR="009C7D8E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C61D8C" w:rsidRPr="00541840">
        <w:rPr>
          <w:rFonts w:ascii="Book Antiqua" w:hAnsi="Book Antiqua"/>
          <w:vertAlign w:val="superscript"/>
          <w:lang w:val="en-GB"/>
        </w:rPr>
        <w:t>7,8,12-14</w:t>
      </w:r>
      <w:r w:rsidR="009C7D8E" w:rsidRPr="00541840">
        <w:rPr>
          <w:rFonts w:ascii="Book Antiqua" w:hAnsi="Book Antiqua"/>
          <w:vertAlign w:val="superscript"/>
          <w:lang w:val="en-GB"/>
        </w:rPr>
        <w:t>]</w:t>
      </w:r>
      <w:r w:rsidR="009C7D8E" w:rsidRPr="00541840">
        <w:rPr>
          <w:rFonts w:ascii="Book Antiqua" w:hAnsi="Book Antiqua"/>
          <w:lang w:val="en-GB"/>
        </w:rPr>
        <w:t>.</w:t>
      </w:r>
      <w:r w:rsidR="00831088" w:rsidRPr="00541840">
        <w:rPr>
          <w:rFonts w:ascii="Book Antiqua" w:hAnsi="Book Antiqua"/>
          <w:lang w:val="en-GB"/>
        </w:rPr>
        <w:t xml:space="preserve"> Few studies have focused on the outcomes of PE in </w:t>
      </w:r>
      <w:r w:rsidRPr="00541840">
        <w:rPr>
          <w:rFonts w:ascii="Book Antiqua" w:hAnsi="Book Antiqua"/>
          <w:lang w:val="en-GB"/>
        </w:rPr>
        <w:t>locally advanced primary rectal cancer (LAPRC)</w:t>
      </w:r>
      <w:r w:rsidR="006A2139" w:rsidRPr="00541840">
        <w:rPr>
          <w:rFonts w:ascii="Book Antiqua" w:hAnsi="Book Antiqua"/>
          <w:lang w:val="en-GB"/>
        </w:rPr>
        <w:t xml:space="preserve">, although an increasing number of patients </w:t>
      </w:r>
      <w:r w:rsidR="00877C9A" w:rsidRPr="00541840">
        <w:rPr>
          <w:rFonts w:ascii="Book Antiqua" w:hAnsi="Book Antiqua"/>
          <w:lang w:val="en-GB"/>
        </w:rPr>
        <w:t xml:space="preserve">are </w:t>
      </w:r>
      <w:r w:rsidR="006A2139" w:rsidRPr="00541840">
        <w:rPr>
          <w:rFonts w:ascii="Book Antiqua" w:hAnsi="Book Antiqua"/>
          <w:lang w:val="en-GB"/>
        </w:rPr>
        <w:t>being offered this extensive procedure</w:t>
      </w:r>
      <w:r w:rsidR="00831088" w:rsidRPr="00541840">
        <w:rPr>
          <w:rFonts w:ascii="Book Antiqua" w:hAnsi="Book Antiqua"/>
          <w:lang w:val="en-GB"/>
        </w:rPr>
        <w:t>.</w:t>
      </w:r>
      <w:r w:rsidR="005F7079" w:rsidRPr="00541840">
        <w:rPr>
          <w:rFonts w:ascii="Book Antiqua" w:hAnsi="Book Antiqua"/>
          <w:lang w:val="en-GB"/>
        </w:rPr>
        <w:t xml:space="preserve"> A recent study of the </w:t>
      </w:r>
      <w:proofErr w:type="spellStart"/>
      <w:r w:rsidR="005F7079" w:rsidRPr="00541840">
        <w:rPr>
          <w:rFonts w:ascii="Book Antiqua" w:hAnsi="Book Antiqua"/>
          <w:lang w:val="en-GB"/>
        </w:rPr>
        <w:t>PelvEx</w:t>
      </w:r>
      <w:proofErr w:type="spellEnd"/>
      <w:r w:rsidR="005F7079" w:rsidRPr="00541840">
        <w:rPr>
          <w:rFonts w:ascii="Book Antiqua" w:hAnsi="Book Antiqua"/>
          <w:lang w:val="en-GB"/>
        </w:rPr>
        <w:t xml:space="preserve"> Collaborative </w:t>
      </w:r>
      <w:r w:rsidR="005F7079" w:rsidRPr="00541840">
        <w:rPr>
          <w:rFonts w:ascii="Book Antiqua" w:hAnsi="Book Antiqua"/>
          <w:lang w:val="en-GB"/>
        </w:rPr>
        <w:lastRenderedPageBreak/>
        <w:t>found that</w:t>
      </w:r>
      <w:r w:rsidR="00381E59" w:rsidRPr="00541840">
        <w:rPr>
          <w:rFonts w:ascii="Book Antiqua" w:hAnsi="Book Antiqua"/>
          <w:lang w:val="en-GB"/>
        </w:rPr>
        <w:t xml:space="preserve"> the median life expectancy after curative PE for</w:t>
      </w:r>
      <w:r w:rsidR="005F7079" w:rsidRPr="00541840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LAPRC</w:t>
      </w:r>
      <w:r w:rsidR="00381E59" w:rsidRPr="00541840">
        <w:rPr>
          <w:rFonts w:ascii="Book Antiqua" w:hAnsi="Book Antiqua"/>
          <w:lang w:val="en-GB"/>
        </w:rPr>
        <w:t xml:space="preserve"> </w:t>
      </w:r>
      <w:r w:rsidR="009270D8" w:rsidRPr="00541840">
        <w:rPr>
          <w:rFonts w:ascii="Book Antiqua" w:hAnsi="Book Antiqua"/>
          <w:lang w:val="en-GB"/>
        </w:rPr>
        <w:t>surpasses</w:t>
      </w:r>
      <w:r w:rsidR="00381E59" w:rsidRPr="00541840">
        <w:rPr>
          <w:rFonts w:ascii="Book Antiqua" w:hAnsi="Book Antiqua"/>
          <w:lang w:val="en-GB"/>
        </w:rPr>
        <w:t xml:space="preserve"> 40 </w:t>
      </w:r>
      <w:proofErr w:type="spellStart"/>
      <w:r w:rsidR="00381E59" w:rsidRPr="00541840">
        <w:rPr>
          <w:rFonts w:ascii="Book Antiqua" w:hAnsi="Book Antiqua"/>
          <w:lang w:val="en-GB"/>
        </w:rPr>
        <w:t>mo</w:t>
      </w:r>
      <w:proofErr w:type="spellEnd"/>
      <w:r w:rsidR="00381E59" w:rsidRPr="00541840">
        <w:rPr>
          <w:rFonts w:ascii="Book Antiqua" w:hAnsi="Book Antiqua"/>
          <w:lang w:val="en-GB"/>
        </w:rPr>
        <w:t xml:space="preserve">, but median survival after resections with macroscopically involved margins drops to less than one </w:t>
      </w:r>
      <w:proofErr w:type="gramStart"/>
      <w:r w:rsidR="00381E59" w:rsidRPr="00541840">
        <w:rPr>
          <w:rFonts w:ascii="Book Antiqua" w:hAnsi="Book Antiqua"/>
          <w:lang w:val="en-GB"/>
        </w:rPr>
        <w:t>year</w:t>
      </w:r>
      <w:r w:rsidR="00381E59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381E59" w:rsidRPr="00541840">
        <w:rPr>
          <w:rFonts w:ascii="Book Antiqua" w:hAnsi="Book Antiqua"/>
          <w:vertAlign w:val="superscript"/>
          <w:lang w:val="en-GB"/>
        </w:rPr>
        <w:t>14]</w:t>
      </w:r>
      <w:r w:rsidR="00381E59" w:rsidRPr="00541840">
        <w:rPr>
          <w:rFonts w:ascii="Book Antiqua" w:hAnsi="Book Antiqua"/>
          <w:lang w:val="en-GB"/>
        </w:rPr>
        <w:t xml:space="preserve">. </w:t>
      </w:r>
    </w:p>
    <w:p w14:paraId="070B8792" w14:textId="5B662967" w:rsidR="006960FC" w:rsidRPr="00541840" w:rsidRDefault="00541840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  </w:t>
      </w:r>
      <w:r w:rsidR="00CB4631" w:rsidRPr="00541840">
        <w:rPr>
          <w:rFonts w:ascii="Book Antiqua" w:hAnsi="Book Antiqua"/>
          <w:lang w:val="en-GB"/>
        </w:rPr>
        <w:t xml:space="preserve">As part of a </w:t>
      </w:r>
      <w:r w:rsidR="00A420AB" w:rsidRPr="00541840">
        <w:rPr>
          <w:rFonts w:ascii="Book Antiqua" w:hAnsi="Book Antiqua"/>
          <w:lang w:val="en-GB"/>
        </w:rPr>
        <w:t>n</w:t>
      </w:r>
      <w:r w:rsidR="00CB4631" w:rsidRPr="00541840">
        <w:rPr>
          <w:rFonts w:ascii="Book Antiqua" w:hAnsi="Book Antiqua"/>
          <w:lang w:val="en-GB"/>
        </w:rPr>
        <w:t xml:space="preserve">ational quality improvement </w:t>
      </w:r>
      <w:r w:rsidR="00296E35" w:rsidRPr="00541840">
        <w:rPr>
          <w:rFonts w:ascii="Book Antiqua" w:hAnsi="Book Antiqua"/>
          <w:lang w:val="en-GB"/>
        </w:rPr>
        <w:t xml:space="preserve">programme </w:t>
      </w:r>
      <w:r w:rsidR="00CB4631" w:rsidRPr="00541840">
        <w:rPr>
          <w:rFonts w:ascii="Book Antiqua" w:hAnsi="Book Antiqua"/>
          <w:lang w:val="en-GB"/>
        </w:rPr>
        <w:t xml:space="preserve">in the treatment of rectal cancer, the </w:t>
      </w:r>
      <w:r w:rsidR="00382259" w:rsidRPr="00541840">
        <w:rPr>
          <w:rFonts w:ascii="Book Antiqua" w:hAnsi="Book Antiqua"/>
          <w:lang w:val="en-GB"/>
        </w:rPr>
        <w:t>Spanish Association of Surgeons</w:t>
      </w:r>
      <w:r w:rsidR="0044355E" w:rsidRPr="00541840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[</w:t>
      </w:r>
      <w:r w:rsidR="00382259" w:rsidRPr="00541840">
        <w:rPr>
          <w:rFonts w:ascii="Book Antiqua" w:hAnsi="Book Antiqua"/>
          <w:lang w:val="en-GB"/>
        </w:rPr>
        <w:t>“</w:t>
      </w:r>
      <w:proofErr w:type="spellStart"/>
      <w:r w:rsidR="00382259" w:rsidRPr="00541840">
        <w:rPr>
          <w:rFonts w:ascii="Book Antiqua" w:hAnsi="Book Antiqua"/>
          <w:lang w:val="en-GB"/>
        </w:rPr>
        <w:t>As</w:t>
      </w:r>
      <w:r w:rsidRPr="00541840">
        <w:rPr>
          <w:rFonts w:ascii="Book Antiqua" w:hAnsi="Book Antiqua"/>
          <w:lang w:val="en-GB"/>
        </w:rPr>
        <w:t>ociación</w:t>
      </w:r>
      <w:proofErr w:type="spellEnd"/>
      <w:r w:rsidRPr="00541840">
        <w:rPr>
          <w:rFonts w:ascii="Book Antiqua" w:hAnsi="Book Antiqua"/>
          <w:lang w:val="en-GB"/>
        </w:rPr>
        <w:t xml:space="preserve"> Española de </w:t>
      </w:r>
      <w:proofErr w:type="spellStart"/>
      <w:r w:rsidRPr="00541840">
        <w:rPr>
          <w:rFonts w:ascii="Book Antiqua" w:hAnsi="Book Antiqua"/>
          <w:lang w:val="en-GB"/>
        </w:rPr>
        <w:t>Cirujanos</w:t>
      </w:r>
      <w:proofErr w:type="spellEnd"/>
      <w:r w:rsidRPr="00541840">
        <w:rPr>
          <w:rFonts w:ascii="Book Antiqua" w:hAnsi="Book Antiqua"/>
          <w:lang w:val="en-GB"/>
        </w:rPr>
        <w:t>”</w:t>
      </w:r>
      <w:r w:rsidR="00382259" w:rsidRPr="00541840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(</w:t>
      </w:r>
      <w:r w:rsidR="00382259" w:rsidRPr="00541840">
        <w:rPr>
          <w:rFonts w:ascii="Book Antiqua" w:hAnsi="Book Antiqua"/>
          <w:lang w:val="en-GB"/>
        </w:rPr>
        <w:t>AEC)</w:t>
      </w:r>
      <w:r w:rsidRPr="00541840">
        <w:rPr>
          <w:rFonts w:ascii="Book Antiqua" w:hAnsi="Book Antiqua"/>
          <w:lang w:val="en-GB"/>
        </w:rPr>
        <w:t>]</w:t>
      </w:r>
      <w:r w:rsidR="00382259" w:rsidRPr="00541840">
        <w:rPr>
          <w:rFonts w:ascii="Book Antiqua" w:hAnsi="Book Antiqua"/>
          <w:lang w:val="en-GB"/>
        </w:rPr>
        <w:t xml:space="preserve"> </w:t>
      </w:r>
      <w:r w:rsidR="002B1706" w:rsidRPr="00541840">
        <w:rPr>
          <w:rFonts w:ascii="Book Antiqua" w:hAnsi="Book Antiqua"/>
          <w:lang w:val="en-GB"/>
        </w:rPr>
        <w:t>started an online database</w:t>
      </w:r>
      <w:r w:rsidR="00F716C9" w:rsidRPr="00541840">
        <w:rPr>
          <w:rFonts w:ascii="Book Antiqua" w:hAnsi="Book Antiqua"/>
          <w:vertAlign w:val="superscript"/>
          <w:lang w:val="en-GB"/>
        </w:rPr>
        <w:t>[</w:t>
      </w:r>
      <w:r w:rsidR="00C61D8C" w:rsidRPr="00541840">
        <w:rPr>
          <w:rFonts w:ascii="Book Antiqua" w:hAnsi="Book Antiqua"/>
          <w:vertAlign w:val="superscript"/>
          <w:lang w:val="en-GB"/>
        </w:rPr>
        <w:t>15</w:t>
      </w:r>
      <w:r w:rsidR="00F716C9" w:rsidRPr="00541840">
        <w:rPr>
          <w:rFonts w:ascii="Book Antiqua" w:hAnsi="Book Antiqua"/>
          <w:vertAlign w:val="superscript"/>
          <w:lang w:val="en-GB"/>
        </w:rPr>
        <w:t>]</w:t>
      </w:r>
      <w:r w:rsidR="002B1706" w:rsidRPr="00541840">
        <w:rPr>
          <w:rFonts w:ascii="Book Antiqua" w:hAnsi="Book Antiqua"/>
          <w:lang w:val="en-GB"/>
        </w:rPr>
        <w:t xml:space="preserve"> in which all primary rectal cancers were prospectively included on a voluntary basis</w:t>
      </w:r>
      <w:r w:rsidR="00327B80" w:rsidRPr="00541840">
        <w:rPr>
          <w:rFonts w:ascii="Book Antiqua" w:hAnsi="Book Antiqua"/>
          <w:lang w:val="en-GB"/>
        </w:rPr>
        <w:t xml:space="preserve">. </w:t>
      </w:r>
      <w:r w:rsidR="00C84F11" w:rsidRPr="00541840">
        <w:rPr>
          <w:rFonts w:ascii="Book Antiqua" w:hAnsi="Book Antiqua"/>
          <w:lang w:val="en-GB"/>
        </w:rPr>
        <w:t>Data on patients u</w:t>
      </w:r>
      <w:r w:rsidRPr="00541840">
        <w:rPr>
          <w:rFonts w:ascii="Book Antiqua" w:hAnsi="Book Antiqua"/>
          <w:lang w:val="en-GB"/>
        </w:rPr>
        <w:t>ndergoing PE were also recoded.</w:t>
      </w:r>
    </w:p>
    <w:p w14:paraId="605CB0AC" w14:textId="794F42EF" w:rsidR="00037991" w:rsidRPr="00541840" w:rsidRDefault="00541840" w:rsidP="00086FF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2" w:name="_Hlk528230385"/>
      <w:r w:rsidRPr="00541840">
        <w:rPr>
          <w:rFonts w:ascii="Book Antiqua" w:hAnsi="Book Antiqua"/>
          <w:lang w:val="en-GB"/>
        </w:rPr>
        <w:t xml:space="preserve">  </w:t>
      </w:r>
      <w:r w:rsidR="00327B80" w:rsidRPr="00541840">
        <w:rPr>
          <w:rFonts w:ascii="Book Antiqua" w:hAnsi="Book Antiqua"/>
          <w:lang w:val="en-GB"/>
        </w:rPr>
        <w:t xml:space="preserve">The aims of this study are to assess the short- and long-term outcomes of PE for </w:t>
      </w:r>
      <w:r w:rsidR="003C47E0" w:rsidRPr="00541840">
        <w:rPr>
          <w:rFonts w:ascii="Book Antiqua" w:hAnsi="Book Antiqua"/>
          <w:lang w:val="en-GB"/>
        </w:rPr>
        <w:t xml:space="preserve">primary </w:t>
      </w:r>
      <w:r w:rsidR="00041F99" w:rsidRPr="00541840">
        <w:rPr>
          <w:rFonts w:ascii="Book Antiqua" w:hAnsi="Book Antiqua"/>
          <w:lang w:val="en-GB"/>
        </w:rPr>
        <w:t>LA</w:t>
      </w:r>
      <w:r w:rsidR="00F856F2" w:rsidRPr="00541840">
        <w:rPr>
          <w:rFonts w:ascii="Book Antiqua" w:hAnsi="Book Antiqua"/>
          <w:lang w:val="en-GB"/>
        </w:rPr>
        <w:t>P</w:t>
      </w:r>
      <w:r w:rsidRPr="00541840">
        <w:rPr>
          <w:rFonts w:ascii="Book Antiqua" w:hAnsi="Book Antiqua"/>
          <w:lang w:val="en-GB"/>
        </w:rPr>
        <w:t>RC</w:t>
      </w:r>
      <w:r w:rsidR="00041F99" w:rsidRPr="00541840">
        <w:rPr>
          <w:rFonts w:ascii="Book Antiqua" w:hAnsi="Book Antiqua"/>
          <w:lang w:val="en-GB"/>
        </w:rPr>
        <w:t xml:space="preserve"> </w:t>
      </w:r>
      <w:r w:rsidR="003C47E0" w:rsidRPr="00541840">
        <w:rPr>
          <w:rFonts w:ascii="Book Antiqua" w:hAnsi="Book Antiqua"/>
          <w:lang w:val="en-GB"/>
        </w:rPr>
        <w:t>in patients included in the</w:t>
      </w:r>
      <w:r w:rsidR="00382259" w:rsidRPr="00541840">
        <w:rPr>
          <w:rFonts w:ascii="Book Antiqua" w:hAnsi="Book Antiqua"/>
          <w:lang w:val="en-GB"/>
        </w:rPr>
        <w:t xml:space="preserve"> AEC</w:t>
      </w:r>
      <w:r w:rsidR="003C47E0" w:rsidRPr="00541840">
        <w:rPr>
          <w:rFonts w:ascii="Book Antiqua" w:hAnsi="Book Antiqua"/>
          <w:lang w:val="en-GB"/>
        </w:rPr>
        <w:t xml:space="preserve"> registry</w:t>
      </w:r>
      <w:r w:rsidR="00296E35" w:rsidRPr="00541840">
        <w:rPr>
          <w:rFonts w:ascii="Book Antiqua" w:hAnsi="Book Antiqua"/>
          <w:lang w:val="en-GB"/>
        </w:rPr>
        <w:t xml:space="preserve"> and to </w:t>
      </w:r>
      <w:r w:rsidR="00327B80" w:rsidRPr="00541840">
        <w:rPr>
          <w:rFonts w:ascii="Book Antiqua" w:hAnsi="Book Antiqua"/>
          <w:lang w:val="en-GB"/>
        </w:rPr>
        <w:t xml:space="preserve">compare </w:t>
      </w:r>
      <w:r w:rsidR="003C47E0" w:rsidRPr="00541840">
        <w:rPr>
          <w:rFonts w:ascii="Book Antiqua" w:hAnsi="Book Antiqua"/>
          <w:lang w:val="en-GB"/>
        </w:rPr>
        <w:t xml:space="preserve">the </w:t>
      </w:r>
      <w:r w:rsidR="00327B80" w:rsidRPr="00541840">
        <w:rPr>
          <w:rFonts w:ascii="Book Antiqua" w:hAnsi="Book Antiqua"/>
          <w:lang w:val="en-GB"/>
        </w:rPr>
        <w:t xml:space="preserve">oncologic results of PE with a matched group of patients treated with </w:t>
      </w:r>
      <w:r w:rsidR="001C5D01" w:rsidRPr="00541840">
        <w:rPr>
          <w:rFonts w:ascii="Book Antiqua" w:hAnsi="Book Antiqua"/>
          <w:lang w:val="en-GB"/>
        </w:rPr>
        <w:t>non-</w:t>
      </w:r>
      <w:proofErr w:type="spellStart"/>
      <w:r w:rsidR="001C5D01" w:rsidRPr="00541840">
        <w:rPr>
          <w:rFonts w:ascii="Book Antiqua" w:hAnsi="Book Antiqua"/>
          <w:lang w:val="en-GB"/>
        </w:rPr>
        <w:t>exenterative</w:t>
      </w:r>
      <w:proofErr w:type="spellEnd"/>
      <w:r w:rsidR="001C5D01" w:rsidRPr="00541840">
        <w:rPr>
          <w:rFonts w:ascii="Book Antiqua" w:hAnsi="Book Antiqua"/>
          <w:lang w:val="en-GB"/>
        </w:rPr>
        <w:t xml:space="preserve"> </w:t>
      </w:r>
      <w:r w:rsidR="00327B80" w:rsidRPr="00541840">
        <w:rPr>
          <w:rFonts w:ascii="Book Antiqua" w:hAnsi="Book Antiqua"/>
          <w:lang w:val="en-GB"/>
        </w:rPr>
        <w:t xml:space="preserve">TME </w:t>
      </w:r>
      <w:r w:rsidR="003C47E0" w:rsidRPr="00541840">
        <w:rPr>
          <w:rFonts w:ascii="Book Antiqua" w:hAnsi="Book Antiqua"/>
          <w:lang w:val="en-GB"/>
        </w:rPr>
        <w:t>during the study timeframe</w:t>
      </w:r>
      <w:bookmarkEnd w:id="2"/>
      <w:r w:rsidR="003C47E0" w:rsidRPr="00541840">
        <w:rPr>
          <w:rFonts w:ascii="Book Antiqua" w:hAnsi="Book Antiqua"/>
          <w:lang w:val="en-GB"/>
        </w:rPr>
        <w:t>.</w:t>
      </w:r>
    </w:p>
    <w:p w14:paraId="70C7C7F4" w14:textId="77777777" w:rsidR="00541840" w:rsidRPr="00541840" w:rsidRDefault="00541840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</w:p>
    <w:p w14:paraId="41B34845" w14:textId="77777777" w:rsidR="009F1714" w:rsidRPr="00541840" w:rsidRDefault="00E53EF8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t xml:space="preserve">MATERIALS AND </w:t>
      </w:r>
      <w:r w:rsidR="00A405FC" w:rsidRPr="00541840">
        <w:rPr>
          <w:rFonts w:ascii="Book Antiqua" w:hAnsi="Book Antiqua"/>
          <w:b/>
          <w:lang w:val="en-GB"/>
        </w:rPr>
        <w:t>METHOD</w:t>
      </w:r>
      <w:r w:rsidRPr="00541840">
        <w:rPr>
          <w:rFonts w:ascii="Book Antiqua" w:hAnsi="Book Antiqua"/>
          <w:b/>
          <w:lang w:val="en-GB"/>
        </w:rPr>
        <w:t>S</w:t>
      </w:r>
    </w:p>
    <w:p w14:paraId="28B9F346" w14:textId="46DD46FC" w:rsidR="005A41DB" w:rsidRPr="00541840" w:rsidRDefault="005A41D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This study complies </w:t>
      </w:r>
      <w:bookmarkStart w:id="3" w:name="_Hlk528230510"/>
      <w:r w:rsidR="002A48A9" w:rsidRPr="00541840">
        <w:rPr>
          <w:rFonts w:ascii="Book Antiqua" w:hAnsi="Book Antiqua"/>
          <w:lang w:val="en-GB"/>
        </w:rPr>
        <w:t xml:space="preserve">with </w:t>
      </w:r>
      <w:r w:rsidRPr="00541840">
        <w:rPr>
          <w:rFonts w:ascii="Book Antiqua" w:hAnsi="Book Antiqua"/>
          <w:lang w:val="en-GB"/>
        </w:rPr>
        <w:t>the</w:t>
      </w:r>
      <w:r w:rsidR="00541840" w:rsidRPr="00541840">
        <w:rPr>
          <w:rFonts w:ascii="Book Antiqua" w:hAnsi="Book Antiqua"/>
          <w:lang w:val="en-GB"/>
        </w:rPr>
        <w:t xml:space="preserve"> STROBE</w:t>
      </w:r>
      <w:r w:rsidRPr="00541840">
        <w:rPr>
          <w:rFonts w:ascii="Book Antiqua" w:hAnsi="Book Antiqua"/>
          <w:lang w:val="en-GB"/>
        </w:rPr>
        <w:t xml:space="preserve"> </w:t>
      </w:r>
      <w:bookmarkEnd w:id="3"/>
      <w:r w:rsidRPr="00541840">
        <w:rPr>
          <w:rFonts w:ascii="Book Antiqua" w:hAnsi="Book Antiqua"/>
          <w:lang w:val="en-GB"/>
        </w:rPr>
        <w:t xml:space="preserve">statement for observational </w:t>
      </w:r>
      <w:proofErr w:type="gramStart"/>
      <w:r w:rsidRPr="00541840">
        <w:rPr>
          <w:rFonts w:ascii="Book Antiqua" w:hAnsi="Book Antiqua"/>
          <w:lang w:val="en-GB"/>
        </w:rPr>
        <w:t>studies</w:t>
      </w:r>
      <w:r w:rsidR="00037991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C61D8C" w:rsidRPr="00541840">
        <w:rPr>
          <w:rFonts w:ascii="Book Antiqua" w:hAnsi="Book Antiqua"/>
          <w:vertAlign w:val="superscript"/>
          <w:lang w:val="en-GB"/>
        </w:rPr>
        <w:t>16</w:t>
      </w:r>
      <w:r w:rsidR="00037991" w:rsidRPr="00541840">
        <w:rPr>
          <w:rFonts w:ascii="Book Antiqua" w:hAnsi="Book Antiqua"/>
          <w:vertAlign w:val="superscript"/>
          <w:lang w:val="en-GB"/>
        </w:rPr>
        <w:t>]</w:t>
      </w:r>
      <w:r w:rsidRPr="00541840">
        <w:rPr>
          <w:rFonts w:ascii="Book Antiqua" w:hAnsi="Book Antiqua"/>
          <w:lang w:val="en-GB"/>
        </w:rPr>
        <w:t xml:space="preserve"> (Flowchart in </w:t>
      </w:r>
      <w:r w:rsidR="00080276" w:rsidRPr="00541840">
        <w:rPr>
          <w:rFonts w:ascii="Book Antiqua" w:hAnsi="Book Antiqua"/>
          <w:lang w:val="en-GB"/>
        </w:rPr>
        <w:t xml:space="preserve">Supplementary </w:t>
      </w:r>
      <w:r w:rsidRPr="00541840">
        <w:rPr>
          <w:rFonts w:ascii="Book Antiqua" w:hAnsi="Book Antiqua"/>
          <w:lang w:val="en-GB"/>
        </w:rPr>
        <w:t>Fig</w:t>
      </w:r>
      <w:r w:rsidR="00080276" w:rsidRPr="00541840">
        <w:rPr>
          <w:rFonts w:ascii="Book Antiqua" w:hAnsi="Book Antiqua"/>
          <w:lang w:val="en-GB"/>
        </w:rPr>
        <w:t>ure</w:t>
      </w:r>
      <w:r w:rsidRPr="00541840">
        <w:rPr>
          <w:rFonts w:ascii="Book Antiqua" w:hAnsi="Book Antiqua"/>
          <w:lang w:val="en-GB"/>
        </w:rPr>
        <w:t xml:space="preserve"> 1</w:t>
      </w:r>
      <w:r w:rsidR="008C04AC" w:rsidRPr="00541840">
        <w:rPr>
          <w:rFonts w:ascii="Book Antiqua" w:hAnsi="Book Antiqua"/>
          <w:lang w:val="en-GB"/>
        </w:rPr>
        <w:t>;</w:t>
      </w:r>
      <w:r w:rsidRPr="00541840">
        <w:rPr>
          <w:rFonts w:ascii="Book Antiqua" w:hAnsi="Book Antiqua"/>
          <w:lang w:val="en-GB"/>
        </w:rPr>
        <w:t xml:space="preserve"> </w:t>
      </w:r>
      <w:r w:rsidR="008C04AC" w:rsidRPr="00541840">
        <w:rPr>
          <w:rFonts w:ascii="Book Antiqua" w:hAnsi="Book Antiqua"/>
          <w:lang w:val="en-GB"/>
        </w:rPr>
        <w:t>c</w:t>
      </w:r>
      <w:r w:rsidRPr="00541840">
        <w:rPr>
          <w:rFonts w:ascii="Book Antiqua" w:hAnsi="Book Antiqua"/>
          <w:lang w:val="en-GB"/>
        </w:rPr>
        <w:t xml:space="preserve">hecklist available as </w:t>
      </w:r>
      <w:r w:rsidR="00094724" w:rsidRPr="00541840">
        <w:rPr>
          <w:rFonts w:ascii="Book Antiqua" w:hAnsi="Book Antiqua"/>
          <w:lang w:val="en-GB" w:eastAsia="zh-CN"/>
        </w:rPr>
        <w:t xml:space="preserve">uploaded </w:t>
      </w:r>
      <w:r w:rsidR="00BD7C69" w:rsidRPr="00541840">
        <w:rPr>
          <w:rFonts w:ascii="Book Antiqua" w:hAnsi="Book Antiqua"/>
          <w:lang w:val="en-GB"/>
        </w:rPr>
        <w:t>STROBE Statement</w:t>
      </w:r>
      <w:r w:rsidRPr="00541840">
        <w:rPr>
          <w:rFonts w:ascii="Book Antiqua" w:hAnsi="Book Antiqua"/>
          <w:lang w:val="en-GB"/>
        </w:rPr>
        <w:t xml:space="preserve">). </w:t>
      </w:r>
      <w:r w:rsidR="00851DE1" w:rsidRPr="00541840">
        <w:rPr>
          <w:rFonts w:ascii="Book Antiqua" w:hAnsi="Book Antiqua"/>
          <w:lang w:val="en-GB"/>
        </w:rPr>
        <w:t>In 2006</w:t>
      </w:r>
      <w:r w:rsidR="008C04AC" w:rsidRPr="00541840">
        <w:rPr>
          <w:rFonts w:ascii="Book Antiqua" w:hAnsi="Book Antiqua"/>
          <w:lang w:val="en-GB"/>
        </w:rPr>
        <w:t>,</w:t>
      </w:r>
      <w:r w:rsidR="00851DE1" w:rsidRPr="00541840">
        <w:rPr>
          <w:rFonts w:ascii="Book Antiqua" w:hAnsi="Book Antiqua"/>
          <w:lang w:val="en-GB"/>
        </w:rPr>
        <w:t xml:space="preserve"> the </w:t>
      </w:r>
      <w:bookmarkStart w:id="4" w:name="_Hlk505465308"/>
      <w:r w:rsidR="00851DE1" w:rsidRPr="00541840">
        <w:rPr>
          <w:rFonts w:ascii="Book Antiqua" w:hAnsi="Book Antiqua"/>
          <w:lang w:val="en-GB"/>
        </w:rPr>
        <w:t>AEC</w:t>
      </w:r>
      <w:bookmarkEnd w:id="4"/>
      <w:r w:rsidR="00851DE1" w:rsidRPr="00541840">
        <w:rPr>
          <w:rFonts w:ascii="Book Antiqua" w:hAnsi="Book Antiqua"/>
          <w:lang w:val="en-GB"/>
        </w:rPr>
        <w:t xml:space="preserve"> established a </w:t>
      </w:r>
      <w:r w:rsidR="008C04AC" w:rsidRPr="00541840">
        <w:rPr>
          <w:rFonts w:ascii="Book Antiqua" w:hAnsi="Book Antiqua"/>
          <w:lang w:val="en-GB"/>
        </w:rPr>
        <w:t>n</w:t>
      </w:r>
      <w:r w:rsidR="00851DE1" w:rsidRPr="00541840">
        <w:rPr>
          <w:rFonts w:ascii="Book Antiqua" w:hAnsi="Book Antiqua"/>
          <w:lang w:val="en-GB"/>
        </w:rPr>
        <w:t xml:space="preserve">ational audit project to improve the outcomes of rectal cancer surgery. The project </w:t>
      </w:r>
      <w:r w:rsidR="00BA163F" w:rsidRPr="00541840">
        <w:rPr>
          <w:rFonts w:ascii="Book Antiqua" w:hAnsi="Book Antiqua"/>
          <w:lang w:val="en-GB"/>
        </w:rPr>
        <w:t>was named</w:t>
      </w:r>
      <w:r w:rsidR="00851DE1" w:rsidRPr="00541840">
        <w:rPr>
          <w:rFonts w:ascii="Book Antiqua" w:hAnsi="Book Antiqua"/>
          <w:lang w:val="en-GB"/>
        </w:rPr>
        <w:t xml:space="preserve"> “Viking” because it </w:t>
      </w:r>
      <w:r w:rsidR="008802AD" w:rsidRPr="00541840">
        <w:rPr>
          <w:rFonts w:ascii="Book Antiqua" w:hAnsi="Book Antiqua"/>
          <w:lang w:val="en-GB"/>
        </w:rPr>
        <w:t xml:space="preserve">was </w:t>
      </w:r>
      <w:r w:rsidR="00851DE1" w:rsidRPr="00541840">
        <w:rPr>
          <w:rFonts w:ascii="Book Antiqua" w:hAnsi="Book Antiqua"/>
          <w:lang w:val="en-GB"/>
        </w:rPr>
        <w:t xml:space="preserve">inspired </w:t>
      </w:r>
      <w:r w:rsidR="00BA163F" w:rsidRPr="00541840">
        <w:rPr>
          <w:rFonts w:ascii="Book Antiqua" w:hAnsi="Book Antiqua"/>
          <w:lang w:val="en-GB"/>
        </w:rPr>
        <w:t>by</w:t>
      </w:r>
      <w:r w:rsidR="00851DE1" w:rsidRPr="00541840">
        <w:rPr>
          <w:rFonts w:ascii="Book Antiqua" w:hAnsi="Book Antiqua"/>
          <w:lang w:val="en-GB"/>
        </w:rPr>
        <w:t xml:space="preserve"> the </w:t>
      </w:r>
      <w:r w:rsidR="00BA163F" w:rsidRPr="00541840">
        <w:rPr>
          <w:rFonts w:ascii="Book Antiqua" w:hAnsi="Book Antiqua"/>
          <w:lang w:val="en-GB"/>
        </w:rPr>
        <w:t>project</w:t>
      </w:r>
      <w:r w:rsidR="00851DE1" w:rsidRPr="00541840">
        <w:rPr>
          <w:rFonts w:ascii="Book Antiqua" w:hAnsi="Book Antiqua"/>
          <w:lang w:val="en-GB"/>
        </w:rPr>
        <w:t xml:space="preserve"> from </w:t>
      </w:r>
      <w:proofErr w:type="gramStart"/>
      <w:r w:rsidR="00851DE1" w:rsidRPr="00541840">
        <w:rPr>
          <w:rFonts w:ascii="Book Antiqua" w:hAnsi="Book Antiqua"/>
          <w:lang w:val="en-GB"/>
        </w:rPr>
        <w:t>Norway</w:t>
      </w:r>
      <w:r w:rsidR="00F929E4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B677B1" w:rsidRPr="00541840">
        <w:rPr>
          <w:rFonts w:ascii="Book Antiqua" w:hAnsi="Book Antiqua"/>
          <w:vertAlign w:val="superscript"/>
          <w:lang w:val="en-GB"/>
        </w:rPr>
        <w:t>17</w:t>
      </w:r>
      <w:r w:rsidR="00BC7819" w:rsidRPr="00541840">
        <w:rPr>
          <w:rFonts w:ascii="Book Antiqua" w:hAnsi="Book Antiqua"/>
          <w:vertAlign w:val="superscript"/>
          <w:lang w:val="en-GB"/>
        </w:rPr>
        <w:t>]</w:t>
      </w:r>
      <w:r w:rsidR="00851DE1" w:rsidRPr="00541840">
        <w:rPr>
          <w:rFonts w:ascii="Book Antiqua" w:hAnsi="Book Antiqua"/>
          <w:lang w:val="en-GB"/>
        </w:rPr>
        <w:t xml:space="preserve"> and followed the same principles</w:t>
      </w:r>
      <w:r w:rsidR="00BC7819" w:rsidRPr="00541840">
        <w:rPr>
          <w:rFonts w:ascii="Book Antiqua" w:hAnsi="Book Antiqua"/>
          <w:vertAlign w:val="superscript"/>
          <w:lang w:val="en-GB"/>
        </w:rPr>
        <w:t>[</w:t>
      </w:r>
      <w:r w:rsidR="00B677B1" w:rsidRPr="00541840">
        <w:rPr>
          <w:rFonts w:ascii="Book Antiqua" w:hAnsi="Book Antiqua"/>
          <w:vertAlign w:val="superscript"/>
          <w:lang w:val="en-GB"/>
        </w:rPr>
        <w:t>18</w:t>
      </w:r>
      <w:r w:rsidR="00BC7819" w:rsidRPr="00541840">
        <w:rPr>
          <w:rFonts w:ascii="Book Antiqua" w:hAnsi="Book Antiqua"/>
          <w:vertAlign w:val="superscript"/>
          <w:lang w:val="en-GB"/>
        </w:rPr>
        <w:t>]</w:t>
      </w:r>
      <w:r w:rsidR="00851DE1" w:rsidRPr="00541840">
        <w:rPr>
          <w:rFonts w:ascii="Book Antiqua" w:hAnsi="Book Antiqua"/>
          <w:lang w:val="en-GB"/>
        </w:rPr>
        <w:t>.</w:t>
      </w:r>
      <w:bookmarkStart w:id="5" w:name="_Hlk505539821"/>
      <w:r w:rsidR="00541840" w:rsidRPr="00541840">
        <w:rPr>
          <w:rFonts w:ascii="Book Antiqua" w:hAnsi="Book Antiqua"/>
          <w:lang w:val="en-GB"/>
        </w:rPr>
        <w:t xml:space="preserve"> </w:t>
      </w:r>
      <w:r w:rsidR="009E0A82" w:rsidRPr="00541840">
        <w:rPr>
          <w:rFonts w:ascii="Book Antiqua" w:hAnsi="Book Antiqua"/>
          <w:lang w:val="en-GB"/>
        </w:rPr>
        <w:t>Between 2006 and 2017, 105</w:t>
      </w:r>
      <w:r w:rsidR="00851DE1" w:rsidRPr="00541840">
        <w:rPr>
          <w:rFonts w:ascii="Book Antiqua" w:hAnsi="Book Antiqua"/>
          <w:lang w:val="en-GB"/>
        </w:rPr>
        <w:t xml:space="preserve"> Spanish hospital</w:t>
      </w:r>
      <w:r w:rsidR="009E0A82" w:rsidRPr="00541840">
        <w:rPr>
          <w:rFonts w:ascii="Book Antiqua" w:hAnsi="Book Antiqua"/>
          <w:lang w:val="en-GB"/>
        </w:rPr>
        <w:t>s</w:t>
      </w:r>
      <w:r w:rsidR="00851DE1" w:rsidRPr="00541840">
        <w:rPr>
          <w:rFonts w:ascii="Book Antiqua" w:hAnsi="Book Antiqua"/>
          <w:lang w:val="en-GB"/>
        </w:rPr>
        <w:t xml:space="preserve"> joined the online registry</w:t>
      </w:r>
      <w:r w:rsidR="00E870E0" w:rsidRPr="00541840">
        <w:rPr>
          <w:rFonts w:ascii="Book Antiqua" w:hAnsi="Book Antiqua"/>
          <w:lang w:val="en-GB"/>
        </w:rPr>
        <w:t>,</w:t>
      </w:r>
      <w:r w:rsidR="00BA163F" w:rsidRPr="00541840">
        <w:rPr>
          <w:rFonts w:ascii="Book Antiqua" w:hAnsi="Book Antiqua"/>
          <w:lang w:val="en-GB"/>
        </w:rPr>
        <w:t xml:space="preserve"> with over 18000 patients included</w:t>
      </w:r>
      <w:r w:rsidR="001C5D01" w:rsidRPr="00541840">
        <w:rPr>
          <w:rFonts w:ascii="Book Antiqua" w:hAnsi="Book Antiqua"/>
          <w:lang w:val="en-GB"/>
        </w:rPr>
        <w:t xml:space="preserve">. </w:t>
      </w:r>
      <w:r w:rsidR="00E870E0" w:rsidRPr="00541840">
        <w:rPr>
          <w:rFonts w:ascii="Book Antiqua" w:hAnsi="Book Antiqua"/>
          <w:lang w:val="en-GB"/>
        </w:rPr>
        <w:t>The a</w:t>
      </w:r>
      <w:r w:rsidR="008E1BAB" w:rsidRPr="00541840">
        <w:rPr>
          <w:rFonts w:ascii="Book Antiqua" w:hAnsi="Book Antiqua"/>
          <w:lang w:val="en-GB"/>
        </w:rPr>
        <w:t xml:space="preserve">im of this study was to assess morbidity and long-term outcomes of PE for </w:t>
      </w:r>
      <w:r w:rsidR="00041F99" w:rsidRPr="00541840">
        <w:rPr>
          <w:rFonts w:ascii="Book Antiqua" w:hAnsi="Book Antiqua"/>
          <w:lang w:val="en-GB"/>
        </w:rPr>
        <w:t>LA</w:t>
      </w:r>
      <w:r w:rsidR="001C5D01" w:rsidRPr="00541840">
        <w:rPr>
          <w:rFonts w:ascii="Book Antiqua" w:hAnsi="Book Antiqua"/>
          <w:lang w:val="en-GB"/>
        </w:rPr>
        <w:t>P</w:t>
      </w:r>
      <w:r w:rsidR="00041F99" w:rsidRPr="00541840">
        <w:rPr>
          <w:rFonts w:ascii="Book Antiqua" w:hAnsi="Book Antiqua"/>
          <w:lang w:val="en-GB"/>
        </w:rPr>
        <w:t>RC</w:t>
      </w:r>
      <w:r w:rsidR="008E1BAB" w:rsidRPr="00541840">
        <w:rPr>
          <w:rFonts w:ascii="Book Antiqua" w:hAnsi="Book Antiqua"/>
          <w:lang w:val="en-GB"/>
        </w:rPr>
        <w:t>.</w:t>
      </w:r>
    </w:p>
    <w:bookmarkEnd w:id="5"/>
    <w:p w14:paraId="00B6907C" w14:textId="77777777" w:rsidR="008E1BAB" w:rsidRPr="00541840" w:rsidRDefault="008E1BA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6D1A688" w14:textId="73723139" w:rsidR="005A41DB" w:rsidRPr="00541840" w:rsidRDefault="005A41DB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 xml:space="preserve">Inclusion and </w:t>
      </w:r>
      <w:r w:rsidR="0081772D" w:rsidRPr="00541840">
        <w:rPr>
          <w:rFonts w:ascii="Book Antiqua" w:hAnsi="Book Antiqua"/>
          <w:b/>
          <w:i/>
          <w:lang w:val="en-GB"/>
        </w:rPr>
        <w:t>e</w:t>
      </w:r>
      <w:r w:rsidRPr="00541840">
        <w:rPr>
          <w:rFonts w:ascii="Book Antiqua" w:hAnsi="Book Antiqua"/>
          <w:b/>
          <w:i/>
          <w:lang w:val="en-GB"/>
        </w:rPr>
        <w:t xml:space="preserve">xclusion </w:t>
      </w:r>
      <w:r w:rsidR="0081772D" w:rsidRPr="00541840">
        <w:rPr>
          <w:rFonts w:ascii="Book Antiqua" w:hAnsi="Book Antiqua"/>
          <w:b/>
          <w:i/>
          <w:lang w:val="en-GB"/>
        </w:rPr>
        <w:t>c</w:t>
      </w:r>
      <w:r w:rsidRPr="00541840">
        <w:rPr>
          <w:rFonts w:ascii="Book Antiqua" w:hAnsi="Book Antiqua"/>
          <w:b/>
          <w:i/>
          <w:lang w:val="en-GB"/>
        </w:rPr>
        <w:t>riteria</w:t>
      </w:r>
    </w:p>
    <w:p w14:paraId="63EEA62B" w14:textId="22F31E65" w:rsidR="005A41DB" w:rsidRPr="00541840" w:rsidRDefault="008E1BA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6" w:name="_Hlk528230562"/>
      <w:r w:rsidRPr="00541840">
        <w:rPr>
          <w:rFonts w:ascii="Book Antiqua" w:hAnsi="Book Antiqua"/>
          <w:lang w:val="en-GB"/>
        </w:rPr>
        <w:t xml:space="preserve">We included patients who underwent PE for </w:t>
      </w:r>
      <w:r w:rsidR="00041F99" w:rsidRPr="00541840">
        <w:rPr>
          <w:rFonts w:ascii="Book Antiqua" w:hAnsi="Book Antiqua"/>
          <w:lang w:val="en-GB"/>
        </w:rPr>
        <w:t>LA</w:t>
      </w:r>
      <w:r w:rsidR="001C5D01" w:rsidRPr="00541840">
        <w:rPr>
          <w:rFonts w:ascii="Book Antiqua" w:hAnsi="Book Antiqua"/>
          <w:lang w:val="en-GB"/>
        </w:rPr>
        <w:t>P</w:t>
      </w:r>
      <w:r w:rsidR="00041F99" w:rsidRPr="00541840">
        <w:rPr>
          <w:rFonts w:ascii="Book Antiqua" w:hAnsi="Book Antiqua"/>
          <w:lang w:val="en-GB"/>
        </w:rPr>
        <w:t>RC</w:t>
      </w:r>
      <w:r w:rsidRPr="00541840">
        <w:rPr>
          <w:rFonts w:ascii="Book Antiqua" w:hAnsi="Book Antiqua"/>
          <w:lang w:val="en-GB"/>
        </w:rPr>
        <w:t xml:space="preserve"> between 2006 and 2017. </w:t>
      </w:r>
      <w:r w:rsidR="005343DC" w:rsidRPr="00541840">
        <w:rPr>
          <w:rFonts w:ascii="Book Antiqua" w:hAnsi="Book Antiqua"/>
          <w:lang w:val="en-GB"/>
        </w:rPr>
        <w:t>The p</w:t>
      </w:r>
      <w:r w:rsidRPr="00541840">
        <w:rPr>
          <w:rFonts w:ascii="Book Antiqua" w:hAnsi="Book Antiqua"/>
          <w:lang w:val="en-GB"/>
        </w:rPr>
        <w:t>atients were only included if they underwent surgery with curative intent</w:t>
      </w:r>
      <w:r w:rsidR="00C54BBC" w:rsidRPr="00541840">
        <w:rPr>
          <w:rFonts w:ascii="Book Antiqua" w:hAnsi="Book Antiqua"/>
          <w:lang w:val="en-GB"/>
        </w:rPr>
        <w:t>. For the survival analysis, only patients with a minimum follow</w:t>
      </w:r>
      <w:r w:rsidR="0060460A" w:rsidRPr="00541840">
        <w:rPr>
          <w:rFonts w:ascii="Book Antiqua" w:hAnsi="Book Antiqua"/>
          <w:lang w:val="en-GB"/>
        </w:rPr>
        <w:t xml:space="preserve"> </w:t>
      </w:r>
      <w:r w:rsidR="00C54BBC" w:rsidRPr="00541840">
        <w:rPr>
          <w:rFonts w:ascii="Book Antiqua" w:hAnsi="Book Antiqua"/>
          <w:lang w:val="en-GB"/>
        </w:rPr>
        <w:t xml:space="preserve">up of 5 years were evaluated. </w:t>
      </w:r>
    </w:p>
    <w:p w14:paraId="5569A140" w14:textId="31F91940" w:rsidR="00C54BBC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  </w:t>
      </w:r>
      <w:r w:rsidR="0060460A" w:rsidRPr="00541840">
        <w:rPr>
          <w:rFonts w:ascii="Book Antiqua" w:hAnsi="Book Antiqua"/>
          <w:lang w:val="en-GB"/>
        </w:rPr>
        <w:t>The p</w:t>
      </w:r>
      <w:r w:rsidR="00C54BBC" w:rsidRPr="00541840">
        <w:rPr>
          <w:rFonts w:ascii="Book Antiqua" w:hAnsi="Book Antiqua"/>
          <w:lang w:val="en-GB"/>
        </w:rPr>
        <w:t xml:space="preserve">atients who were unfit </w:t>
      </w:r>
      <w:r w:rsidR="00163C52" w:rsidRPr="00541840">
        <w:rPr>
          <w:rFonts w:ascii="Book Antiqua" w:hAnsi="Book Antiqua"/>
          <w:lang w:val="en-GB"/>
        </w:rPr>
        <w:t xml:space="preserve">for </w:t>
      </w:r>
      <w:r w:rsidR="00C54BBC" w:rsidRPr="00541840">
        <w:rPr>
          <w:rFonts w:ascii="Book Antiqua" w:hAnsi="Book Antiqua"/>
          <w:lang w:val="en-GB"/>
        </w:rPr>
        <w:t xml:space="preserve">surgery, those who underwent palliative surgery, </w:t>
      </w:r>
      <w:r w:rsidR="0019206B" w:rsidRPr="00541840">
        <w:rPr>
          <w:rFonts w:ascii="Book Antiqua" w:hAnsi="Book Antiqua"/>
          <w:lang w:val="en-GB"/>
        </w:rPr>
        <w:t>those diagnosed with other malignancies</w:t>
      </w:r>
      <w:r w:rsidR="00D62277" w:rsidRPr="00541840">
        <w:rPr>
          <w:rFonts w:ascii="Book Antiqua" w:hAnsi="Book Antiqua"/>
          <w:lang w:val="en-GB"/>
        </w:rPr>
        <w:t xml:space="preserve"> besides colonic malignancies</w:t>
      </w:r>
      <w:r w:rsidR="0019206B" w:rsidRPr="00541840">
        <w:rPr>
          <w:rFonts w:ascii="Book Antiqua" w:hAnsi="Book Antiqua"/>
          <w:lang w:val="en-GB"/>
        </w:rPr>
        <w:t xml:space="preserve">, </w:t>
      </w:r>
      <w:r w:rsidR="00C54BBC" w:rsidRPr="00541840">
        <w:rPr>
          <w:rFonts w:ascii="Book Antiqua" w:hAnsi="Book Antiqua"/>
          <w:lang w:val="en-GB"/>
        </w:rPr>
        <w:t xml:space="preserve">and those </w:t>
      </w:r>
      <w:r w:rsidR="0019206B" w:rsidRPr="00541840">
        <w:rPr>
          <w:rFonts w:ascii="Book Antiqua" w:hAnsi="Book Antiqua"/>
          <w:lang w:val="en-GB"/>
        </w:rPr>
        <w:t>with unsatisfactory</w:t>
      </w:r>
      <w:r w:rsidR="00C54BBC" w:rsidRPr="00541840">
        <w:rPr>
          <w:rFonts w:ascii="Book Antiqua" w:hAnsi="Book Antiqua"/>
          <w:lang w:val="en-GB"/>
        </w:rPr>
        <w:t xml:space="preserve"> information were </w:t>
      </w:r>
      <w:r w:rsidR="0019206B" w:rsidRPr="00541840">
        <w:rPr>
          <w:rFonts w:ascii="Book Antiqua" w:hAnsi="Book Antiqua"/>
          <w:lang w:val="en-GB"/>
        </w:rPr>
        <w:t xml:space="preserve">excluded from </w:t>
      </w:r>
      <w:r w:rsidR="00C54BBC" w:rsidRPr="00541840">
        <w:rPr>
          <w:rFonts w:ascii="Book Antiqua" w:hAnsi="Book Antiqua"/>
          <w:lang w:val="en-GB"/>
        </w:rPr>
        <w:t>the analysis.</w:t>
      </w:r>
    </w:p>
    <w:bookmarkEnd w:id="6"/>
    <w:p w14:paraId="505C0817" w14:textId="77777777" w:rsidR="008E1BAB" w:rsidRPr="00541840" w:rsidRDefault="008E1BA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75AF2D26" w14:textId="77777777" w:rsidR="005A41DB" w:rsidRPr="00541840" w:rsidRDefault="005A41DB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>Endpoints and definitions</w:t>
      </w:r>
    </w:p>
    <w:p w14:paraId="128EF4D6" w14:textId="1C8FA582" w:rsidR="0019206B" w:rsidRPr="00541840" w:rsidRDefault="005A41D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7" w:name="_Hlk528230696"/>
      <w:r w:rsidRPr="00541840">
        <w:rPr>
          <w:rFonts w:ascii="Book Antiqua" w:hAnsi="Book Antiqua"/>
          <w:lang w:val="en-GB"/>
        </w:rPr>
        <w:t>The primary aim</w:t>
      </w:r>
      <w:r w:rsidR="0019206B" w:rsidRPr="00541840">
        <w:rPr>
          <w:rFonts w:ascii="Book Antiqua" w:hAnsi="Book Antiqua"/>
          <w:lang w:val="en-GB"/>
        </w:rPr>
        <w:t>s</w:t>
      </w:r>
      <w:r w:rsidRPr="00541840">
        <w:rPr>
          <w:rFonts w:ascii="Book Antiqua" w:hAnsi="Book Antiqua"/>
          <w:lang w:val="en-GB"/>
        </w:rPr>
        <w:t xml:space="preserve"> of this study </w:t>
      </w:r>
      <w:r w:rsidR="0019206B" w:rsidRPr="00541840">
        <w:rPr>
          <w:rFonts w:ascii="Book Antiqua" w:hAnsi="Book Antiqua"/>
          <w:lang w:val="en-GB"/>
        </w:rPr>
        <w:t>were:</w:t>
      </w:r>
      <w:r w:rsidR="00541840" w:rsidRPr="00541840">
        <w:rPr>
          <w:rFonts w:ascii="Book Antiqua" w:hAnsi="Book Antiqua"/>
          <w:lang w:val="en-GB"/>
        </w:rPr>
        <w:t xml:space="preserve"> (</w:t>
      </w:r>
      <w:r w:rsidR="0019206B" w:rsidRPr="00541840">
        <w:rPr>
          <w:rFonts w:ascii="Book Antiqua" w:hAnsi="Book Antiqua"/>
          <w:lang w:val="en-GB"/>
        </w:rPr>
        <w:t>1) short-term morbidity and mortality of PE for LA</w:t>
      </w:r>
      <w:r w:rsidR="001C5D01" w:rsidRPr="00541840">
        <w:rPr>
          <w:rFonts w:ascii="Book Antiqua" w:hAnsi="Book Antiqua"/>
          <w:lang w:val="en-GB"/>
        </w:rPr>
        <w:t>P</w:t>
      </w:r>
      <w:r w:rsidR="0019206B" w:rsidRPr="00541840">
        <w:rPr>
          <w:rFonts w:ascii="Book Antiqua" w:hAnsi="Book Antiqua"/>
          <w:lang w:val="en-GB"/>
        </w:rPr>
        <w:t>RC</w:t>
      </w:r>
      <w:r w:rsidR="00541840" w:rsidRPr="00541840">
        <w:rPr>
          <w:rFonts w:ascii="Book Antiqua" w:hAnsi="Book Antiqua"/>
          <w:lang w:val="en-GB"/>
        </w:rPr>
        <w:t>; (</w:t>
      </w:r>
      <w:r w:rsidR="0019206B" w:rsidRPr="00541840">
        <w:rPr>
          <w:rFonts w:ascii="Book Antiqua" w:hAnsi="Book Antiqua"/>
          <w:lang w:val="en-GB"/>
        </w:rPr>
        <w:t xml:space="preserve">2) overall 5-year </w:t>
      </w:r>
      <w:r w:rsidR="001C5D01" w:rsidRPr="00541840">
        <w:rPr>
          <w:rFonts w:ascii="Book Antiqua" w:hAnsi="Book Antiqua"/>
          <w:lang w:val="en-GB"/>
        </w:rPr>
        <w:t>local recurrence</w:t>
      </w:r>
      <w:r w:rsidR="00FA77F0" w:rsidRPr="00541840">
        <w:rPr>
          <w:rFonts w:ascii="Book Antiqua" w:hAnsi="Book Antiqua"/>
          <w:lang w:val="en-GB"/>
        </w:rPr>
        <w:t xml:space="preserve"> </w:t>
      </w:r>
      <w:r w:rsidR="001C5D01" w:rsidRPr="00541840">
        <w:rPr>
          <w:rFonts w:ascii="Book Antiqua" w:hAnsi="Book Antiqua"/>
          <w:lang w:val="en-GB"/>
        </w:rPr>
        <w:t>(</w:t>
      </w:r>
      <w:r w:rsidR="0019206B" w:rsidRPr="00541840">
        <w:rPr>
          <w:rFonts w:ascii="Book Antiqua" w:hAnsi="Book Antiqua"/>
          <w:lang w:val="en-GB"/>
        </w:rPr>
        <w:t>LR</w:t>
      </w:r>
      <w:r w:rsidR="001C5D01" w:rsidRPr="00541840">
        <w:rPr>
          <w:rFonts w:ascii="Book Antiqua" w:hAnsi="Book Antiqua"/>
          <w:lang w:val="en-GB"/>
        </w:rPr>
        <w:t>)</w:t>
      </w:r>
      <w:r w:rsidR="0019206B" w:rsidRPr="00541840">
        <w:rPr>
          <w:rFonts w:ascii="Book Antiqua" w:hAnsi="Book Antiqua"/>
          <w:lang w:val="en-GB"/>
        </w:rPr>
        <w:t xml:space="preserve">, </w:t>
      </w:r>
      <w:r w:rsidR="001C5D01" w:rsidRPr="00541840">
        <w:rPr>
          <w:rFonts w:ascii="Book Antiqua" w:hAnsi="Book Antiqua"/>
          <w:lang w:val="en-GB"/>
        </w:rPr>
        <w:t>disease-free survival</w:t>
      </w:r>
      <w:r w:rsidR="00FA77F0" w:rsidRPr="00541840">
        <w:rPr>
          <w:rFonts w:ascii="Book Antiqua" w:hAnsi="Book Antiqua"/>
          <w:lang w:val="en-GB"/>
        </w:rPr>
        <w:t xml:space="preserve"> </w:t>
      </w:r>
      <w:r w:rsidR="001C5D01" w:rsidRPr="00541840">
        <w:rPr>
          <w:rFonts w:ascii="Book Antiqua" w:hAnsi="Book Antiqua"/>
          <w:lang w:val="en-GB"/>
        </w:rPr>
        <w:t>(</w:t>
      </w:r>
      <w:r w:rsidR="0019206B" w:rsidRPr="00541840">
        <w:rPr>
          <w:rFonts w:ascii="Book Antiqua" w:hAnsi="Book Antiqua"/>
          <w:lang w:val="en-GB"/>
        </w:rPr>
        <w:t>DFS</w:t>
      </w:r>
      <w:r w:rsidR="001C5D01" w:rsidRPr="00541840">
        <w:rPr>
          <w:rFonts w:ascii="Book Antiqua" w:hAnsi="Book Antiqua"/>
          <w:lang w:val="en-GB"/>
        </w:rPr>
        <w:t>)</w:t>
      </w:r>
      <w:r w:rsidR="0019206B" w:rsidRPr="00541840">
        <w:rPr>
          <w:rFonts w:ascii="Book Antiqua" w:hAnsi="Book Antiqua"/>
          <w:lang w:val="en-GB"/>
        </w:rPr>
        <w:t xml:space="preserve">, and </w:t>
      </w:r>
      <w:r w:rsidR="001C5D01" w:rsidRPr="00541840">
        <w:rPr>
          <w:rFonts w:ascii="Book Antiqua" w:hAnsi="Book Antiqua"/>
          <w:lang w:val="en-GB"/>
        </w:rPr>
        <w:t>overall survival</w:t>
      </w:r>
      <w:r w:rsidR="00FA77F0" w:rsidRPr="00541840">
        <w:rPr>
          <w:rFonts w:ascii="Book Antiqua" w:hAnsi="Book Antiqua"/>
          <w:lang w:val="en-GB"/>
        </w:rPr>
        <w:t xml:space="preserve"> </w:t>
      </w:r>
      <w:r w:rsidR="001C5D01" w:rsidRPr="00541840">
        <w:rPr>
          <w:rFonts w:ascii="Book Antiqua" w:hAnsi="Book Antiqua"/>
          <w:lang w:val="en-GB"/>
        </w:rPr>
        <w:t>(</w:t>
      </w:r>
      <w:r w:rsidR="0019206B" w:rsidRPr="00541840">
        <w:rPr>
          <w:rFonts w:ascii="Book Antiqua" w:hAnsi="Book Antiqua"/>
          <w:lang w:val="en-GB"/>
        </w:rPr>
        <w:t>OS</w:t>
      </w:r>
      <w:r w:rsidR="001C5D01" w:rsidRPr="00541840">
        <w:rPr>
          <w:rFonts w:ascii="Book Antiqua" w:hAnsi="Book Antiqua"/>
          <w:lang w:val="en-GB"/>
        </w:rPr>
        <w:t>)</w:t>
      </w:r>
      <w:r w:rsidR="00541840" w:rsidRPr="00541840">
        <w:rPr>
          <w:rFonts w:ascii="Book Antiqua" w:hAnsi="Book Antiqua"/>
          <w:lang w:val="en-GB"/>
        </w:rPr>
        <w:t xml:space="preserve">. </w:t>
      </w:r>
      <w:r w:rsidR="0019206B" w:rsidRPr="00541840">
        <w:rPr>
          <w:rFonts w:ascii="Book Antiqua" w:hAnsi="Book Antiqua"/>
          <w:lang w:val="en-GB"/>
        </w:rPr>
        <w:t>Secondary outcomes included</w:t>
      </w:r>
      <w:r w:rsidR="00723D44" w:rsidRPr="00541840">
        <w:rPr>
          <w:rFonts w:ascii="Book Antiqua" w:hAnsi="Book Antiqua"/>
          <w:lang w:val="en-GB"/>
        </w:rPr>
        <w:t xml:space="preserve"> </w:t>
      </w:r>
      <w:r w:rsidR="00E41E75" w:rsidRPr="00541840">
        <w:rPr>
          <w:rFonts w:ascii="Book Antiqua" w:hAnsi="Book Antiqua"/>
          <w:lang w:val="en-GB"/>
        </w:rPr>
        <w:t>oncologic outcomes</w:t>
      </w:r>
      <w:r w:rsidR="00C0324B" w:rsidRPr="00541840">
        <w:rPr>
          <w:rFonts w:ascii="Book Antiqua" w:hAnsi="Book Antiqua"/>
          <w:lang w:val="en-GB"/>
        </w:rPr>
        <w:t xml:space="preserve"> after</w:t>
      </w:r>
      <w:r w:rsidR="0019206B" w:rsidRPr="00541840">
        <w:rPr>
          <w:rFonts w:ascii="Book Antiqua" w:hAnsi="Book Antiqua"/>
          <w:lang w:val="en-GB"/>
        </w:rPr>
        <w:t xml:space="preserve"> PE compared with patients in the registry who underwent TME </w:t>
      </w:r>
      <w:r w:rsidR="00C0324B" w:rsidRPr="00541840">
        <w:rPr>
          <w:rFonts w:ascii="Book Antiqua" w:hAnsi="Book Antiqua"/>
          <w:lang w:val="en-GB"/>
        </w:rPr>
        <w:t xml:space="preserve">for distal rectal cancer </w:t>
      </w:r>
      <w:r w:rsidR="0019206B" w:rsidRPr="00541840">
        <w:rPr>
          <w:rFonts w:ascii="Book Antiqua" w:hAnsi="Book Antiqua"/>
          <w:lang w:val="en-GB"/>
        </w:rPr>
        <w:t>surgery during the same timeframe</w:t>
      </w:r>
      <w:r w:rsidR="00C0324B" w:rsidRPr="00541840">
        <w:rPr>
          <w:rFonts w:ascii="Book Antiqua" w:hAnsi="Book Antiqua"/>
          <w:lang w:val="en-GB"/>
        </w:rPr>
        <w:t>, with a propensity-matched analysis.</w:t>
      </w:r>
    </w:p>
    <w:bookmarkEnd w:id="7"/>
    <w:p w14:paraId="11536E17" w14:textId="4DCD1E6E" w:rsidR="00D8598F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  </w:t>
      </w:r>
      <w:r w:rsidR="00D8598F" w:rsidRPr="00541840">
        <w:rPr>
          <w:rFonts w:ascii="Book Antiqua" w:hAnsi="Book Antiqua"/>
          <w:lang w:val="en-GB"/>
        </w:rPr>
        <w:t xml:space="preserve">The online database allows the investigators to classify the type of intervention performed. Only “PE” </w:t>
      </w:r>
      <w:r w:rsidR="007D0806" w:rsidRPr="00541840">
        <w:rPr>
          <w:rFonts w:ascii="Book Antiqua" w:hAnsi="Book Antiqua"/>
          <w:lang w:val="en-GB"/>
        </w:rPr>
        <w:t xml:space="preserve">interventions </w:t>
      </w:r>
      <w:r w:rsidR="00D8598F" w:rsidRPr="00541840">
        <w:rPr>
          <w:rFonts w:ascii="Book Antiqua" w:hAnsi="Book Antiqua"/>
          <w:lang w:val="en-GB"/>
        </w:rPr>
        <w:t>were included in the analysis and consisted of either posterior (removal of rectum, internal genital organs in female) or total (removal of rectum and bladder, in male and female).</w:t>
      </w:r>
      <w:r w:rsidR="00A508C5" w:rsidRPr="00541840">
        <w:rPr>
          <w:rFonts w:ascii="Book Antiqua" w:hAnsi="Book Antiqua"/>
          <w:lang w:val="en-GB"/>
        </w:rPr>
        <w:t xml:space="preserve"> Indications </w:t>
      </w:r>
      <w:r w:rsidR="00F20F5E" w:rsidRPr="00541840">
        <w:rPr>
          <w:rFonts w:ascii="Book Antiqua" w:hAnsi="Book Antiqua"/>
          <w:lang w:val="en-GB"/>
        </w:rPr>
        <w:t xml:space="preserve">for </w:t>
      </w:r>
      <w:r w:rsidR="00A508C5" w:rsidRPr="00541840">
        <w:rPr>
          <w:rFonts w:ascii="Book Antiqua" w:hAnsi="Book Antiqua"/>
          <w:lang w:val="en-GB"/>
        </w:rPr>
        <w:t>surgery</w:t>
      </w:r>
      <w:r w:rsidR="00853111" w:rsidRPr="00541840">
        <w:rPr>
          <w:rFonts w:ascii="Book Antiqua" w:hAnsi="Book Antiqua"/>
          <w:lang w:val="en-GB"/>
        </w:rPr>
        <w:t xml:space="preserve"> and perioperative management</w:t>
      </w:r>
      <w:r w:rsidR="00A508C5" w:rsidRPr="00541840">
        <w:rPr>
          <w:rFonts w:ascii="Book Antiqua" w:hAnsi="Book Antiqua"/>
          <w:lang w:val="en-GB"/>
        </w:rPr>
        <w:t xml:space="preserve"> were not standardized before starting the study, although most </w:t>
      </w:r>
      <w:r w:rsidR="00D43FC2" w:rsidRPr="00541840">
        <w:rPr>
          <w:rFonts w:ascii="Book Antiqua" w:hAnsi="Book Antiqua"/>
          <w:lang w:val="en-GB"/>
        </w:rPr>
        <w:t>centres</w:t>
      </w:r>
      <w:r w:rsidR="00A508C5" w:rsidRPr="00541840">
        <w:rPr>
          <w:rFonts w:ascii="Book Antiqua" w:hAnsi="Book Antiqua"/>
          <w:lang w:val="en-GB"/>
        </w:rPr>
        <w:t xml:space="preserve"> followed </w:t>
      </w:r>
      <w:r w:rsidR="007C1673" w:rsidRPr="00541840">
        <w:rPr>
          <w:rFonts w:ascii="Book Antiqua" w:hAnsi="Book Antiqua"/>
          <w:lang w:val="en-GB"/>
        </w:rPr>
        <w:t xml:space="preserve">the </w:t>
      </w:r>
      <w:r w:rsidR="00A508C5" w:rsidRPr="00541840">
        <w:rPr>
          <w:rFonts w:ascii="Book Antiqua" w:hAnsi="Book Antiqua"/>
          <w:lang w:val="en-GB"/>
        </w:rPr>
        <w:t>agreed</w:t>
      </w:r>
      <w:r w:rsidR="007C1673" w:rsidRPr="00541840">
        <w:rPr>
          <w:rFonts w:ascii="Book Antiqua" w:hAnsi="Book Antiqua"/>
          <w:lang w:val="en-GB"/>
        </w:rPr>
        <w:t>-upon</w:t>
      </w:r>
      <w:r w:rsidR="00A508C5" w:rsidRPr="00541840">
        <w:rPr>
          <w:rFonts w:ascii="Book Antiqua" w:hAnsi="Book Antiqua"/>
          <w:lang w:val="en-GB"/>
        </w:rPr>
        <w:t xml:space="preserve"> </w:t>
      </w:r>
      <w:proofErr w:type="gramStart"/>
      <w:r w:rsidR="00A508C5" w:rsidRPr="00541840">
        <w:rPr>
          <w:rFonts w:ascii="Book Antiqua" w:hAnsi="Book Antiqua"/>
          <w:lang w:val="en-GB"/>
        </w:rPr>
        <w:t>criteria</w:t>
      </w:r>
      <w:r w:rsidR="00853111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D285A" w:rsidRPr="00541840">
        <w:rPr>
          <w:rFonts w:ascii="Book Antiqua" w:hAnsi="Book Antiqua"/>
          <w:vertAlign w:val="superscript"/>
          <w:lang w:val="en-GB"/>
        </w:rPr>
        <w:t>19</w:t>
      </w:r>
      <w:r w:rsidR="00853111" w:rsidRPr="00541840">
        <w:rPr>
          <w:rFonts w:ascii="Book Antiqua" w:hAnsi="Book Antiqua"/>
          <w:vertAlign w:val="superscript"/>
          <w:lang w:val="en-GB"/>
        </w:rPr>
        <w:t>]</w:t>
      </w:r>
      <w:r w:rsidR="00A508C5" w:rsidRPr="00541840">
        <w:rPr>
          <w:rFonts w:ascii="Book Antiqua" w:hAnsi="Book Antiqua"/>
          <w:lang w:val="en-GB"/>
        </w:rPr>
        <w:t>.</w:t>
      </w:r>
      <w:r w:rsidR="001F0658" w:rsidRPr="00541840">
        <w:rPr>
          <w:rFonts w:ascii="Book Antiqua" w:hAnsi="Book Antiqua"/>
          <w:lang w:val="en-GB"/>
        </w:rPr>
        <w:t xml:space="preserve"> </w:t>
      </w:r>
    </w:p>
    <w:p w14:paraId="48B3329C" w14:textId="51153043" w:rsidR="00853111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  </w:t>
      </w:r>
      <w:r w:rsidR="00853111" w:rsidRPr="00541840">
        <w:rPr>
          <w:rFonts w:ascii="Book Antiqua" w:hAnsi="Book Antiqua"/>
          <w:lang w:val="en-GB"/>
        </w:rPr>
        <w:t xml:space="preserve">Thirty-day complications were collected, and the responsible collaborator at each </w:t>
      </w:r>
      <w:r w:rsidR="00D43FC2" w:rsidRPr="00541840">
        <w:rPr>
          <w:rFonts w:ascii="Book Antiqua" w:hAnsi="Book Antiqua"/>
          <w:lang w:val="en-GB"/>
        </w:rPr>
        <w:t>centre</w:t>
      </w:r>
      <w:r w:rsidR="00853111" w:rsidRPr="00541840">
        <w:rPr>
          <w:rFonts w:ascii="Book Antiqua" w:hAnsi="Book Antiqua"/>
          <w:lang w:val="en-GB"/>
        </w:rPr>
        <w:t xml:space="preserve"> updated the data on oncologic outcome</w:t>
      </w:r>
      <w:r w:rsidR="00EF6755" w:rsidRPr="00541840">
        <w:rPr>
          <w:rFonts w:ascii="Book Antiqua" w:hAnsi="Book Antiqua"/>
          <w:lang w:val="en-GB"/>
        </w:rPr>
        <w:t xml:space="preserve"> </w:t>
      </w:r>
      <w:proofErr w:type="gramStart"/>
      <w:r w:rsidR="00EF6755" w:rsidRPr="00541840">
        <w:rPr>
          <w:rFonts w:ascii="Book Antiqua" w:hAnsi="Book Antiqua"/>
          <w:lang w:val="en-GB"/>
        </w:rPr>
        <w:t>yearly</w:t>
      </w:r>
      <w:r w:rsidR="00853111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D285A" w:rsidRPr="00541840">
        <w:rPr>
          <w:rFonts w:ascii="Book Antiqua" w:hAnsi="Book Antiqua"/>
          <w:vertAlign w:val="superscript"/>
          <w:lang w:val="en-GB"/>
        </w:rPr>
        <w:t>18,20</w:t>
      </w:r>
      <w:r w:rsidR="00853111" w:rsidRPr="00541840">
        <w:rPr>
          <w:rFonts w:ascii="Book Antiqua" w:hAnsi="Book Antiqua"/>
          <w:vertAlign w:val="superscript"/>
          <w:lang w:val="en-GB"/>
        </w:rPr>
        <w:t>]</w:t>
      </w:r>
      <w:r w:rsidR="00853111" w:rsidRPr="00541840">
        <w:rPr>
          <w:rFonts w:ascii="Book Antiqua" w:hAnsi="Book Antiqua"/>
          <w:lang w:val="en-GB"/>
        </w:rPr>
        <w:t xml:space="preserve">. </w:t>
      </w:r>
    </w:p>
    <w:p w14:paraId="1DA964BD" w14:textId="34E94D10" w:rsidR="00853111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  </w:t>
      </w:r>
      <w:r w:rsidR="00853111" w:rsidRPr="00541840">
        <w:rPr>
          <w:rFonts w:ascii="Book Antiqua" w:hAnsi="Book Antiqua"/>
          <w:lang w:val="en-GB"/>
        </w:rPr>
        <w:t>Specimen assessment and reporting ha</w:t>
      </w:r>
      <w:r w:rsidR="00EF6755" w:rsidRPr="00541840">
        <w:rPr>
          <w:rFonts w:ascii="Book Antiqua" w:hAnsi="Book Antiqua"/>
          <w:lang w:val="en-GB"/>
        </w:rPr>
        <w:t>ve</w:t>
      </w:r>
      <w:r w:rsidR="00853111" w:rsidRPr="00541840">
        <w:rPr>
          <w:rFonts w:ascii="Book Antiqua" w:hAnsi="Book Antiqua"/>
          <w:lang w:val="en-GB"/>
        </w:rPr>
        <w:t xml:space="preserve"> been previously </w:t>
      </w:r>
      <w:proofErr w:type="gramStart"/>
      <w:r w:rsidR="00853111" w:rsidRPr="00541840">
        <w:rPr>
          <w:rFonts w:ascii="Book Antiqua" w:hAnsi="Book Antiqua"/>
          <w:lang w:val="en-GB"/>
        </w:rPr>
        <w:t>described</w:t>
      </w:r>
      <w:r w:rsidR="00E40475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4D1560" w:rsidRPr="00541840">
        <w:rPr>
          <w:rFonts w:ascii="Book Antiqua" w:hAnsi="Book Antiqua"/>
          <w:vertAlign w:val="superscript"/>
          <w:lang w:val="en-GB"/>
        </w:rPr>
        <w:t>18,20,21</w:t>
      </w:r>
      <w:r w:rsidR="00E40475" w:rsidRPr="00541840">
        <w:rPr>
          <w:rFonts w:ascii="Book Antiqua" w:hAnsi="Book Antiqua"/>
          <w:vertAlign w:val="superscript"/>
          <w:lang w:val="en-GB"/>
        </w:rPr>
        <w:t>]</w:t>
      </w:r>
      <w:r w:rsidR="00853111" w:rsidRPr="00541840">
        <w:rPr>
          <w:rFonts w:ascii="Book Antiqua" w:hAnsi="Book Antiqua"/>
          <w:lang w:val="en-GB"/>
        </w:rPr>
        <w:t xml:space="preserve">. </w:t>
      </w:r>
      <w:r w:rsidR="00E40475" w:rsidRPr="00541840">
        <w:rPr>
          <w:rFonts w:ascii="Book Antiqua" w:hAnsi="Book Antiqua"/>
          <w:lang w:val="en-GB"/>
        </w:rPr>
        <w:t xml:space="preserve">Briefly, margins were considered </w:t>
      </w:r>
      <w:r w:rsidR="00D43FC2" w:rsidRPr="00541840">
        <w:rPr>
          <w:rFonts w:ascii="Book Antiqua" w:hAnsi="Book Antiqua"/>
          <w:lang w:val="en-GB"/>
        </w:rPr>
        <w:t>tumour</w:t>
      </w:r>
      <w:r w:rsidR="00E40475" w:rsidRPr="00541840">
        <w:rPr>
          <w:rFonts w:ascii="Book Antiqua" w:hAnsi="Book Antiqua"/>
          <w:lang w:val="en-GB"/>
        </w:rPr>
        <w:t>-free i</w:t>
      </w:r>
      <w:r w:rsidR="00EF6755" w:rsidRPr="00541840">
        <w:rPr>
          <w:rFonts w:ascii="Book Antiqua" w:hAnsi="Book Antiqua"/>
          <w:lang w:val="en-GB"/>
        </w:rPr>
        <w:t>f</w:t>
      </w:r>
      <w:r w:rsidR="00E40475" w:rsidRPr="00541840">
        <w:rPr>
          <w:rFonts w:ascii="Book Antiqua" w:hAnsi="Book Antiqua"/>
          <w:lang w:val="en-GB"/>
        </w:rPr>
        <w:t xml:space="preserve"> no microscopic involvement was seen at pathology. </w:t>
      </w:r>
      <w:r w:rsidR="00EF6755" w:rsidRPr="00541840">
        <w:rPr>
          <w:rFonts w:ascii="Book Antiqua" w:hAnsi="Book Antiqua"/>
          <w:lang w:val="en-GB"/>
        </w:rPr>
        <w:t>The c</w:t>
      </w:r>
      <w:r w:rsidR="00E40475" w:rsidRPr="00541840">
        <w:rPr>
          <w:rFonts w:ascii="Book Antiqua" w:hAnsi="Book Antiqua"/>
          <w:lang w:val="en-GB"/>
        </w:rPr>
        <w:t>ircumferential resection margin was considered involved if cancer cells were found 1</w:t>
      </w:r>
      <w:r w:rsidR="00E40475" w:rsidRPr="00541840">
        <w:rPr>
          <w:rFonts w:ascii="Calibri" w:eastAsia="Calibri" w:hAnsi="Calibri" w:cs="Calibri"/>
          <w:lang w:val="en-GB"/>
        </w:rPr>
        <w:t> </w:t>
      </w:r>
      <w:r w:rsidR="00E40475" w:rsidRPr="00541840">
        <w:rPr>
          <w:rFonts w:ascii="Book Antiqua" w:hAnsi="Book Antiqua"/>
          <w:lang w:val="en-GB"/>
        </w:rPr>
        <w:t xml:space="preserve">mm or less from the </w:t>
      </w:r>
      <w:proofErr w:type="gramStart"/>
      <w:r w:rsidR="00E40475" w:rsidRPr="00541840">
        <w:rPr>
          <w:rFonts w:ascii="Book Antiqua" w:hAnsi="Book Antiqua"/>
          <w:lang w:val="en-GB"/>
        </w:rPr>
        <w:t>margin</w:t>
      </w:r>
      <w:r w:rsidR="00E40475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4D1560" w:rsidRPr="00541840">
        <w:rPr>
          <w:rFonts w:ascii="Book Antiqua" w:hAnsi="Book Antiqua"/>
          <w:vertAlign w:val="superscript"/>
          <w:lang w:val="en-GB"/>
        </w:rPr>
        <w:t>20</w:t>
      </w:r>
      <w:r w:rsidR="00E40475" w:rsidRPr="00541840">
        <w:rPr>
          <w:rFonts w:ascii="Book Antiqua" w:hAnsi="Book Antiqua"/>
          <w:vertAlign w:val="superscript"/>
          <w:lang w:val="en-GB"/>
        </w:rPr>
        <w:t>]</w:t>
      </w:r>
      <w:r w:rsidR="00E40475" w:rsidRPr="00541840">
        <w:rPr>
          <w:rFonts w:ascii="Book Antiqua" w:hAnsi="Book Antiqua"/>
          <w:lang w:val="en-GB"/>
        </w:rPr>
        <w:t xml:space="preserve">. </w:t>
      </w:r>
      <w:r w:rsidR="00EF44F3" w:rsidRPr="00541840">
        <w:rPr>
          <w:rFonts w:ascii="Book Antiqua" w:hAnsi="Book Antiqua"/>
          <w:lang w:val="en-GB"/>
        </w:rPr>
        <w:t>The q</w:t>
      </w:r>
      <w:r w:rsidR="00E40475" w:rsidRPr="00541840">
        <w:rPr>
          <w:rFonts w:ascii="Book Antiqua" w:hAnsi="Book Antiqua"/>
          <w:lang w:val="en-GB"/>
        </w:rPr>
        <w:t xml:space="preserve">uality of </w:t>
      </w:r>
      <w:r w:rsidR="00EF44F3" w:rsidRPr="00541840">
        <w:rPr>
          <w:rFonts w:ascii="Book Antiqua" w:hAnsi="Book Antiqua"/>
          <w:lang w:val="en-GB"/>
        </w:rPr>
        <w:t xml:space="preserve">the </w:t>
      </w:r>
      <w:r w:rsidR="00E40475" w:rsidRPr="00541840">
        <w:rPr>
          <w:rFonts w:ascii="Book Antiqua" w:hAnsi="Book Antiqua"/>
          <w:lang w:val="en-GB"/>
        </w:rPr>
        <w:t xml:space="preserve">mesorectum and abdominoperineal excision was scored using three grades as described by </w:t>
      </w:r>
      <w:proofErr w:type="gramStart"/>
      <w:r w:rsidR="00E40475" w:rsidRPr="00541840">
        <w:rPr>
          <w:rFonts w:ascii="Book Antiqua" w:hAnsi="Book Antiqua"/>
          <w:lang w:val="en-GB"/>
        </w:rPr>
        <w:t>others</w:t>
      </w:r>
      <w:r w:rsidR="00E40475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4D1560" w:rsidRPr="00541840">
        <w:rPr>
          <w:rFonts w:ascii="Book Antiqua" w:hAnsi="Book Antiqua"/>
          <w:vertAlign w:val="superscript"/>
          <w:lang w:val="en-GB"/>
        </w:rPr>
        <w:t>20</w:t>
      </w:r>
      <w:r w:rsidR="003B23BC" w:rsidRPr="00541840">
        <w:rPr>
          <w:rFonts w:ascii="Book Antiqua" w:hAnsi="Book Antiqua"/>
          <w:vertAlign w:val="superscript"/>
          <w:lang w:val="en-GB"/>
        </w:rPr>
        <w:t>-23</w:t>
      </w:r>
      <w:r w:rsidR="00E40475" w:rsidRPr="00541840">
        <w:rPr>
          <w:rFonts w:ascii="Book Antiqua" w:hAnsi="Book Antiqua"/>
          <w:vertAlign w:val="superscript"/>
          <w:lang w:val="en-GB"/>
        </w:rPr>
        <w:t>].</w:t>
      </w:r>
      <w:r w:rsidR="00E40475" w:rsidRPr="00541840">
        <w:rPr>
          <w:rFonts w:ascii="Book Antiqua" w:hAnsi="Book Antiqua"/>
          <w:lang w:val="en-GB"/>
        </w:rPr>
        <w:t xml:space="preserve"> </w:t>
      </w:r>
    </w:p>
    <w:p w14:paraId="068A66E1" w14:textId="753E26AA" w:rsidR="00CB520D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CB520D" w:rsidRPr="00541840">
        <w:rPr>
          <w:rFonts w:ascii="Book Antiqua" w:hAnsi="Book Antiqua"/>
          <w:lang w:val="en-GB"/>
        </w:rPr>
        <w:t>LR was defined as</w:t>
      </w:r>
      <w:r w:rsidR="00632BB1" w:rsidRPr="00541840">
        <w:rPr>
          <w:rFonts w:ascii="Book Antiqua" w:hAnsi="Book Antiqua"/>
          <w:lang w:val="en-GB"/>
        </w:rPr>
        <w:t xml:space="preserve"> a mass near or at the same place as the original </w:t>
      </w:r>
      <w:r w:rsidR="00D43FC2" w:rsidRPr="00541840">
        <w:rPr>
          <w:rFonts w:ascii="Book Antiqua" w:hAnsi="Book Antiqua"/>
          <w:lang w:val="en-GB"/>
        </w:rPr>
        <w:t>tumour</w:t>
      </w:r>
      <w:r w:rsidR="00632BB1" w:rsidRPr="00541840">
        <w:rPr>
          <w:rFonts w:ascii="Book Antiqua" w:hAnsi="Book Antiqua"/>
          <w:lang w:val="en-GB"/>
        </w:rPr>
        <w:t xml:space="preserve">, after a period of time in which the </w:t>
      </w:r>
      <w:r w:rsidR="00D43FC2" w:rsidRPr="00541840">
        <w:rPr>
          <w:rFonts w:ascii="Book Antiqua" w:hAnsi="Book Antiqua"/>
          <w:lang w:val="en-GB"/>
        </w:rPr>
        <w:t>tumour</w:t>
      </w:r>
      <w:r w:rsidR="00632BB1" w:rsidRPr="00541840">
        <w:rPr>
          <w:rFonts w:ascii="Book Antiqua" w:hAnsi="Book Antiqua"/>
          <w:lang w:val="en-GB"/>
        </w:rPr>
        <w:t xml:space="preserve"> was not detected.</w:t>
      </w:r>
      <w:r w:rsidR="001F0658" w:rsidRPr="00541840">
        <w:rPr>
          <w:rFonts w:ascii="Book Antiqua" w:hAnsi="Book Antiqua"/>
          <w:lang w:val="en-GB"/>
        </w:rPr>
        <w:t xml:space="preserve"> LR </w:t>
      </w:r>
      <w:r w:rsidR="00EF44F3" w:rsidRPr="00541840">
        <w:rPr>
          <w:rFonts w:ascii="Book Antiqua" w:hAnsi="Book Antiqua"/>
          <w:lang w:val="en-GB"/>
        </w:rPr>
        <w:t>was</w:t>
      </w:r>
      <w:r w:rsidR="001F0658" w:rsidRPr="00541840">
        <w:rPr>
          <w:rFonts w:ascii="Book Antiqua" w:hAnsi="Book Antiqua"/>
          <w:lang w:val="en-GB"/>
        </w:rPr>
        <w:t xml:space="preserve"> included only if an imaging exam proved the recurrence combined with raised CEA.</w:t>
      </w:r>
    </w:p>
    <w:p w14:paraId="06996C68" w14:textId="03217890" w:rsidR="00632BB1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632BB1" w:rsidRPr="00541840">
        <w:rPr>
          <w:rFonts w:ascii="Book Antiqua" w:hAnsi="Book Antiqua"/>
          <w:lang w:val="en-GB"/>
        </w:rPr>
        <w:t xml:space="preserve">DFS was defined as time to develop a distant disease relapse </w:t>
      </w:r>
      <w:r w:rsidR="001A2612" w:rsidRPr="00541840">
        <w:rPr>
          <w:rFonts w:ascii="Book Antiqua" w:hAnsi="Book Antiqua"/>
          <w:lang w:val="en-GB"/>
        </w:rPr>
        <w:t xml:space="preserve">that </w:t>
      </w:r>
      <w:r w:rsidR="00632BB1" w:rsidRPr="00541840">
        <w:rPr>
          <w:rFonts w:ascii="Book Antiqua" w:hAnsi="Book Antiqua"/>
          <w:lang w:val="en-GB"/>
        </w:rPr>
        <w:t>was not present or suspected at primary surgery.</w:t>
      </w:r>
      <w:r w:rsidR="001F0658" w:rsidRPr="00541840">
        <w:rPr>
          <w:rFonts w:ascii="Book Antiqua" w:hAnsi="Book Antiqua"/>
          <w:lang w:val="en-GB"/>
        </w:rPr>
        <w:t xml:space="preserve"> Distant metastases included para-aortic and inguinal nodes.</w:t>
      </w:r>
    </w:p>
    <w:p w14:paraId="46E07AC4" w14:textId="361AD11A" w:rsidR="00A508C5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A508C5" w:rsidRPr="00541840">
        <w:rPr>
          <w:rFonts w:ascii="Book Antiqua" w:hAnsi="Book Antiqua"/>
          <w:lang w:val="en-GB"/>
        </w:rPr>
        <w:t xml:space="preserve">OS was defined as </w:t>
      </w:r>
      <w:r w:rsidR="00916DAC" w:rsidRPr="00541840">
        <w:rPr>
          <w:rFonts w:ascii="Book Antiqua" w:hAnsi="Book Antiqua"/>
          <w:lang w:val="en-GB"/>
        </w:rPr>
        <w:t xml:space="preserve">time </w:t>
      </w:r>
      <w:r w:rsidR="00F71107" w:rsidRPr="00541840">
        <w:rPr>
          <w:rFonts w:ascii="Book Antiqua" w:hAnsi="Book Antiqua"/>
          <w:lang w:val="en-GB"/>
        </w:rPr>
        <w:t>to death for any reason.</w:t>
      </w:r>
    </w:p>
    <w:p w14:paraId="2CD298C1" w14:textId="1C1A6F9A" w:rsidR="001F0658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1F0658" w:rsidRPr="00541840">
        <w:rPr>
          <w:rFonts w:ascii="Book Antiqua" w:hAnsi="Book Antiqua"/>
          <w:lang w:val="en-GB"/>
        </w:rPr>
        <w:t>Detailed definitions</w:t>
      </w:r>
      <w:r w:rsidR="007D285A" w:rsidRPr="00541840">
        <w:rPr>
          <w:rFonts w:ascii="Book Antiqua" w:hAnsi="Book Antiqua"/>
          <w:lang w:val="en-GB"/>
        </w:rPr>
        <w:t xml:space="preserve"> and scope of the registry have been previously reported</w:t>
      </w:r>
      <w:r w:rsidR="007D285A" w:rsidRPr="00541840">
        <w:rPr>
          <w:rFonts w:ascii="Book Antiqua" w:hAnsi="Book Antiqua"/>
          <w:vertAlign w:val="superscript"/>
          <w:lang w:val="en-GB"/>
        </w:rPr>
        <w:t>[15,18</w:t>
      </w:r>
      <w:r w:rsidR="003B23BC" w:rsidRPr="00541840">
        <w:rPr>
          <w:rFonts w:ascii="Book Antiqua" w:hAnsi="Book Antiqua"/>
          <w:vertAlign w:val="superscript"/>
          <w:lang w:val="en-GB"/>
        </w:rPr>
        <w:t>,20</w:t>
      </w:r>
      <w:r w:rsidR="007D285A" w:rsidRPr="00541840">
        <w:rPr>
          <w:rFonts w:ascii="Book Antiqua" w:hAnsi="Book Antiqua"/>
          <w:vertAlign w:val="superscript"/>
          <w:lang w:val="en-GB"/>
        </w:rPr>
        <w:t>]</w:t>
      </w:r>
      <w:r>
        <w:rPr>
          <w:rFonts w:ascii="Book Antiqua" w:hAnsi="Book Antiqua"/>
          <w:vertAlign w:val="superscript"/>
          <w:lang w:val="en-GB"/>
        </w:rPr>
        <w:t xml:space="preserve"> </w:t>
      </w:r>
      <w:r w:rsidR="007D285A" w:rsidRPr="00541840">
        <w:rPr>
          <w:rFonts w:ascii="Book Antiqua" w:hAnsi="Book Antiqua"/>
          <w:lang w:val="en-GB"/>
        </w:rPr>
        <w:lastRenderedPageBreak/>
        <w:t>(</w:t>
      </w:r>
      <w:hyperlink r:id="rId8" w:history="1">
        <w:r w:rsidR="001F0658" w:rsidRPr="00541840">
          <w:rPr>
            <w:rStyle w:val="Hyperlink"/>
            <w:rFonts w:ascii="Book Antiqua" w:hAnsi="Book Antiqua"/>
            <w:lang w:val="en-GB"/>
          </w:rPr>
          <w:t>http://www.aecirujanos.es/images/stories/recursos/secciones/coloproctologia/2015/proyecto_vikingo/documentos/definiciones_proyecto_vikingo.pdf</w:t>
        </w:r>
      </w:hyperlink>
      <w:r w:rsidR="007D285A" w:rsidRPr="00541840">
        <w:rPr>
          <w:rStyle w:val="Hyperlink"/>
          <w:rFonts w:ascii="Book Antiqua" w:hAnsi="Book Antiqua"/>
          <w:lang w:val="en-GB"/>
        </w:rPr>
        <w:t>)</w:t>
      </w:r>
      <w:r>
        <w:rPr>
          <w:rFonts w:ascii="Book Antiqua" w:hAnsi="Book Antiqua"/>
          <w:lang w:val="en-GB"/>
        </w:rPr>
        <w:t>.</w:t>
      </w:r>
    </w:p>
    <w:p w14:paraId="263AFF01" w14:textId="3D382AFB" w:rsidR="00C0324B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C0324B" w:rsidRPr="00541840">
        <w:rPr>
          <w:rFonts w:ascii="Book Antiqua" w:hAnsi="Book Antiqua"/>
          <w:lang w:val="en-GB"/>
        </w:rPr>
        <w:t xml:space="preserve">For the secondary aims, the group </w:t>
      </w:r>
      <w:r w:rsidR="00BA163F" w:rsidRPr="00541840">
        <w:rPr>
          <w:rFonts w:ascii="Book Antiqua" w:hAnsi="Book Antiqua"/>
          <w:lang w:val="en-GB"/>
        </w:rPr>
        <w:t>that</w:t>
      </w:r>
      <w:r w:rsidR="00C0324B" w:rsidRPr="00541840">
        <w:rPr>
          <w:rFonts w:ascii="Book Antiqua" w:hAnsi="Book Antiqua"/>
          <w:lang w:val="en-GB"/>
        </w:rPr>
        <w:t xml:space="preserve"> was propensity matched with PE included all patients from the database </w:t>
      </w:r>
      <w:r w:rsidR="001C5D01" w:rsidRPr="00541840">
        <w:rPr>
          <w:rFonts w:ascii="Book Antiqua" w:hAnsi="Book Antiqua"/>
          <w:lang w:val="en-GB"/>
        </w:rPr>
        <w:t xml:space="preserve">with low rectal cancer </w:t>
      </w:r>
      <w:r w:rsidR="00C0324B" w:rsidRPr="00541840">
        <w:rPr>
          <w:rFonts w:ascii="Book Antiqua" w:hAnsi="Book Antiqua"/>
          <w:lang w:val="en-GB"/>
        </w:rPr>
        <w:t xml:space="preserve">who underwent TME surgery with abdominoperineal excision, </w:t>
      </w:r>
      <w:proofErr w:type="spellStart"/>
      <w:r w:rsidR="00C0324B" w:rsidRPr="00541840">
        <w:rPr>
          <w:rFonts w:ascii="Book Antiqua" w:hAnsi="Book Antiqua"/>
          <w:lang w:val="en-GB"/>
        </w:rPr>
        <w:t>extralevator</w:t>
      </w:r>
      <w:proofErr w:type="spellEnd"/>
      <w:r w:rsidR="00C0324B" w:rsidRPr="00541840">
        <w:rPr>
          <w:rFonts w:ascii="Book Antiqua" w:hAnsi="Book Antiqua"/>
          <w:lang w:val="en-GB"/>
        </w:rPr>
        <w:t xml:space="preserve"> abdominoperineal excision, and low anterior resection between March 2006 and December 2013.</w:t>
      </w:r>
    </w:p>
    <w:p w14:paraId="2C88DFEC" w14:textId="77777777" w:rsidR="00CB520D" w:rsidRPr="00541840" w:rsidRDefault="00CB520D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</w:p>
    <w:p w14:paraId="1A033435" w14:textId="77777777" w:rsidR="00E10AD4" w:rsidRPr="00541840" w:rsidRDefault="00E10AD4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>Statistical analysis</w:t>
      </w:r>
    </w:p>
    <w:p w14:paraId="07F69612" w14:textId="5F686EB8" w:rsidR="003D4D6A" w:rsidRPr="00541840" w:rsidRDefault="00712A93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Continuous variables are reported as the </w:t>
      </w:r>
      <w:r w:rsidR="00CB520D" w:rsidRPr="00541840">
        <w:rPr>
          <w:rFonts w:ascii="Book Antiqua" w:hAnsi="Book Antiqua"/>
          <w:lang w:val="en-GB"/>
        </w:rPr>
        <w:t>mean</w:t>
      </w:r>
      <w:r w:rsidR="00370C55" w:rsidRPr="00541840">
        <w:rPr>
          <w:rFonts w:ascii="Book Antiqua" w:hAnsi="Book Antiqua"/>
          <w:lang w:val="en-GB"/>
        </w:rPr>
        <w:t>s</w:t>
      </w:r>
      <w:r w:rsidRPr="00541840">
        <w:rPr>
          <w:rFonts w:ascii="Book Antiqua" w:hAnsi="Book Antiqua"/>
          <w:lang w:val="en-GB"/>
        </w:rPr>
        <w:t xml:space="preserve"> </w:t>
      </w:r>
      <w:r w:rsidR="00CB520D" w:rsidRPr="00541840">
        <w:rPr>
          <w:rFonts w:ascii="Book Antiqua" w:hAnsi="Book Antiqua"/>
          <w:lang w:val="en-GB"/>
        </w:rPr>
        <w:t>± standard deviation</w:t>
      </w:r>
      <w:r w:rsidR="00314C4E" w:rsidRPr="00541840">
        <w:rPr>
          <w:rFonts w:ascii="Book Antiqua" w:hAnsi="Book Antiqua"/>
          <w:lang w:val="en-GB"/>
        </w:rPr>
        <w:t>s</w:t>
      </w:r>
      <w:r w:rsidR="00CB520D" w:rsidRPr="00541840">
        <w:rPr>
          <w:rFonts w:ascii="Book Antiqua" w:hAnsi="Book Antiqua"/>
          <w:lang w:val="en-GB"/>
        </w:rPr>
        <w:t xml:space="preserve"> (SD)</w:t>
      </w:r>
      <w:r w:rsidRPr="00541840">
        <w:rPr>
          <w:rFonts w:ascii="Book Antiqua" w:hAnsi="Book Antiqua"/>
          <w:lang w:val="en-GB"/>
        </w:rPr>
        <w:t xml:space="preserve">, </w:t>
      </w:r>
      <w:r w:rsidR="00515CD7" w:rsidRPr="00541840">
        <w:rPr>
          <w:rFonts w:ascii="Book Antiqua" w:hAnsi="Book Antiqua"/>
          <w:lang w:val="en-GB"/>
        </w:rPr>
        <w:t xml:space="preserve">and </w:t>
      </w:r>
      <w:r w:rsidRPr="00541840">
        <w:rPr>
          <w:rFonts w:ascii="Book Antiqua" w:hAnsi="Book Antiqua"/>
          <w:lang w:val="en-GB"/>
        </w:rPr>
        <w:t>categorical variables are reported as the number</w:t>
      </w:r>
      <w:r w:rsidR="00314C4E" w:rsidRPr="00541840">
        <w:rPr>
          <w:rFonts w:ascii="Book Antiqua" w:hAnsi="Book Antiqua"/>
          <w:lang w:val="en-GB"/>
        </w:rPr>
        <w:t>s</w:t>
      </w:r>
      <w:r w:rsidRPr="00541840">
        <w:rPr>
          <w:rFonts w:ascii="Book Antiqua" w:hAnsi="Book Antiqua"/>
          <w:lang w:val="en-GB"/>
        </w:rPr>
        <w:t xml:space="preserve"> </w:t>
      </w:r>
      <w:r w:rsidR="00CB520D" w:rsidRPr="00541840">
        <w:rPr>
          <w:rFonts w:ascii="Book Antiqua" w:hAnsi="Book Antiqua"/>
          <w:lang w:val="en-GB"/>
        </w:rPr>
        <w:t>with</w:t>
      </w:r>
      <w:r w:rsidRPr="00541840">
        <w:rPr>
          <w:rFonts w:ascii="Book Antiqua" w:hAnsi="Book Antiqua"/>
          <w:lang w:val="en-GB"/>
        </w:rPr>
        <w:t xml:space="preserve"> percentage</w:t>
      </w:r>
      <w:r w:rsidR="00314C4E" w:rsidRPr="00541840">
        <w:rPr>
          <w:rFonts w:ascii="Book Antiqua" w:hAnsi="Book Antiqua"/>
          <w:lang w:val="en-GB"/>
        </w:rPr>
        <w:t>s</w:t>
      </w:r>
      <w:r w:rsidR="00CB520D" w:rsidRPr="00541840">
        <w:rPr>
          <w:rFonts w:ascii="Book Antiqua" w:hAnsi="Book Antiqua"/>
          <w:lang w:val="en-GB"/>
        </w:rPr>
        <w:t xml:space="preserve"> (%)</w:t>
      </w:r>
      <w:r w:rsidR="003D4D6A" w:rsidRPr="00541840">
        <w:rPr>
          <w:rFonts w:ascii="Book Antiqua" w:hAnsi="Book Antiqua"/>
          <w:lang w:val="en-GB"/>
        </w:rPr>
        <w:t xml:space="preserve">. </w:t>
      </w:r>
    </w:p>
    <w:p w14:paraId="19E7E897" w14:textId="2ED5B654" w:rsidR="00C0324B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C0324B" w:rsidRPr="00541840">
        <w:rPr>
          <w:rFonts w:ascii="Book Antiqua" w:hAnsi="Book Antiqua"/>
          <w:lang w:val="en-GB"/>
        </w:rPr>
        <w:t xml:space="preserve">For the secondary aims, </w:t>
      </w:r>
      <w:r w:rsidR="000E712F" w:rsidRPr="00541840">
        <w:rPr>
          <w:rFonts w:ascii="Book Antiqua" w:hAnsi="Book Antiqua"/>
          <w:lang w:val="en-GB"/>
        </w:rPr>
        <w:t>the</w:t>
      </w:r>
      <w:r w:rsidR="00C0324B" w:rsidRPr="00541840">
        <w:rPr>
          <w:rFonts w:ascii="Book Antiqua" w:hAnsi="Book Antiqua"/>
          <w:lang w:val="en-GB"/>
        </w:rPr>
        <w:t xml:space="preserve"> propensity-matched analysis</w:t>
      </w:r>
      <w:r w:rsidR="000E712F" w:rsidRPr="00541840">
        <w:rPr>
          <w:rFonts w:ascii="Book Antiqua" w:hAnsi="Book Antiqua"/>
          <w:lang w:val="en-GB"/>
        </w:rPr>
        <w:t xml:space="preserve"> for complications</w:t>
      </w:r>
      <w:r w:rsidR="00C0324B" w:rsidRPr="00541840">
        <w:rPr>
          <w:rFonts w:ascii="Book Antiqua" w:hAnsi="Book Antiqua"/>
          <w:lang w:val="en-GB"/>
        </w:rPr>
        <w:t xml:space="preserve"> was carried out based on the following</w:t>
      </w:r>
      <w:r w:rsidR="000E712F" w:rsidRPr="00541840">
        <w:rPr>
          <w:rFonts w:ascii="Book Antiqua" w:hAnsi="Book Antiqua"/>
          <w:lang w:val="en-GB"/>
        </w:rPr>
        <w:t xml:space="preserve"> variables</w:t>
      </w:r>
      <w:r w:rsidR="00C802FD" w:rsidRPr="00541840">
        <w:rPr>
          <w:rFonts w:ascii="Book Antiqua" w:hAnsi="Book Antiqua"/>
          <w:lang w:val="en-GB"/>
        </w:rPr>
        <w:t xml:space="preserve">: American Society of </w:t>
      </w:r>
      <w:proofErr w:type="spellStart"/>
      <w:r w:rsidR="00C802FD" w:rsidRPr="00541840">
        <w:rPr>
          <w:rFonts w:ascii="Book Antiqua" w:hAnsi="Book Antiqua"/>
          <w:lang w:val="en-GB"/>
        </w:rPr>
        <w:t>Anesthesiologists’</w:t>
      </w:r>
      <w:proofErr w:type="spellEnd"/>
      <w:r w:rsidR="00C802FD" w:rsidRPr="00541840">
        <w:rPr>
          <w:rFonts w:ascii="Book Antiqua" w:hAnsi="Book Antiqua"/>
          <w:lang w:val="en-GB"/>
        </w:rPr>
        <w:t xml:space="preserve"> (ASA) score, neoadjuvant treatment, and </w:t>
      </w:r>
      <w:proofErr w:type="spellStart"/>
      <w:r w:rsidR="00C802FD" w:rsidRPr="00541840">
        <w:rPr>
          <w:rFonts w:ascii="Book Antiqua" w:hAnsi="Book Antiqua"/>
          <w:lang w:val="en-GB"/>
        </w:rPr>
        <w:t>pT</w:t>
      </w:r>
      <w:proofErr w:type="spellEnd"/>
      <w:r w:rsidR="00C802FD" w:rsidRPr="00541840">
        <w:rPr>
          <w:rFonts w:ascii="Book Antiqua" w:hAnsi="Book Antiqua"/>
          <w:lang w:val="en-GB"/>
        </w:rPr>
        <w:t xml:space="preserve"> stage. Only patients with cancer of the lower third of the rectum (0-6 cm from anal verge) who underwent curative TME surgery were included.</w:t>
      </w:r>
    </w:p>
    <w:p w14:paraId="70D2973C" w14:textId="57C07182" w:rsidR="00712A93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CB520D" w:rsidRPr="00541840">
        <w:rPr>
          <w:rFonts w:ascii="Book Antiqua" w:hAnsi="Book Antiqua"/>
          <w:lang w:val="en-GB"/>
        </w:rPr>
        <w:t>Categorical</w:t>
      </w:r>
      <w:r w:rsidR="00712A93" w:rsidRPr="00541840">
        <w:rPr>
          <w:rFonts w:ascii="Book Antiqua" w:hAnsi="Book Antiqua"/>
          <w:lang w:val="en-GB"/>
        </w:rPr>
        <w:t xml:space="preserve"> variables </w:t>
      </w:r>
      <w:r w:rsidR="00CB520D" w:rsidRPr="00541840">
        <w:rPr>
          <w:rFonts w:ascii="Book Antiqua" w:hAnsi="Book Antiqua"/>
          <w:lang w:val="en-GB"/>
        </w:rPr>
        <w:t>were compared</w:t>
      </w:r>
      <w:r w:rsidR="00712A93" w:rsidRPr="00541840">
        <w:rPr>
          <w:rFonts w:ascii="Book Antiqua" w:hAnsi="Book Antiqua"/>
          <w:lang w:val="en-GB"/>
        </w:rPr>
        <w:t xml:space="preserve"> with </w:t>
      </w:r>
      <w:r w:rsidR="00CB520D" w:rsidRPr="00541840">
        <w:rPr>
          <w:rFonts w:ascii="Book Antiqua" w:hAnsi="Book Antiqua"/>
          <w:lang w:val="en-GB"/>
        </w:rPr>
        <w:t>Fisher’s exact test</w:t>
      </w:r>
      <w:r w:rsidR="00225031" w:rsidRPr="00541840">
        <w:rPr>
          <w:rFonts w:ascii="Book Antiqua" w:hAnsi="Book Antiqua"/>
          <w:lang w:val="en-GB"/>
        </w:rPr>
        <w:t xml:space="preserve"> and Chi Square Test as appropriate</w:t>
      </w:r>
      <w:r w:rsidR="00CB520D" w:rsidRPr="00541840">
        <w:rPr>
          <w:rFonts w:ascii="Book Antiqua" w:hAnsi="Book Antiqua"/>
          <w:lang w:val="en-GB"/>
        </w:rPr>
        <w:t xml:space="preserve">, whereas continuous variables were compared with </w:t>
      </w:r>
      <w:r w:rsidR="00712A93" w:rsidRPr="00541840">
        <w:rPr>
          <w:rFonts w:ascii="Book Antiqua" w:hAnsi="Book Antiqua"/>
          <w:lang w:val="en-GB"/>
        </w:rPr>
        <w:t xml:space="preserve">Mann-Whitney </w:t>
      </w:r>
      <w:r w:rsidR="00712A93" w:rsidRPr="00541840">
        <w:rPr>
          <w:rFonts w:ascii="Book Antiqua" w:hAnsi="Book Antiqua"/>
          <w:i/>
          <w:lang w:val="en-GB"/>
        </w:rPr>
        <w:t xml:space="preserve">U </w:t>
      </w:r>
      <w:r w:rsidR="00CB520D" w:rsidRPr="00541840">
        <w:rPr>
          <w:rFonts w:ascii="Book Antiqua" w:hAnsi="Book Antiqua"/>
          <w:lang w:val="en-GB"/>
        </w:rPr>
        <w:t>test</w:t>
      </w:r>
      <w:r w:rsidR="0085141C" w:rsidRPr="00541840">
        <w:rPr>
          <w:rFonts w:ascii="Book Antiqua" w:hAnsi="Book Antiqua"/>
          <w:lang w:val="en-GB"/>
        </w:rPr>
        <w:t>.</w:t>
      </w:r>
    </w:p>
    <w:p w14:paraId="5A00C358" w14:textId="46CB3EED" w:rsidR="00712A93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F71107" w:rsidRPr="00541840">
        <w:rPr>
          <w:rFonts w:ascii="Book Antiqua" w:hAnsi="Book Antiqua"/>
          <w:lang w:val="en-GB"/>
        </w:rPr>
        <w:t>Kaplan-Meier s</w:t>
      </w:r>
      <w:r w:rsidR="00CB520D" w:rsidRPr="00541840">
        <w:rPr>
          <w:rFonts w:ascii="Book Antiqua" w:hAnsi="Book Antiqua"/>
          <w:lang w:val="en-GB"/>
        </w:rPr>
        <w:t xml:space="preserve">urvival curves were </w:t>
      </w:r>
      <w:r w:rsidR="00F71107" w:rsidRPr="00541840">
        <w:rPr>
          <w:rFonts w:ascii="Book Antiqua" w:hAnsi="Book Antiqua"/>
          <w:lang w:val="en-GB"/>
        </w:rPr>
        <w:t>generated to assess 5-year survival</w:t>
      </w:r>
      <w:r w:rsidR="00460AD9" w:rsidRPr="00541840">
        <w:rPr>
          <w:rFonts w:ascii="Book Antiqua" w:hAnsi="Book Antiqua"/>
          <w:lang w:val="en-GB"/>
        </w:rPr>
        <w:t>,</w:t>
      </w:r>
      <w:r w:rsidR="00F71107" w:rsidRPr="00541840">
        <w:rPr>
          <w:rFonts w:ascii="Book Antiqua" w:hAnsi="Book Antiqua"/>
          <w:lang w:val="en-GB"/>
        </w:rPr>
        <w:t xml:space="preserve"> and </w:t>
      </w:r>
      <w:r w:rsidR="00D43FC2" w:rsidRPr="00541840">
        <w:rPr>
          <w:rFonts w:ascii="Book Antiqua" w:hAnsi="Book Antiqua"/>
          <w:lang w:val="en-GB"/>
        </w:rPr>
        <w:t>l</w:t>
      </w:r>
      <w:r w:rsidR="00CB520D" w:rsidRPr="00541840">
        <w:rPr>
          <w:rFonts w:ascii="Book Antiqua" w:hAnsi="Book Antiqua"/>
          <w:lang w:val="en-GB"/>
        </w:rPr>
        <w:t>og</w:t>
      </w:r>
      <w:r w:rsidR="00D43FC2" w:rsidRPr="00541840">
        <w:rPr>
          <w:rFonts w:ascii="Book Antiqua" w:hAnsi="Book Antiqua"/>
          <w:lang w:val="en-GB"/>
        </w:rPr>
        <w:t xml:space="preserve"> r</w:t>
      </w:r>
      <w:r w:rsidR="00CB520D" w:rsidRPr="00541840">
        <w:rPr>
          <w:rFonts w:ascii="Book Antiqua" w:hAnsi="Book Antiqua"/>
          <w:lang w:val="en-GB"/>
        </w:rPr>
        <w:t xml:space="preserve">ank test was used </w:t>
      </w:r>
      <w:r w:rsidR="00F71107" w:rsidRPr="00541840">
        <w:rPr>
          <w:rFonts w:ascii="Book Antiqua" w:hAnsi="Book Antiqua"/>
          <w:lang w:val="en-GB"/>
        </w:rPr>
        <w:t>for comparisons when applicable</w:t>
      </w:r>
      <w:r w:rsidR="00CB520D" w:rsidRPr="00541840">
        <w:rPr>
          <w:rFonts w:ascii="Book Antiqua" w:hAnsi="Book Antiqua"/>
          <w:lang w:val="en-GB"/>
        </w:rPr>
        <w:t>.</w:t>
      </w:r>
      <w:r w:rsidR="00440FCA" w:rsidRPr="00541840">
        <w:rPr>
          <w:rFonts w:ascii="Book Antiqua" w:hAnsi="Book Antiqua"/>
          <w:lang w:val="en-GB"/>
        </w:rPr>
        <w:t xml:space="preserve"> </w:t>
      </w:r>
      <w:r w:rsidR="00E508CC" w:rsidRPr="00541840">
        <w:rPr>
          <w:rFonts w:ascii="Book Antiqua" w:hAnsi="Book Antiqua"/>
          <w:lang w:val="en-GB"/>
        </w:rPr>
        <w:t xml:space="preserve">Cox </w:t>
      </w:r>
      <w:r w:rsidR="004E7606" w:rsidRPr="00541840">
        <w:rPr>
          <w:rFonts w:ascii="Book Antiqua" w:hAnsi="Book Antiqua"/>
          <w:lang w:val="en-GB"/>
        </w:rPr>
        <w:t>r</w:t>
      </w:r>
      <w:r w:rsidR="00E508CC" w:rsidRPr="00541840">
        <w:rPr>
          <w:rFonts w:ascii="Book Antiqua" w:hAnsi="Book Antiqua"/>
          <w:lang w:val="en-GB"/>
        </w:rPr>
        <w:t>egression analysis was used to identify predictors of LR, DFS, and OS</w:t>
      </w:r>
      <w:r w:rsidR="00BC7819" w:rsidRPr="00541840">
        <w:rPr>
          <w:rFonts w:ascii="Book Antiqua" w:hAnsi="Book Antiqua"/>
          <w:lang w:val="en-GB"/>
        </w:rPr>
        <w:t>, including the following variables: resection margin status, quality of mesorectum, neoadjuvant treatment, adjuvant treatment, and perioperative complication</w:t>
      </w:r>
      <w:r w:rsidR="00296E35" w:rsidRPr="00541840">
        <w:rPr>
          <w:rFonts w:ascii="Book Antiqua" w:hAnsi="Book Antiqua"/>
          <w:lang w:val="en-GB"/>
        </w:rPr>
        <w:t>s. The results</w:t>
      </w:r>
      <w:r w:rsidR="00EF4280" w:rsidRPr="00541840">
        <w:rPr>
          <w:rFonts w:ascii="Book Antiqua" w:hAnsi="Book Antiqua"/>
          <w:lang w:val="en-GB"/>
        </w:rPr>
        <w:t xml:space="preserve"> are reported as </w:t>
      </w:r>
      <w:r w:rsidR="001557FA" w:rsidRPr="00541840">
        <w:rPr>
          <w:rFonts w:ascii="Book Antiqua" w:hAnsi="Book Antiqua"/>
          <w:lang w:val="en-GB"/>
        </w:rPr>
        <w:t>h</w:t>
      </w:r>
      <w:r w:rsidR="00EF4280" w:rsidRPr="00541840">
        <w:rPr>
          <w:rFonts w:ascii="Book Antiqua" w:hAnsi="Book Antiqua"/>
          <w:lang w:val="en-GB"/>
        </w:rPr>
        <w:t xml:space="preserve">azard </w:t>
      </w:r>
      <w:r w:rsidR="001557FA" w:rsidRPr="00541840">
        <w:rPr>
          <w:rFonts w:ascii="Book Antiqua" w:hAnsi="Book Antiqua"/>
          <w:lang w:val="en-GB"/>
        </w:rPr>
        <w:t>r</w:t>
      </w:r>
      <w:r w:rsidR="00EF4280" w:rsidRPr="00541840">
        <w:rPr>
          <w:rFonts w:ascii="Book Antiqua" w:hAnsi="Book Antiqua"/>
          <w:lang w:val="en-GB"/>
        </w:rPr>
        <w:t>atio (HR) with 95% confidence intervals (95%CI). HR</w:t>
      </w:r>
      <w:r>
        <w:rPr>
          <w:rFonts w:ascii="Book Antiqua" w:hAnsi="Book Antiqua"/>
          <w:lang w:val="en-GB"/>
        </w:rPr>
        <w:t xml:space="preserve"> </w:t>
      </w:r>
      <w:r w:rsidR="00EF4280" w:rsidRPr="00541840">
        <w:rPr>
          <w:rFonts w:ascii="Book Antiqua" w:hAnsi="Book Antiqua"/>
          <w:lang w:val="en-GB"/>
        </w:rPr>
        <w:t>&gt;</w:t>
      </w:r>
      <w:r>
        <w:rPr>
          <w:rFonts w:ascii="Book Antiqua" w:hAnsi="Book Antiqua"/>
          <w:lang w:val="en-GB"/>
        </w:rPr>
        <w:t xml:space="preserve"> </w:t>
      </w:r>
      <w:r w:rsidR="00EF4280" w:rsidRPr="00541840">
        <w:rPr>
          <w:rFonts w:ascii="Book Antiqua" w:hAnsi="Book Antiqua"/>
          <w:lang w:val="en-GB"/>
        </w:rPr>
        <w:t>1 is associated with increased risk.</w:t>
      </w:r>
      <w:r w:rsidR="00E508CC" w:rsidRPr="00541840">
        <w:rPr>
          <w:rFonts w:ascii="Book Antiqua" w:hAnsi="Book Antiqua"/>
          <w:lang w:val="en-GB"/>
        </w:rPr>
        <w:t xml:space="preserve"> </w:t>
      </w:r>
      <w:r w:rsidR="00440FCA" w:rsidRPr="00541840">
        <w:rPr>
          <w:rFonts w:ascii="Book Antiqua" w:hAnsi="Book Antiqua"/>
          <w:lang w:val="en-GB"/>
        </w:rPr>
        <w:t>Patients lost at follow</w:t>
      </w:r>
      <w:r w:rsidR="0060460A" w:rsidRPr="00541840">
        <w:rPr>
          <w:rFonts w:ascii="Book Antiqua" w:hAnsi="Book Antiqua"/>
          <w:lang w:val="en-GB"/>
        </w:rPr>
        <w:t xml:space="preserve"> </w:t>
      </w:r>
      <w:r w:rsidR="00440FCA" w:rsidRPr="00541840">
        <w:rPr>
          <w:rFonts w:ascii="Book Antiqua" w:hAnsi="Book Antiqua"/>
          <w:lang w:val="en-GB"/>
        </w:rPr>
        <w:t>up were</w:t>
      </w:r>
      <w:r w:rsidR="005B3D88" w:rsidRPr="00541840">
        <w:rPr>
          <w:rFonts w:ascii="Book Antiqua" w:hAnsi="Book Antiqua"/>
          <w:lang w:val="en-GB"/>
        </w:rPr>
        <w:t xml:space="preserve"> classified as</w:t>
      </w:r>
      <w:r w:rsidR="00440FCA" w:rsidRPr="00541840">
        <w:rPr>
          <w:rFonts w:ascii="Book Antiqua" w:hAnsi="Book Antiqua"/>
          <w:lang w:val="en-GB"/>
        </w:rPr>
        <w:t xml:space="preserve"> censored.</w:t>
      </w:r>
    </w:p>
    <w:p w14:paraId="6A52EC32" w14:textId="105CE3AB" w:rsidR="002A1ED9" w:rsidRPr="00541840" w:rsidRDefault="0054184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i/>
          <w:lang w:val="en-GB"/>
        </w:rPr>
        <w:t xml:space="preserve">  </w:t>
      </w:r>
      <w:r w:rsidR="007462BA" w:rsidRPr="00541840">
        <w:rPr>
          <w:rFonts w:ascii="Book Antiqua" w:hAnsi="Book Antiqua"/>
          <w:i/>
          <w:lang w:val="en-GB"/>
        </w:rPr>
        <w:t>P</w:t>
      </w:r>
      <w:r w:rsidR="00712A93" w:rsidRPr="00541840">
        <w:rPr>
          <w:rFonts w:ascii="Book Antiqua" w:hAnsi="Book Antiqua"/>
          <w:lang w:val="en-GB"/>
        </w:rPr>
        <w:t xml:space="preserve"> values </w:t>
      </w:r>
      <w:r w:rsidR="003D4D6A" w:rsidRPr="00541840">
        <w:rPr>
          <w:rFonts w:ascii="Book Antiqua" w:hAnsi="Book Antiqua"/>
          <w:lang w:val="en-GB"/>
        </w:rPr>
        <w:t>&lt;</w:t>
      </w:r>
      <w:r>
        <w:rPr>
          <w:rFonts w:ascii="Book Antiqua" w:hAnsi="Book Antiqua"/>
          <w:lang w:val="en-GB"/>
        </w:rPr>
        <w:t xml:space="preserve"> </w:t>
      </w:r>
      <w:r w:rsidR="003D4D6A" w:rsidRPr="00541840">
        <w:rPr>
          <w:rFonts w:ascii="Book Antiqua" w:hAnsi="Book Antiqua"/>
          <w:lang w:val="en-GB"/>
        </w:rPr>
        <w:t>0.05</w:t>
      </w:r>
      <w:r w:rsidR="00712A93" w:rsidRPr="00541840">
        <w:rPr>
          <w:rFonts w:ascii="Book Antiqua" w:hAnsi="Book Antiqua"/>
          <w:lang w:val="en-GB"/>
        </w:rPr>
        <w:t xml:space="preserve"> were considered statistically significant</w:t>
      </w:r>
      <w:r w:rsidR="003D4D6A" w:rsidRPr="00541840">
        <w:rPr>
          <w:rFonts w:ascii="Book Antiqua" w:hAnsi="Book Antiqua"/>
          <w:lang w:val="en-GB"/>
        </w:rPr>
        <w:t xml:space="preserve">. The </w:t>
      </w:r>
      <w:r w:rsidR="00FF1712" w:rsidRPr="00541840">
        <w:rPr>
          <w:rFonts w:ascii="Book Antiqua" w:hAnsi="Book Antiqua"/>
          <w:lang w:val="en-GB"/>
        </w:rPr>
        <w:t>S</w:t>
      </w:r>
      <w:r w:rsidR="003D4D6A" w:rsidRPr="00541840">
        <w:rPr>
          <w:rFonts w:ascii="Book Antiqua" w:hAnsi="Book Antiqua"/>
          <w:lang w:val="en-GB"/>
        </w:rPr>
        <w:t>tatistical Package for Social Sciences (SPSS version 2</w:t>
      </w:r>
      <w:r w:rsidR="00F71107" w:rsidRPr="00541840">
        <w:rPr>
          <w:rFonts w:ascii="Book Antiqua" w:hAnsi="Book Antiqua"/>
          <w:lang w:val="en-GB"/>
        </w:rPr>
        <w:t>4</w:t>
      </w:r>
      <w:r w:rsidR="003D4D6A" w:rsidRPr="00541840">
        <w:rPr>
          <w:rFonts w:ascii="Book Antiqua" w:hAnsi="Book Antiqua"/>
          <w:lang w:val="en-GB"/>
        </w:rPr>
        <w:t xml:space="preserve">.0.0; IBM SPSS statistics, IBM Corporation, Armonk, NY) was used for the descriptive analyses. </w:t>
      </w:r>
    </w:p>
    <w:p w14:paraId="45EB2BB3" w14:textId="77777777" w:rsidR="001C5D01" w:rsidRPr="00541840" w:rsidRDefault="001C5D01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3E143040" w14:textId="77777777" w:rsidR="009F1714" w:rsidRPr="00541840" w:rsidRDefault="00A405FC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t>RESULTS</w:t>
      </w:r>
    </w:p>
    <w:p w14:paraId="278BDCE5" w14:textId="41AF2CF9" w:rsidR="000C4DBA" w:rsidRPr="00541840" w:rsidRDefault="001C5D01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lastRenderedPageBreak/>
        <w:t>W</w:t>
      </w:r>
      <w:r w:rsidR="000C4DBA" w:rsidRPr="00541840">
        <w:rPr>
          <w:rFonts w:ascii="Book Antiqua" w:hAnsi="Book Antiqua"/>
          <w:lang w:val="en-GB"/>
        </w:rPr>
        <w:t xml:space="preserve">e </w:t>
      </w:r>
      <w:r w:rsidR="00296E35" w:rsidRPr="00541840">
        <w:rPr>
          <w:rFonts w:ascii="Book Antiqua" w:hAnsi="Book Antiqua"/>
          <w:lang w:val="en-GB"/>
        </w:rPr>
        <w:t>analysed</w:t>
      </w:r>
      <w:r w:rsidR="000C4DBA" w:rsidRPr="00541840">
        <w:rPr>
          <w:rFonts w:ascii="Book Antiqua" w:hAnsi="Book Antiqua"/>
          <w:lang w:val="en-GB"/>
        </w:rPr>
        <w:t xml:space="preserve"> data on </w:t>
      </w:r>
      <w:r w:rsidR="007E1B1A" w:rsidRPr="00541840">
        <w:rPr>
          <w:rFonts w:ascii="Book Antiqua" w:hAnsi="Book Antiqua"/>
          <w:lang w:val="en-GB"/>
        </w:rPr>
        <w:t>82</w:t>
      </w:r>
      <w:r w:rsidR="000C4DBA" w:rsidRPr="00541840">
        <w:rPr>
          <w:rFonts w:ascii="Book Antiqua" w:hAnsi="Book Antiqua"/>
          <w:lang w:val="en-GB"/>
        </w:rPr>
        <w:t xml:space="preserve"> patients undergoing </w:t>
      </w:r>
      <w:r w:rsidR="007E1B1A" w:rsidRPr="00541840">
        <w:rPr>
          <w:rFonts w:ascii="Book Antiqua" w:hAnsi="Book Antiqua"/>
          <w:lang w:val="en-GB"/>
        </w:rPr>
        <w:t>PE</w:t>
      </w:r>
      <w:r w:rsidR="000C4DBA" w:rsidRPr="00541840">
        <w:rPr>
          <w:rFonts w:ascii="Book Antiqua" w:hAnsi="Book Antiqua"/>
          <w:lang w:val="en-GB"/>
        </w:rPr>
        <w:t xml:space="preserve"> </w:t>
      </w:r>
      <w:r w:rsidR="007E1B1A" w:rsidRPr="00541840">
        <w:rPr>
          <w:rFonts w:ascii="Book Antiqua" w:hAnsi="Book Antiqua"/>
          <w:lang w:val="en-GB"/>
        </w:rPr>
        <w:t>for LA</w:t>
      </w:r>
      <w:r w:rsidRPr="00541840">
        <w:rPr>
          <w:rFonts w:ascii="Book Antiqua" w:hAnsi="Book Antiqua"/>
          <w:lang w:val="en-GB"/>
        </w:rPr>
        <w:t>P</w:t>
      </w:r>
      <w:r w:rsidR="007E1B1A" w:rsidRPr="00541840">
        <w:rPr>
          <w:rFonts w:ascii="Book Antiqua" w:hAnsi="Book Antiqua"/>
          <w:lang w:val="en-GB"/>
        </w:rPr>
        <w:t xml:space="preserve">RC </w:t>
      </w:r>
      <w:r w:rsidR="00CD6F2D" w:rsidRPr="00541840">
        <w:rPr>
          <w:rFonts w:ascii="Book Antiqua" w:hAnsi="Book Antiqua"/>
          <w:lang w:val="en-GB"/>
        </w:rPr>
        <w:t>in 33 hospitals</w:t>
      </w:r>
      <w:r w:rsidR="007B58C9" w:rsidRPr="00541840">
        <w:rPr>
          <w:rFonts w:ascii="Book Antiqua" w:hAnsi="Book Antiqua"/>
          <w:lang w:val="en-GB"/>
        </w:rPr>
        <w:t>, with a mean number of procedure</w:t>
      </w:r>
      <w:r w:rsidR="00FF75CD" w:rsidRPr="00541840">
        <w:rPr>
          <w:rFonts w:ascii="Book Antiqua" w:hAnsi="Book Antiqua"/>
          <w:lang w:val="en-GB"/>
        </w:rPr>
        <w:t>s</w:t>
      </w:r>
      <w:r w:rsidR="007B58C9" w:rsidRPr="00541840">
        <w:rPr>
          <w:rFonts w:ascii="Book Antiqua" w:hAnsi="Book Antiqua"/>
          <w:lang w:val="en-GB"/>
        </w:rPr>
        <w:t xml:space="preserve"> per hospital of 2.5</w:t>
      </w:r>
      <w:r w:rsidR="00FF75CD" w:rsidRPr="00541840">
        <w:rPr>
          <w:rFonts w:ascii="Book Antiqua" w:hAnsi="Book Antiqua"/>
          <w:lang w:val="en-GB"/>
        </w:rPr>
        <w:t xml:space="preserve"> </w:t>
      </w:r>
      <w:r w:rsidR="007B58C9" w:rsidRPr="00541840">
        <w:rPr>
          <w:rFonts w:ascii="Book Antiqua" w:hAnsi="Book Antiqua"/>
          <w:lang w:val="en-GB"/>
        </w:rPr>
        <w:t>±</w:t>
      </w:r>
      <w:r w:rsidR="00FF75CD" w:rsidRPr="00541840">
        <w:rPr>
          <w:rFonts w:ascii="Book Antiqua" w:hAnsi="Book Antiqua"/>
          <w:lang w:val="en-GB"/>
        </w:rPr>
        <w:t xml:space="preserve"> </w:t>
      </w:r>
      <w:r w:rsidR="007B58C9" w:rsidRPr="00541840">
        <w:rPr>
          <w:rFonts w:ascii="Book Antiqua" w:hAnsi="Book Antiqua"/>
          <w:lang w:val="en-GB"/>
        </w:rPr>
        <w:t>3.1</w:t>
      </w:r>
      <w:r w:rsidR="000020E5" w:rsidRPr="00541840">
        <w:rPr>
          <w:rFonts w:ascii="Book Antiqua" w:hAnsi="Book Antiqua"/>
          <w:lang w:val="en-GB"/>
        </w:rPr>
        <w:t xml:space="preserve"> overall</w:t>
      </w:r>
      <w:r w:rsidR="000C4DBA" w:rsidRPr="00541840">
        <w:rPr>
          <w:rFonts w:ascii="Book Antiqua" w:hAnsi="Book Antiqua"/>
          <w:lang w:val="en-GB"/>
        </w:rPr>
        <w:t xml:space="preserve">. </w:t>
      </w:r>
    </w:p>
    <w:p w14:paraId="3BA60845" w14:textId="77777777" w:rsidR="000C4DBA" w:rsidRPr="00541840" w:rsidRDefault="000C4DB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6B98190E" w14:textId="785D1C2D" w:rsidR="000C4DBA" w:rsidRPr="00541840" w:rsidRDefault="005723E0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 xml:space="preserve">Baseline patient characteristics and surgical details </w:t>
      </w:r>
    </w:p>
    <w:p w14:paraId="45060DB2" w14:textId="590FFD44" w:rsidR="007D78B3" w:rsidRPr="00541840" w:rsidRDefault="0011063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Demographics and perioperative features are summarized in Table 1. </w:t>
      </w:r>
      <w:r w:rsidR="00B71345" w:rsidRPr="00541840">
        <w:rPr>
          <w:rFonts w:ascii="Book Antiqua" w:hAnsi="Book Antiqua"/>
          <w:lang w:val="en-GB"/>
        </w:rPr>
        <w:t>The m</w:t>
      </w:r>
      <w:r w:rsidRPr="00541840">
        <w:rPr>
          <w:rFonts w:ascii="Book Antiqua" w:hAnsi="Book Antiqua"/>
          <w:lang w:val="en-GB"/>
        </w:rPr>
        <w:t>ean</w:t>
      </w:r>
      <w:r w:rsidR="00EE73EC" w:rsidRPr="00541840">
        <w:rPr>
          <w:rFonts w:ascii="Book Antiqua" w:hAnsi="Book Antiqua"/>
          <w:lang w:val="en-GB"/>
        </w:rPr>
        <w:t xml:space="preserve"> age of </w:t>
      </w:r>
      <w:r w:rsidR="00B71345" w:rsidRPr="00541840">
        <w:rPr>
          <w:rFonts w:ascii="Book Antiqua" w:hAnsi="Book Antiqua"/>
          <w:lang w:val="en-GB"/>
        </w:rPr>
        <w:t xml:space="preserve">the </w:t>
      </w:r>
      <w:r w:rsidR="00EE73EC" w:rsidRPr="00541840">
        <w:rPr>
          <w:rFonts w:ascii="Book Antiqua" w:hAnsi="Book Antiqua"/>
          <w:lang w:val="en-GB"/>
        </w:rPr>
        <w:t xml:space="preserve">patients was </w:t>
      </w:r>
      <w:r w:rsidRPr="00541840">
        <w:rPr>
          <w:rFonts w:ascii="Book Antiqua" w:hAnsi="Book Antiqua"/>
          <w:lang w:val="en-GB"/>
        </w:rPr>
        <w:t>61.8 ±</w:t>
      </w:r>
      <w:r w:rsidR="00EE73EC" w:rsidRPr="00541840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 xml:space="preserve">11.5 </w:t>
      </w:r>
      <w:r w:rsidR="00EE73EC" w:rsidRPr="00541840">
        <w:rPr>
          <w:rFonts w:ascii="Book Antiqua" w:hAnsi="Book Antiqua"/>
          <w:lang w:val="en-GB"/>
        </w:rPr>
        <w:t xml:space="preserve">years, </w:t>
      </w:r>
      <w:r w:rsidRPr="00541840">
        <w:rPr>
          <w:rFonts w:ascii="Book Antiqua" w:hAnsi="Book Antiqua"/>
          <w:lang w:val="en-GB"/>
        </w:rPr>
        <w:t>65.9</w:t>
      </w:r>
      <w:r w:rsidR="00EE73EC" w:rsidRPr="00541840">
        <w:rPr>
          <w:rFonts w:ascii="Book Antiqua" w:hAnsi="Book Antiqua"/>
          <w:lang w:val="en-GB"/>
        </w:rPr>
        <w:t xml:space="preserve">% were </w:t>
      </w:r>
      <w:r w:rsidR="00BF6BF7" w:rsidRPr="00541840">
        <w:rPr>
          <w:rFonts w:ascii="Book Antiqua" w:hAnsi="Book Antiqua"/>
          <w:lang w:val="en-GB"/>
        </w:rPr>
        <w:t>men</w:t>
      </w:r>
      <w:r w:rsidR="00B71345" w:rsidRPr="00541840">
        <w:rPr>
          <w:rFonts w:ascii="Book Antiqua" w:hAnsi="Book Antiqua"/>
          <w:lang w:val="en-GB"/>
        </w:rPr>
        <w:t>,</w:t>
      </w:r>
      <w:r w:rsidR="00BF6BF7" w:rsidRPr="00541840">
        <w:rPr>
          <w:rFonts w:ascii="Book Antiqua" w:hAnsi="Book Antiqua"/>
          <w:lang w:val="en-GB"/>
        </w:rPr>
        <w:t xml:space="preserve"> 34.1% were women,</w:t>
      </w:r>
      <w:r w:rsidR="00EE73EC" w:rsidRPr="00541840">
        <w:rPr>
          <w:rFonts w:ascii="Book Antiqua" w:hAnsi="Book Antiqua"/>
          <w:lang w:val="en-GB"/>
        </w:rPr>
        <w:t xml:space="preserve"> and </w:t>
      </w:r>
      <w:r w:rsidRPr="00541840">
        <w:rPr>
          <w:rFonts w:ascii="Book Antiqua" w:hAnsi="Book Antiqua"/>
          <w:lang w:val="en-GB"/>
        </w:rPr>
        <w:t>45.1</w:t>
      </w:r>
      <w:r w:rsidR="00EE73EC" w:rsidRPr="00541840">
        <w:rPr>
          <w:rFonts w:ascii="Book Antiqua" w:hAnsi="Book Antiqua"/>
          <w:lang w:val="en-GB"/>
        </w:rPr>
        <w:t xml:space="preserve">% were classified as ASA </w:t>
      </w:r>
      <w:r w:rsidRPr="00541840">
        <w:rPr>
          <w:rFonts w:ascii="Book Antiqua" w:hAnsi="Book Antiqua"/>
          <w:lang w:val="en-GB"/>
        </w:rPr>
        <w:t>≥</w:t>
      </w:r>
      <w:r w:rsidR="00135B69">
        <w:rPr>
          <w:rFonts w:ascii="Book Antiqua" w:hAnsi="Book Antiqua"/>
          <w:lang w:val="en-GB"/>
        </w:rPr>
        <w:t xml:space="preserve"> </w:t>
      </w:r>
      <w:r w:rsidR="00EE73EC" w:rsidRPr="00541840">
        <w:rPr>
          <w:rFonts w:ascii="Book Antiqua" w:hAnsi="Book Antiqua"/>
          <w:lang w:val="en-GB"/>
        </w:rPr>
        <w:t xml:space="preserve">III. </w:t>
      </w:r>
      <w:r w:rsidR="002E0FF8" w:rsidRPr="00541840">
        <w:rPr>
          <w:rFonts w:ascii="Book Antiqua" w:hAnsi="Book Antiqua"/>
          <w:lang w:val="en-GB"/>
        </w:rPr>
        <w:t xml:space="preserve">Most patients were staged as </w:t>
      </w:r>
      <w:r w:rsidR="00BF6BF7" w:rsidRPr="00541840">
        <w:rPr>
          <w:rFonts w:ascii="Book Antiqua" w:hAnsi="Book Antiqua"/>
          <w:lang w:val="en-GB"/>
        </w:rPr>
        <w:t>MR</w:t>
      </w:r>
      <w:r w:rsidR="002E0FF8" w:rsidRPr="00541840">
        <w:rPr>
          <w:rFonts w:ascii="Book Antiqua" w:hAnsi="Book Antiqua"/>
          <w:lang w:val="en-GB"/>
        </w:rPr>
        <w:t>cT4</w:t>
      </w:r>
      <w:r w:rsidR="00135B69">
        <w:rPr>
          <w:rFonts w:ascii="Book Antiqua" w:hAnsi="Book Antiqua"/>
          <w:lang w:val="en-GB"/>
        </w:rPr>
        <w:t xml:space="preserve"> [</w:t>
      </w:r>
      <w:r w:rsidR="00BF6BF7" w:rsidRPr="00541840">
        <w:rPr>
          <w:rFonts w:ascii="Book Antiqua" w:hAnsi="Book Antiqua"/>
          <w:lang w:val="en-GB"/>
        </w:rPr>
        <w:t xml:space="preserve">T4 with </w:t>
      </w:r>
      <w:r w:rsidR="00135B69">
        <w:rPr>
          <w:rFonts w:ascii="Book Antiqua" w:hAnsi="Book Antiqua"/>
          <w:lang w:val="en-GB"/>
        </w:rPr>
        <w:t>magnetic r</w:t>
      </w:r>
      <w:r w:rsidR="00135B69" w:rsidRPr="00541840">
        <w:rPr>
          <w:rFonts w:ascii="Book Antiqua" w:hAnsi="Book Antiqua"/>
          <w:lang w:val="en-GB"/>
        </w:rPr>
        <w:t xml:space="preserve">esonance </w:t>
      </w:r>
      <w:r w:rsidR="00135B69">
        <w:rPr>
          <w:rFonts w:ascii="Book Antiqua" w:hAnsi="Book Antiqua"/>
          <w:lang w:val="en-GB"/>
        </w:rPr>
        <w:t>(</w:t>
      </w:r>
      <w:r w:rsidR="00BF6BF7" w:rsidRPr="00541840">
        <w:rPr>
          <w:rFonts w:ascii="Book Antiqua" w:hAnsi="Book Antiqua"/>
          <w:lang w:val="en-GB"/>
        </w:rPr>
        <w:t>MR)</w:t>
      </w:r>
      <w:r w:rsidR="00135B69">
        <w:rPr>
          <w:rFonts w:ascii="Book Antiqua" w:hAnsi="Book Antiqua"/>
          <w:lang w:val="en-GB"/>
        </w:rPr>
        <w:t>]</w:t>
      </w:r>
      <w:r w:rsidR="002E0FF8" w:rsidRPr="00541840">
        <w:rPr>
          <w:rFonts w:ascii="Book Antiqua" w:hAnsi="Book Antiqua"/>
          <w:lang w:val="en-GB"/>
        </w:rPr>
        <w:t xml:space="preserve"> and had extensive nodal involvement.</w:t>
      </w:r>
      <w:r w:rsidR="000F29E2" w:rsidRPr="00541840">
        <w:rPr>
          <w:rFonts w:ascii="Book Antiqua" w:hAnsi="Book Antiqua"/>
          <w:lang w:val="en-GB"/>
        </w:rPr>
        <w:t xml:space="preserve"> The </w:t>
      </w:r>
      <w:r w:rsidR="00D43FC2" w:rsidRPr="00541840">
        <w:rPr>
          <w:rFonts w:ascii="Book Antiqua" w:hAnsi="Book Antiqua"/>
          <w:lang w:val="en-GB"/>
        </w:rPr>
        <w:t>tumour</w:t>
      </w:r>
      <w:r w:rsidR="000F29E2" w:rsidRPr="00541840">
        <w:rPr>
          <w:rFonts w:ascii="Book Antiqua" w:hAnsi="Book Antiqua"/>
          <w:lang w:val="en-GB"/>
        </w:rPr>
        <w:t xml:space="preserve"> was located in the proximal third of the rectum</w:t>
      </w:r>
      <w:r w:rsidR="00ED4DCD" w:rsidRPr="00541840">
        <w:rPr>
          <w:rFonts w:ascii="Book Antiqua" w:hAnsi="Book Antiqua"/>
          <w:lang w:val="en-GB"/>
        </w:rPr>
        <w:t xml:space="preserve"> </w:t>
      </w:r>
      <w:r w:rsidR="000F29E2" w:rsidRPr="00541840">
        <w:rPr>
          <w:rFonts w:ascii="Book Antiqua" w:hAnsi="Book Antiqua"/>
          <w:lang w:val="en-GB"/>
        </w:rPr>
        <w:t>(15-11 cm) in 18 (22%) patients, in the m</w:t>
      </w:r>
      <w:r w:rsidR="00452E88" w:rsidRPr="00541840">
        <w:rPr>
          <w:rFonts w:ascii="Book Antiqua" w:hAnsi="Book Antiqua"/>
          <w:lang w:val="en-GB"/>
        </w:rPr>
        <w:t>i</w:t>
      </w:r>
      <w:r w:rsidR="000F29E2" w:rsidRPr="00541840">
        <w:rPr>
          <w:rFonts w:ascii="Book Antiqua" w:hAnsi="Book Antiqua"/>
          <w:lang w:val="en-GB"/>
        </w:rPr>
        <w:t>ddle third</w:t>
      </w:r>
      <w:r w:rsidR="00ED4DCD" w:rsidRPr="00541840">
        <w:rPr>
          <w:rFonts w:ascii="Book Antiqua" w:hAnsi="Book Antiqua"/>
          <w:lang w:val="en-GB"/>
        </w:rPr>
        <w:t xml:space="preserve"> </w:t>
      </w:r>
      <w:r w:rsidR="000F29E2" w:rsidRPr="00541840">
        <w:rPr>
          <w:rFonts w:ascii="Book Antiqua" w:hAnsi="Book Antiqua"/>
          <w:lang w:val="en-GB"/>
        </w:rPr>
        <w:t>(10-7 cm) in 31 (37.8%)</w:t>
      </w:r>
      <w:r w:rsidR="00ED4DCD" w:rsidRPr="00541840">
        <w:rPr>
          <w:rFonts w:ascii="Book Antiqua" w:hAnsi="Book Antiqua"/>
          <w:lang w:val="en-GB"/>
        </w:rPr>
        <w:t xml:space="preserve"> patients</w:t>
      </w:r>
      <w:r w:rsidR="000F29E2" w:rsidRPr="00541840">
        <w:rPr>
          <w:rFonts w:ascii="Book Antiqua" w:hAnsi="Book Antiqua"/>
          <w:lang w:val="en-GB"/>
        </w:rPr>
        <w:t>, and in the distal third</w:t>
      </w:r>
      <w:r w:rsidR="00ED4DCD" w:rsidRPr="00541840">
        <w:rPr>
          <w:rFonts w:ascii="Book Antiqua" w:hAnsi="Book Antiqua"/>
          <w:lang w:val="en-GB"/>
        </w:rPr>
        <w:t xml:space="preserve"> </w:t>
      </w:r>
      <w:r w:rsidR="00EF4B5A">
        <w:rPr>
          <w:rFonts w:ascii="Book Antiqua" w:hAnsi="Book Antiqua"/>
          <w:lang w:val="en-GB"/>
        </w:rPr>
        <w:t xml:space="preserve">(6-0 </w:t>
      </w:r>
      <w:r w:rsidR="000F29E2" w:rsidRPr="00541840">
        <w:rPr>
          <w:rFonts w:ascii="Book Antiqua" w:hAnsi="Book Antiqua"/>
          <w:lang w:val="en-GB"/>
        </w:rPr>
        <w:t>cm) in 33 (40.2%)</w:t>
      </w:r>
      <w:r w:rsidR="00ED4DCD" w:rsidRPr="00541840">
        <w:rPr>
          <w:rFonts w:ascii="Book Antiqua" w:hAnsi="Book Antiqua"/>
          <w:lang w:val="en-GB"/>
        </w:rPr>
        <w:t xml:space="preserve"> patients</w:t>
      </w:r>
      <w:r w:rsidR="000F29E2" w:rsidRPr="00541840">
        <w:rPr>
          <w:rFonts w:ascii="Book Antiqua" w:hAnsi="Book Antiqua"/>
          <w:lang w:val="en-GB"/>
        </w:rPr>
        <w:t xml:space="preserve">. </w:t>
      </w:r>
      <w:r w:rsidR="002E0FF8" w:rsidRPr="00541840">
        <w:rPr>
          <w:rFonts w:ascii="Book Antiqua" w:hAnsi="Book Antiqua"/>
          <w:lang w:val="en-GB"/>
        </w:rPr>
        <w:t>Seven patients underwent PE with concomitant distant metastases. Neoadjuvant treatment was</w:t>
      </w:r>
      <w:r w:rsidR="00AD0D56" w:rsidRPr="00541840">
        <w:rPr>
          <w:rFonts w:ascii="Book Antiqua" w:hAnsi="Book Antiqua"/>
          <w:lang w:val="en-GB"/>
        </w:rPr>
        <w:t xml:space="preserve"> </w:t>
      </w:r>
      <w:r w:rsidR="002E0FF8" w:rsidRPr="00541840">
        <w:rPr>
          <w:rFonts w:ascii="Book Antiqua" w:hAnsi="Book Antiqua"/>
          <w:lang w:val="en-GB"/>
        </w:rPr>
        <w:t>offered to 72% of patients and included radiotherapy in 93% of them.</w:t>
      </w:r>
      <w:r w:rsidR="00BF6BF7" w:rsidRPr="00541840">
        <w:rPr>
          <w:rFonts w:ascii="Book Antiqua" w:hAnsi="Book Antiqua"/>
          <w:lang w:val="en-GB"/>
        </w:rPr>
        <w:t xml:space="preserve"> No data were available concerning time to surgery after treatment.</w:t>
      </w:r>
      <w:r w:rsidR="00401ECB" w:rsidRPr="00541840">
        <w:rPr>
          <w:rFonts w:ascii="Book Antiqua" w:hAnsi="Book Antiqua"/>
          <w:lang w:val="en-GB"/>
        </w:rPr>
        <w:t xml:space="preserve"> </w:t>
      </w:r>
    </w:p>
    <w:p w14:paraId="144836D0" w14:textId="7A2D8948" w:rsidR="00840F4B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2E0FF8" w:rsidRPr="00541840">
        <w:rPr>
          <w:rFonts w:ascii="Book Antiqua" w:hAnsi="Book Antiqua"/>
          <w:lang w:val="en-GB"/>
        </w:rPr>
        <w:t>Fifty-four</w:t>
      </w:r>
      <w:r w:rsidR="000142C9" w:rsidRPr="00541840">
        <w:rPr>
          <w:rFonts w:ascii="Book Antiqua" w:hAnsi="Book Antiqua"/>
          <w:lang w:val="en-GB"/>
        </w:rPr>
        <w:t xml:space="preserve"> </w:t>
      </w:r>
      <w:r w:rsidR="002E0FF8" w:rsidRPr="00541840">
        <w:rPr>
          <w:rFonts w:ascii="Book Antiqua" w:hAnsi="Book Antiqua"/>
          <w:lang w:val="en-GB"/>
        </w:rPr>
        <w:t>(65.9%) patients received postoperative chemotherapy, which was associated with radiotherapy in 6</w:t>
      </w:r>
      <w:r w:rsidR="00561905" w:rsidRPr="00541840">
        <w:rPr>
          <w:rFonts w:ascii="Book Antiqua" w:hAnsi="Book Antiqua"/>
          <w:lang w:val="en-GB"/>
        </w:rPr>
        <w:t xml:space="preserve"> </w:t>
      </w:r>
      <w:r w:rsidR="002E0FF8" w:rsidRPr="00541840">
        <w:rPr>
          <w:rFonts w:ascii="Book Antiqua" w:hAnsi="Book Antiqua"/>
          <w:lang w:val="en-GB"/>
        </w:rPr>
        <w:t>(11.1%).</w:t>
      </w:r>
      <w:r w:rsidR="00840F4B" w:rsidRPr="00541840">
        <w:rPr>
          <w:rFonts w:ascii="Book Antiqua" w:hAnsi="Book Antiqua"/>
          <w:lang w:val="en-GB"/>
        </w:rPr>
        <w:t xml:space="preserve"> An anastomosis was attempted in 15 patients.</w:t>
      </w:r>
      <w:r w:rsidR="00BF6BF7" w:rsidRPr="00541840">
        <w:rPr>
          <w:rFonts w:ascii="Book Antiqua" w:hAnsi="Book Antiqua"/>
          <w:lang w:val="en-GB"/>
        </w:rPr>
        <w:t xml:space="preserve"> </w:t>
      </w:r>
      <w:r w:rsidR="002D209F" w:rsidRPr="00541840">
        <w:rPr>
          <w:rFonts w:ascii="Book Antiqua" w:hAnsi="Book Antiqua"/>
          <w:lang w:val="en-GB"/>
        </w:rPr>
        <w:t>In</w:t>
      </w:r>
      <w:r w:rsidR="00BF6BF7" w:rsidRPr="00541840">
        <w:rPr>
          <w:rFonts w:ascii="Book Antiqua" w:hAnsi="Book Antiqua"/>
          <w:lang w:val="en-GB"/>
        </w:rPr>
        <w:t xml:space="preserve"> the latter</w:t>
      </w:r>
      <w:r w:rsidR="002D209F" w:rsidRPr="00541840">
        <w:rPr>
          <w:rFonts w:ascii="Book Antiqua" w:hAnsi="Book Antiqua"/>
          <w:lang w:val="en-GB"/>
        </w:rPr>
        <w:t xml:space="preserve"> group</w:t>
      </w:r>
      <w:r w:rsidR="00BF6BF7" w:rsidRPr="00541840">
        <w:rPr>
          <w:rFonts w:ascii="Book Antiqua" w:hAnsi="Book Antiqua"/>
          <w:lang w:val="en-GB"/>
        </w:rPr>
        <w:t>,</w:t>
      </w:r>
      <w:r w:rsidR="002D209F" w:rsidRPr="00541840">
        <w:rPr>
          <w:rFonts w:ascii="Book Antiqua" w:hAnsi="Book Antiqua"/>
          <w:lang w:val="en-GB"/>
        </w:rPr>
        <w:t xml:space="preserve"> eight patients received preoperative radiotherapy and postoperative treatment was given in nine,</w:t>
      </w:r>
      <w:r w:rsidR="003D4281">
        <w:rPr>
          <w:rFonts w:ascii="Book Antiqua" w:hAnsi="Book Antiqua"/>
          <w:lang w:val="en-GB"/>
        </w:rPr>
        <w:t xml:space="preserve"> including radiotherapy in two.</w:t>
      </w:r>
    </w:p>
    <w:p w14:paraId="316B988A" w14:textId="5D895F33" w:rsidR="00840F4B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840F4B" w:rsidRPr="00541840">
        <w:rPr>
          <w:rFonts w:ascii="Book Antiqua" w:hAnsi="Book Antiqua"/>
          <w:lang w:val="en-GB"/>
        </w:rPr>
        <w:t xml:space="preserve">Thirty-three </w:t>
      </w:r>
      <w:proofErr w:type="spellStart"/>
      <w:r w:rsidR="00840F4B" w:rsidRPr="00541840">
        <w:rPr>
          <w:rFonts w:ascii="Book Antiqua" w:hAnsi="Book Antiqua"/>
          <w:lang w:val="en-GB"/>
        </w:rPr>
        <w:t>multivisceral</w:t>
      </w:r>
      <w:proofErr w:type="spellEnd"/>
      <w:r w:rsidR="00840F4B" w:rsidRPr="00541840">
        <w:rPr>
          <w:rFonts w:ascii="Book Antiqua" w:hAnsi="Book Antiqua"/>
          <w:lang w:val="en-GB"/>
        </w:rPr>
        <w:t xml:space="preserve"> resections were performed, including two hepatectomies and four </w:t>
      </w:r>
      <w:proofErr w:type="spellStart"/>
      <w:r w:rsidR="00840F4B" w:rsidRPr="00541840">
        <w:rPr>
          <w:rFonts w:ascii="Book Antiqua" w:hAnsi="Book Antiqua"/>
          <w:lang w:val="en-GB"/>
        </w:rPr>
        <w:t>metastasectom</w:t>
      </w:r>
      <w:r w:rsidR="00561905" w:rsidRPr="00541840">
        <w:rPr>
          <w:rFonts w:ascii="Book Antiqua" w:hAnsi="Book Antiqua"/>
          <w:lang w:val="en-GB"/>
        </w:rPr>
        <w:t>ies</w:t>
      </w:r>
      <w:proofErr w:type="spellEnd"/>
      <w:r w:rsidR="00840F4B" w:rsidRPr="00541840">
        <w:rPr>
          <w:rFonts w:ascii="Book Antiqua" w:hAnsi="Book Antiqua"/>
          <w:lang w:val="en-GB"/>
        </w:rPr>
        <w:t>. One liver lesion was treated with radiofrequency ablation. One patient received peritonectomy.</w:t>
      </w:r>
    </w:p>
    <w:p w14:paraId="07C7AAD9" w14:textId="77777777" w:rsidR="0059256F" w:rsidRPr="00541840" w:rsidRDefault="0059256F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11F1E99A" w14:textId="3B786B37" w:rsidR="000C4DBA" w:rsidRPr="00541840" w:rsidRDefault="00EF4B5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>
        <w:rPr>
          <w:rFonts w:ascii="Book Antiqua" w:hAnsi="Book Antiqua"/>
          <w:b/>
          <w:i/>
          <w:lang w:val="en-GB"/>
        </w:rPr>
        <w:t>Primary aim: S</w:t>
      </w:r>
      <w:r w:rsidR="006B4703" w:rsidRPr="00541840">
        <w:rPr>
          <w:rFonts w:ascii="Book Antiqua" w:hAnsi="Book Antiqua"/>
          <w:b/>
          <w:i/>
          <w:lang w:val="en-GB"/>
        </w:rPr>
        <w:t>hort-term</w:t>
      </w:r>
      <w:r w:rsidR="001A11C1" w:rsidRPr="00541840">
        <w:rPr>
          <w:rFonts w:ascii="Book Antiqua" w:hAnsi="Book Antiqua"/>
          <w:b/>
          <w:i/>
          <w:lang w:val="en-GB"/>
        </w:rPr>
        <w:t xml:space="preserve"> outcome</w:t>
      </w:r>
      <w:r w:rsidR="006B4703" w:rsidRPr="00541840">
        <w:rPr>
          <w:rFonts w:ascii="Book Antiqua" w:hAnsi="Book Antiqua"/>
          <w:b/>
          <w:i/>
          <w:lang w:val="en-GB"/>
        </w:rPr>
        <w:t>s</w:t>
      </w:r>
      <w:r w:rsidR="00AA7349" w:rsidRPr="00541840">
        <w:rPr>
          <w:rFonts w:ascii="Book Antiqua" w:hAnsi="Book Antiqua"/>
          <w:b/>
          <w:i/>
          <w:lang w:val="en-GB"/>
        </w:rPr>
        <w:t xml:space="preserve"> and pathology</w:t>
      </w:r>
    </w:p>
    <w:p w14:paraId="089B7737" w14:textId="655CFD49" w:rsidR="006B4703" w:rsidRPr="00541840" w:rsidRDefault="006B4703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8" w:name="_Hlk528231063"/>
      <w:r w:rsidRPr="00541840">
        <w:rPr>
          <w:rFonts w:ascii="Book Antiqua" w:hAnsi="Book Antiqua"/>
          <w:lang w:val="en-GB"/>
        </w:rPr>
        <w:t xml:space="preserve">Perioperative death </w:t>
      </w:r>
      <w:r w:rsidR="00452E88" w:rsidRPr="00541840">
        <w:rPr>
          <w:rFonts w:ascii="Book Antiqua" w:hAnsi="Book Antiqua"/>
          <w:lang w:val="en-GB"/>
        </w:rPr>
        <w:t>rate</w:t>
      </w:r>
      <w:r w:rsidR="00C54073" w:rsidRPr="00541840">
        <w:rPr>
          <w:rFonts w:ascii="Book Antiqua" w:hAnsi="Book Antiqua"/>
          <w:lang w:val="en-GB"/>
        </w:rPr>
        <w:t>s</w:t>
      </w:r>
      <w:r w:rsidR="00452E88" w:rsidRPr="00541840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 xml:space="preserve">did not exceed 2.5%. More than half of </w:t>
      </w:r>
      <w:r w:rsidR="007C32E2" w:rsidRPr="00541840">
        <w:rPr>
          <w:rFonts w:ascii="Book Antiqua" w:hAnsi="Book Antiqua"/>
          <w:lang w:val="en-GB"/>
        </w:rPr>
        <w:t xml:space="preserve">the </w:t>
      </w:r>
      <w:r w:rsidRPr="00541840">
        <w:rPr>
          <w:rFonts w:ascii="Book Antiqua" w:hAnsi="Book Antiqua"/>
          <w:lang w:val="en-GB"/>
        </w:rPr>
        <w:t>patients experienced at least one complication</w:t>
      </w:r>
      <w:r w:rsidR="00512800" w:rsidRPr="00541840">
        <w:rPr>
          <w:rFonts w:ascii="Book Antiqua" w:hAnsi="Book Antiqua"/>
          <w:lang w:val="en-GB"/>
        </w:rPr>
        <w:t>,</w:t>
      </w:r>
      <w:r w:rsidRPr="00541840">
        <w:rPr>
          <w:rFonts w:ascii="Book Antiqua" w:hAnsi="Book Antiqua"/>
          <w:lang w:val="en-GB"/>
        </w:rPr>
        <w:t xml:space="preserve"> and 10% required reoperation. Intra-abdominal septic complications occurred in 10%</w:t>
      </w:r>
      <w:r w:rsidR="007C32E2" w:rsidRPr="00541840">
        <w:rPr>
          <w:rFonts w:ascii="Book Antiqua" w:hAnsi="Book Antiqua"/>
          <w:lang w:val="en-GB"/>
        </w:rPr>
        <w:t xml:space="preserve"> of the patients</w:t>
      </w:r>
      <w:r w:rsidRPr="00541840">
        <w:rPr>
          <w:rFonts w:ascii="Book Antiqua" w:hAnsi="Book Antiqua"/>
          <w:lang w:val="en-GB"/>
        </w:rPr>
        <w:t>.</w:t>
      </w:r>
    </w:p>
    <w:p w14:paraId="4F392A48" w14:textId="15B5EC08" w:rsidR="00AA7349" w:rsidRPr="00EF4B5A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</w:t>
      </w:r>
      <w:r w:rsidRPr="00EF4B5A">
        <w:rPr>
          <w:rFonts w:ascii="Book Antiqua" w:hAnsi="Book Antiqua"/>
          <w:lang w:val="en-GB"/>
        </w:rPr>
        <w:t xml:space="preserve"> </w:t>
      </w:r>
      <w:r w:rsidR="006B4703" w:rsidRPr="00EF4B5A">
        <w:rPr>
          <w:rFonts w:ascii="Book Antiqua" w:hAnsi="Book Antiqua"/>
          <w:lang w:val="en-GB"/>
        </w:rPr>
        <w:t xml:space="preserve">Surgical site infections </w:t>
      </w:r>
      <w:r w:rsidR="00AF2D16" w:rsidRPr="00EF4B5A">
        <w:rPr>
          <w:rFonts w:ascii="Book Antiqua" w:hAnsi="Book Antiqua"/>
          <w:lang w:val="en-GB"/>
        </w:rPr>
        <w:t>affected</w:t>
      </w:r>
      <w:r w:rsidR="006B4703" w:rsidRPr="00EF4B5A">
        <w:rPr>
          <w:rFonts w:ascii="Book Antiqua" w:hAnsi="Book Antiqua"/>
          <w:lang w:val="en-GB"/>
        </w:rPr>
        <w:t xml:space="preserve"> the abdominal wound in 18.3% and the perineal closure in 19.4% of those who did not receive an anastomosis. </w:t>
      </w:r>
      <w:r w:rsidR="00AA7349" w:rsidRPr="00EF4B5A">
        <w:rPr>
          <w:rFonts w:ascii="Book Antiqua" w:hAnsi="Book Antiqua"/>
          <w:lang w:val="en-GB"/>
        </w:rPr>
        <w:t>Short</w:t>
      </w:r>
      <w:r w:rsidR="00512800" w:rsidRPr="00EF4B5A">
        <w:rPr>
          <w:rFonts w:ascii="Book Antiqua" w:hAnsi="Book Antiqua"/>
          <w:lang w:val="en-GB"/>
        </w:rPr>
        <w:t>-</w:t>
      </w:r>
      <w:r w:rsidR="00AA7349" w:rsidRPr="00EF4B5A">
        <w:rPr>
          <w:rFonts w:ascii="Book Antiqua" w:hAnsi="Book Antiqua"/>
          <w:lang w:val="en-GB"/>
        </w:rPr>
        <w:t>term outcomes are reported Table 2.</w:t>
      </w:r>
    </w:p>
    <w:p w14:paraId="5F17F9ED" w14:textId="7F2CBA95" w:rsidR="00C34037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 xml:space="preserve"> </w:t>
      </w:r>
      <w:r w:rsidRPr="00EF4B5A">
        <w:rPr>
          <w:rFonts w:ascii="Book Antiqua" w:hAnsi="Book Antiqua"/>
          <w:lang w:val="en-GB"/>
        </w:rPr>
        <w:t xml:space="preserve"> </w:t>
      </w:r>
      <w:r w:rsidR="00234F70" w:rsidRPr="00EF4B5A">
        <w:rPr>
          <w:rFonts w:ascii="Book Antiqua" w:hAnsi="Book Antiqua"/>
          <w:lang w:val="en-GB"/>
        </w:rPr>
        <w:t>Table 3</w:t>
      </w:r>
      <w:r w:rsidR="00234F70" w:rsidRPr="00541840">
        <w:rPr>
          <w:rFonts w:ascii="Book Antiqua" w:hAnsi="Book Antiqua"/>
          <w:b/>
          <w:lang w:val="en-GB"/>
        </w:rPr>
        <w:t xml:space="preserve"> </w:t>
      </w:r>
      <w:r w:rsidR="00234F70" w:rsidRPr="00541840">
        <w:rPr>
          <w:rFonts w:ascii="Book Antiqua" w:hAnsi="Book Antiqua"/>
          <w:lang w:val="en-GB"/>
        </w:rPr>
        <w:t xml:space="preserve">depicts pathological outcomes. </w:t>
      </w:r>
      <w:r w:rsidR="00AA7349" w:rsidRPr="00541840">
        <w:rPr>
          <w:rFonts w:ascii="Book Antiqua" w:hAnsi="Book Antiqua"/>
          <w:lang w:val="en-GB"/>
        </w:rPr>
        <w:t xml:space="preserve">Most cancers were pT4b (36.6%), with significant reduction of cN2 rate in </w:t>
      </w:r>
      <w:r w:rsidR="00D43FC2" w:rsidRPr="00541840">
        <w:rPr>
          <w:rFonts w:ascii="Book Antiqua" w:hAnsi="Book Antiqua"/>
          <w:lang w:val="en-GB"/>
        </w:rPr>
        <w:t>favour</w:t>
      </w:r>
      <w:r w:rsidR="00AA7349" w:rsidRPr="00541840">
        <w:rPr>
          <w:rFonts w:ascii="Book Antiqua" w:hAnsi="Book Antiqua"/>
          <w:lang w:val="en-GB"/>
        </w:rPr>
        <w:t xml:space="preserve"> of pN0</w:t>
      </w:r>
      <w:r w:rsidR="00D04177" w:rsidRPr="00541840">
        <w:rPr>
          <w:rFonts w:ascii="Book Antiqua" w:hAnsi="Book Antiqua"/>
          <w:lang w:val="en-GB"/>
        </w:rPr>
        <w:t xml:space="preserve"> </w:t>
      </w:r>
      <w:r w:rsidR="00AA7349" w:rsidRPr="00541840">
        <w:rPr>
          <w:rFonts w:ascii="Book Antiqua" w:hAnsi="Book Antiqua"/>
          <w:lang w:val="en-GB"/>
        </w:rPr>
        <w:t>(40.2%) and pN1</w:t>
      </w:r>
      <w:r w:rsidR="00D04177" w:rsidRPr="00541840">
        <w:rPr>
          <w:rFonts w:ascii="Book Antiqua" w:hAnsi="Book Antiqua"/>
          <w:lang w:val="en-GB"/>
        </w:rPr>
        <w:t xml:space="preserve"> </w:t>
      </w:r>
      <w:r w:rsidR="00AA7349" w:rsidRPr="00541840">
        <w:rPr>
          <w:rFonts w:ascii="Book Antiqua" w:hAnsi="Book Antiqua"/>
          <w:lang w:val="en-GB"/>
        </w:rPr>
        <w:t xml:space="preserve">(20.7%). The </w:t>
      </w:r>
      <w:r w:rsidR="00AA7349" w:rsidRPr="00541840">
        <w:rPr>
          <w:rFonts w:ascii="Book Antiqua" w:hAnsi="Book Antiqua"/>
          <w:lang w:val="en-GB"/>
        </w:rPr>
        <w:lastRenderedPageBreak/>
        <w:t xml:space="preserve">mean number of isolated nodes was well </w:t>
      </w:r>
      <w:r w:rsidR="00D04177" w:rsidRPr="00541840">
        <w:rPr>
          <w:rFonts w:ascii="Book Antiqua" w:hAnsi="Book Antiqua"/>
          <w:lang w:val="en-GB"/>
        </w:rPr>
        <w:t xml:space="preserve">over </w:t>
      </w:r>
      <w:r w:rsidR="00AA7349" w:rsidRPr="00541840">
        <w:rPr>
          <w:rFonts w:ascii="Book Antiqua" w:hAnsi="Book Antiqua"/>
          <w:lang w:val="en-GB"/>
        </w:rPr>
        <w:t xml:space="preserve">12 and rarely </w:t>
      </w:r>
      <w:r w:rsidR="00D43FC2" w:rsidRPr="00541840">
        <w:rPr>
          <w:rFonts w:ascii="Book Antiqua" w:hAnsi="Book Antiqua"/>
          <w:lang w:val="en-GB"/>
        </w:rPr>
        <w:t>harboured</w:t>
      </w:r>
      <w:r w:rsidR="00AA7349" w:rsidRPr="00541840">
        <w:rPr>
          <w:rFonts w:ascii="Book Antiqua" w:hAnsi="Book Antiqua"/>
          <w:lang w:val="en-GB"/>
        </w:rPr>
        <w:t xml:space="preserve"> cancer</w:t>
      </w:r>
      <w:r w:rsidR="004E0C4C" w:rsidRPr="00541840">
        <w:rPr>
          <w:rFonts w:ascii="Book Antiqua" w:hAnsi="Book Antiqua"/>
          <w:lang w:val="en-GB"/>
        </w:rPr>
        <w:t xml:space="preserve"> (</w:t>
      </w:r>
      <w:r w:rsidR="00C70B88" w:rsidRPr="00541840">
        <w:rPr>
          <w:rFonts w:ascii="Book Antiqua" w:hAnsi="Book Antiqua"/>
          <w:lang w:val="en-GB"/>
        </w:rPr>
        <w:t xml:space="preserve">in </w:t>
      </w:r>
      <w:r w:rsidR="004E0C4C" w:rsidRPr="00541840">
        <w:rPr>
          <w:rFonts w:ascii="Book Antiqua" w:hAnsi="Book Antiqua"/>
          <w:lang w:val="en-GB"/>
        </w:rPr>
        <w:t>25.6%)</w:t>
      </w:r>
      <w:r w:rsidR="00AA7349" w:rsidRPr="00541840">
        <w:rPr>
          <w:rFonts w:ascii="Book Antiqua" w:hAnsi="Book Antiqua"/>
          <w:lang w:val="en-GB"/>
        </w:rPr>
        <w:t>.</w:t>
      </w:r>
      <w:r w:rsidR="00CC6A0F" w:rsidRPr="00541840">
        <w:rPr>
          <w:rFonts w:ascii="Book Antiqua" w:hAnsi="Book Antiqua"/>
          <w:lang w:val="en-GB"/>
        </w:rPr>
        <w:t xml:space="preserve"> </w:t>
      </w:r>
      <w:r w:rsidR="00AA7349" w:rsidRPr="00541840">
        <w:rPr>
          <w:rFonts w:ascii="Book Antiqua" w:hAnsi="Book Antiqua"/>
          <w:lang w:val="en-GB"/>
        </w:rPr>
        <w:t xml:space="preserve">Nineteen patients (23.2%) received </w:t>
      </w:r>
      <w:proofErr w:type="spellStart"/>
      <w:r w:rsidR="00AA7349" w:rsidRPr="00541840">
        <w:rPr>
          <w:rFonts w:ascii="Book Antiqua" w:hAnsi="Book Antiqua"/>
          <w:lang w:val="en-GB"/>
        </w:rPr>
        <w:t>R+</w:t>
      </w:r>
      <w:r w:rsidR="00452E88" w:rsidRPr="00541840">
        <w:rPr>
          <w:rFonts w:ascii="Book Antiqua" w:hAnsi="Book Antiqua"/>
          <w:lang w:val="en-GB"/>
        </w:rPr>
        <w:t>ve</w:t>
      </w:r>
      <w:proofErr w:type="spellEnd"/>
      <w:r w:rsidR="00AA7349" w:rsidRPr="00541840">
        <w:rPr>
          <w:rFonts w:ascii="Book Antiqua" w:hAnsi="Book Antiqua"/>
          <w:lang w:val="en-GB"/>
        </w:rPr>
        <w:t xml:space="preserve"> resection</w:t>
      </w:r>
      <w:r w:rsidR="004C45D7" w:rsidRPr="00541840">
        <w:rPr>
          <w:rFonts w:ascii="Book Antiqua" w:hAnsi="Book Antiqua"/>
          <w:lang w:val="en-GB"/>
        </w:rPr>
        <w:t xml:space="preserve"> – </w:t>
      </w:r>
      <w:r w:rsidR="00450ABB" w:rsidRPr="00541840">
        <w:rPr>
          <w:rFonts w:ascii="Book Antiqua" w:hAnsi="Book Antiqua"/>
          <w:lang w:val="en-GB"/>
        </w:rPr>
        <w:t xml:space="preserve">one with both </w:t>
      </w:r>
      <w:r w:rsidR="00BB5E86" w:rsidRPr="00541840">
        <w:rPr>
          <w:rFonts w:ascii="Book Antiqua" w:hAnsi="Book Antiqua"/>
          <w:lang w:val="en-GB"/>
        </w:rPr>
        <w:t>circumferential</w:t>
      </w:r>
      <w:r w:rsidR="00450ABB" w:rsidRPr="00541840">
        <w:rPr>
          <w:rFonts w:ascii="Book Antiqua" w:hAnsi="Book Antiqua"/>
          <w:lang w:val="en-GB"/>
        </w:rPr>
        <w:t xml:space="preserve"> and distal margin</w:t>
      </w:r>
      <w:r w:rsidR="00D066A4" w:rsidRPr="00541840">
        <w:rPr>
          <w:rFonts w:ascii="Book Antiqua" w:hAnsi="Book Antiqua"/>
          <w:lang w:val="en-GB"/>
        </w:rPr>
        <w:t>s</w:t>
      </w:r>
      <w:r w:rsidR="00450ABB" w:rsidRPr="00541840">
        <w:rPr>
          <w:rFonts w:ascii="Book Antiqua" w:hAnsi="Book Antiqua"/>
          <w:lang w:val="en-GB"/>
        </w:rPr>
        <w:t xml:space="preserve"> affected.</w:t>
      </w:r>
      <w:r w:rsidR="00AA7349" w:rsidRPr="00541840">
        <w:rPr>
          <w:rFonts w:ascii="Book Antiqua" w:hAnsi="Book Antiqua"/>
          <w:lang w:val="en-GB"/>
        </w:rPr>
        <w:t xml:space="preserve"> </w:t>
      </w:r>
      <w:r w:rsidR="00FB02A9" w:rsidRPr="00541840">
        <w:rPr>
          <w:rFonts w:ascii="Book Antiqua" w:hAnsi="Book Antiqua"/>
          <w:lang w:val="en-GB"/>
        </w:rPr>
        <w:t xml:space="preserve"> </w:t>
      </w:r>
    </w:p>
    <w:p w14:paraId="35DBD6E9" w14:textId="71FED180" w:rsidR="00FB02A9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FB02A9" w:rsidRPr="00541840">
        <w:rPr>
          <w:rFonts w:ascii="Book Antiqua" w:hAnsi="Book Antiqua"/>
          <w:lang w:val="en-GB"/>
        </w:rPr>
        <w:t>Twenty percent of patients did not have any response to preoperative neoadjuvant treatment, one patient had complete pathological response (1.7%)</w:t>
      </w:r>
      <w:r w:rsidR="00E22586" w:rsidRPr="00541840">
        <w:rPr>
          <w:rFonts w:ascii="Book Antiqua" w:hAnsi="Book Antiqua"/>
          <w:lang w:val="en-GB"/>
        </w:rPr>
        <w:t>,</w:t>
      </w:r>
      <w:r w:rsidR="00FB02A9" w:rsidRPr="00541840">
        <w:rPr>
          <w:rFonts w:ascii="Book Antiqua" w:hAnsi="Book Antiqua"/>
          <w:lang w:val="en-GB"/>
        </w:rPr>
        <w:t xml:space="preserve"> and the remaining </w:t>
      </w:r>
      <w:r w:rsidR="00E22586" w:rsidRPr="00541840">
        <w:rPr>
          <w:rFonts w:ascii="Book Antiqua" w:hAnsi="Book Antiqua"/>
          <w:lang w:val="en-GB"/>
        </w:rPr>
        <w:t xml:space="preserve">patients </w:t>
      </w:r>
      <w:r w:rsidR="00FB02A9" w:rsidRPr="00541840">
        <w:rPr>
          <w:rFonts w:ascii="Book Antiqua" w:hAnsi="Book Antiqua"/>
          <w:lang w:val="en-GB"/>
        </w:rPr>
        <w:t>had a different spectrum of response</w:t>
      </w:r>
      <w:r w:rsidR="00E40475" w:rsidRPr="00541840">
        <w:rPr>
          <w:rFonts w:ascii="Book Antiqua" w:hAnsi="Book Antiqua"/>
          <w:lang w:val="en-GB"/>
        </w:rPr>
        <w:t xml:space="preserve"> (detailed in </w:t>
      </w:r>
      <w:r w:rsidR="00E40475" w:rsidRPr="00EF4B5A">
        <w:rPr>
          <w:rFonts w:ascii="Book Antiqua" w:hAnsi="Book Antiqua"/>
          <w:lang w:val="en-GB"/>
        </w:rPr>
        <w:t>Table 3</w:t>
      </w:r>
      <w:r w:rsidR="00E40475" w:rsidRPr="00541840">
        <w:rPr>
          <w:rFonts w:ascii="Book Antiqua" w:hAnsi="Book Antiqua"/>
          <w:lang w:val="en-GB"/>
        </w:rPr>
        <w:t>)</w:t>
      </w:r>
      <w:r w:rsidR="00FB02A9" w:rsidRPr="00541840">
        <w:rPr>
          <w:rFonts w:ascii="Book Antiqua" w:hAnsi="Book Antiqua"/>
          <w:lang w:val="en-GB"/>
        </w:rPr>
        <w:t xml:space="preserve">. </w:t>
      </w:r>
      <w:r w:rsidR="00E22586" w:rsidRPr="00541840">
        <w:rPr>
          <w:rFonts w:ascii="Book Antiqua" w:hAnsi="Book Antiqua"/>
          <w:lang w:val="en-GB"/>
        </w:rPr>
        <w:t>The q</w:t>
      </w:r>
      <w:r w:rsidR="00234F70" w:rsidRPr="00541840">
        <w:rPr>
          <w:rFonts w:ascii="Book Antiqua" w:hAnsi="Book Antiqua"/>
          <w:lang w:val="en-GB"/>
        </w:rPr>
        <w:t>uality of mesorectum was classified as “good”</w:t>
      </w:r>
      <w:r w:rsidR="00740897" w:rsidRPr="00541840">
        <w:rPr>
          <w:rFonts w:ascii="Book Antiqua" w:hAnsi="Book Antiqua"/>
          <w:lang w:val="en-GB"/>
        </w:rPr>
        <w:t xml:space="preserve"> </w:t>
      </w:r>
      <w:r w:rsidR="003B23BC" w:rsidRPr="00541840">
        <w:rPr>
          <w:rFonts w:ascii="Book Antiqua" w:hAnsi="Book Antiqua"/>
          <w:lang w:val="en-GB"/>
        </w:rPr>
        <w:t>(complete</w:t>
      </w:r>
      <w:proofErr w:type="gramStart"/>
      <w:r w:rsidR="003B23BC" w:rsidRPr="00541840">
        <w:rPr>
          <w:rFonts w:ascii="Book Antiqua" w:hAnsi="Book Antiqua"/>
          <w:lang w:val="en-GB"/>
        </w:rPr>
        <w:t>)</w:t>
      </w:r>
      <w:r w:rsidR="0080386B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80386B" w:rsidRPr="00541840">
        <w:rPr>
          <w:rFonts w:ascii="Book Antiqua" w:hAnsi="Book Antiqua"/>
          <w:vertAlign w:val="superscript"/>
          <w:lang w:val="en-GB"/>
        </w:rPr>
        <w:t>20-23]</w:t>
      </w:r>
      <w:r w:rsidR="00234F70" w:rsidRPr="00541840">
        <w:rPr>
          <w:rFonts w:ascii="Book Antiqua" w:hAnsi="Book Antiqua"/>
          <w:lang w:val="en-GB"/>
        </w:rPr>
        <w:t xml:space="preserve"> in 74.4% of patients.</w:t>
      </w:r>
    </w:p>
    <w:p w14:paraId="4DD06C01" w14:textId="77777777" w:rsidR="00AA7349" w:rsidRPr="00541840" w:rsidRDefault="00AA7349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FCC4784" w14:textId="48FB08F4" w:rsidR="00DF2FBE" w:rsidRPr="00541840" w:rsidRDefault="00EF4B5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i/>
          <w:lang w:val="en-GB"/>
        </w:rPr>
        <w:t>Primary aim: R</w:t>
      </w:r>
      <w:r w:rsidR="00DF2FBE" w:rsidRPr="00541840">
        <w:rPr>
          <w:rFonts w:ascii="Book Antiqua" w:hAnsi="Book Antiqua"/>
          <w:b/>
          <w:i/>
          <w:lang w:val="en-GB"/>
        </w:rPr>
        <w:t xml:space="preserve">ecurrence and survival </w:t>
      </w:r>
    </w:p>
    <w:p w14:paraId="6AE07508" w14:textId="6C23669A" w:rsidR="00DF2FBE" w:rsidRPr="00541840" w:rsidRDefault="00DF2FB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For the purpose of long-term outcomes, we excluded 18 patients who received PE </w:t>
      </w:r>
      <w:r w:rsidR="0049254A" w:rsidRPr="00541840">
        <w:rPr>
          <w:rFonts w:ascii="Book Antiqua" w:hAnsi="Book Antiqua"/>
          <w:lang w:val="en-GB"/>
        </w:rPr>
        <w:t>after</w:t>
      </w:r>
      <w:r w:rsidRPr="00541840">
        <w:rPr>
          <w:rFonts w:ascii="Book Antiqua" w:hAnsi="Book Antiqua"/>
          <w:lang w:val="en-GB"/>
        </w:rPr>
        <w:t xml:space="preserve"> 2013, thereby </w:t>
      </w:r>
      <w:r w:rsidR="00296E35" w:rsidRPr="00541840">
        <w:rPr>
          <w:rFonts w:ascii="Book Antiqua" w:hAnsi="Book Antiqua"/>
          <w:lang w:val="en-GB"/>
        </w:rPr>
        <w:t>analysing</w:t>
      </w:r>
      <w:r w:rsidR="00EF4B5A">
        <w:rPr>
          <w:rFonts w:ascii="Book Antiqua" w:hAnsi="Book Antiqua"/>
          <w:lang w:val="en-GB"/>
        </w:rPr>
        <w:t xml:space="preserve"> 64 patients.</w:t>
      </w:r>
    </w:p>
    <w:p w14:paraId="3FF6AB31" w14:textId="75840608" w:rsidR="00E10C99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5D0B78" w:rsidRPr="00541840">
        <w:rPr>
          <w:rFonts w:ascii="Book Antiqua" w:hAnsi="Book Antiqua"/>
          <w:lang w:val="en-GB"/>
        </w:rPr>
        <w:t>The f</w:t>
      </w:r>
      <w:r w:rsidR="00E827D0" w:rsidRPr="00541840">
        <w:rPr>
          <w:rFonts w:ascii="Book Antiqua" w:hAnsi="Book Antiqua"/>
          <w:lang w:val="en-GB"/>
        </w:rPr>
        <w:t xml:space="preserve">ive-year </w:t>
      </w:r>
      <w:r w:rsidR="00300ED0" w:rsidRPr="00541840">
        <w:rPr>
          <w:rFonts w:ascii="Book Antiqua" w:hAnsi="Book Antiqua"/>
          <w:lang w:val="en-GB"/>
        </w:rPr>
        <w:t xml:space="preserve">LR was </w:t>
      </w:r>
      <w:r w:rsidR="00440FCA" w:rsidRPr="00541840">
        <w:rPr>
          <w:rFonts w:ascii="Book Antiqua" w:hAnsi="Book Antiqua"/>
          <w:lang w:val="en-GB"/>
        </w:rPr>
        <w:t>15.6</w:t>
      </w:r>
      <w:r w:rsidR="00300ED0" w:rsidRPr="00541840">
        <w:rPr>
          <w:rFonts w:ascii="Book Antiqua" w:hAnsi="Book Antiqua"/>
          <w:lang w:val="en-GB"/>
        </w:rPr>
        <w:t xml:space="preserve">%, </w:t>
      </w:r>
      <w:r w:rsidR="005D0B78" w:rsidRPr="00541840">
        <w:rPr>
          <w:rFonts w:ascii="Book Antiqua" w:hAnsi="Book Antiqua"/>
          <w:lang w:val="en-GB"/>
        </w:rPr>
        <w:t xml:space="preserve">the </w:t>
      </w:r>
      <w:r w:rsidR="00300ED0" w:rsidRPr="00541840">
        <w:rPr>
          <w:rFonts w:ascii="Book Antiqua" w:hAnsi="Book Antiqua"/>
          <w:lang w:val="en-GB"/>
        </w:rPr>
        <w:t xml:space="preserve">distant recurrence rate was </w:t>
      </w:r>
      <w:r w:rsidR="00440FCA" w:rsidRPr="00541840">
        <w:rPr>
          <w:rFonts w:ascii="Book Antiqua" w:hAnsi="Book Antiqua"/>
          <w:lang w:val="en-GB"/>
        </w:rPr>
        <w:t>21.9</w:t>
      </w:r>
      <w:r w:rsidR="00300ED0" w:rsidRPr="00541840">
        <w:rPr>
          <w:rFonts w:ascii="Book Antiqua" w:hAnsi="Book Antiqua"/>
          <w:lang w:val="en-GB"/>
        </w:rPr>
        <w:t xml:space="preserve">%, and OS </w:t>
      </w:r>
      <w:r w:rsidR="006D1C73" w:rsidRPr="00541840">
        <w:rPr>
          <w:rFonts w:ascii="Book Antiqua" w:hAnsi="Book Antiqua"/>
          <w:lang w:val="en-GB"/>
        </w:rPr>
        <w:t xml:space="preserve">was </w:t>
      </w:r>
      <w:r w:rsidR="00440FCA" w:rsidRPr="00541840">
        <w:rPr>
          <w:rFonts w:ascii="Book Antiqua" w:hAnsi="Book Antiqua"/>
          <w:lang w:val="en-GB"/>
        </w:rPr>
        <w:t>67.2</w:t>
      </w:r>
      <w:r w:rsidR="00300ED0" w:rsidRPr="00541840">
        <w:rPr>
          <w:rFonts w:ascii="Book Antiqua" w:hAnsi="Book Antiqua"/>
          <w:lang w:val="en-GB"/>
        </w:rPr>
        <w:t>%</w:t>
      </w:r>
      <w:r w:rsidR="003C0C6B" w:rsidRPr="00541840">
        <w:rPr>
          <w:rFonts w:ascii="Book Antiqua" w:hAnsi="Book Antiqua"/>
          <w:lang w:val="en-GB"/>
        </w:rPr>
        <w:t xml:space="preserve">, with a mean survival of 43.8 </w:t>
      </w:r>
      <w:proofErr w:type="spellStart"/>
      <w:r w:rsidR="003C0C6B" w:rsidRPr="00541840">
        <w:rPr>
          <w:rFonts w:ascii="Book Antiqua" w:hAnsi="Book Antiqua"/>
          <w:lang w:val="en-GB"/>
        </w:rPr>
        <w:t>mo</w:t>
      </w:r>
      <w:proofErr w:type="spellEnd"/>
      <w:r w:rsidR="00812F49" w:rsidRPr="00EF4B5A">
        <w:rPr>
          <w:rFonts w:ascii="Book Antiqua" w:hAnsi="Book Antiqua"/>
          <w:lang w:val="en-GB"/>
        </w:rPr>
        <w:t xml:space="preserve"> (Figures 1-3)</w:t>
      </w:r>
      <w:r w:rsidR="00812F49" w:rsidRPr="00541840">
        <w:rPr>
          <w:rFonts w:ascii="Book Antiqua" w:hAnsi="Book Antiqua"/>
          <w:lang w:val="en-GB"/>
        </w:rPr>
        <w:t>.</w:t>
      </w:r>
      <w:r w:rsidR="00CC6A0F" w:rsidRPr="00541840">
        <w:rPr>
          <w:rFonts w:ascii="Book Antiqua" w:hAnsi="Book Antiqua"/>
          <w:lang w:val="en-GB"/>
        </w:rPr>
        <w:t xml:space="preserve"> Oncologic outcome</w:t>
      </w:r>
      <w:r w:rsidR="002B628E" w:rsidRPr="00541840">
        <w:rPr>
          <w:rFonts w:ascii="Book Antiqua" w:hAnsi="Book Antiqua"/>
          <w:lang w:val="en-GB"/>
        </w:rPr>
        <w:t>s</w:t>
      </w:r>
      <w:r w:rsidR="00CC6A0F" w:rsidRPr="00541840">
        <w:rPr>
          <w:rFonts w:ascii="Book Antiqua" w:hAnsi="Book Antiqua"/>
          <w:lang w:val="en-GB"/>
        </w:rPr>
        <w:t xml:space="preserve"> tended to be worse in </w:t>
      </w:r>
      <w:proofErr w:type="spellStart"/>
      <w:r w:rsidR="00CC6A0F" w:rsidRPr="00541840">
        <w:rPr>
          <w:rFonts w:ascii="Book Antiqua" w:hAnsi="Book Antiqua"/>
          <w:lang w:val="en-GB"/>
        </w:rPr>
        <w:t>pN</w:t>
      </w:r>
      <w:proofErr w:type="spellEnd"/>
      <w:r w:rsidR="00CC6A0F" w:rsidRPr="00541840">
        <w:rPr>
          <w:rFonts w:ascii="Book Antiqua" w:hAnsi="Book Antiqua"/>
          <w:lang w:val="en-GB"/>
        </w:rPr>
        <w:t>+ patients in all dimensions, although these differences did not reach statistical significance.</w:t>
      </w:r>
    </w:p>
    <w:p w14:paraId="7512573B" w14:textId="17777A1C" w:rsidR="00C05E30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C05E30" w:rsidRPr="00541840">
        <w:rPr>
          <w:rFonts w:ascii="Book Antiqua" w:hAnsi="Book Antiqua"/>
          <w:lang w:val="en-GB"/>
        </w:rPr>
        <w:t xml:space="preserve">The Cox </w:t>
      </w:r>
      <w:r w:rsidR="002B628E" w:rsidRPr="00541840">
        <w:rPr>
          <w:rFonts w:ascii="Book Antiqua" w:hAnsi="Book Antiqua"/>
          <w:lang w:val="en-GB"/>
        </w:rPr>
        <w:t>r</w:t>
      </w:r>
      <w:r w:rsidR="00C05E30" w:rsidRPr="00541840">
        <w:rPr>
          <w:rFonts w:ascii="Book Antiqua" w:hAnsi="Book Antiqua"/>
          <w:lang w:val="en-GB"/>
        </w:rPr>
        <w:t xml:space="preserve">egression analysis identified </w:t>
      </w:r>
      <w:proofErr w:type="spellStart"/>
      <w:r w:rsidR="00C05E30" w:rsidRPr="00541840">
        <w:rPr>
          <w:rFonts w:ascii="Book Antiqua" w:hAnsi="Book Antiqua"/>
          <w:lang w:val="en-GB"/>
        </w:rPr>
        <w:t>R+</w:t>
      </w:r>
      <w:r w:rsidR="00452E88" w:rsidRPr="00541840">
        <w:rPr>
          <w:rFonts w:ascii="Book Antiqua" w:hAnsi="Book Antiqua"/>
          <w:lang w:val="en-GB"/>
        </w:rPr>
        <w:t>ve</w:t>
      </w:r>
      <w:proofErr w:type="spellEnd"/>
      <w:r w:rsidR="00C05E30" w:rsidRPr="00541840">
        <w:rPr>
          <w:rFonts w:ascii="Book Antiqua" w:hAnsi="Book Antiqua"/>
          <w:lang w:val="en-GB"/>
        </w:rPr>
        <w:t xml:space="preserve"> resection</w:t>
      </w:r>
      <w:r>
        <w:rPr>
          <w:rFonts w:ascii="Book Antiqua" w:hAnsi="Book Antiqua"/>
          <w:lang w:val="en-GB"/>
        </w:rPr>
        <w:t xml:space="preserve"> to increase the risk of LR (HR=</w:t>
      </w:r>
      <w:r w:rsidR="00C05E30" w:rsidRPr="00541840">
        <w:rPr>
          <w:rFonts w:ascii="Book Antiqua" w:hAnsi="Book Antiqua"/>
          <w:lang w:val="en-GB"/>
        </w:rPr>
        <w:t>5.58, 95%CI</w:t>
      </w:r>
      <w:r>
        <w:rPr>
          <w:rFonts w:ascii="Book Antiqua" w:hAnsi="Book Antiqua"/>
          <w:lang w:val="en-GB"/>
        </w:rPr>
        <w:t>:</w:t>
      </w:r>
      <w:r w:rsidR="00C05E30" w:rsidRPr="00541840">
        <w:rPr>
          <w:rFonts w:ascii="Book Antiqua" w:hAnsi="Book Antiqua"/>
          <w:lang w:val="en-GB"/>
        </w:rPr>
        <w:t xml:space="preserve"> 1.04-30.07, </w:t>
      </w:r>
      <w:r w:rsidRPr="00EF4B5A">
        <w:rPr>
          <w:rFonts w:ascii="Book Antiqua" w:hAnsi="Book Antiqua"/>
          <w:i/>
          <w:lang w:val="en-GB"/>
        </w:rPr>
        <w:t>P</w:t>
      </w:r>
      <w:r>
        <w:rPr>
          <w:rFonts w:ascii="Book Antiqua" w:hAnsi="Book Antiqua"/>
          <w:lang w:val="en-GB"/>
        </w:rPr>
        <w:t xml:space="preserve"> </w:t>
      </w:r>
      <w:r w:rsidR="00C05E30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</w:t>
      </w:r>
      <w:r w:rsidR="00C05E30" w:rsidRPr="00541840">
        <w:rPr>
          <w:rFonts w:ascii="Book Antiqua" w:hAnsi="Book Antiqua"/>
          <w:lang w:val="en-GB"/>
        </w:rPr>
        <w:t>0.04), and partially good or bad quality mesore</w:t>
      </w:r>
      <w:r>
        <w:rPr>
          <w:rFonts w:ascii="Book Antiqua" w:hAnsi="Book Antiqua"/>
          <w:lang w:val="en-GB"/>
        </w:rPr>
        <w:t xml:space="preserve">ctum to predict shorter DFS (HR = </w:t>
      </w:r>
      <w:r w:rsidR="00C05E30" w:rsidRPr="00541840">
        <w:rPr>
          <w:rFonts w:ascii="Book Antiqua" w:hAnsi="Book Antiqua"/>
          <w:lang w:val="en-GB"/>
        </w:rPr>
        <w:t>4.37, 95%CI</w:t>
      </w:r>
      <w:r>
        <w:rPr>
          <w:rFonts w:ascii="Book Antiqua" w:hAnsi="Book Antiqua"/>
          <w:lang w:val="en-GB"/>
        </w:rPr>
        <w:t>:</w:t>
      </w:r>
      <w:r w:rsidR="00C05E30" w:rsidRPr="00541840">
        <w:rPr>
          <w:rFonts w:ascii="Book Antiqua" w:hAnsi="Book Antiqua"/>
          <w:lang w:val="en-GB"/>
        </w:rPr>
        <w:t xml:space="preserve"> 1.02-18.65, </w:t>
      </w:r>
      <w:r w:rsidRPr="00EF4B5A">
        <w:rPr>
          <w:rFonts w:ascii="Book Antiqua" w:hAnsi="Book Antiqua"/>
          <w:i/>
          <w:lang w:val="en-GB"/>
        </w:rPr>
        <w:t>P</w:t>
      </w:r>
      <w:r w:rsidRPr="00541840">
        <w:rPr>
          <w:rFonts w:ascii="Book Antiqua" w:hAnsi="Book Antiqua"/>
          <w:lang w:val="en-GB"/>
        </w:rPr>
        <w:t xml:space="preserve"> </w:t>
      </w:r>
      <w:r w:rsidR="00C05E30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</w:t>
      </w:r>
      <w:r w:rsidR="00C05E30" w:rsidRPr="00541840">
        <w:rPr>
          <w:rFonts w:ascii="Book Antiqua" w:hAnsi="Book Antiqua"/>
          <w:lang w:val="en-GB"/>
        </w:rPr>
        <w:t xml:space="preserve">0.04, and HR </w:t>
      </w:r>
      <w:r>
        <w:rPr>
          <w:rFonts w:ascii="Book Antiqua" w:hAnsi="Book Antiqua"/>
          <w:lang w:val="en-GB"/>
        </w:rPr>
        <w:t xml:space="preserve">= </w:t>
      </w:r>
      <w:r w:rsidR="00C05E30" w:rsidRPr="00541840">
        <w:rPr>
          <w:rFonts w:ascii="Book Antiqua" w:hAnsi="Book Antiqua"/>
          <w:lang w:val="en-GB"/>
        </w:rPr>
        <w:t>6.29, 95%CI</w:t>
      </w:r>
      <w:r>
        <w:rPr>
          <w:rFonts w:ascii="Book Antiqua" w:hAnsi="Book Antiqua"/>
          <w:lang w:val="en-GB"/>
        </w:rPr>
        <w:t>:</w:t>
      </w:r>
      <w:r w:rsidR="00C05E30" w:rsidRPr="00541840">
        <w:rPr>
          <w:rFonts w:ascii="Book Antiqua" w:hAnsi="Book Antiqua"/>
          <w:lang w:val="en-GB"/>
        </w:rPr>
        <w:t xml:space="preserve"> 1.2-32.94, </w:t>
      </w:r>
      <w:r w:rsidRPr="00EF4B5A">
        <w:rPr>
          <w:rFonts w:ascii="Book Antiqua" w:hAnsi="Book Antiqua"/>
          <w:i/>
          <w:lang w:val="en-GB"/>
        </w:rPr>
        <w:t>P</w:t>
      </w:r>
      <w:r w:rsidRPr="00541840">
        <w:rPr>
          <w:rFonts w:ascii="Book Antiqua" w:hAnsi="Book Antiqua"/>
          <w:lang w:val="en-GB"/>
        </w:rPr>
        <w:t xml:space="preserve"> </w:t>
      </w:r>
      <w:r w:rsidR="00C05E30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</w:t>
      </w:r>
      <w:r w:rsidR="00C05E30" w:rsidRPr="00541840">
        <w:rPr>
          <w:rFonts w:ascii="Book Antiqua" w:hAnsi="Book Antiqua"/>
          <w:lang w:val="en-GB"/>
        </w:rPr>
        <w:t xml:space="preserve">0.03, respectively). Perioperative complications were independent predictors of shorter survival (HR </w:t>
      </w:r>
      <w:r>
        <w:rPr>
          <w:rFonts w:ascii="Book Antiqua" w:hAnsi="Book Antiqua"/>
          <w:lang w:val="en-GB"/>
        </w:rPr>
        <w:t xml:space="preserve">= </w:t>
      </w:r>
      <w:r w:rsidR="00C05E30" w:rsidRPr="00541840">
        <w:rPr>
          <w:rFonts w:ascii="Book Antiqua" w:hAnsi="Book Antiqua"/>
          <w:lang w:val="en-GB"/>
        </w:rPr>
        <w:t>3.53, 95%CI</w:t>
      </w:r>
      <w:r>
        <w:rPr>
          <w:rFonts w:ascii="Book Antiqua" w:hAnsi="Book Antiqua"/>
          <w:lang w:val="en-GB"/>
        </w:rPr>
        <w:t>:</w:t>
      </w:r>
      <w:r w:rsidR="00C05E30" w:rsidRPr="00541840">
        <w:rPr>
          <w:rFonts w:ascii="Book Antiqua" w:hAnsi="Book Antiqua"/>
          <w:lang w:val="en-GB"/>
        </w:rPr>
        <w:t xml:space="preserve"> 1.12-10.94, </w:t>
      </w:r>
      <w:r w:rsidRPr="00EF4B5A">
        <w:rPr>
          <w:rFonts w:ascii="Book Antiqua" w:hAnsi="Book Antiqua"/>
          <w:i/>
          <w:lang w:val="en-GB"/>
        </w:rPr>
        <w:t>P</w:t>
      </w:r>
      <w:r w:rsidRPr="00541840">
        <w:rPr>
          <w:rFonts w:ascii="Book Antiqua" w:hAnsi="Book Antiqua"/>
          <w:lang w:val="en-GB"/>
        </w:rPr>
        <w:t xml:space="preserve"> </w:t>
      </w:r>
      <w:r w:rsidR="00C05E30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</w:t>
      </w:r>
      <w:r w:rsidR="00C05E30" w:rsidRPr="00541840">
        <w:rPr>
          <w:rFonts w:ascii="Book Antiqua" w:hAnsi="Book Antiqua"/>
          <w:lang w:val="en-GB"/>
        </w:rPr>
        <w:t>0.03).</w:t>
      </w:r>
    </w:p>
    <w:bookmarkEnd w:id="8"/>
    <w:p w14:paraId="5BA969DE" w14:textId="77777777" w:rsidR="0080386B" w:rsidRPr="00541840" w:rsidRDefault="0080386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</w:p>
    <w:p w14:paraId="0D4F582C" w14:textId="18EE5B13" w:rsidR="00E10C99" w:rsidRPr="00541840" w:rsidRDefault="00E10C99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 xml:space="preserve">Secondary aims: </w:t>
      </w:r>
      <w:r w:rsidR="00EF4B5A">
        <w:rPr>
          <w:rFonts w:ascii="Book Antiqua" w:hAnsi="Book Antiqua"/>
          <w:b/>
          <w:i/>
          <w:lang w:val="en-GB"/>
        </w:rPr>
        <w:t>P</w:t>
      </w:r>
      <w:r w:rsidR="006D4CBF" w:rsidRPr="00541840">
        <w:rPr>
          <w:rFonts w:ascii="Book Antiqua" w:hAnsi="Book Antiqua"/>
          <w:b/>
          <w:i/>
          <w:lang w:val="en-GB"/>
        </w:rPr>
        <w:t>ropensity-matched sub</w:t>
      </w:r>
      <w:r w:rsidR="005666EB" w:rsidRPr="00541840">
        <w:rPr>
          <w:rFonts w:ascii="Book Antiqua" w:hAnsi="Book Antiqua"/>
          <w:b/>
          <w:i/>
          <w:lang w:val="en-GB"/>
        </w:rPr>
        <w:t>-</w:t>
      </w:r>
      <w:r w:rsidR="006D4CBF" w:rsidRPr="00541840">
        <w:rPr>
          <w:rFonts w:ascii="Book Antiqua" w:hAnsi="Book Antiqua"/>
          <w:b/>
          <w:i/>
          <w:lang w:val="en-GB"/>
        </w:rPr>
        <w:t>analyses</w:t>
      </w:r>
      <w:r w:rsidR="005666EB" w:rsidRPr="00541840">
        <w:rPr>
          <w:rFonts w:ascii="Book Antiqua" w:hAnsi="Book Antiqua"/>
          <w:b/>
          <w:i/>
          <w:lang w:val="en-GB"/>
        </w:rPr>
        <w:t xml:space="preserve"> in lower rectum</w:t>
      </w:r>
    </w:p>
    <w:p w14:paraId="37F64064" w14:textId="1FAA5BCD" w:rsidR="007316E0" w:rsidRPr="00541840" w:rsidRDefault="00723D44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9" w:name="_Hlk528231540"/>
      <w:r w:rsidRPr="00541840">
        <w:rPr>
          <w:rFonts w:ascii="Book Antiqua" w:hAnsi="Book Antiqua"/>
          <w:lang w:val="en-GB"/>
        </w:rPr>
        <w:t>The propensity match analysis identified 51 patients who received either PE (</w:t>
      </w:r>
      <w:r w:rsidRPr="00EF4B5A">
        <w:rPr>
          <w:rFonts w:ascii="Book Antiqua" w:hAnsi="Book Antiqua"/>
          <w:i/>
          <w:lang w:val="en-GB"/>
        </w:rPr>
        <w:t>n</w:t>
      </w:r>
      <w:r w:rsidR="00EF4B5A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=</w:t>
      </w:r>
      <w:r w:rsidR="00EF4B5A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 xml:space="preserve">26) or </w:t>
      </w:r>
      <w:proofErr w:type="spellStart"/>
      <w:r w:rsidR="00452E88" w:rsidRPr="00541840">
        <w:rPr>
          <w:rFonts w:ascii="Book Antiqua" w:hAnsi="Book Antiqua"/>
          <w:lang w:val="en-GB"/>
        </w:rPr>
        <w:t>nonexenterative</w:t>
      </w:r>
      <w:proofErr w:type="spellEnd"/>
      <w:r w:rsidR="00452E88" w:rsidRPr="00541840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TME (</w:t>
      </w:r>
      <w:r w:rsidRPr="00EF4B5A">
        <w:rPr>
          <w:rFonts w:ascii="Book Antiqua" w:hAnsi="Book Antiqua"/>
          <w:i/>
          <w:lang w:val="en-GB"/>
        </w:rPr>
        <w:t>n</w:t>
      </w:r>
      <w:r w:rsidR="00EF4B5A" w:rsidRPr="00EF4B5A">
        <w:rPr>
          <w:rFonts w:ascii="Book Antiqua" w:hAnsi="Book Antiqua"/>
          <w:i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=</w:t>
      </w:r>
      <w:r w:rsidR="00EF4B5A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 xml:space="preserve">25) for primary adenocarcinoma of the lower rectum. Patient characteristics are summarized in </w:t>
      </w:r>
      <w:r w:rsidR="005C55CC" w:rsidRPr="00EF4B5A">
        <w:rPr>
          <w:rFonts w:ascii="Book Antiqua" w:hAnsi="Book Antiqua"/>
          <w:lang w:val="en-GB"/>
        </w:rPr>
        <w:t xml:space="preserve">Table </w:t>
      </w:r>
      <w:r w:rsidRPr="00EF4B5A">
        <w:rPr>
          <w:rFonts w:ascii="Book Antiqua" w:hAnsi="Book Antiqua"/>
          <w:lang w:val="en-GB"/>
        </w:rPr>
        <w:t>4</w:t>
      </w:r>
      <w:r w:rsidR="005C55CC" w:rsidRPr="00541840">
        <w:rPr>
          <w:rFonts w:ascii="Book Antiqua" w:hAnsi="Book Antiqua"/>
          <w:lang w:val="en-GB"/>
        </w:rPr>
        <w:t>.</w:t>
      </w:r>
      <w:r w:rsidRPr="00541840">
        <w:rPr>
          <w:rFonts w:ascii="Book Antiqua" w:hAnsi="Book Antiqua"/>
          <w:lang w:val="en-GB"/>
        </w:rPr>
        <w:t xml:space="preserve"> TME patients more frequently received an anastomosis </w:t>
      </w:r>
      <w:r w:rsidR="002D0163" w:rsidRPr="00541840">
        <w:rPr>
          <w:rFonts w:ascii="Book Antiqua" w:hAnsi="Book Antiqua"/>
          <w:lang w:val="en-GB"/>
        </w:rPr>
        <w:t xml:space="preserve">(3.8% </w:t>
      </w:r>
      <w:r w:rsidR="002D0163" w:rsidRPr="00EF4B5A">
        <w:rPr>
          <w:rFonts w:ascii="Book Antiqua" w:hAnsi="Book Antiqua"/>
          <w:i/>
          <w:lang w:val="en-GB"/>
        </w:rPr>
        <w:t>vs</w:t>
      </w:r>
      <w:r w:rsidR="002D0163" w:rsidRPr="00541840">
        <w:rPr>
          <w:rFonts w:ascii="Book Antiqua" w:hAnsi="Book Antiqua"/>
          <w:lang w:val="en-GB"/>
        </w:rPr>
        <w:t xml:space="preserve"> 80%, PE </w:t>
      </w:r>
      <w:r w:rsidR="002D0163" w:rsidRPr="00EF4B5A">
        <w:rPr>
          <w:rFonts w:ascii="Book Antiqua" w:hAnsi="Book Antiqua"/>
          <w:i/>
          <w:lang w:val="en-GB"/>
        </w:rPr>
        <w:t>vs</w:t>
      </w:r>
      <w:r w:rsidR="002D0163" w:rsidRPr="00541840">
        <w:rPr>
          <w:rFonts w:ascii="Book Antiqua" w:hAnsi="Book Antiqua"/>
          <w:lang w:val="en-GB"/>
        </w:rPr>
        <w:t xml:space="preserve"> TME, </w:t>
      </w:r>
      <w:r w:rsidR="00E13A10" w:rsidRPr="00541840">
        <w:rPr>
          <w:rFonts w:ascii="Book Antiqua" w:hAnsi="Book Antiqua"/>
          <w:i/>
          <w:lang w:val="en-GB"/>
        </w:rPr>
        <w:t>P</w:t>
      </w:r>
      <w:r w:rsidR="00EF4B5A">
        <w:rPr>
          <w:rFonts w:ascii="Book Antiqua" w:hAnsi="Book Antiqua"/>
          <w:i/>
          <w:lang w:val="en-GB"/>
        </w:rPr>
        <w:t xml:space="preserve"> </w:t>
      </w:r>
      <w:r w:rsidR="002D0163" w:rsidRPr="00541840">
        <w:rPr>
          <w:rFonts w:ascii="Book Antiqua" w:hAnsi="Book Antiqua"/>
          <w:lang w:val="en-GB"/>
        </w:rPr>
        <w:t>&lt;</w:t>
      </w:r>
      <w:r w:rsidR="00EF4B5A">
        <w:rPr>
          <w:rFonts w:ascii="Book Antiqua" w:hAnsi="Book Antiqua"/>
          <w:lang w:val="en-GB"/>
        </w:rPr>
        <w:t xml:space="preserve"> </w:t>
      </w:r>
      <w:r w:rsidR="002D0163" w:rsidRPr="00541840">
        <w:rPr>
          <w:rFonts w:ascii="Book Antiqua" w:hAnsi="Book Antiqua"/>
          <w:lang w:val="en-GB"/>
        </w:rPr>
        <w:t xml:space="preserve">0.001) </w:t>
      </w:r>
      <w:r w:rsidRPr="00541840">
        <w:rPr>
          <w:rFonts w:ascii="Book Antiqua" w:hAnsi="Book Antiqua"/>
          <w:lang w:val="en-GB"/>
        </w:rPr>
        <w:t xml:space="preserve">and were less likely </w:t>
      </w:r>
      <w:r w:rsidR="00696FBD" w:rsidRPr="00541840">
        <w:rPr>
          <w:rFonts w:ascii="Book Antiqua" w:hAnsi="Book Antiqua"/>
          <w:lang w:val="en-GB"/>
        </w:rPr>
        <w:t xml:space="preserve">to </w:t>
      </w:r>
      <w:r w:rsidRPr="00541840">
        <w:rPr>
          <w:rFonts w:ascii="Book Antiqua" w:hAnsi="Book Antiqua"/>
          <w:lang w:val="en-GB"/>
        </w:rPr>
        <w:t>need transfusions (</w:t>
      </w:r>
      <w:r w:rsidR="00E13A10" w:rsidRPr="00541840">
        <w:rPr>
          <w:rFonts w:ascii="Book Antiqua" w:hAnsi="Book Antiqua"/>
          <w:i/>
          <w:lang w:val="en-GB"/>
        </w:rPr>
        <w:t>P</w:t>
      </w:r>
      <w:r w:rsidR="00EF4B5A">
        <w:rPr>
          <w:rFonts w:ascii="Book Antiqua" w:hAnsi="Book Antiqua"/>
          <w:i/>
          <w:lang w:val="en-GB"/>
        </w:rPr>
        <w:t xml:space="preserve"> </w:t>
      </w:r>
      <w:r w:rsidR="002D0163" w:rsidRPr="00541840">
        <w:rPr>
          <w:rFonts w:ascii="Book Antiqua" w:hAnsi="Book Antiqua"/>
          <w:lang w:val="en-GB"/>
        </w:rPr>
        <w:t>=</w:t>
      </w:r>
      <w:r w:rsidR="00EF4B5A">
        <w:rPr>
          <w:rFonts w:ascii="Book Antiqua" w:hAnsi="Book Antiqua"/>
          <w:lang w:val="en-GB"/>
        </w:rPr>
        <w:t xml:space="preserve"> </w:t>
      </w:r>
      <w:r w:rsidR="002D0163" w:rsidRPr="00541840">
        <w:rPr>
          <w:rFonts w:ascii="Book Antiqua" w:hAnsi="Book Antiqua"/>
          <w:lang w:val="en-GB"/>
        </w:rPr>
        <w:t>0.035</w:t>
      </w:r>
      <w:r w:rsidRPr="00541840">
        <w:rPr>
          <w:rFonts w:ascii="Book Antiqua" w:hAnsi="Book Antiqua"/>
          <w:lang w:val="en-GB"/>
        </w:rPr>
        <w:t>)</w:t>
      </w:r>
      <w:r w:rsidR="002D0163" w:rsidRPr="00541840">
        <w:rPr>
          <w:rFonts w:ascii="Book Antiqua" w:hAnsi="Book Antiqua"/>
          <w:lang w:val="en-GB"/>
        </w:rPr>
        <w:t>.</w:t>
      </w:r>
      <w:r w:rsidR="000D37AE" w:rsidRPr="00541840">
        <w:rPr>
          <w:rFonts w:ascii="Book Antiqua" w:hAnsi="Book Antiqua"/>
          <w:lang w:val="en-GB"/>
        </w:rPr>
        <w:t xml:space="preserve"> </w:t>
      </w:r>
      <w:r w:rsidR="005666EB" w:rsidRPr="00541840">
        <w:rPr>
          <w:rFonts w:ascii="Book Antiqua" w:hAnsi="Book Antiqua"/>
          <w:lang w:val="en-GB"/>
        </w:rPr>
        <w:t xml:space="preserve">PE was associated with better quality of the specimen, consisting of </w:t>
      </w:r>
      <w:r w:rsidR="00A1345F" w:rsidRPr="00541840">
        <w:rPr>
          <w:rFonts w:ascii="Book Antiqua" w:hAnsi="Book Antiqua"/>
          <w:lang w:val="en-GB"/>
        </w:rPr>
        <w:t xml:space="preserve">fewer </w:t>
      </w:r>
      <w:proofErr w:type="spellStart"/>
      <w:r w:rsidR="005666EB" w:rsidRPr="00541840">
        <w:rPr>
          <w:rFonts w:ascii="Book Antiqua" w:hAnsi="Book Antiqua"/>
          <w:lang w:val="en-GB"/>
        </w:rPr>
        <w:t>R+</w:t>
      </w:r>
      <w:r w:rsidR="00452E88" w:rsidRPr="00541840">
        <w:rPr>
          <w:rFonts w:ascii="Book Antiqua" w:hAnsi="Book Antiqua"/>
          <w:lang w:val="en-GB"/>
        </w:rPr>
        <w:t>ve</w:t>
      </w:r>
      <w:proofErr w:type="spellEnd"/>
      <w:r w:rsidR="005666EB" w:rsidRPr="00541840">
        <w:rPr>
          <w:rFonts w:ascii="Book Antiqua" w:hAnsi="Book Antiqua"/>
          <w:lang w:val="en-GB"/>
        </w:rPr>
        <w:t xml:space="preserve"> resections and higher rates of good quality mesorectum.</w:t>
      </w:r>
    </w:p>
    <w:p w14:paraId="7D10FCD7" w14:textId="21B70D86" w:rsidR="002D0163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lastRenderedPageBreak/>
        <w:t xml:space="preserve">  </w:t>
      </w:r>
      <w:r w:rsidR="00E41E75" w:rsidRPr="00541840">
        <w:rPr>
          <w:rFonts w:ascii="Book Antiqua" w:hAnsi="Book Antiqua"/>
          <w:lang w:val="en-GB"/>
        </w:rPr>
        <w:t xml:space="preserve">LR tended to be lower in patients who received PE compared with TME </w:t>
      </w:r>
      <w:r w:rsidR="00F66170" w:rsidRPr="00541840">
        <w:rPr>
          <w:rFonts w:ascii="Book Antiqua" w:hAnsi="Book Antiqua"/>
          <w:lang w:val="en-GB"/>
        </w:rPr>
        <w:t>(</w:t>
      </w:r>
      <w:r w:rsidRPr="00EF4B5A">
        <w:rPr>
          <w:rFonts w:ascii="Book Antiqua" w:hAnsi="Book Antiqua"/>
          <w:i/>
          <w:lang w:val="en-GB"/>
        </w:rPr>
        <w:t>P</w:t>
      </w:r>
      <w:r>
        <w:rPr>
          <w:rFonts w:ascii="Book Antiqua" w:hAnsi="Book Antiqua"/>
          <w:lang w:val="en-GB"/>
        </w:rPr>
        <w:t xml:space="preserve"> </w:t>
      </w:r>
      <w:r w:rsidR="00F66170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</w:t>
      </w:r>
      <w:r w:rsidR="00F66170" w:rsidRPr="00541840">
        <w:rPr>
          <w:rFonts w:ascii="Book Antiqua" w:hAnsi="Book Antiqua"/>
          <w:lang w:val="en-GB"/>
        </w:rPr>
        <w:t>0.</w:t>
      </w:r>
      <w:r w:rsidR="005666EB" w:rsidRPr="00541840">
        <w:rPr>
          <w:rFonts w:ascii="Book Antiqua" w:hAnsi="Book Antiqua"/>
          <w:lang w:val="en-GB"/>
        </w:rPr>
        <w:t>34</w:t>
      </w:r>
      <w:r w:rsidR="00F66170" w:rsidRPr="00541840">
        <w:rPr>
          <w:rFonts w:ascii="Book Antiqua" w:hAnsi="Book Antiqua"/>
          <w:lang w:val="en-GB"/>
        </w:rPr>
        <w:t>)</w:t>
      </w:r>
      <w:r w:rsidR="002754A4" w:rsidRPr="00541840">
        <w:rPr>
          <w:rFonts w:ascii="Book Antiqua" w:hAnsi="Book Antiqua"/>
          <w:lang w:val="en-GB"/>
        </w:rPr>
        <w:t xml:space="preserve"> </w:t>
      </w:r>
      <w:r w:rsidR="00F66170" w:rsidRPr="00EF4B5A">
        <w:rPr>
          <w:rFonts w:ascii="Book Antiqua" w:hAnsi="Book Antiqua"/>
          <w:lang w:val="en-GB"/>
        </w:rPr>
        <w:t>(</w:t>
      </w:r>
      <w:r w:rsidR="00B677B1" w:rsidRPr="00EF4B5A">
        <w:rPr>
          <w:rFonts w:ascii="Book Antiqua" w:hAnsi="Book Antiqua"/>
          <w:lang w:val="en-GB"/>
        </w:rPr>
        <w:t xml:space="preserve">Supplementary </w:t>
      </w:r>
      <w:r w:rsidR="00F66170" w:rsidRPr="00EF4B5A">
        <w:rPr>
          <w:rFonts w:ascii="Book Antiqua" w:hAnsi="Book Antiqua"/>
          <w:lang w:val="en-GB"/>
        </w:rPr>
        <w:t xml:space="preserve">Figure </w:t>
      </w:r>
      <w:r w:rsidR="00080276" w:rsidRPr="00EF4B5A">
        <w:rPr>
          <w:rFonts w:ascii="Book Antiqua" w:hAnsi="Book Antiqua"/>
          <w:lang w:val="en-GB"/>
        </w:rPr>
        <w:t>2</w:t>
      </w:r>
      <w:r w:rsidR="00F66170" w:rsidRPr="00EF4B5A">
        <w:rPr>
          <w:rFonts w:ascii="Book Antiqua" w:hAnsi="Book Antiqua"/>
          <w:lang w:val="en-GB"/>
        </w:rPr>
        <w:t>)</w:t>
      </w:r>
      <w:r w:rsidR="002754A4" w:rsidRPr="00541840">
        <w:rPr>
          <w:rFonts w:ascii="Book Antiqua" w:hAnsi="Book Antiqua"/>
          <w:lang w:val="en-GB"/>
        </w:rPr>
        <w:t>,</w:t>
      </w:r>
      <w:r w:rsidR="005666EB" w:rsidRPr="00541840">
        <w:rPr>
          <w:rFonts w:ascii="Book Antiqua" w:hAnsi="Book Antiqua"/>
          <w:lang w:val="en-GB"/>
        </w:rPr>
        <w:t xml:space="preserve"> with </w:t>
      </w:r>
      <w:r w:rsidR="00452E88" w:rsidRPr="00541840">
        <w:rPr>
          <w:rFonts w:ascii="Book Antiqua" w:hAnsi="Book Antiqua"/>
          <w:lang w:val="en-GB"/>
        </w:rPr>
        <w:t>comparable</w:t>
      </w:r>
      <w:r w:rsidR="005666EB" w:rsidRPr="00541840">
        <w:rPr>
          <w:rFonts w:ascii="Book Antiqua" w:hAnsi="Book Antiqua"/>
          <w:lang w:val="en-GB"/>
        </w:rPr>
        <w:t xml:space="preserve"> OS (</w:t>
      </w:r>
      <w:r w:rsidR="00E13A10" w:rsidRPr="00541840">
        <w:rPr>
          <w:rFonts w:ascii="Book Antiqua" w:hAnsi="Book Antiqua"/>
          <w:i/>
          <w:lang w:val="en-GB"/>
        </w:rPr>
        <w:t>P</w:t>
      </w:r>
      <w:r>
        <w:rPr>
          <w:rFonts w:ascii="Book Antiqua" w:hAnsi="Book Antiqua"/>
          <w:i/>
          <w:lang w:val="en-GB"/>
        </w:rPr>
        <w:t xml:space="preserve"> </w:t>
      </w:r>
      <w:r w:rsidR="005666EB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</w:t>
      </w:r>
      <w:r w:rsidR="005666EB" w:rsidRPr="00541840">
        <w:rPr>
          <w:rFonts w:ascii="Book Antiqua" w:hAnsi="Book Antiqua"/>
          <w:lang w:val="en-GB"/>
        </w:rPr>
        <w:t>0.96)</w:t>
      </w:r>
      <w:r w:rsidR="002754A4" w:rsidRPr="00541840">
        <w:rPr>
          <w:rFonts w:ascii="Book Antiqua" w:hAnsi="Book Antiqua"/>
          <w:lang w:val="en-GB"/>
        </w:rPr>
        <w:t xml:space="preserve"> </w:t>
      </w:r>
      <w:r w:rsidR="00F66170" w:rsidRPr="00541840">
        <w:rPr>
          <w:rFonts w:ascii="Book Antiqua" w:hAnsi="Book Antiqua"/>
          <w:lang w:val="en-GB"/>
        </w:rPr>
        <w:t>(</w:t>
      </w:r>
      <w:r w:rsidR="00B677B1" w:rsidRPr="00EF4B5A">
        <w:rPr>
          <w:rFonts w:ascii="Book Antiqua" w:hAnsi="Book Antiqua"/>
          <w:lang w:val="en-GB"/>
        </w:rPr>
        <w:t xml:space="preserve">Supplementary Figure </w:t>
      </w:r>
      <w:r w:rsidR="00080276" w:rsidRPr="00EF4B5A">
        <w:rPr>
          <w:rFonts w:ascii="Book Antiqua" w:hAnsi="Book Antiqua"/>
          <w:lang w:val="en-GB"/>
        </w:rPr>
        <w:t>3</w:t>
      </w:r>
      <w:r w:rsidR="00F66170" w:rsidRPr="00541840">
        <w:rPr>
          <w:rFonts w:ascii="Book Antiqua" w:hAnsi="Book Antiqua"/>
          <w:lang w:val="en-GB"/>
        </w:rPr>
        <w:t>).</w:t>
      </w:r>
      <w:r w:rsidR="00E41E75" w:rsidRPr="00541840">
        <w:rPr>
          <w:rFonts w:ascii="Book Antiqua" w:hAnsi="Book Antiqua"/>
          <w:lang w:val="en-GB"/>
        </w:rPr>
        <w:t xml:space="preserve"> </w:t>
      </w:r>
    </w:p>
    <w:bookmarkEnd w:id="9"/>
    <w:p w14:paraId="068E9A56" w14:textId="77777777" w:rsidR="00EF4B5A" w:rsidRDefault="00EF4B5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</w:p>
    <w:p w14:paraId="26C505B3" w14:textId="77777777" w:rsidR="00927A9E" w:rsidRPr="00541840" w:rsidRDefault="00AD0D56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t>D</w:t>
      </w:r>
      <w:r w:rsidR="00927A9E" w:rsidRPr="00541840">
        <w:rPr>
          <w:rFonts w:ascii="Book Antiqua" w:hAnsi="Book Antiqua"/>
          <w:b/>
          <w:lang w:val="en-GB"/>
        </w:rPr>
        <w:t>ISCUSSION</w:t>
      </w:r>
    </w:p>
    <w:p w14:paraId="6F78600B" w14:textId="3B90D3F3" w:rsidR="009E3D54" w:rsidRPr="00541840" w:rsidRDefault="001F0658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The present study showed good survival following PE for </w:t>
      </w:r>
      <w:r w:rsidR="00041F99" w:rsidRPr="00541840">
        <w:rPr>
          <w:rFonts w:ascii="Book Antiqua" w:hAnsi="Book Antiqua"/>
          <w:lang w:val="en-GB"/>
        </w:rPr>
        <w:t>LA</w:t>
      </w:r>
      <w:r w:rsidR="00452E88" w:rsidRPr="00541840">
        <w:rPr>
          <w:rFonts w:ascii="Book Antiqua" w:hAnsi="Book Antiqua"/>
          <w:lang w:val="en-GB"/>
        </w:rPr>
        <w:t>P</w:t>
      </w:r>
      <w:r w:rsidR="00041F99" w:rsidRPr="00541840">
        <w:rPr>
          <w:rFonts w:ascii="Book Antiqua" w:hAnsi="Book Antiqua"/>
          <w:lang w:val="en-GB"/>
        </w:rPr>
        <w:t>RC</w:t>
      </w:r>
      <w:r w:rsidRPr="00541840">
        <w:rPr>
          <w:rFonts w:ascii="Book Antiqua" w:hAnsi="Book Antiqua"/>
          <w:lang w:val="en-GB"/>
        </w:rPr>
        <w:t xml:space="preserve"> in a cohort of patients included in a </w:t>
      </w:r>
      <w:r w:rsidR="0077262D" w:rsidRPr="00541840">
        <w:rPr>
          <w:rFonts w:ascii="Book Antiqua" w:hAnsi="Book Antiqua"/>
          <w:lang w:val="en-GB"/>
        </w:rPr>
        <w:t>n</w:t>
      </w:r>
      <w:r w:rsidRPr="00541840">
        <w:rPr>
          <w:rFonts w:ascii="Book Antiqua" w:hAnsi="Book Antiqua"/>
          <w:lang w:val="en-GB"/>
        </w:rPr>
        <w:t>ational prospective database.</w:t>
      </w:r>
      <w:r w:rsidR="00484806" w:rsidRPr="00541840">
        <w:rPr>
          <w:rFonts w:ascii="Book Antiqua" w:hAnsi="Book Antiqua"/>
          <w:lang w:val="en-GB"/>
        </w:rPr>
        <w:t xml:space="preserve"> The procedure brings a significant risk of complications, occurring in 50% of patients</w:t>
      </w:r>
      <w:r w:rsidR="00293859" w:rsidRPr="00541840">
        <w:rPr>
          <w:rFonts w:ascii="Book Antiqua" w:hAnsi="Book Antiqua"/>
          <w:lang w:val="en-GB"/>
        </w:rPr>
        <w:t>,</w:t>
      </w:r>
      <w:r w:rsidR="00484806" w:rsidRPr="00541840">
        <w:rPr>
          <w:rFonts w:ascii="Book Antiqua" w:hAnsi="Book Antiqua"/>
          <w:lang w:val="en-GB"/>
        </w:rPr>
        <w:t xml:space="preserve"> and non-negligible perioperative death</w:t>
      </w:r>
      <w:r w:rsidRPr="00541840">
        <w:rPr>
          <w:rFonts w:ascii="Book Antiqua" w:hAnsi="Book Antiqua"/>
          <w:lang w:val="en-GB"/>
        </w:rPr>
        <w:t xml:space="preserve"> </w:t>
      </w:r>
      <w:r w:rsidR="00484806" w:rsidRPr="00541840">
        <w:rPr>
          <w:rFonts w:ascii="Book Antiqua" w:hAnsi="Book Antiqua"/>
          <w:lang w:val="en-GB"/>
        </w:rPr>
        <w:t>rate</w:t>
      </w:r>
      <w:r w:rsidR="00DF2A3F" w:rsidRPr="00541840">
        <w:rPr>
          <w:rFonts w:ascii="Book Antiqua" w:hAnsi="Book Antiqua"/>
          <w:lang w:val="en-GB"/>
        </w:rPr>
        <w:t>s</w:t>
      </w:r>
      <w:r w:rsidR="00484806" w:rsidRPr="00541840">
        <w:rPr>
          <w:rFonts w:ascii="Book Antiqua" w:hAnsi="Book Antiqua"/>
          <w:lang w:val="en-GB"/>
        </w:rPr>
        <w:t>. Patholog</w:t>
      </w:r>
      <w:r w:rsidR="00B90978" w:rsidRPr="00541840">
        <w:rPr>
          <w:rFonts w:ascii="Book Antiqua" w:hAnsi="Book Antiqua"/>
          <w:lang w:val="en-GB"/>
        </w:rPr>
        <w:t>ical</w:t>
      </w:r>
      <w:r w:rsidR="00484806" w:rsidRPr="00541840">
        <w:rPr>
          <w:rFonts w:ascii="Book Antiqua" w:hAnsi="Book Antiqua"/>
          <w:lang w:val="en-GB"/>
        </w:rPr>
        <w:t xml:space="preserve"> outcomes and long-term survival justify such extensive operations. Negative resection margins were achieved in 76.8% of patients and were associated with reduced rates of LR. </w:t>
      </w:r>
      <w:r w:rsidR="00A6372B" w:rsidRPr="00541840">
        <w:rPr>
          <w:rFonts w:ascii="Book Antiqua" w:hAnsi="Book Antiqua"/>
          <w:lang w:val="en-GB"/>
        </w:rPr>
        <w:t xml:space="preserve">Complications impaired 5-year survival. </w:t>
      </w:r>
      <w:r w:rsidR="00484806" w:rsidRPr="00541840">
        <w:rPr>
          <w:rFonts w:ascii="Book Antiqua" w:hAnsi="Book Antiqua"/>
          <w:lang w:val="en-GB"/>
        </w:rPr>
        <w:t xml:space="preserve">Comparing patients who underwent PE </w:t>
      </w:r>
      <w:r w:rsidR="00484806" w:rsidRPr="00EF4B5A">
        <w:rPr>
          <w:rFonts w:ascii="Book Antiqua" w:hAnsi="Book Antiqua"/>
          <w:i/>
          <w:lang w:val="en-GB"/>
        </w:rPr>
        <w:t>vs</w:t>
      </w:r>
      <w:r w:rsidR="00484806" w:rsidRPr="00541840">
        <w:rPr>
          <w:rFonts w:ascii="Book Antiqua" w:hAnsi="Book Antiqua"/>
          <w:lang w:val="en-GB"/>
        </w:rPr>
        <w:t xml:space="preserve"> TME for low rectal cancer, PE showed a trend towards better specimen </w:t>
      </w:r>
      <w:r w:rsidR="00CE5A55" w:rsidRPr="00541840">
        <w:rPr>
          <w:rFonts w:ascii="Book Antiqua" w:hAnsi="Book Antiqua"/>
          <w:lang w:val="en-GB"/>
        </w:rPr>
        <w:t xml:space="preserve">quality </w:t>
      </w:r>
      <w:r w:rsidR="00484806" w:rsidRPr="00541840">
        <w:rPr>
          <w:rFonts w:ascii="Book Antiqua" w:hAnsi="Book Antiqua"/>
          <w:lang w:val="en-GB"/>
        </w:rPr>
        <w:t xml:space="preserve">and lower rates of </w:t>
      </w:r>
      <w:proofErr w:type="spellStart"/>
      <w:r w:rsidR="00484806" w:rsidRPr="00541840">
        <w:rPr>
          <w:rFonts w:ascii="Book Antiqua" w:hAnsi="Book Antiqua"/>
          <w:lang w:val="en-GB"/>
        </w:rPr>
        <w:t>R+</w:t>
      </w:r>
      <w:r w:rsidR="009970AC" w:rsidRPr="00541840">
        <w:rPr>
          <w:rFonts w:ascii="Book Antiqua" w:hAnsi="Book Antiqua"/>
          <w:lang w:val="en-GB"/>
        </w:rPr>
        <w:t>ve</w:t>
      </w:r>
      <w:proofErr w:type="spellEnd"/>
      <w:r w:rsidR="00484806" w:rsidRPr="00541840">
        <w:rPr>
          <w:rFonts w:ascii="Book Antiqua" w:hAnsi="Book Antiqua"/>
          <w:lang w:val="en-GB"/>
        </w:rPr>
        <w:t xml:space="preserve"> </w:t>
      </w:r>
      <w:r w:rsidR="006C2F28" w:rsidRPr="00541840">
        <w:rPr>
          <w:rFonts w:ascii="Book Antiqua" w:hAnsi="Book Antiqua"/>
          <w:lang w:val="en-GB"/>
        </w:rPr>
        <w:t>resection and</w:t>
      </w:r>
      <w:r w:rsidR="00484806" w:rsidRPr="00541840">
        <w:rPr>
          <w:rFonts w:ascii="Book Antiqua" w:hAnsi="Book Antiqua"/>
          <w:lang w:val="en-GB"/>
        </w:rPr>
        <w:t xml:space="preserve"> tended to have longer LR-free intervals.</w:t>
      </w:r>
    </w:p>
    <w:p w14:paraId="780972CA" w14:textId="27C381C0" w:rsidR="003275D7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8234E1" w:rsidRPr="00541840">
        <w:rPr>
          <w:rFonts w:ascii="Book Antiqua" w:hAnsi="Book Antiqua"/>
          <w:lang w:val="en-GB"/>
        </w:rPr>
        <w:t xml:space="preserve">Since the first description of PE for </w:t>
      </w:r>
      <w:r w:rsidR="00296E35" w:rsidRPr="00541840">
        <w:rPr>
          <w:rFonts w:ascii="Book Antiqua" w:hAnsi="Book Antiqua"/>
          <w:lang w:val="en-GB"/>
        </w:rPr>
        <w:t>gynaecologic</w:t>
      </w:r>
      <w:r w:rsidR="008234E1" w:rsidRPr="00541840">
        <w:rPr>
          <w:rFonts w:ascii="Book Antiqua" w:hAnsi="Book Antiqua"/>
          <w:lang w:val="en-GB"/>
        </w:rPr>
        <w:t xml:space="preserve"> cancer in 1948</w:t>
      </w:r>
      <w:r w:rsidR="009E3D54" w:rsidRPr="00541840">
        <w:rPr>
          <w:rFonts w:ascii="Book Antiqua" w:hAnsi="Book Antiqua"/>
          <w:vertAlign w:val="superscript"/>
          <w:lang w:val="en-GB"/>
        </w:rPr>
        <w:t>[</w:t>
      </w:r>
      <w:r w:rsidR="00B677B1" w:rsidRPr="00541840">
        <w:rPr>
          <w:rFonts w:ascii="Book Antiqua" w:hAnsi="Book Antiqua"/>
          <w:vertAlign w:val="superscript"/>
          <w:lang w:val="en-GB"/>
        </w:rPr>
        <w:t>6,</w:t>
      </w:r>
      <w:r w:rsidR="0080386B" w:rsidRPr="00541840">
        <w:rPr>
          <w:rFonts w:ascii="Book Antiqua" w:hAnsi="Book Antiqua"/>
          <w:vertAlign w:val="superscript"/>
          <w:lang w:val="en-GB"/>
        </w:rPr>
        <w:t>24</w:t>
      </w:r>
      <w:r w:rsidR="009E3D54" w:rsidRPr="00541840">
        <w:rPr>
          <w:rFonts w:ascii="Book Antiqua" w:hAnsi="Book Antiqua"/>
          <w:vertAlign w:val="superscript"/>
          <w:lang w:val="en-GB"/>
        </w:rPr>
        <w:t>]</w:t>
      </w:r>
      <w:r w:rsidR="008234E1" w:rsidRPr="00541840">
        <w:rPr>
          <w:rFonts w:ascii="Book Antiqua" w:hAnsi="Book Antiqua"/>
          <w:lang w:val="en-GB"/>
        </w:rPr>
        <w:t xml:space="preserve">, the procedure has been adopted with increasing success rates in patients with rectal </w:t>
      </w:r>
      <w:proofErr w:type="gramStart"/>
      <w:r w:rsidR="008234E1" w:rsidRPr="00541840">
        <w:rPr>
          <w:rFonts w:ascii="Book Antiqua" w:hAnsi="Book Antiqua"/>
          <w:lang w:val="en-GB"/>
        </w:rPr>
        <w:t>cancer</w:t>
      </w:r>
      <w:r w:rsidR="00870BD6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B677B1" w:rsidRPr="00541840">
        <w:rPr>
          <w:rFonts w:ascii="Book Antiqua" w:hAnsi="Book Antiqua"/>
          <w:vertAlign w:val="superscript"/>
          <w:lang w:val="en-GB"/>
        </w:rPr>
        <w:t>8,12-14,2</w:t>
      </w:r>
      <w:r w:rsidR="0080386B" w:rsidRPr="00541840">
        <w:rPr>
          <w:rFonts w:ascii="Book Antiqua" w:hAnsi="Book Antiqua"/>
          <w:vertAlign w:val="superscript"/>
          <w:lang w:val="en-GB"/>
        </w:rPr>
        <w:t>5</w:t>
      </w:r>
      <w:r w:rsidR="00B677B1" w:rsidRPr="00541840">
        <w:rPr>
          <w:rFonts w:ascii="Book Antiqua" w:hAnsi="Book Antiqua"/>
          <w:vertAlign w:val="superscript"/>
          <w:lang w:val="en-GB"/>
        </w:rPr>
        <w:t>-2</w:t>
      </w:r>
      <w:r w:rsidR="0080386B" w:rsidRPr="00541840">
        <w:rPr>
          <w:rFonts w:ascii="Book Antiqua" w:hAnsi="Book Antiqua"/>
          <w:vertAlign w:val="superscript"/>
          <w:lang w:val="en-GB"/>
        </w:rPr>
        <w:t>7</w:t>
      </w:r>
      <w:r w:rsidR="00870BD6" w:rsidRPr="00541840">
        <w:rPr>
          <w:rFonts w:ascii="Book Antiqua" w:hAnsi="Book Antiqua"/>
          <w:vertAlign w:val="superscript"/>
          <w:lang w:val="en-GB"/>
        </w:rPr>
        <w:t>]</w:t>
      </w:r>
      <w:r w:rsidR="009E3D54" w:rsidRPr="00541840">
        <w:rPr>
          <w:rFonts w:ascii="Book Antiqua" w:hAnsi="Book Antiqua"/>
          <w:lang w:val="en-GB"/>
        </w:rPr>
        <w:t>.</w:t>
      </w:r>
      <w:r w:rsidR="008234E1" w:rsidRPr="00541840">
        <w:rPr>
          <w:rFonts w:ascii="Book Antiqua" w:hAnsi="Book Antiqua"/>
          <w:lang w:val="en-GB"/>
        </w:rPr>
        <w:t xml:space="preserve"> </w:t>
      </w:r>
      <w:r w:rsidR="00D9425E" w:rsidRPr="00541840">
        <w:rPr>
          <w:rFonts w:ascii="Book Antiqua" w:hAnsi="Book Antiqua"/>
          <w:lang w:val="en-GB"/>
        </w:rPr>
        <w:t xml:space="preserve">The </w:t>
      </w:r>
      <w:r w:rsidR="008234E1" w:rsidRPr="00541840">
        <w:rPr>
          <w:rFonts w:ascii="Book Antiqua" w:hAnsi="Book Antiqua"/>
          <w:lang w:val="en-GB"/>
        </w:rPr>
        <w:t>PE of colorectal interest involves “</w:t>
      </w:r>
      <w:proofErr w:type="spellStart"/>
      <w:r w:rsidR="008234E1" w:rsidRPr="00EF4B5A">
        <w:rPr>
          <w:rFonts w:ascii="Book Antiqua" w:hAnsi="Book Antiqua"/>
          <w:i/>
          <w:lang w:val="en-GB"/>
        </w:rPr>
        <w:t>en</w:t>
      </w:r>
      <w:proofErr w:type="spellEnd"/>
      <w:r w:rsidR="008234E1" w:rsidRPr="00EF4B5A">
        <w:rPr>
          <w:rFonts w:ascii="Book Antiqua" w:hAnsi="Book Antiqua"/>
          <w:i/>
          <w:lang w:val="en-GB"/>
        </w:rPr>
        <w:t xml:space="preserve"> bloc</w:t>
      </w:r>
      <w:r w:rsidR="008234E1" w:rsidRPr="00541840">
        <w:rPr>
          <w:rFonts w:ascii="Book Antiqua" w:hAnsi="Book Antiqua"/>
          <w:lang w:val="en-GB"/>
        </w:rPr>
        <w:t xml:space="preserve">” resection of the cancer and of the surrounding structures/organs, </w:t>
      </w:r>
      <w:r w:rsidR="00296E35" w:rsidRPr="00541840">
        <w:rPr>
          <w:rFonts w:ascii="Book Antiqua" w:hAnsi="Book Antiqua"/>
          <w:lang w:val="en-GB"/>
        </w:rPr>
        <w:t>namely,</w:t>
      </w:r>
      <w:r w:rsidR="00D9425E" w:rsidRPr="00541840">
        <w:rPr>
          <w:rFonts w:ascii="Book Antiqua" w:hAnsi="Book Antiqua"/>
          <w:lang w:val="en-GB"/>
        </w:rPr>
        <w:t xml:space="preserve"> the</w:t>
      </w:r>
      <w:r w:rsidR="00296E35" w:rsidRPr="00541840">
        <w:rPr>
          <w:rFonts w:ascii="Book Antiqua" w:hAnsi="Book Antiqua"/>
          <w:lang w:val="en-GB"/>
        </w:rPr>
        <w:t xml:space="preserve"> </w:t>
      </w:r>
      <w:r w:rsidR="008234E1" w:rsidRPr="00541840">
        <w:rPr>
          <w:rFonts w:ascii="Book Antiqua" w:hAnsi="Book Antiqua"/>
          <w:lang w:val="en-GB"/>
        </w:rPr>
        <w:t>rectum, distal colon, internal reproductive organs, draining lymph in posterior PE (also known as composite resections) or bladder, lower ureters, rectum, distal colon,</w:t>
      </w:r>
      <w:r w:rsidR="00F716C9" w:rsidRPr="00541840">
        <w:rPr>
          <w:rFonts w:ascii="Book Antiqua" w:hAnsi="Book Antiqua"/>
          <w:lang w:val="en-GB"/>
        </w:rPr>
        <w:t xml:space="preserve"> sacrum,</w:t>
      </w:r>
      <w:r w:rsidR="008234E1" w:rsidRPr="00541840">
        <w:rPr>
          <w:rFonts w:ascii="Book Antiqua" w:hAnsi="Book Antiqua"/>
          <w:lang w:val="en-GB"/>
        </w:rPr>
        <w:t xml:space="preserve"> reproductive organs, draining lymph nodes and peritoneum in total P</w:t>
      </w:r>
      <w:r w:rsidR="00E53EF8" w:rsidRPr="00541840">
        <w:rPr>
          <w:rFonts w:ascii="Book Antiqua" w:hAnsi="Book Antiqua"/>
          <w:lang w:val="en-GB"/>
        </w:rPr>
        <w:t>E</w:t>
      </w:r>
      <w:r w:rsidR="008234E1" w:rsidRPr="00541840">
        <w:rPr>
          <w:rFonts w:ascii="Book Antiqua" w:hAnsi="Book Antiqua"/>
          <w:vertAlign w:val="superscript"/>
          <w:lang w:val="en-GB"/>
        </w:rPr>
        <w:t>[</w:t>
      </w:r>
      <w:r w:rsidR="00B677B1" w:rsidRPr="00541840">
        <w:rPr>
          <w:rFonts w:ascii="Book Antiqua" w:hAnsi="Book Antiqua"/>
          <w:vertAlign w:val="superscript"/>
          <w:lang w:val="en-GB"/>
        </w:rPr>
        <w:t>6,2</w:t>
      </w:r>
      <w:r w:rsidR="0080386B" w:rsidRPr="00541840">
        <w:rPr>
          <w:rFonts w:ascii="Book Antiqua" w:hAnsi="Book Antiqua"/>
          <w:vertAlign w:val="superscript"/>
          <w:lang w:val="en-GB"/>
        </w:rPr>
        <w:t>8</w:t>
      </w:r>
      <w:r w:rsidR="008234E1" w:rsidRPr="00541840">
        <w:rPr>
          <w:rFonts w:ascii="Book Antiqua" w:hAnsi="Book Antiqua"/>
          <w:vertAlign w:val="superscript"/>
          <w:lang w:val="en-GB"/>
        </w:rPr>
        <w:t>]</w:t>
      </w:r>
      <w:r w:rsidR="008234E1" w:rsidRPr="00541840">
        <w:rPr>
          <w:rFonts w:ascii="Book Antiqua" w:hAnsi="Book Antiqua"/>
          <w:lang w:val="en-GB"/>
        </w:rPr>
        <w:t>.</w:t>
      </w:r>
    </w:p>
    <w:p w14:paraId="2B327050" w14:textId="2D6836A7" w:rsidR="00534873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</w:rPr>
        <w:t xml:space="preserve">  </w:t>
      </w:r>
      <w:r w:rsidR="003275D7" w:rsidRPr="00541840">
        <w:rPr>
          <w:rFonts w:ascii="Book Antiqua" w:hAnsi="Book Antiqua"/>
          <w:lang w:val="en-GB"/>
        </w:rPr>
        <w:t xml:space="preserve">Perioperative complications in our study were in line with rates reported in the literature. </w:t>
      </w:r>
      <w:r w:rsidR="0052212A" w:rsidRPr="00541840">
        <w:rPr>
          <w:rFonts w:ascii="Book Antiqua" w:hAnsi="Book Antiqua"/>
          <w:lang w:val="en-GB"/>
        </w:rPr>
        <w:t xml:space="preserve">A systematic </w:t>
      </w:r>
      <w:proofErr w:type="gramStart"/>
      <w:r w:rsidR="0052212A" w:rsidRPr="00541840">
        <w:rPr>
          <w:rFonts w:ascii="Book Antiqua" w:hAnsi="Book Antiqua"/>
          <w:lang w:val="en-GB"/>
        </w:rPr>
        <w:t>review</w:t>
      </w:r>
      <w:r w:rsidR="0052212A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B677B1" w:rsidRPr="00541840">
        <w:rPr>
          <w:rFonts w:ascii="Book Antiqua" w:hAnsi="Book Antiqua"/>
          <w:vertAlign w:val="superscript"/>
          <w:lang w:val="en-GB"/>
        </w:rPr>
        <w:t>2</w:t>
      </w:r>
      <w:r w:rsidR="0080386B" w:rsidRPr="00541840">
        <w:rPr>
          <w:rFonts w:ascii="Book Antiqua" w:hAnsi="Book Antiqua"/>
          <w:vertAlign w:val="superscript"/>
          <w:lang w:val="en-GB"/>
        </w:rPr>
        <w:t>9</w:t>
      </w:r>
      <w:r w:rsidR="0052212A" w:rsidRPr="00541840">
        <w:rPr>
          <w:rFonts w:ascii="Book Antiqua" w:hAnsi="Book Antiqua"/>
          <w:vertAlign w:val="superscript"/>
          <w:lang w:val="en-GB"/>
        </w:rPr>
        <w:t>]</w:t>
      </w:r>
      <w:r w:rsidR="0052212A" w:rsidRPr="00541840">
        <w:rPr>
          <w:rFonts w:ascii="Book Antiqua" w:hAnsi="Book Antiqua"/>
          <w:lang w:val="en-GB"/>
        </w:rPr>
        <w:t xml:space="preserve"> with 23 studies found that postoperative complications ranged between 37% and 100% (median 57%) and that perioperative mortality ranged between 0</w:t>
      </w:r>
      <w:r>
        <w:rPr>
          <w:rFonts w:ascii="Book Antiqua" w:hAnsi="Book Antiqua"/>
          <w:lang w:val="en-GB"/>
        </w:rPr>
        <w:t>%</w:t>
      </w:r>
      <w:r w:rsidR="0052212A" w:rsidRPr="00541840">
        <w:rPr>
          <w:rFonts w:ascii="Book Antiqua" w:hAnsi="Book Antiqua"/>
          <w:lang w:val="en-GB"/>
        </w:rPr>
        <w:t xml:space="preserve"> and 25% (median 2.2%) after PE for LA</w:t>
      </w:r>
      <w:r w:rsidR="009970AC" w:rsidRPr="00541840">
        <w:rPr>
          <w:rFonts w:ascii="Book Antiqua" w:hAnsi="Book Antiqua"/>
          <w:lang w:val="en-GB"/>
        </w:rPr>
        <w:t>P</w:t>
      </w:r>
      <w:r w:rsidR="0052212A" w:rsidRPr="00541840">
        <w:rPr>
          <w:rFonts w:ascii="Book Antiqua" w:hAnsi="Book Antiqua"/>
          <w:lang w:val="en-GB"/>
        </w:rPr>
        <w:t xml:space="preserve">RC and recurrent cancer. </w:t>
      </w:r>
      <w:r w:rsidR="009D3FE1" w:rsidRPr="00541840">
        <w:rPr>
          <w:rFonts w:ascii="Book Antiqua" w:hAnsi="Book Antiqua"/>
          <w:lang w:val="en-GB"/>
        </w:rPr>
        <w:t>The s</w:t>
      </w:r>
      <w:r w:rsidR="0052212A" w:rsidRPr="00541840">
        <w:rPr>
          <w:rFonts w:ascii="Book Antiqua" w:hAnsi="Book Antiqua"/>
          <w:lang w:val="en-GB"/>
        </w:rPr>
        <w:t>tudies including all types of pelvic malignancies reported a complication rate as high as 64</w:t>
      </w:r>
      <w:proofErr w:type="gramStart"/>
      <w:r w:rsidR="0052212A" w:rsidRPr="00541840">
        <w:rPr>
          <w:rFonts w:ascii="Book Antiqua" w:hAnsi="Book Antiqua"/>
          <w:lang w:val="en-GB"/>
        </w:rPr>
        <w:t>%</w:t>
      </w:r>
      <w:r w:rsidR="0052212A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B677B1" w:rsidRPr="00541840">
        <w:rPr>
          <w:rFonts w:ascii="Book Antiqua" w:hAnsi="Book Antiqua"/>
          <w:vertAlign w:val="superscript"/>
          <w:lang w:val="en-GB"/>
        </w:rPr>
        <w:t>6</w:t>
      </w:r>
      <w:r w:rsidR="0052212A" w:rsidRPr="00541840">
        <w:rPr>
          <w:rFonts w:ascii="Book Antiqua" w:hAnsi="Book Antiqua"/>
          <w:vertAlign w:val="superscript"/>
          <w:lang w:val="en-GB"/>
        </w:rPr>
        <w:t>]</w:t>
      </w:r>
      <w:r w:rsidR="0052212A" w:rsidRPr="00541840">
        <w:rPr>
          <w:rFonts w:ascii="Book Antiqua" w:hAnsi="Book Antiqua"/>
          <w:lang w:val="en-GB"/>
        </w:rPr>
        <w:t>.</w:t>
      </w:r>
      <w:r w:rsidR="00974078" w:rsidRPr="00541840">
        <w:rPr>
          <w:rFonts w:ascii="Book Antiqua" w:hAnsi="Book Antiqua"/>
          <w:lang w:val="en-GB"/>
        </w:rPr>
        <w:t xml:space="preserve"> In more recent series, complications occurred in 27.7% to 42.2% of patients who underwent PE for </w:t>
      </w:r>
      <w:proofErr w:type="gramStart"/>
      <w:r w:rsidR="00974078" w:rsidRPr="00541840">
        <w:rPr>
          <w:rFonts w:ascii="Book Antiqua" w:hAnsi="Book Antiqua"/>
          <w:lang w:val="en-GB"/>
        </w:rPr>
        <w:t>LA</w:t>
      </w:r>
      <w:r w:rsidR="009970AC" w:rsidRPr="00541840">
        <w:rPr>
          <w:rFonts w:ascii="Book Antiqua" w:hAnsi="Book Antiqua"/>
          <w:lang w:val="en-GB"/>
        </w:rPr>
        <w:t>P</w:t>
      </w:r>
      <w:r w:rsidR="00974078" w:rsidRPr="00541840">
        <w:rPr>
          <w:rFonts w:ascii="Book Antiqua" w:hAnsi="Book Antiqua"/>
          <w:lang w:val="en-GB"/>
        </w:rPr>
        <w:t>RC</w:t>
      </w:r>
      <w:r w:rsidR="00974078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B677B1" w:rsidRPr="00541840">
        <w:rPr>
          <w:rFonts w:ascii="Book Antiqua" w:hAnsi="Book Antiqua"/>
          <w:vertAlign w:val="superscript"/>
          <w:lang w:val="en-GB"/>
        </w:rPr>
        <w:t>5,11,13,2</w:t>
      </w:r>
      <w:r w:rsidR="0080386B" w:rsidRPr="00541840">
        <w:rPr>
          <w:rFonts w:ascii="Book Antiqua" w:hAnsi="Book Antiqua"/>
          <w:vertAlign w:val="superscript"/>
          <w:lang w:val="en-GB"/>
        </w:rPr>
        <w:t>6</w:t>
      </w:r>
      <w:r w:rsidR="00974078" w:rsidRPr="00541840">
        <w:rPr>
          <w:rFonts w:ascii="Book Antiqua" w:hAnsi="Book Antiqua"/>
          <w:vertAlign w:val="superscript"/>
          <w:lang w:val="en-GB"/>
        </w:rPr>
        <w:t>]</w:t>
      </w:r>
      <w:r w:rsidR="00974078" w:rsidRPr="00541840">
        <w:rPr>
          <w:rFonts w:ascii="Book Antiqua" w:hAnsi="Book Antiqua"/>
          <w:lang w:val="en-GB"/>
        </w:rPr>
        <w:t>.</w:t>
      </w:r>
      <w:r w:rsidR="001765BC" w:rsidRPr="00541840">
        <w:rPr>
          <w:rFonts w:ascii="Book Antiqua" w:hAnsi="Book Antiqua"/>
          <w:lang w:val="en-GB"/>
        </w:rPr>
        <w:t xml:space="preserve"> </w:t>
      </w:r>
      <w:r w:rsidR="00AF2D16" w:rsidRPr="00541840">
        <w:rPr>
          <w:rFonts w:ascii="Book Antiqua" w:hAnsi="Book Antiqua"/>
          <w:lang w:val="en-GB"/>
        </w:rPr>
        <w:t>I</w:t>
      </w:r>
      <w:r w:rsidR="001765BC" w:rsidRPr="00541840">
        <w:rPr>
          <w:rFonts w:ascii="Book Antiqua" w:hAnsi="Book Antiqua"/>
          <w:lang w:val="en-GB"/>
        </w:rPr>
        <w:t xml:space="preserve">rrespective of ASA score, the rate of patients developing serious complications might be similar to that observed after TME anterior </w:t>
      </w:r>
      <w:proofErr w:type="gramStart"/>
      <w:r w:rsidR="001765BC" w:rsidRPr="00541840">
        <w:rPr>
          <w:rFonts w:ascii="Book Antiqua" w:hAnsi="Book Antiqua"/>
          <w:lang w:val="en-GB"/>
        </w:rPr>
        <w:t>resection</w:t>
      </w:r>
      <w:r w:rsidR="001765BC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B677B1" w:rsidRPr="00541840">
        <w:rPr>
          <w:rFonts w:ascii="Book Antiqua" w:hAnsi="Book Antiqua"/>
          <w:vertAlign w:val="superscript"/>
          <w:lang w:val="en-GB"/>
        </w:rPr>
        <w:t>11</w:t>
      </w:r>
      <w:r w:rsidR="00296E35" w:rsidRPr="00541840">
        <w:rPr>
          <w:rFonts w:ascii="Book Antiqua" w:hAnsi="Book Antiqua"/>
          <w:vertAlign w:val="superscript"/>
          <w:lang w:val="en-GB"/>
        </w:rPr>
        <w:t>,</w:t>
      </w:r>
      <w:r w:rsidR="009B56CC" w:rsidRPr="00541840">
        <w:rPr>
          <w:rFonts w:ascii="Book Antiqua" w:hAnsi="Book Antiqua"/>
          <w:vertAlign w:val="superscript"/>
          <w:lang w:val="en-GB"/>
        </w:rPr>
        <w:t>30</w:t>
      </w:r>
      <w:r w:rsidR="001765BC" w:rsidRPr="00541840">
        <w:rPr>
          <w:rFonts w:ascii="Book Antiqua" w:hAnsi="Book Antiqua"/>
          <w:vertAlign w:val="superscript"/>
          <w:lang w:val="en-GB"/>
        </w:rPr>
        <w:t>]</w:t>
      </w:r>
      <w:r w:rsidR="001765BC" w:rsidRPr="00541840">
        <w:rPr>
          <w:rFonts w:ascii="Book Antiqua" w:hAnsi="Book Antiqua"/>
          <w:lang w:val="en-GB"/>
        </w:rPr>
        <w:t xml:space="preserve">. In our series, the rate of patients who developed complications needing </w:t>
      </w:r>
      <w:r w:rsidR="001765BC" w:rsidRPr="00541840">
        <w:rPr>
          <w:rFonts w:ascii="Book Antiqua" w:hAnsi="Book Antiqua"/>
          <w:lang w:val="en-GB"/>
        </w:rPr>
        <w:lastRenderedPageBreak/>
        <w:t xml:space="preserve">reintervention </w:t>
      </w:r>
      <w:r w:rsidR="00C67802" w:rsidRPr="00541840">
        <w:rPr>
          <w:rFonts w:ascii="Book Antiqua" w:hAnsi="Book Antiqua"/>
          <w:lang w:val="en-GB"/>
        </w:rPr>
        <w:t xml:space="preserve">was 10%. </w:t>
      </w:r>
      <w:r w:rsidR="00C515CF" w:rsidRPr="00541840">
        <w:rPr>
          <w:rFonts w:ascii="Book Antiqua" w:hAnsi="Book Antiqua"/>
          <w:lang w:val="en-GB"/>
        </w:rPr>
        <w:t>Surgeons willing to set up unit</w:t>
      </w:r>
      <w:r w:rsidR="000755BF" w:rsidRPr="00541840">
        <w:rPr>
          <w:rFonts w:ascii="Book Antiqua" w:hAnsi="Book Antiqua"/>
          <w:lang w:val="en-GB"/>
        </w:rPr>
        <w:t>s</w:t>
      </w:r>
      <w:r w:rsidR="00C515CF" w:rsidRPr="00541840">
        <w:rPr>
          <w:rFonts w:ascii="Book Antiqua" w:hAnsi="Book Antiqua"/>
          <w:lang w:val="en-GB"/>
        </w:rPr>
        <w:t xml:space="preserve"> dedicated to PE need to be prepared to long postoperative stay</w:t>
      </w:r>
      <w:r w:rsidR="000755BF" w:rsidRPr="00541840">
        <w:rPr>
          <w:rFonts w:ascii="Book Antiqua" w:hAnsi="Book Antiqua"/>
          <w:lang w:val="en-GB"/>
        </w:rPr>
        <w:t>s</w:t>
      </w:r>
      <w:r w:rsidR="00C515CF" w:rsidRPr="00541840">
        <w:rPr>
          <w:rFonts w:ascii="Book Antiqua" w:hAnsi="Book Antiqua"/>
          <w:lang w:val="en-GB"/>
        </w:rPr>
        <w:t xml:space="preserve"> and significant morbidity, even in experienced </w:t>
      </w:r>
      <w:proofErr w:type="gramStart"/>
      <w:r w:rsidR="00C515CF" w:rsidRPr="00541840">
        <w:rPr>
          <w:rFonts w:ascii="Book Antiqua" w:hAnsi="Book Antiqua"/>
          <w:lang w:val="en-GB"/>
        </w:rPr>
        <w:t>hands</w:t>
      </w:r>
      <w:r w:rsidR="00C515CF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9B56CC" w:rsidRPr="00541840">
        <w:rPr>
          <w:rFonts w:ascii="Book Antiqua" w:hAnsi="Book Antiqua"/>
          <w:vertAlign w:val="superscript"/>
          <w:lang w:val="en-GB"/>
        </w:rPr>
        <w:t>19</w:t>
      </w:r>
      <w:r w:rsidR="00C515CF" w:rsidRPr="00541840">
        <w:rPr>
          <w:rFonts w:ascii="Book Antiqua" w:hAnsi="Book Antiqua"/>
          <w:vertAlign w:val="superscript"/>
          <w:lang w:val="en-GB"/>
        </w:rPr>
        <w:t>]</w:t>
      </w:r>
      <w:r w:rsidR="00C515CF" w:rsidRPr="00541840">
        <w:rPr>
          <w:rFonts w:ascii="Book Antiqua" w:hAnsi="Book Antiqua"/>
          <w:lang w:val="en-GB"/>
        </w:rPr>
        <w:t xml:space="preserve">; early diagnosis and proactive management will be important to reduce their effects. </w:t>
      </w:r>
      <w:r w:rsidR="002E1DD4" w:rsidRPr="00541840">
        <w:rPr>
          <w:rFonts w:ascii="Book Antiqua" w:hAnsi="Book Antiqua"/>
          <w:lang w:val="en-GB"/>
        </w:rPr>
        <w:t xml:space="preserve">Hsu </w:t>
      </w:r>
      <w:r w:rsidR="002E1DD4" w:rsidRPr="00EF4B5A">
        <w:rPr>
          <w:rFonts w:ascii="Book Antiqua" w:hAnsi="Book Antiqua"/>
          <w:i/>
          <w:lang w:val="en-GB"/>
        </w:rPr>
        <w:t xml:space="preserve">et </w:t>
      </w:r>
      <w:proofErr w:type="gramStart"/>
      <w:r w:rsidR="002E1DD4" w:rsidRPr="00EF4B5A">
        <w:rPr>
          <w:rFonts w:ascii="Book Antiqua" w:hAnsi="Book Antiqua"/>
          <w:i/>
          <w:lang w:val="en-GB"/>
        </w:rPr>
        <w:t>al</w:t>
      </w:r>
      <w:r w:rsidR="002E1DD4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80386B" w:rsidRPr="00541840">
        <w:rPr>
          <w:rFonts w:ascii="Book Antiqua" w:hAnsi="Book Antiqua"/>
          <w:vertAlign w:val="superscript"/>
          <w:lang w:val="en-GB"/>
        </w:rPr>
        <w:t>31</w:t>
      </w:r>
      <w:r w:rsidR="002E1DD4" w:rsidRPr="00541840">
        <w:rPr>
          <w:rFonts w:ascii="Book Antiqua" w:hAnsi="Book Antiqua"/>
          <w:vertAlign w:val="superscript"/>
          <w:lang w:val="en-GB"/>
        </w:rPr>
        <w:t>]</w:t>
      </w:r>
      <w:r w:rsidR="002E1DD4" w:rsidRPr="00541840">
        <w:rPr>
          <w:rFonts w:ascii="Book Antiqua" w:hAnsi="Book Antiqua"/>
          <w:lang w:val="en-GB"/>
        </w:rPr>
        <w:t xml:space="preserve"> have discarded any influence of perioperative complications on survival after LA</w:t>
      </w:r>
      <w:r w:rsidR="009970AC" w:rsidRPr="00541840">
        <w:rPr>
          <w:rFonts w:ascii="Book Antiqua" w:hAnsi="Book Antiqua"/>
          <w:lang w:val="en-GB"/>
        </w:rPr>
        <w:t>P</w:t>
      </w:r>
      <w:r w:rsidR="002E1DD4" w:rsidRPr="00541840">
        <w:rPr>
          <w:rFonts w:ascii="Book Antiqua" w:hAnsi="Book Antiqua"/>
          <w:lang w:val="en-GB"/>
        </w:rPr>
        <w:t>RC surgery, but in our series</w:t>
      </w:r>
      <w:r w:rsidR="00963764" w:rsidRPr="00541840">
        <w:rPr>
          <w:rFonts w:ascii="Book Antiqua" w:hAnsi="Book Antiqua"/>
          <w:lang w:val="en-GB"/>
        </w:rPr>
        <w:t>,</w:t>
      </w:r>
      <w:r w:rsidR="002E1DD4" w:rsidRPr="00541840">
        <w:rPr>
          <w:rFonts w:ascii="Book Antiqua" w:hAnsi="Book Antiqua"/>
          <w:lang w:val="en-GB"/>
        </w:rPr>
        <w:t xml:space="preserve"> complications were independently associated with shorter life expectancy (HR</w:t>
      </w:r>
      <w:r>
        <w:rPr>
          <w:rFonts w:ascii="Book Antiqua" w:hAnsi="Book Antiqua"/>
          <w:lang w:val="en-GB"/>
        </w:rPr>
        <w:t xml:space="preserve"> = </w:t>
      </w:r>
      <w:r w:rsidR="002E1DD4" w:rsidRPr="00541840">
        <w:rPr>
          <w:rFonts w:ascii="Book Antiqua" w:hAnsi="Book Antiqua"/>
          <w:lang w:val="en-GB"/>
        </w:rPr>
        <w:t>3.53, 95%CI</w:t>
      </w:r>
      <w:r>
        <w:rPr>
          <w:rFonts w:ascii="Book Antiqua" w:hAnsi="Book Antiqua"/>
          <w:lang w:val="en-GB"/>
        </w:rPr>
        <w:t>:</w:t>
      </w:r>
      <w:r w:rsidR="002E1DD4" w:rsidRPr="00541840">
        <w:rPr>
          <w:rFonts w:ascii="Book Antiqua" w:hAnsi="Book Antiqua"/>
          <w:lang w:val="en-GB"/>
        </w:rPr>
        <w:t xml:space="preserve"> 1.12-10.94, </w:t>
      </w:r>
      <w:r w:rsidR="00E13A10" w:rsidRPr="00541840">
        <w:rPr>
          <w:rFonts w:ascii="Book Antiqua" w:hAnsi="Book Antiqua"/>
          <w:i/>
          <w:lang w:val="en-GB"/>
        </w:rPr>
        <w:t>P</w:t>
      </w:r>
      <w:r>
        <w:rPr>
          <w:rFonts w:ascii="Book Antiqua" w:hAnsi="Book Antiqua"/>
          <w:i/>
          <w:lang w:val="en-GB"/>
        </w:rPr>
        <w:t xml:space="preserve"> </w:t>
      </w:r>
      <w:r w:rsidR="002E1DD4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</w:t>
      </w:r>
      <w:r w:rsidR="002E1DD4" w:rsidRPr="00541840">
        <w:rPr>
          <w:rFonts w:ascii="Book Antiqua" w:hAnsi="Book Antiqua"/>
          <w:lang w:val="en-GB"/>
        </w:rPr>
        <w:t>0.03).</w:t>
      </w:r>
      <w:r w:rsidR="00B57E32" w:rsidRPr="00541840">
        <w:rPr>
          <w:rFonts w:ascii="Book Antiqua" w:hAnsi="Book Antiqua"/>
          <w:lang w:val="en-GB"/>
        </w:rPr>
        <w:t xml:space="preserve"> These findings need to be carefully evaluated in the context of surgeon-specific outcomes</w:t>
      </w:r>
      <w:r w:rsidR="00D67F42" w:rsidRPr="00541840">
        <w:rPr>
          <w:rFonts w:ascii="Book Antiqua" w:hAnsi="Book Antiqua"/>
          <w:vertAlign w:val="superscript"/>
          <w:lang w:val="en-GB"/>
        </w:rPr>
        <w:t>[</w:t>
      </w:r>
      <w:r w:rsidR="0080386B" w:rsidRPr="00541840">
        <w:rPr>
          <w:rFonts w:ascii="Book Antiqua" w:hAnsi="Book Antiqua"/>
          <w:vertAlign w:val="superscript"/>
          <w:lang w:val="en-GB"/>
        </w:rPr>
        <w:t>32</w:t>
      </w:r>
      <w:r w:rsidR="00D67F42" w:rsidRPr="00541840">
        <w:rPr>
          <w:rFonts w:ascii="Book Antiqua" w:hAnsi="Book Antiqua"/>
          <w:vertAlign w:val="superscript"/>
          <w:lang w:val="en-GB"/>
        </w:rPr>
        <w:t>]</w:t>
      </w:r>
      <w:r w:rsidR="00B57E32" w:rsidRPr="00541840">
        <w:rPr>
          <w:rFonts w:ascii="Book Antiqua" w:hAnsi="Book Antiqua"/>
          <w:lang w:val="en-GB"/>
        </w:rPr>
        <w:t xml:space="preserve"> and learning curve</w:t>
      </w:r>
      <w:r w:rsidR="00536FBA" w:rsidRPr="00541840">
        <w:rPr>
          <w:rFonts w:ascii="Book Antiqua" w:hAnsi="Book Antiqua"/>
          <w:lang w:val="en-GB"/>
        </w:rPr>
        <w:t>s</w:t>
      </w:r>
      <w:r w:rsidR="00B57E32" w:rsidRPr="00541840">
        <w:rPr>
          <w:rFonts w:ascii="Book Antiqua" w:hAnsi="Book Antiqua"/>
          <w:lang w:val="en-GB"/>
        </w:rPr>
        <w:t xml:space="preserve"> associated with PE</w:t>
      </w:r>
      <w:r w:rsidR="00D67F42" w:rsidRPr="00541840">
        <w:rPr>
          <w:rFonts w:ascii="Book Antiqua" w:hAnsi="Book Antiqua"/>
          <w:vertAlign w:val="superscript"/>
          <w:lang w:val="en-GB"/>
        </w:rPr>
        <w:t>[</w:t>
      </w:r>
      <w:r w:rsidR="0080386B" w:rsidRPr="00541840">
        <w:rPr>
          <w:rFonts w:ascii="Book Antiqua" w:hAnsi="Book Antiqua"/>
          <w:vertAlign w:val="superscript"/>
          <w:lang w:val="en-GB"/>
        </w:rPr>
        <w:t>33</w:t>
      </w:r>
      <w:r w:rsidR="00D67F42" w:rsidRPr="00541840">
        <w:rPr>
          <w:rFonts w:ascii="Book Antiqua" w:hAnsi="Book Antiqua"/>
          <w:vertAlign w:val="superscript"/>
          <w:lang w:val="en-GB"/>
        </w:rPr>
        <w:t>]</w:t>
      </w:r>
      <w:r w:rsidR="00B57E32" w:rsidRPr="00541840">
        <w:rPr>
          <w:rFonts w:ascii="Book Antiqua" w:hAnsi="Book Antiqua"/>
          <w:lang w:val="en-GB"/>
        </w:rPr>
        <w:t xml:space="preserve">, and any attempt should be made to reduce complications, </w:t>
      </w:r>
      <w:r w:rsidR="00B57E32" w:rsidRPr="00EF4B5A">
        <w:rPr>
          <w:rFonts w:ascii="Book Antiqua" w:hAnsi="Book Antiqua"/>
          <w:i/>
          <w:lang w:val="en-GB"/>
        </w:rPr>
        <w:t>e.g.</w:t>
      </w:r>
      <w:r w:rsidR="00536FBA" w:rsidRPr="00541840">
        <w:rPr>
          <w:rFonts w:ascii="Book Antiqua" w:hAnsi="Book Antiqua"/>
          <w:lang w:val="en-GB"/>
        </w:rPr>
        <w:t>,</w:t>
      </w:r>
      <w:r w:rsidR="00B57E32" w:rsidRPr="00541840">
        <w:rPr>
          <w:rFonts w:ascii="Book Antiqua" w:hAnsi="Book Antiqua"/>
          <w:lang w:val="en-GB"/>
        </w:rPr>
        <w:t xml:space="preserve"> being very selective in performing anastomosis</w:t>
      </w:r>
      <w:r w:rsidR="004B1A7F" w:rsidRPr="00541840">
        <w:rPr>
          <w:rFonts w:ascii="Book Antiqua" w:hAnsi="Book Antiqua"/>
          <w:lang w:val="en-GB"/>
        </w:rPr>
        <w:t xml:space="preserve"> and including a dedicated </w:t>
      </w:r>
      <w:r w:rsidR="00D43FC2" w:rsidRPr="00541840">
        <w:rPr>
          <w:rFonts w:ascii="Book Antiqua" w:hAnsi="Book Antiqua"/>
          <w:lang w:val="en-GB"/>
        </w:rPr>
        <w:t>anaesthetist</w:t>
      </w:r>
      <w:r w:rsidR="004B1A7F" w:rsidRPr="00541840">
        <w:rPr>
          <w:rFonts w:ascii="Book Antiqua" w:hAnsi="Book Antiqua"/>
          <w:lang w:val="en-GB"/>
        </w:rPr>
        <w:t xml:space="preserve"> in the multidisciplinary team to allow for patient optimization</w:t>
      </w:r>
      <w:r w:rsidR="004B1A7F" w:rsidRPr="00541840">
        <w:rPr>
          <w:rFonts w:ascii="Book Antiqua" w:hAnsi="Book Antiqua"/>
          <w:vertAlign w:val="superscript"/>
          <w:lang w:val="en-GB"/>
        </w:rPr>
        <w:t>[</w:t>
      </w:r>
      <w:r w:rsidR="007822D0" w:rsidRPr="00541840">
        <w:rPr>
          <w:rFonts w:ascii="Book Antiqua" w:hAnsi="Book Antiqua"/>
          <w:vertAlign w:val="superscript"/>
          <w:lang w:val="en-GB"/>
        </w:rPr>
        <w:t>5,</w:t>
      </w:r>
      <w:r w:rsidR="009B56CC" w:rsidRPr="00541840">
        <w:rPr>
          <w:rFonts w:ascii="Book Antiqua" w:hAnsi="Book Antiqua"/>
          <w:vertAlign w:val="superscript"/>
          <w:lang w:val="en-GB"/>
        </w:rPr>
        <w:t>19,</w:t>
      </w:r>
      <w:r w:rsidR="0080386B" w:rsidRPr="00541840">
        <w:rPr>
          <w:rFonts w:ascii="Book Antiqua" w:hAnsi="Book Antiqua"/>
          <w:vertAlign w:val="superscript"/>
          <w:lang w:val="en-GB"/>
        </w:rPr>
        <w:t>30</w:t>
      </w:r>
      <w:r w:rsidR="004B1A7F" w:rsidRPr="00541840">
        <w:rPr>
          <w:rFonts w:ascii="Book Antiqua" w:hAnsi="Book Antiqua"/>
          <w:vertAlign w:val="superscript"/>
          <w:lang w:val="en-GB"/>
        </w:rPr>
        <w:t>]</w:t>
      </w:r>
      <w:r w:rsidR="00534873" w:rsidRPr="00541840">
        <w:rPr>
          <w:rFonts w:ascii="Book Antiqua" w:hAnsi="Book Antiqua"/>
          <w:lang w:val="en-GB"/>
        </w:rPr>
        <w:t>.</w:t>
      </w:r>
    </w:p>
    <w:p w14:paraId="5685E8A7" w14:textId="25C24334" w:rsidR="00EA3DDA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F716C9" w:rsidRPr="00541840">
        <w:rPr>
          <w:rFonts w:ascii="Book Antiqua" w:hAnsi="Book Antiqua"/>
          <w:lang w:val="en-GB"/>
        </w:rPr>
        <w:t xml:space="preserve">The rate of </w:t>
      </w:r>
      <w:proofErr w:type="spellStart"/>
      <w:r w:rsidR="00F716C9" w:rsidRPr="00541840">
        <w:rPr>
          <w:rFonts w:ascii="Book Antiqua" w:hAnsi="Book Antiqua"/>
          <w:lang w:val="en-GB"/>
        </w:rPr>
        <w:t>R+ve</w:t>
      </w:r>
      <w:proofErr w:type="spellEnd"/>
      <w:r w:rsidR="00F716C9" w:rsidRPr="00541840">
        <w:rPr>
          <w:rFonts w:ascii="Book Antiqua" w:hAnsi="Book Antiqua"/>
          <w:lang w:val="en-GB"/>
        </w:rPr>
        <w:t xml:space="preserve"> resection in our study was similar to other reports but </w:t>
      </w:r>
      <w:r w:rsidR="007A5C1D" w:rsidRPr="00541840">
        <w:rPr>
          <w:rFonts w:ascii="Book Antiqua" w:hAnsi="Book Antiqua"/>
          <w:lang w:val="en-GB"/>
        </w:rPr>
        <w:t xml:space="preserve">likely </w:t>
      </w:r>
      <w:r w:rsidR="00F716C9" w:rsidRPr="00541840">
        <w:rPr>
          <w:rFonts w:ascii="Book Antiqua" w:hAnsi="Book Antiqua"/>
          <w:lang w:val="en-GB"/>
        </w:rPr>
        <w:t xml:space="preserve">improvable. </w:t>
      </w:r>
      <w:r w:rsidR="00656A9A" w:rsidRPr="00541840">
        <w:rPr>
          <w:rFonts w:ascii="Book Antiqua" w:hAnsi="Book Antiqua"/>
          <w:lang w:val="en-GB"/>
        </w:rPr>
        <w:t xml:space="preserve">Combined with </w:t>
      </w:r>
      <w:r w:rsidR="009A5EFC" w:rsidRPr="00541840">
        <w:rPr>
          <w:rFonts w:ascii="Book Antiqua" w:hAnsi="Book Antiqua"/>
          <w:lang w:val="en-GB"/>
        </w:rPr>
        <w:t xml:space="preserve">the </w:t>
      </w:r>
      <w:r w:rsidR="00656A9A" w:rsidRPr="00541840">
        <w:rPr>
          <w:rFonts w:ascii="Book Antiqua" w:hAnsi="Book Antiqua"/>
          <w:lang w:val="en-GB"/>
        </w:rPr>
        <w:t>quality of the exci</w:t>
      </w:r>
      <w:r w:rsidR="009A5EFC" w:rsidRPr="00541840">
        <w:rPr>
          <w:rFonts w:ascii="Book Antiqua" w:hAnsi="Book Antiqua"/>
          <w:lang w:val="en-GB"/>
        </w:rPr>
        <w:t>s</w:t>
      </w:r>
      <w:r w:rsidR="00656A9A" w:rsidRPr="00541840">
        <w:rPr>
          <w:rFonts w:ascii="Book Antiqua" w:hAnsi="Book Antiqua"/>
          <w:lang w:val="en-GB"/>
        </w:rPr>
        <w:t xml:space="preserve">ed specimen, </w:t>
      </w:r>
      <w:r w:rsidR="00584206" w:rsidRPr="00541840">
        <w:rPr>
          <w:rFonts w:ascii="Book Antiqua" w:hAnsi="Book Antiqua"/>
          <w:lang w:val="en-GB"/>
        </w:rPr>
        <w:t xml:space="preserve">it </w:t>
      </w:r>
      <w:r w:rsidR="00656A9A" w:rsidRPr="00541840">
        <w:rPr>
          <w:rFonts w:ascii="Book Antiqua" w:hAnsi="Book Antiqua"/>
          <w:lang w:val="en-GB"/>
        </w:rPr>
        <w:t>represent</w:t>
      </w:r>
      <w:r w:rsidR="00584206" w:rsidRPr="00541840">
        <w:rPr>
          <w:rFonts w:ascii="Book Antiqua" w:hAnsi="Book Antiqua"/>
          <w:lang w:val="en-GB"/>
        </w:rPr>
        <w:t>s</w:t>
      </w:r>
      <w:r w:rsidR="00656A9A" w:rsidRPr="00541840">
        <w:rPr>
          <w:rFonts w:ascii="Book Antiqua" w:hAnsi="Book Antiqua"/>
          <w:lang w:val="en-GB"/>
        </w:rPr>
        <w:t xml:space="preserve"> a reliable surrogate marker for LR and survival after </w:t>
      </w:r>
      <w:proofErr w:type="gramStart"/>
      <w:r w:rsidR="00656A9A" w:rsidRPr="00541840">
        <w:rPr>
          <w:rFonts w:ascii="Book Antiqua" w:hAnsi="Book Antiqua"/>
          <w:lang w:val="en-GB"/>
        </w:rPr>
        <w:t>PE</w:t>
      </w:r>
      <w:r w:rsidR="00656A9A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822D0" w:rsidRPr="00541840">
        <w:rPr>
          <w:rFonts w:ascii="Book Antiqua" w:hAnsi="Book Antiqua"/>
          <w:vertAlign w:val="superscript"/>
          <w:lang w:val="en-GB"/>
        </w:rPr>
        <w:t>6,7,8,</w:t>
      </w:r>
      <w:r w:rsidR="0080386B" w:rsidRPr="00541840">
        <w:rPr>
          <w:rFonts w:ascii="Book Antiqua" w:hAnsi="Book Antiqua"/>
          <w:vertAlign w:val="superscript"/>
          <w:lang w:val="en-GB"/>
        </w:rPr>
        <w:t>25</w:t>
      </w:r>
      <w:r w:rsidR="00656A9A" w:rsidRPr="00541840">
        <w:rPr>
          <w:rFonts w:ascii="Book Antiqua" w:hAnsi="Book Antiqua"/>
          <w:vertAlign w:val="superscript"/>
          <w:lang w:val="en-GB"/>
        </w:rPr>
        <w:t>]</w:t>
      </w:r>
      <w:r w:rsidR="009970AC" w:rsidRPr="00541840">
        <w:rPr>
          <w:rFonts w:ascii="Book Antiqua" w:hAnsi="Book Antiqua"/>
          <w:lang w:val="en-GB"/>
        </w:rPr>
        <w:t>.</w:t>
      </w:r>
      <w:r w:rsidR="00D86138" w:rsidRPr="00541840">
        <w:rPr>
          <w:rFonts w:ascii="Book Antiqua" w:hAnsi="Book Antiqua"/>
          <w:lang w:val="en-GB"/>
        </w:rPr>
        <w:t xml:space="preserve"> </w:t>
      </w:r>
      <w:r w:rsidR="009970AC" w:rsidRPr="00541840">
        <w:rPr>
          <w:rFonts w:ascii="Book Antiqua" w:hAnsi="Book Antiqua"/>
          <w:lang w:val="en-GB"/>
        </w:rPr>
        <w:t>T</w:t>
      </w:r>
      <w:r w:rsidR="00D86138" w:rsidRPr="00541840">
        <w:rPr>
          <w:rFonts w:ascii="Book Antiqua" w:hAnsi="Book Antiqua"/>
          <w:lang w:val="en-GB"/>
        </w:rPr>
        <w:t>he number of lymph node</w:t>
      </w:r>
      <w:r w:rsidR="000436CE" w:rsidRPr="00541840">
        <w:rPr>
          <w:rFonts w:ascii="Book Antiqua" w:hAnsi="Book Antiqua"/>
          <w:lang w:val="en-GB"/>
        </w:rPr>
        <w:t>s</w:t>
      </w:r>
      <w:r w:rsidR="00D86138" w:rsidRPr="00541840">
        <w:rPr>
          <w:rFonts w:ascii="Book Antiqua" w:hAnsi="Book Antiqua"/>
          <w:lang w:val="en-GB"/>
        </w:rPr>
        <w:t xml:space="preserve"> harvested in specimen</w:t>
      </w:r>
      <w:r w:rsidR="000436CE" w:rsidRPr="00541840">
        <w:rPr>
          <w:rFonts w:ascii="Book Antiqua" w:hAnsi="Book Antiqua"/>
          <w:lang w:val="en-GB"/>
        </w:rPr>
        <w:t>s</w:t>
      </w:r>
      <w:r w:rsidR="00D86138" w:rsidRPr="00541840">
        <w:rPr>
          <w:rFonts w:ascii="Book Antiqua" w:hAnsi="Book Antiqua"/>
          <w:lang w:val="en-GB"/>
        </w:rPr>
        <w:t xml:space="preserve"> from patients who underwent neoadjuvant treatment is matter of debate</w:t>
      </w:r>
      <w:r w:rsidR="000436CE" w:rsidRPr="00541840">
        <w:rPr>
          <w:rFonts w:ascii="Book Antiqua" w:hAnsi="Book Antiqua"/>
          <w:lang w:val="en-GB"/>
        </w:rPr>
        <w:t xml:space="preserve"> in the vast majority of cases</w:t>
      </w:r>
      <w:r w:rsidR="007E1675" w:rsidRPr="00541840">
        <w:rPr>
          <w:rFonts w:ascii="Book Antiqua" w:hAnsi="Book Antiqua"/>
          <w:lang w:val="en-GB"/>
        </w:rPr>
        <w:t xml:space="preserve">, and the </w:t>
      </w:r>
      <w:proofErr w:type="spellStart"/>
      <w:r w:rsidR="007E1675" w:rsidRPr="00541840">
        <w:rPr>
          <w:rFonts w:ascii="Book Antiqua" w:hAnsi="Book Antiqua"/>
          <w:lang w:val="en-GB"/>
        </w:rPr>
        <w:t>PelvEx</w:t>
      </w:r>
      <w:proofErr w:type="spellEnd"/>
      <w:r w:rsidR="007E1675" w:rsidRPr="00541840">
        <w:rPr>
          <w:rFonts w:ascii="Book Antiqua" w:hAnsi="Book Antiqua"/>
          <w:lang w:val="en-GB"/>
        </w:rPr>
        <w:t xml:space="preserve"> collaborative found it to be significantly associated with </w:t>
      </w:r>
      <w:proofErr w:type="gramStart"/>
      <w:r w:rsidR="007E1675" w:rsidRPr="00541840">
        <w:rPr>
          <w:rFonts w:ascii="Book Antiqua" w:hAnsi="Book Antiqua"/>
          <w:lang w:val="en-GB"/>
        </w:rPr>
        <w:t>survival</w:t>
      </w:r>
      <w:r w:rsidR="007E1675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822D0" w:rsidRPr="00541840">
        <w:rPr>
          <w:rFonts w:ascii="Book Antiqua" w:hAnsi="Book Antiqua"/>
          <w:vertAlign w:val="superscript"/>
          <w:lang w:val="en-GB"/>
        </w:rPr>
        <w:t>13</w:t>
      </w:r>
      <w:r w:rsidR="007E1675" w:rsidRPr="00541840">
        <w:rPr>
          <w:rFonts w:ascii="Book Antiqua" w:hAnsi="Book Antiqua"/>
          <w:vertAlign w:val="superscript"/>
          <w:lang w:val="en-GB"/>
        </w:rPr>
        <w:t>]</w:t>
      </w:r>
      <w:r w:rsidR="00D86138" w:rsidRPr="00541840">
        <w:rPr>
          <w:rFonts w:ascii="Book Antiqua" w:hAnsi="Book Antiqua"/>
          <w:lang w:val="en-GB"/>
        </w:rPr>
        <w:t xml:space="preserve">. </w:t>
      </w:r>
      <w:r w:rsidR="007E1675" w:rsidRPr="00541840">
        <w:rPr>
          <w:rFonts w:ascii="Book Antiqua" w:hAnsi="Book Antiqua"/>
          <w:lang w:val="en-GB"/>
        </w:rPr>
        <w:t>T</w:t>
      </w:r>
      <w:r w:rsidR="00D86138" w:rsidRPr="00541840">
        <w:rPr>
          <w:rFonts w:ascii="Book Antiqua" w:hAnsi="Book Antiqua"/>
          <w:lang w:val="en-GB"/>
        </w:rPr>
        <w:t xml:space="preserve">he </w:t>
      </w:r>
      <w:r w:rsidR="007E1675" w:rsidRPr="00541840">
        <w:rPr>
          <w:rFonts w:ascii="Book Antiqua" w:hAnsi="Book Antiqua"/>
          <w:lang w:val="en-GB"/>
        </w:rPr>
        <w:t>mean</w:t>
      </w:r>
      <w:r w:rsidR="00D86138" w:rsidRPr="00541840">
        <w:rPr>
          <w:rFonts w:ascii="Book Antiqua" w:hAnsi="Book Antiqua"/>
          <w:lang w:val="en-GB"/>
        </w:rPr>
        <w:t xml:space="preserve"> number of nodes isolated from the specimen was higher than 12, which is the minimum acceptable number for TME.</w:t>
      </w:r>
      <w:r w:rsidR="00CC6A0F" w:rsidRPr="00541840">
        <w:rPr>
          <w:rFonts w:ascii="Book Antiqua" w:hAnsi="Book Antiqua"/>
          <w:lang w:val="en-GB"/>
        </w:rPr>
        <w:t xml:space="preserve"> However, in this series, the effect on oncologic outcome was less obvious when comparing </w:t>
      </w:r>
      <w:proofErr w:type="spellStart"/>
      <w:r w:rsidR="00CC6A0F" w:rsidRPr="00541840">
        <w:rPr>
          <w:rFonts w:ascii="Book Antiqua" w:hAnsi="Book Antiqua"/>
          <w:lang w:val="en-GB"/>
        </w:rPr>
        <w:t>pN</w:t>
      </w:r>
      <w:proofErr w:type="spellEnd"/>
      <w:r w:rsidR="00CC6A0F" w:rsidRPr="00541840">
        <w:rPr>
          <w:rFonts w:ascii="Book Antiqua" w:hAnsi="Book Antiqua"/>
          <w:lang w:val="en-GB"/>
        </w:rPr>
        <w:t xml:space="preserve">+ and </w:t>
      </w:r>
      <w:proofErr w:type="spellStart"/>
      <w:r w:rsidR="00CC6A0F" w:rsidRPr="00541840">
        <w:rPr>
          <w:rFonts w:ascii="Book Antiqua" w:hAnsi="Book Antiqua"/>
          <w:lang w:val="en-GB"/>
        </w:rPr>
        <w:t>pN</w:t>
      </w:r>
      <w:proofErr w:type="spellEnd"/>
      <w:r w:rsidR="00CC6A0F" w:rsidRPr="00541840">
        <w:rPr>
          <w:rFonts w:ascii="Book Antiqua" w:hAnsi="Book Antiqua"/>
          <w:lang w:val="en-GB"/>
        </w:rPr>
        <w:t xml:space="preserve">- patients. Given the importance of </w:t>
      </w:r>
      <w:proofErr w:type="spellStart"/>
      <w:r w:rsidR="0080386B" w:rsidRPr="00541840">
        <w:rPr>
          <w:rFonts w:ascii="Book Antiqua" w:hAnsi="Book Antiqua"/>
          <w:lang w:val="en-GB"/>
        </w:rPr>
        <w:t>pT</w:t>
      </w:r>
      <w:proofErr w:type="spellEnd"/>
      <w:r w:rsidR="0080386B" w:rsidRPr="00541840">
        <w:rPr>
          <w:rFonts w:ascii="Book Antiqua" w:hAnsi="Book Antiqua"/>
          <w:lang w:val="en-GB"/>
        </w:rPr>
        <w:t xml:space="preserve"> and </w:t>
      </w:r>
      <w:proofErr w:type="spellStart"/>
      <w:r w:rsidR="00CC6A0F" w:rsidRPr="00541840">
        <w:rPr>
          <w:rFonts w:ascii="Book Antiqua" w:hAnsi="Book Antiqua"/>
          <w:lang w:val="en-GB"/>
        </w:rPr>
        <w:t>pN</w:t>
      </w:r>
      <w:proofErr w:type="spellEnd"/>
      <w:r w:rsidR="00CC6A0F" w:rsidRPr="00541840">
        <w:rPr>
          <w:rFonts w:ascii="Book Antiqua" w:hAnsi="Book Antiqua"/>
          <w:lang w:val="en-GB"/>
        </w:rPr>
        <w:t xml:space="preserve"> status in colorectal </w:t>
      </w:r>
      <w:proofErr w:type="gramStart"/>
      <w:r w:rsidR="00CC6A0F" w:rsidRPr="00541840">
        <w:rPr>
          <w:rFonts w:ascii="Book Antiqua" w:hAnsi="Book Antiqua"/>
          <w:lang w:val="en-GB"/>
        </w:rPr>
        <w:t>cancer</w:t>
      </w:r>
      <w:r w:rsidR="00CC6A0F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80386B" w:rsidRPr="00541840">
        <w:rPr>
          <w:rFonts w:ascii="Book Antiqua" w:hAnsi="Book Antiqua"/>
          <w:vertAlign w:val="superscript"/>
          <w:lang w:val="en-GB"/>
        </w:rPr>
        <w:t>34</w:t>
      </w:r>
      <w:r w:rsidR="00CC6A0F" w:rsidRPr="00541840">
        <w:rPr>
          <w:rFonts w:ascii="Book Antiqua" w:hAnsi="Book Antiqua"/>
          <w:vertAlign w:val="superscript"/>
          <w:lang w:val="en-GB"/>
        </w:rPr>
        <w:t>]</w:t>
      </w:r>
      <w:r w:rsidR="00CC6A0F" w:rsidRPr="00541840">
        <w:rPr>
          <w:rFonts w:ascii="Book Antiqua" w:hAnsi="Book Antiqua"/>
          <w:lang w:val="en-GB"/>
        </w:rPr>
        <w:t>, this issue needs to be further investigated in LAPRC.</w:t>
      </w:r>
      <w:r w:rsidR="0072469D" w:rsidRPr="00541840">
        <w:rPr>
          <w:rFonts w:ascii="Book Antiqua" w:hAnsi="Book Antiqua"/>
          <w:lang w:val="en-GB"/>
        </w:rPr>
        <w:t xml:space="preserve"> We confirmed that R status was an independent predictor of LR, which was impaired by five</w:t>
      </w:r>
      <w:r w:rsidR="005426D5" w:rsidRPr="00541840">
        <w:rPr>
          <w:rFonts w:ascii="Book Antiqua" w:hAnsi="Book Antiqua"/>
          <w:lang w:val="en-GB"/>
        </w:rPr>
        <w:t xml:space="preserve">-fold </w:t>
      </w:r>
      <w:r w:rsidR="0072469D" w:rsidRPr="00541840">
        <w:rPr>
          <w:rFonts w:ascii="Book Antiqua" w:hAnsi="Book Antiqua"/>
          <w:lang w:val="en-GB"/>
        </w:rPr>
        <w:t>in the event of positive resection margins.</w:t>
      </w:r>
      <w:r w:rsidR="008316C7" w:rsidRPr="00541840">
        <w:rPr>
          <w:rFonts w:ascii="Book Antiqua" w:hAnsi="Book Antiqua"/>
          <w:lang w:val="en-GB"/>
        </w:rPr>
        <w:t xml:space="preserve"> Statistical significance was maintained even if we observed a wide CI; cautious interpretation is needed, but the clinical relevance</w:t>
      </w:r>
      <w:r w:rsidR="000020E5" w:rsidRPr="00541840">
        <w:rPr>
          <w:rFonts w:ascii="Book Antiqua" w:hAnsi="Book Antiqua"/>
          <w:lang w:val="en-GB"/>
        </w:rPr>
        <w:t xml:space="preserve"> is unquestioned.</w:t>
      </w:r>
      <w:r w:rsidR="008316C7" w:rsidRPr="00541840">
        <w:rPr>
          <w:rFonts w:ascii="Book Antiqua" w:hAnsi="Book Antiqua"/>
          <w:lang w:val="en-GB"/>
        </w:rPr>
        <w:t xml:space="preserve"> </w:t>
      </w:r>
      <w:proofErr w:type="spellStart"/>
      <w:r w:rsidR="00AE5606" w:rsidRPr="00541840">
        <w:rPr>
          <w:rFonts w:ascii="Book Antiqua" w:hAnsi="Book Antiqua"/>
          <w:lang w:val="en-GB"/>
        </w:rPr>
        <w:t>Kontovounisios</w:t>
      </w:r>
      <w:proofErr w:type="spellEnd"/>
      <w:r w:rsidR="00AE5606" w:rsidRPr="00541840">
        <w:rPr>
          <w:rFonts w:ascii="Book Antiqua" w:hAnsi="Book Antiqua"/>
          <w:lang w:val="en-GB"/>
        </w:rPr>
        <w:t xml:space="preserve"> </w:t>
      </w:r>
      <w:r w:rsidR="00AE5606" w:rsidRPr="00EF4B5A">
        <w:rPr>
          <w:rFonts w:ascii="Book Antiqua" w:hAnsi="Book Antiqua"/>
          <w:i/>
          <w:lang w:val="en-GB"/>
        </w:rPr>
        <w:t xml:space="preserve">et </w:t>
      </w:r>
      <w:proofErr w:type="gramStart"/>
      <w:r w:rsidR="00AE5606" w:rsidRPr="00EF4B5A">
        <w:rPr>
          <w:rFonts w:ascii="Book Antiqua" w:hAnsi="Book Antiqua"/>
          <w:i/>
          <w:lang w:val="en-GB"/>
        </w:rPr>
        <w:t>al</w:t>
      </w:r>
      <w:r w:rsidR="00536E53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822D0" w:rsidRPr="00541840">
        <w:rPr>
          <w:rFonts w:ascii="Book Antiqua" w:hAnsi="Book Antiqua"/>
          <w:vertAlign w:val="superscript"/>
          <w:lang w:val="en-GB"/>
        </w:rPr>
        <w:t>5</w:t>
      </w:r>
      <w:r w:rsidR="00536E53" w:rsidRPr="00541840">
        <w:rPr>
          <w:rFonts w:ascii="Book Antiqua" w:hAnsi="Book Antiqua"/>
          <w:vertAlign w:val="superscript"/>
          <w:lang w:val="en-GB"/>
        </w:rPr>
        <w:t>]</w:t>
      </w:r>
      <w:r w:rsidR="00536E53" w:rsidRPr="00541840">
        <w:rPr>
          <w:rFonts w:ascii="Book Antiqua" w:hAnsi="Book Antiqua"/>
          <w:lang w:val="en-GB"/>
        </w:rPr>
        <w:t xml:space="preserve"> </w:t>
      </w:r>
      <w:r w:rsidR="00296E35" w:rsidRPr="00541840">
        <w:rPr>
          <w:rFonts w:ascii="Book Antiqua" w:hAnsi="Book Antiqua"/>
          <w:lang w:val="en-GB"/>
        </w:rPr>
        <w:t>analysed</w:t>
      </w:r>
      <w:r w:rsidR="00536E53" w:rsidRPr="00541840">
        <w:rPr>
          <w:rFonts w:ascii="Book Antiqua" w:hAnsi="Book Antiqua"/>
          <w:lang w:val="en-GB"/>
        </w:rPr>
        <w:t xml:space="preserve"> the performance of dedicated PE MDT at a single </w:t>
      </w:r>
      <w:r w:rsidR="00E867F1" w:rsidRPr="00541840">
        <w:rPr>
          <w:rFonts w:ascii="Book Antiqua" w:hAnsi="Book Antiqua"/>
          <w:lang w:val="en-GB"/>
        </w:rPr>
        <w:t>u</w:t>
      </w:r>
      <w:r w:rsidR="00536E53" w:rsidRPr="00541840">
        <w:rPr>
          <w:rFonts w:ascii="Book Antiqua" w:hAnsi="Book Antiqua"/>
          <w:lang w:val="en-GB"/>
        </w:rPr>
        <w:t>nit, and they achieved an R0 rate of 93% by the last year of their report.</w:t>
      </w:r>
      <w:r w:rsidR="003F4920" w:rsidRPr="00541840">
        <w:rPr>
          <w:rFonts w:ascii="Book Antiqua" w:hAnsi="Book Antiqua"/>
          <w:lang w:val="en-GB"/>
        </w:rPr>
        <w:t xml:space="preserve"> Interestingly, there was an inverse relation between the number of referrals (increasing over time) and the relative number of procedure</w:t>
      </w:r>
      <w:r w:rsidR="00AA4292" w:rsidRPr="00541840">
        <w:rPr>
          <w:rFonts w:ascii="Book Antiqua" w:hAnsi="Book Antiqua"/>
          <w:lang w:val="en-GB"/>
        </w:rPr>
        <w:t>s</w:t>
      </w:r>
      <w:r w:rsidR="003F4920" w:rsidRPr="00541840">
        <w:rPr>
          <w:rFonts w:ascii="Book Antiqua" w:hAnsi="Book Antiqua"/>
          <w:lang w:val="en-GB"/>
        </w:rPr>
        <w:t xml:space="preserve"> performed (</w:t>
      </w:r>
      <w:r w:rsidR="009970AC" w:rsidRPr="00541840">
        <w:rPr>
          <w:rFonts w:ascii="Book Antiqua" w:hAnsi="Book Antiqua"/>
          <w:lang w:val="en-GB"/>
        </w:rPr>
        <w:t>decreasing</w:t>
      </w:r>
      <w:r w:rsidR="003F4920" w:rsidRPr="00541840">
        <w:rPr>
          <w:rFonts w:ascii="Book Antiqua" w:hAnsi="Book Antiqua"/>
          <w:lang w:val="en-GB"/>
        </w:rPr>
        <w:t xml:space="preserve">). This </w:t>
      </w:r>
      <w:r w:rsidR="00EE2BC2" w:rsidRPr="00541840">
        <w:rPr>
          <w:rFonts w:ascii="Book Antiqua" w:hAnsi="Book Antiqua"/>
          <w:lang w:val="en-GB"/>
        </w:rPr>
        <w:t xml:space="preserve">outcome </w:t>
      </w:r>
      <w:r w:rsidR="003F4920" w:rsidRPr="00541840">
        <w:rPr>
          <w:rFonts w:ascii="Book Antiqua" w:hAnsi="Book Antiqua"/>
          <w:lang w:val="en-GB"/>
        </w:rPr>
        <w:t xml:space="preserve">resulted from better patient selection and better </w:t>
      </w:r>
      <w:r w:rsidR="003F4920" w:rsidRPr="00541840">
        <w:rPr>
          <w:rFonts w:ascii="Book Antiqua" w:hAnsi="Book Antiqua"/>
          <w:lang w:val="en-GB"/>
        </w:rPr>
        <w:lastRenderedPageBreak/>
        <w:t>surgical timing in the context of multidisciplinary treatment</w:t>
      </w:r>
      <w:r w:rsidR="00FF0FDD" w:rsidRPr="00541840">
        <w:rPr>
          <w:rFonts w:ascii="Book Antiqua" w:hAnsi="Book Antiqua"/>
          <w:lang w:val="en-GB"/>
        </w:rPr>
        <w:t xml:space="preserve">. Other series reported </w:t>
      </w:r>
      <w:r w:rsidR="00EF65D4" w:rsidRPr="00541840">
        <w:rPr>
          <w:rFonts w:ascii="Book Antiqua" w:hAnsi="Book Antiqua"/>
          <w:lang w:val="en-GB"/>
        </w:rPr>
        <w:t xml:space="preserve">rates of </w:t>
      </w:r>
      <w:proofErr w:type="spellStart"/>
      <w:r w:rsidR="00EF65D4" w:rsidRPr="00541840">
        <w:rPr>
          <w:rFonts w:ascii="Book Antiqua" w:hAnsi="Book Antiqua"/>
          <w:lang w:val="en-GB"/>
        </w:rPr>
        <w:t>R+</w:t>
      </w:r>
      <w:r w:rsidR="009970AC" w:rsidRPr="00541840">
        <w:rPr>
          <w:rFonts w:ascii="Book Antiqua" w:hAnsi="Book Antiqua"/>
          <w:lang w:val="en-GB"/>
        </w:rPr>
        <w:t>ve</w:t>
      </w:r>
      <w:proofErr w:type="spellEnd"/>
      <w:r w:rsidR="00EF65D4" w:rsidRPr="00541840">
        <w:rPr>
          <w:rFonts w:ascii="Book Antiqua" w:hAnsi="Book Antiqua"/>
          <w:lang w:val="en-GB"/>
        </w:rPr>
        <w:t xml:space="preserve"> resections similar to the one in our </w:t>
      </w:r>
      <w:proofErr w:type="gramStart"/>
      <w:r w:rsidR="00EF65D4" w:rsidRPr="00541840">
        <w:rPr>
          <w:rFonts w:ascii="Book Antiqua" w:hAnsi="Book Antiqua"/>
          <w:lang w:val="en-GB"/>
        </w:rPr>
        <w:t>analysis</w:t>
      </w:r>
      <w:r w:rsidR="00EF65D4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822D0" w:rsidRPr="00541840">
        <w:rPr>
          <w:rFonts w:ascii="Book Antiqua" w:hAnsi="Book Antiqua"/>
          <w:vertAlign w:val="superscript"/>
          <w:lang w:val="en-GB"/>
        </w:rPr>
        <w:t>11,13</w:t>
      </w:r>
      <w:r w:rsidR="00EF65D4" w:rsidRPr="00541840">
        <w:rPr>
          <w:rFonts w:ascii="Book Antiqua" w:hAnsi="Book Antiqua"/>
          <w:vertAlign w:val="superscript"/>
          <w:lang w:val="en-GB"/>
        </w:rPr>
        <w:t>]</w:t>
      </w:r>
      <w:r w:rsidR="00EF65D4" w:rsidRPr="00541840">
        <w:rPr>
          <w:rFonts w:ascii="Book Antiqua" w:hAnsi="Book Antiqua"/>
          <w:lang w:val="en-GB"/>
        </w:rPr>
        <w:t>.</w:t>
      </w:r>
      <w:r w:rsidR="003C7FED" w:rsidRPr="00541840">
        <w:rPr>
          <w:rFonts w:ascii="Book Antiqua" w:hAnsi="Book Antiqua"/>
          <w:lang w:val="en-GB"/>
        </w:rPr>
        <w:t xml:space="preserve"> </w:t>
      </w:r>
    </w:p>
    <w:p w14:paraId="6A3B45A7" w14:textId="4A650AEA" w:rsidR="00097A9E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442AFA" w:rsidRPr="00541840">
        <w:rPr>
          <w:rFonts w:ascii="Book Antiqua" w:hAnsi="Book Antiqua"/>
          <w:lang w:val="en-GB"/>
        </w:rPr>
        <w:t>OS</w:t>
      </w:r>
      <w:r w:rsidR="003C7FED" w:rsidRPr="00541840">
        <w:rPr>
          <w:rFonts w:ascii="Book Antiqua" w:hAnsi="Book Antiqua"/>
          <w:lang w:val="en-GB"/>
        </w:rPr>
        <w:t xml:space="preserve"> after PE for LA</w:t>
      </w:r>
      <w:r w:rsidR="00BB0D6C" w:rsidRPr="00541840">
        <w:rPr>
          <w:rFonts w:ascii="Book Antiqua" w:hAnsi="Book Antiqua"/>
          <w:lang w:val="en-GB"/>
        </w:rPr>
        <w:t>P</w:t>
      </w:r>
      <w:r w:rsidR="003C7FED" w:rsidRPr="00541840">
        <w:rPr>
          <w:rFonts w:ascii="Book Antiqua" w:hAnsi="Book Antiqua"/>
          <w:lang w:val="en-GB"/>
        </w:rPr>
        <w:t xml:space="preserve">RC is intertwined with </w:t>
      </w:r>
      <w:r w:rsidR="009B4A26" w:rsidRPr="00541840">
        <w:rPr>
          <w:rFonts w:ascii="Book Antiqua" w:hAnsi="Book Antiqua"/>
          <w:lang w:val="en-GB"/>
        </w:rPr>
        <w:t xml:space="preserve">the </w:t>
      </w:r>
      <w:r w:rsidR="00E9152F" w:rsidRPr="00541840">
        <w:rPr>
          <w:rFonts w:ascii="Book Antiqua" w:hAnsi="Book Antiqua"/>
          <w:lang w:val="en-GB"/>
        </w:rPr>
        <w:t xml:space="preserve">radicality of resection and </w:t>
      </w:r>
      <w:proofErr w:type="gramStart"/>
      <w:r w:rsidR="003C7FED" w:rsidRPr="00541840">
        <w:rPr>
          <w:rFonts w:ascii="Book Antiqua" w:hAnsi="Book Antiqua"/>
          <w:lang w:val="en-GB"/>
        </w:rPr>
        <w:t>recurrence</w:t>
      </w:r>
      <w:r w:rsidR="00E9152F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822D0" w:rsidRPr="00541840">
        <w:rPr>
          <w:rFonts w:ascii="Book Antiqua" w:hAnsi="Book Antiqua"/>
          <w:vertAlign w:val="superscript"/>
          <w:lang w:val="en-GB"/>
        </w:rPr>
        <w:t>8,13</w:t>
      </w:r>
      <w:r w:rsidR="00E9152F" w:rsidRPr="00541840">
        <w:rPr>
          <w:rFonts w:ascii="Book Antiqua" w:hAnsi="Book Antiqua"/>
          <w:vertAlign w:val="superscript"/>
          <w:lang w:val="en-GB"/>
        </w:rPr>
        <w:t>]</w:t>
      </w:r>
      <w:r w:rsidR="003C7FED" w:rsidRPr="00541840">
        <w:rPr>
          <w:rFonts w:ascii="Book Antiqua" w:hAnsi="Book Antiqua"/>
          <w:lang w:val="en-GB"/>
        </w:rPr>
        <w:t xml:space="preserve">. </w:t>
      </w:r>
      <w:r w:rsidR="00EA3DDA" w:rsidRPr="00541840">
        <w:rPr>
          <w:rFonts w:ascii="Book Antiqua" w:hAnsi="Book Antiqua"/>
          <w:lang w:val="en-GB"/>
        </w:rPr>
        <w:t xml:space="preserve">The largest </w:t>
      </w:r>
      <w:r w:rsidR="00652F57" w:rsidRPr="00541840">
        <w:rPr>
          <w:rFonts w:ascii="Book Antiqua" w:hAnsi="Book Antiqua"/>
          <w:lang w:val="en-GB"/>
        </w:rPr>
        <w:t>i</w:t>
      </w:r>
      <w:r w:rsidR="00EA3DDA" w:rsidRPr="00541840">
        <w:rPr>
          <w:rFonts w:ascii="Book Antiqua" w:hAnsi="Book Antiqua"/>
          <w:lang w:val="en-GB"/>
        </w:rPr>
        <w:t>nternational, prospective study on PE for LA</w:t>
      </w:r>
      <w:r w:rsidR="009970AC" w:rsidRPr="00541840">
        <w:rPr>
          <w:rFonts w:ascii="Book Antiqua" w:hAnsi="Book Antiqua"/>
          <w:lang w:val="en-GB"/>
        </w:rPr>
        <w:t>P</w:t>
      </w:r>
      <w:r w:rsidR="00EA3DDA" w:rsidRPr="00541840">
        <w:rPr>
          <w:rFonts w:ascii="Book Antiqua" w:hAnsi="Book Antiqua"/>
          <w:lang w:val="en-GB"/>
        </w:rPr>
        <w:t xml:space="preserve">RC included </w:t>
      </w:r>
      <w:r w:rsidR="00277269" w:rsidRPr="00541840">
        <w:rPr>
          <w:rFonts w:ascii="Book Antiqua" w:hAnsi="Book Antiqua"/>
          <w:lang w:val="en-GB"/>
        </w:rPr>
        <w:t>1291 patients from 14 countries and showed a median 5-year survival of 43 months. The rate of patient</w:t>
      </w:r>
      <w:r w:rsidR="00D06ADC" w:rsidRPr="00541840">
        <w:rPr>
          <w:rFonts w:ascii="Book Antiqua" w:hAnsi="Book Antiqua"/>
          <w:lang w:val="en-GB"/>
        </w:rPr>
        <w:t>s</w:t>
      </w:r>
      <w:r w:rsidR="00277269" w:rsidRPr="00541840">
        <w:rPr>
          <w:rFonts w:ascii="Book Antiqua" w:hAnsi="Book Antiqua"/>
          <w:lang w:val="en-GB"/>
        </w:rPr>
        <w:t xml:space="preserve"> </w:t>
      </w:r>
      <w:r w:rsidR="00D06ADC" w:rsidRPr="00541840">
        <w:rPr>
          <w:rFonts w:ascii="Book Antiqua" w:hAnsi="Book Antiqua"/>
          <w:lang w:val="en-GB"/>
        </w:rPr>
        <w:t xml:space="preserve">who were </w:t>
      </w:r>
      <w:r w:rsidR="00277269" w:rsidRPr="00541840">
        <w:rPr>
          <w:rFonts w:ascii="Book Antiqua" w:hAnsi="Book Antiqua"/>
          <w:lang w:val="en-GB"/>
        </w:rPr>
        <w:t>alive at 5-year follow</w:t>
      </w:r>
      <w:r w:rsidR="0060460A" w:rsidRPr="00541840">
        <w:rPr>
          <w:rFonts w:ascii="Book Antiqua" w:hAnsi="Book Antiqua"/>
          <w:lang w:val="en-GB"/>
        </w:rPr>
        <w:t xml:space="preserve"> </w:t>
      </w:r>
      <w:r w:rsidR="00277269" w:rsidRPr="00541840">
        <w:rPr>
          <w:rFonts w:ascii="Book Antiqua" w:hAnsi="Book Antiqua"/>
          <w:lang w:val="en-GB"/>
        </w:rPr>
        <w:t>up from our database was 67.2%,</w:t>
      </w:r>
      <w:r w:rsidR="00714E31" w:rsidRPr="00541840">
        <w:rPr>
          <w:rFonts w:ascii="Book Antiqua" w:hAnsi="Book Antiqua"/>
          <w:lang w:val="en-GB"/>
        </w:rPr>
        <w:t xml:space="preserve"> which is</w:t>
      </w:r>
      <w:r w:rsidR="00277269" w:rsidRPr="00541840">
        <w:rPr>
          <w:rFonts w:ascii="Book Antiqua" w:hAnsi="Book Antiqua"/>
          <w:lang w:val="en-GB"/>
        </w:rPr>
        <w:t xml:space="preserve"> at </w:t>
      </w:r>
      <w:r w:rsidR="00714E31" w:rsidRPr="00541840">
        <w:rPr>
          <w:rFonts w:ascii="Book Antiqua" w:hAnsi="Book Antiqua"/>
          <w:lang w:val="en-GB"/>
        </w:rPr>
        <w:t xml:space="preserve">or above </w:t>
      </w:r>
      <w:r w:rsidR="00277269" w:rsidRPr="00541840">
        <w:rPr>
          <w:rFonts w:ascii="Book Antiqua" w:hAnsi="Book Antiqua"/>
          <w:lang w:val="en-GB"/>
        </w:rPr>
        <w:t xml:space="preserve">the upper limit of the ranges reported in the </w:t>
      </w:r>
      <w:proofErr w:type="gramStart"/>
      <w:r w:rsidR="00277269" w:rsidRPr="00541840">
        <w:rPr>
          <w:rFonts w:ascii="Book Antiqua" w:hAnsi="Book Antiqua"/>
          <w:lang w:val="en-GB"/>
        </w:rPr>
        <w:t>literature</w:t>
      </w:r>
      <w:r w:rsidR="00277269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822D0" w:rsidRPr="00541840">
        <w:rPr>
          <w:rFonts w:ascii="Book Antiqua" w:hAnsi="Book Antiqua"/>
          <w:vertAlign w:val="superscript"/>
          <w:lang w:val="en-GB"/>
        </w:rPr>
        <w:t>6,12,2</w:t>
      </w:r>
      <w:r w:rsidR="0080386B" w:rsidRPr="00541840">
        <w:rPr>
          <w:rFonts w:ascii="Book Antiqua" w:hAnsi="Book Antiqua"/>
          <w:vertAlign w:val="superscript"/>
          <w:lang w:val="en-GB"/>
        </w:rPr>
        <w:t>6</w:t>
      </w:r>
      <w:r w:rsidR="007822D0" w:rsidRPr="00541840">
        <w:rPr>
          <w:rFonts w:ascii="Book Antiqua" w:hAnsi="Book Antiqua"/>
          <w:vertAlign w:val="superscript"/>
          <w:lang w:val="en-GB"/>
        </w:rPr>
        <w:t>,</w:t>
      </w:r>
      <w:r w:rsidR="0080386B" w:rsidRPr="00541840">
        <w:rPr>
          <w:rFonts w:ascii="Book Antiqua" w:hAnsi="Book Antiqua"/>
          <w:vertAlign w:val="superscript"/>
          <w:lang w:val="en-GB"/>
        </w:rPr>
        <w:t>30</w:t>
      </w:r>
      <w:r w:rsidR="00277269" w:rsidRPr="00541840">
        <w:rPr>
          <w:rFonts w:ascii="Book Antiqua" w:hAnsi="Book Antiqua"/>
          <w:vertAlign w:val="superscript"/>
          <w:lang w:val="en-GB"/>
        </w:rPr>
        <w:t>]</w:t>
      </w:r>
      <w:r w:rsidR="00277269" w:rsidRPr="00541840">
        <w:rPr>
          <w:rFonts w:ascii="Book Antiqua" w:hAnsi="Book Antiqua"/>
          <w:lang w:val="en-GB"/>
        </w:rPr>
        <w:t>.</w:t>
      </w:r>
      <w:r w:rsidR="00507914" w:rsidRPr="00541840">
        <w:rPr>
          <w:rFonts w:ascii="Book Antiqua" w:hAnsi="Book Antiqua"/>
          <w:lang w:val="en-GB"/>
        </w:rPr>
        <w:t xml:space="preserve"> Reasons that could justify this finding include surgery probably not</w:t>
      </w:r>
      <w:r w:rsidR="00987037" w:rsidRPr="00541840">
        <w:rPr>
          <w:rFonts w:ascii="Book Antiqua" w:hAnsi="Book Antiqua"/>
          <w:lang w:val="en-GB"/>
        </w:rPr>
        <w:t xml:space="preserve"> being</w:t>
      </w:r>
      <w:r w:rsidR="00507914" w:rsidRPr="00541840">
        <w:rPr>
          <w:rFonts w:ascii="Book Antiqua" w:hAnsi="Book Antiqua"/>
          <w:lang w:val="en-GB"/>
        </w:rPr>
        <w:t xml:space="preserve"> offered to patients who might have been operated on in other </w:t>
      </w:r>
      <w:r w:rsidR="00D43FC2" w:rsidRPr="00541840">
        <w:rPr>
          <w:rFonts w:ascii="Book Antiqua" w:hAnsi="Book Antiqua"/>
          <w:lang w:val="en-GB"/>
        </w:rPr>
        <w:t>centres</w:t>
      </w:r>
      <w:r w:rsidR="00507914" w:rsidRPr="00541840">
        <w:rPr>
          <w:rFonts w:ascii="Book Antiqua" w:hAnsi="Book Antiqua"/>
          <w:lang w:val="en-GB"/>
        </w:rPr>
        <w:t xml:space="preserve"> with </w:t>
      </w:r>
      <w:r w:rsidR="009B4A26" w:rsidRPr="00541840">
        <w:rPr>
          <w:rFonts w:ascii="Book Antiqua" w:hAnsi="Book Antiqua"/>
          <w:lang w:val="en-GB"/>
        </w:rPr>
        <w:t xml:space="preserve">a </w:t>
      </w:r>
      <w:r w:rsidR="00507914" w:rsidRPr="00541840">
        <w:rPr>
          <w:rFonts w:ascii="Book Antiqua" w:hAnsi="Book Antiqua"/>
          <w:lang w:val="en-GB"/>
        </w:rPr>
        <w:t>more aggressive policy</w:t>
      </w:r>
      <w:r w:rsidR="00987037" w:rsidRPr="00541840">
        <w:rPr>
          <w:rFonts w:ascii="Book Antiqua" w:hAnsi="Book Antiqua"/>
          <w:lang w:val="en-GB"/>
        </w:rPr>
        <w:t xml:space="preserve">, </w:t>
      </w:r>
      <w:r w:rsidR="00987037" w:rsidRPr="00EF4B5A">
        <w:rPr>
          <w:rFonts w:ascii="Book Antiqua" w:hAnsi="Book Antiqua"/>
          <w:i/>
          <w:lang w:val="en-GB"/>
        </w:rPr>
        <w:t>e.g.</w:t>
      </w:r>
      <w:r w:rsidR="009F16FA" w:rsidRPr="00541840">
        <w:rPr>
          <w:rFonts w:ascii="Book Antiqua" w:hAnsi="Book Antiqua"/>
          <w:lang w:val="en-GB"/>
        </w:rPr>
        <w:t>,</w:t>
      </w:r>
      <w:r w:rsidR="00987037" w:rsidRPr="00541840">
        <w:rPr>
          <w:rFonts w:ascii="Book Antiqua" w:hAnsi="Book Antiqua"/>
          <w:lang w:val="en-GB"/>
        </w:rPr>
        <w:t xml:space="preserve"> patients with pelvic bone involvemen</w:t>
      </w:r>
      <w:r>
        <w:rPr>
          <w:rFonts w:ascii="Book Antiqua" w:hAnsi="Book Antiqua"/>
          <w:lang w:val="en-GB"/>
        </w:rPr>
        <w:t xml:space="preserve">t. According to the beyond TME </w:t>
      </w:r>
      <w:proofErr w:type="gramStart"/>
      <w:r>
        <w:rPr>
          <w:rFonts w:ascii="Book Antiqua" w:hAnsi="Book Antiqua"/>
          <w:lang w:val="en-GB"/>
        </w:rPr>
        <w:t>c</w:t>
      </w:r>
      <w:r w:rsidR="00987037" w:rsidRPr="00541840">
        <w:rPr>
          <w:rFonts w:ascii="Book Antiqua" w:hAnsi="Book Antiqua"/>
          <w:lang w:val="en-GB"/>
        </w:rPr>
        <w:t>ollaborative</w:t>
      </w:r>
      <w:r w:rsidR="00A80B86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80386B" w:rsidRPr="00541840">
        <w:rPr>
          <w:rFonts w:ascii="Book Antiqua" w:hAnsi="Book Antiqua"/>
          <w:vertAlign w:val="superscript"/>
          <w:lang w:val="en-GB"/>
        </w:rPr>
        <w:t>19</w:t>
      </w:r>
      <w:r w:rsidR="00A80B86" w:rsidRPr="00541840">
        <w:rPr>
          <w:rFonts w:ascii="Book Antiqua" w:hAnsi="Book Antiqua"/>
          <w:vertAlign w:val="superscript"/>
          <w:lang w:val="en-GB"/>
        </w:rPr>
        <w:t>]</w:t>
      </w:r>
      <w:r w:rsidR="00987037" w:rsidRPr="00541840">
        <w:rPr>
          <w:rFonts w:ascii="Book Antiqua" w:hAnsi="Book Antiqua"/>
          <w:lang w:val="en-GB"/>
        </w:rPr>
        <w:t>, only poor performance status/medically unfit patients, bilateral sciatic nerve involvement and circumferential bone involvement should be considered absolute contraindications to surgery.</w:t>
      </w:r>
      <w:r w:rsidR="00C96B43" w:rsidRPr="00541840">
        <w:rPr>
          <w:rFonts w:ascii="Book Antiqua" w:hAnsi="Book Antiqua"/>
          <w:lang w:val="en-GB"/>
        </w:rPr>
        <w:t xml:space="preserve"> A more conservative approach in patients from the database </w:t>
      </w:r>
      <w:r w:rsidR="00BF21A2" w:rsidRPr="00541840">
        <w:rPr>
          <w:rFonts w:ascii="Book Antiqua" w:hAnsi="Book Antiqua"/>
          <w:lang w:val="en-GB"/>
        </w:rPr>
        <w:t xml:space="preserve">appears to be </w:t>
      </w:r>
      <w:r w:rsidR="00C96B43" w:rsidRPr="00541840">
        <w:rPr>
          <w:rFonts w:ascii="Book Antiqua" w:hAnsi="Book Antiqua"/>
          <w:lang w:val="en-GB"/>
        </w:rPr>
        <w:t>a reasonable option. Another reason could be early referral to hospital</w:t>
      </w:r>
      <w:r w:rsidR="00D54E8F" w:rsidRPr="00541840">
        <w:rPr>
          <w:rFonts w:ascii="Book Antiqua" w:hAnsi="Book Antiqua"/>
          <w:lang w:val="en-GB"/>
        </w:rPr>
        <w:t>s</w:t>
      </w:r>
      <w:r w:rsidR="00C96B43" w:rsidRPr="00541840">
        <w:rPr>
          <w:rFonts w:ascii="Book Antiqua" w:hAnsi="Book Antiqua"/>
          <w:lang w:val="en-GB"/>
        </w:rPr>
        <w:t xml:space="preserve"> with dedicated unit</w:t>
      </w:r>
      <w:r w:rsidR="00D54E8F" w:rsidRPr="00541840">
        <w:rPr>
          <w:rFonts w:ascii="Book Antiqua" w:hAnsi="Book Antiqua"/>
          <w:lang w:val="en-GB"/>
        </w:rPr>
        <w:t>s</w:t>
      </w:r>
      <w:r w:rsidR="00C96B43" w:rsidRPr="00541840">
        <w:rPr>
          <w:rFonts w:ascii="Book Antiqua" w:hAnsi="Book Antiqua"/>
          <w:lang w:val="en-GB"/>
        </w:rPr>
        <w:t>. Lastly, individual investigators might have decided not to include patients with more complex disease and predictable poorer outcomes.</w:t>
      </w:r>
    </w:p>
    <w:p w14:paraId="3F2C3C6A" w14:textId="216089C7" w:rsidR="00047D69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7E1675" w:rsidRPr="00541840">
        <w:rPr>
          <w:rFonts w:ascii="Book Antiqua" w:hAnsi="Book Antiqua"/>
          <w:lang w:val="en-GB"/>
        </w:rPr>
        <w:t xml:space="preserve">The </w:t>
      </w:r>
      <w:r w:rsidR="002810A5" w:rsidRPr="00541840">
        <w:rPr>
          <w:rFonts w:ascii="Book Antiqua" w:hAnsi="Book Antiqua"/>
          <w:lang w:val="en-GB"/>
        </w:rPr>
        <w:t>ideal management of patients with LA</w:t>
      </w:r>
      <w:r w:rsidR="009970AC" w:rsidRPr="00541840">
        <w:rPr>
          <w:rFonts w:ascii="Book Antiqua" w:hAnsi="Book Antiqua"/>
          <w:lang w:val="en-GB"/>
        </w:rPr>
        <w:t>P</w:t>
      </w:r>
      <w:r w:rsidR="002810A5" w:rsidRPr="00541840">
        <w:rPr>
          <w:rFonts w:ascii="Book Antiqua" w:hAnsi="Book Antiqua"/>
          <w:lang w:val="en-GB"/>
        </w:rPr>
        <w:t>RC arising in the lower</w:t>
      </w:r>
      <w:r w:rsidR="009970AC" w:rsidRPr="00541840">
        <w:rPr>
          <w:rFonts w:ascii="Book Antiqua" w:hAnsi="Book Antiqua"/>
          <w:lang w:val="en-GB"/>
        </w:rPr>
        <w:t xml:space="preserve"> </w:t>
      </w:r>
      <w:r w:rsidR="002810A5" w:rsidRPr="00541840">
        <w:rPr>
          <w:rFonts w:ascii="Book Antiqua" w:hAnsi="Book Antiqua"/>
          <w:lang w:val="en-GB"/>
        </w:rPr>
        <w:t>rectum is still a matter of debate.</w:t>
      </w:r>
      <w:r w:rsidR="00C97735" w:rsidRPr="00541840">
        <w:rPr>
          <w:rFonts w:ascii="Book Antiqua" w:hAnsi="Book Antiqua"/>
          <w:lang w:val="en-GB"/>
        </w:rPr>
        <w:t xml:space="preserve"> Given the excellent results in terms of </w:t>
      </w:r>
      <w:r w:rsidR="00D43FC2" w:rsidRPr="00541840">
        <w:rPr>
          <w:rFonts w:ascii="Book Antiqua" w:hAnsi="Book Antiqua"/>
          <w:lang w:val="en-GB"/>
        </w:rPr>
        <w:t>tumour</w:t>
      </w:r>
      <w:r w:rsidR="00C97735" w:rsidRPr="00541840">
        <w:rPr>
          <w:rFonts w:ascii="Book Antiqua" w:hAnsi="Book Antiqua"/>
          <w:lang w:val="en-GB"/>
        </w:rPr>
        <w:t xml:space="preserve"> clearance and quality of life achieved with TME, </w:t>
      </w:r>
      <w:r w:rsidR="006F4D42" w:rsidRPr="00541840">
        <w:rPr>
          <w:rFonts w:ascii="Book Antiqua" w:hAnsi="Book Antiqua"/>
          <w:lang w:val="en-GB"/>
        </w:rPr>
        <w:t>mutilating approach</w:t>
      </w:r>
      <w:r w:rsidR="001933F8" w:rsidRPr="00541840">
        <w:rPr>
          <w:rFonts w:ascii="Book Antiqua" w:hAnsi="Book Antiqua"/>
          <w:lang w:val="en-GB"/>
        </w:rPr>
        <w:t>es</w:t>
      </w:r>
      <w:r w:rsidR="006F4D42" w:rsidRPr="00541840">
        <w:rPr>
          <w:rFonts w:ascii="Book Antiqua" w:hAnsi="Book Antiqua"/>
          <w:lang w:val="en-GB"/>
        </w:rPr>
        <w:t xml:space="preserve"> such as PE are </w:t>
      </w:r>
      <w:r w:rsidR="00BE6313" w:rsidRPr="00541840">
        <w:rPr>
          <w:rFonts w:ascii="Book Antiqua" w:hAnsi="Book Antiqua"/>
          <w:lang w:val="en-GB"/>
        </w:rPr>
        <w:t xml:space="preserve">deemed </w:t>
      </w:r>
      <w:r w:rsidR="00626489" w:rsidRPr="00541840">
        <w:rPr>
          <w:rFonts w:ascii="Book Antiqua" w:hAnsi="Book Antiqua"/>
          <w:lang w:val="en-GB"/>
        </w:rPr>
        <w:t>overtreatment in many patients</w:t>
      </w:r>
      <w:r w:rsidR="00BE6313" w:rsidRPr="00541840">
        <w:rPr>
          <w:rFonts w:ascii="Book Antiqua" w:hAnsi="Book Antiqua"/>
          <w:lang w:val="en-GB"/>
        </w:rPr>
        <w:t>.</w:t>
      </w:r>
      <w:r w:rsidR="00626489" w:rsidRPr="00541840">
        <w:rPr>
          <w:rFonts w:ascii="Book Antiqua" w:hAnsi="Book Antiqua"/>
          <w:lang w:val="en-GB"/>
        </w:rPr>
        <w:t xml:space="preserve"> However,</w:t>
      </w:r>
      <w:r w:rsidR="00AD243A" w:rsidRPr="00541840">
        <w:rPr>
          <w:rFonts w:ascii="Book Antiqua" w:hAnsi="Book Antiqua"/>
          <w:lang w:val="en-GB"/>
        </w:rPr>
        <w:t xml:space="preserve"> this part of the rectum is </w:t>
      </w:r>
      <w:r w:rsidR="00FD3BCB" w:rsidRPr="00541840">
        <w:rPr>
          <w:rFonts w:ascii="Book Antiqua" w:hAnsi="Book Antiqua"/>
          <w:lang w:val="en-GB"/>
        </w:rPr>
        <w:t xml:space="preserve">associated with </w:t>
      </w:r>
      <w:r w:rsidR="00AD243A" w:rsidRPr="00541840">
        <w:rPr>
          <w:rFonts w:ascii="Book Antiqua" w:hAnsi="Book Antiqua"/>
          <w:lang w:val="en-GB"/>
        </w:rPr>
        <w:t>higher rate</w:t>
      </w:r>
      <w:r w:rsidR="00FD3BCB" w:rsidRPr="00541840">
        <w:rPr>
          <w:rFonts w:ascii="Book Antiqua" w:hAnsi="Book Antiqua"/>
          <w:lang w:val="en-GB"/>
        </w:rPr>
        <w:t>s of complications</w:t>
      </w:r>
      <w:r w:rsidR="00AC616A" w:rsidRPr="00541840">
        <w:rPr>
          <w:rFonts w:ascii="Book Antiqua" w:hAnsi="Book Antiqua"/>
          <w:lang w:val="en-GB"/>
        </w:rPr>
        <w:t>,</w:t>
      </w:r>
      <w:r w:rsidR="00BE6313" w:rsidRPr="00541840">
        <w:rPr>
          <w:rFonts w:ascii="Book Antiqua" w:hAnsi="Book Antiqua"/>
          <w:lang w:val="en-GB"/>
        </w:rPr>
        <w:t xml:space="preserve"> </w:t>
      </w:r>
      <w:r w:rsidR="00FD3BCB" w:rsidRPr="00541840">
        <w:rPr>
          <w:rFonts w:ascii="Book Antiqua" w:hAnsi="Book Antiqua"/>
          <w:lang w:val="en-GB"/>
        </w:rPr>
        <w:t>and optimizing the outcomes of surgery for LA</w:t>
      </w:r>
      <w:r w:rsidR="009970AC" w:rsidRPr="00541840">
        <w:rPr>
          <w:rFonts w:ascii="Book Antiqua" w:hAnsi="Book Antiqua"/>
          <w:lang w:val="en-GB"/>
        </w:rPr>
        <w:t>P</w:t>
      </w:r>
      <w:r w:rsidR="00FD3BCB" w:rsidRPr="00541840">
        <w:rPr>
          <w:rFonts w:ascii="Book Antiqua" w:hAnsi="Book Antiqua"/>
          <w:lang w:val="en-GB"/>
        </w:rPr>
        <w:t xml:space="preserve">RC of the lower third is still matter of </w:t>
      </w:r>
      <w:proofErr w:type="gramStart"/>
      <w:r w:rsidR="00FD3BCB" w:rsidRPr="00541840">
        <w:rPr>
          <w:rFonts w:ascii="Book Antiqua" w:hAnsi="Book Antiqua"/>
          <w:lang w:val="en-GB"/>
        </w:rPr>
        <w:t>research</w:t>
      </w:r>
      <w:r w:rsidR="00FD3BCB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9B56CC" w:rsidRPr="00541840">
        <w:rPr>
          <w:rFonts w:ascii="Book Antiqua" w:hAnsi="Book Antiqua"/>
          <w:vertAlign w:val="superscript"/>
          <w:lang w:val="en-GB"/>
        </w:rPr>
        <w:t>35</w:t>
      </w:r>
      <w:r w:rsidR="007822D0" w:rsidRPr="00541840">
        <w:rPr>
          <w:rFonts w:ascii="Book Antiqua" w:hAnsi="Book Antiqua"/>
          <w:vertAlign w:val="superscript"/>
          <w:lang w:val="en-GB"/>
        </w:rPr>
        <w:t>,</w:t>
      </w:r>
      <w:r w:rsidR="009B56CC" w:rsidRPr="00541840">
        <w:rPr>
          <w:rFonts w:ascii="Book Antiqua" w:hAnsi="Book Antiqua"/>
          <w:vertAlign w:val="superscript"/>
          <w:lang w:val="en-GB"/>
        </w:rPr>
        <w:t>36</w:t>
      </w:r>
      <w:r w:rsidR="00FD3BCB" w:rsidRPr="00541840">
        <w:rPr>
          <w:rFonts w:ascii="Book Antiqua" w:hAnsi="Book Antiqua"/>
          <w:vertAlign w:val="superscript"/>
          <w:lang w:val="en-GB"/>
        </w:rPr>
        <w:t>]</w:t>
      </w:r>
      <w:r w:rsidR="00FD3BCB" w:rsidRPr="00541840">
        <w:rPr>
          <w:rFonts w:ascii="Book Antiqua" w:hAnsi="Book Antiqua"/>
          <w:lang w:val="en-GB"/>
        </w:rPr>
        <w:t>.</w:t>
      </w:r>
      <w:r w:rsidR="00A15E66" w:rsidRPr="00541840">
        <w:rPr>
          <w:rFonts w:ascii="Book Antiqua" w:hAnsi="Book Antiqua"/>
          <w:lang w:val="en-GB"/>
        </w:rPr>
        <w:t xml:space="preserve"> After adjusting two group</w:t>
      </w:r>
      <w:r w:rsidR="00C03396" w:rsidRPr="00541840">
        <w:rPr>
          <w:rFonts w:ascii="Book Antiqua" w:hAnsi="Book Antiqua"/>
          <w:lang w:val="en-GB"/>
        </w:rPr>
        <w:t>s</w:t>
      </w:r>
      <w:r w:rsidR="00A15E66" w:rsidRPr="00541840">
        <w:rPr>
          <w:rFonts w:ascii="Book Antiqua" w:hAnsi="Book Antiqua"/>
          <w:lang w:val="en-GB"/>
        </w:rPr>
        <w:t xml:space="preserve"> of patients with a propensity</w:t>
      </w:r>
      <w:r w:rsidR="00C03396" w:rsidRPr="00541840">
        <w:rPr>
          <w:rFonts w:ascii="Book Antiqua" w:hAnsi="Book Antiqua"/>
          <w:lang w:val="en-GB"/>
        </w:rPr>
        <w:t>-</w:t>
      </w:r>
      <w:r w:rsidR="00A15E66" w:rsidRPr="00541840">
        <w:rPr>
          <w:rFonts w:ascii="Book Antiqua" w:hAnsi="Book Antiqua"/>
          <w:lang w:val="en-GB"/>
        </w:rPr>
        <w:t>matched analysis, we observed a trend towards</w:t>
      </w:r>
      <w:r w:rsidR="00414704" w:rsidRPr="00541840">
        <w:rPr>
          <w:rFonts w:ascii="Book Antiqua" w:hAnsi="Book Antiqua"/>
          <w:lang w:val="en-GB"/>
        </w:rPr>
        <w:t xml:space="preserve"> better specimen</w:t>
      </w:r>
      <w:r w:rsidR="005C0B7C" w:rsidRPr="00541840">
        <w:rPr>
          <w:rFonts w:ascii="Book Antiqua" w:hAnsi="Book Antiqua"/>
          <w:lang w:val="en-GB"/>
        </w:rPr>
        <w:t xml:space="preserve"> quality and</w:t>
      </w:r>
      <w:r w:rsidR="00414704" w:rsidRPr="00541840">
        <w:rPr>
          <w:rFonts w:ascii="Book Antiqua" w:hAnsi="Book Antiqua"/>
          <w:lang w:val="en-GB"/>
        </w:rPr>
        <w:t xml:space="preserve"> increased LR-free intervals with similar OS. These findings need further evaluation and should be considered when planning future studies on PE or involving low rectal cancers.</w:t>
      </w:r>
    </w:p>
    <w:p w14:paraId="1F16752B" w14:textId="77777777" w:rsidR="00880A2E" w:rsidRPr="00541840" w:rsidRDefault="00880A2E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lang w:val="en-GB"/>
        </w:rPr>
      </w:pPr>
    </w:p>
    <w:p w14:paraId="3B99B11D" w14:textId="77777777" w:rsidR="00047D69" w:rsidRPr="00EF4B5A" w:rsidRDefault="00535F5D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EF4B5A">
        <w:rPr>
          <w:rFonts w:ascii="Book Antiqua" w:hAnsi="Book Antiqua"/>
          <w:b/>
          <w:i/>
          <w:lang w:val="en-GB"/>
        </w:rPr>
        <w:t>Limitations</w:t>
      </w:r>
    </w:p>
    <w:p w14:paraId="122C6BBF" w14:textId="7C3F62BB" w:rsidR="00047D69" w:rsidRPr="00541840" w:rsidRDefault="003275D7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lastRenderedPageBreak/>
        <w:t>This study has several limitations</w:t>
      </w:r>
      <w:r w:rsidR="009F4933" w:rsidRPr="00541840">
        <w:rPr>
          <w:rFonts w:ascii="Book Antiqua" w:hAnsi="Book Antiqua"/>
          <w:lang w:val="en-GB"/>
        </w:rPr>
        <w:t>,</w:t>
      </w:r>
      <w:r w:rsidRPr="00541840">
        <w:rPr>
          <w:rFonts w:ascii="Book Antiqua" w:hAnsi="Book Antiqua"/>
          <w:lang w:val="en-GB"/>
        </w:rPr>
        <w:t xml:space="preserve"> and</w:t>
      </w:r>
      <w:r w:rsidR="00047D69" w:rsidRPr="00541840">
        <w:rPr>
          <w:rFonts w:ascii="Book Antiqua" w:hAnsi="Book Antiqua"/>
          <w:lang w:val="en-GB"/>
        </w:rPr>
        <w:t xml:space="preserve"> our findings</w:t>
      </w:r>
      <w:r w:rsidRPr="00541840">
        <w:rPr>
          <w:rFonts w:ascii="Book Antiqua" w:hAnsi="Book Antiqua"/>
          <w:lang w:val="en-GB"/>
        </w:rPr>
        <w:t xml:space="preserve"> should be interpreted with caution. Voluntary inclusion of patients in registries might account for a selection bias, even </w:t>
      </w:r>
      <w:r w:rsidR="00047D69" w:rsidRPr="00541840">
        <w:rPr>
          <w:rFonts w:ascii="Book Antiqua" w:hAnsi="Book Antiqua"/>
          <w:lang w:val="en-GB"/>
        </w:rPr>
        <w:t xml:space="preserve">if </w:t>
      </w:r>
      <w:r w:rsidRPr="00541840">
        <w:rPr>
          <w:rFonts w:ascii="Book Antiqua" w:hAnsi="Book Antiqua"/>
          <w:lang w:val="en-GB"/>
        </w:rPr>
        <w:t>they are prospective.</w:t>
      </w:r>
      <w:r w:rsidR="009B0871" w:rsidRPr="00541840">
        <w:rPr>
          <w:rFonts w:ascii="Book Antiqua" w:hAnsi="Book Antiqua"/>
          <w:lang w:val="en-GB"/>
        </w:rPr>
        <w:t xml:space="preserve"> The analysis covered a 10-year timeframe and included patients operated in different </w:t>
      </w:r>
      <w:r w:rsidR="00D43FC2" w:rsidRPr="00541840">
        <w:rPr>
          <w:rFonts w:ascii="Book Antiqua" w:hAnsi="Book Antiqua"/>
          <w:lang w:val="en-GB"/>
        </w:rPr>
        <w:t>centres</w:t>
      </w:r>
      <w:r w:rsidR="009B0871" w:rsidRPr="00541840">
        <w:rPr>
          <w:rFonts w:ascii="Book Antiqua" w:hAnsi="Book Antiqua"/>
          <w:lang w:val="en-GB"/>
        </w:rPr>
        <w:t>.</w:t>
      </w:r>
      <w:r w:rsidR="0027768C" w:rsidRPr="00541840">
        <w:rPr>
          <w:rFonts w:ascii="Book Antiqua" w:hAnsi="Book Antiqua"/>
          <w:lang w:val="en-GB"/>
        </w:rPr>
        <w:t xml:space="preserve"> Multidisciplinary patient management is crucial in </w:t>
      </w:r>
      <w:proofErr w:type="gramStart"/>
      <w:r w:rsidR="0027768C" w:rsidRPr="00541840">
        <w:rPr>
          <w:rFonts w:ascii="Book Antiqua" w:hAnsi="Book Antiqua"/>
          <w:lang w:val="en-GB"/>
        </w:rPr>
        <w:t>PE</w:t>
      </w:r>
      <w:r w:rsidR="0027768C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822D0" w:rsidRPr="00541840">
        <w:rPr>
          <w:rFonts w:ascii="Book Antiqua" w:hAnsi="Book Antiqua"/>
          <w:vertAlign w:val="superscript"/>
          <w:lang w:val="en-GB"/>
        </w:rPr>
        <w:t>5</w:t>
      </w:r>
      <w:r w:rsidR="0027768C" w:rsidRPr="00541840">
        <w:rPr>
          <w:rFonts w:ascii="Book Antiqua" w:hAnsi="Book Antiqua"/>
          <w:vertAlign w:val="superscript"/>
          <w:lang w:val="en-GB"/>
        </w:rPr>
        <w:t>]</w:t>
      </w:r>
      <w:r w:rsidR="00F20398" w:rsidRPr="00541840">
        <w:rPr>
          <w:rFonts w:ascii="Book Antiqua" w:hAnsi="Book Antiqua"/>
          <w:lang w:val="en-GB"/>
        </w:rPr>
        <w:t xml:space="preserve">, </w:t>
      </w:r>
      <w:r w:rsidR="0027768C" w:rsidRPr="00541840">
        <w:rPr>
          <w:rFonts w:ascii="Book Antiqua" w:hAnsi="Book Antiqua"/>
          <w:lang w:val="en-GB"/>
        </w:rPr>
        <w:t>and variability between hospitals could not be removed. However, there are no universally agreed</w:t>
      </w:r>
      <w:r w:rsidR="00FA0115" w:rsidRPr="00541840">
        <w:rPr>
          <w:rFonts w:ascii="Book Antiqua" w:hAnsi="Book Antiqua"/>
          <w:lang w:val="en-GB"/>
        </w:rPr>
        <w:t>-upon</w:t>
      </w:r>
      <w:r w:rsidR="0027768C" w:rsidRPr="00541840">
        <w:rPr>
          <w:rFonts w:ascii="Book Antiqua" w:hAnsi="Book Antiqua"/>
          <w:lang w:val="en-GB"/>
        </w:rPr>
        <w:t xml:space="preserve"> guidelines to indicate or contraindicate PE in LA</w:t>
      </w:r>
      <w:r w:rsidR="009970AC" w:rsidRPr="00541840">
        <w:rPr>
          <w:rFonts w:ascii="Book Antiqua" w:hAnsi="Book Antiqua"/>
          <w:lang w:val="en-GB"/>
        </w:rPr>
        <w:t>P</w:t>
      </w:r>
      <w:r w:rsidR="0027768C" w:rsidRPr="00541840">
        <w:rPr>
          <w:rFonts w:ascii="Book Antiqua" w:hAnsi="Book Antiqua"/>
          <w:lang w:val="en-GB"/>
        </w:rPr>
        <w:t>RC, despite the latest available beyond-TME Collaborative position paper</w:t>
      </w:r>
      <w:r w:rsidR="007E085B" w:rsidRPr="00541840">
        <w:rPr>
          <w:rFonts w:ascii="Book Antiqua" w:hAnsi="Book Antiqua"/>
          <w:lang w:val="en-GB"/>
        </w:rPr>
        <w:t xml:space="preserve">, which </w:t>
      </w:r>
      <w:r w:rsidR="0027768C" w:rsidRPr="00541840">
        <w:rPr>
          <w:rFonts w:ascii="Book Antiqua" w:hAnsi="Book Antiqua"/>
          <w:lang w:val="en-GB"/>
        </w:rPr>
        <w:t xml:space="preserve">advocated the need </w:t>
      </w:r>
      <w:r w:rsidR="00FA0115" w:rsidRPr="00541840">
        <w:rPr>
          <w:rFonts w:ascii="Book Antiqua" w:hAnsi="Book Antiqua"/>
          <w:lang w:val="en-GB"/>
        </w:rPr>
        <w:t>for</w:t>
      </w:r>
      <w:r w:rsidR="0027768C" w:rsidRPr="00541840">
        <w:rPr>
          <w:rFonts w:ascii="Book Antiqua" w:hAnsi="Book Antiqua"/>
          <w:lang w:val="en-GB"/>
        </w:rPr>
        <w:t xml:space="preserve"> further research on the topic as a matter of </w:t>
      </w:r>
      <w:proofErr w:type="gramStart"/>
      <w:r w:rsidR="0027768C" w:rsidRPr="00541840">
        <w:rPr>
          <w:rFonts w:ascii="Book Antiqua" w:hAnsi="Book Antiqua"/>
          <w:lang w:val="en-GB"/>
        </w:rPr>
        <w:t>priority</w:t>
      </w:r>
      <w:r w:rsidR="0027768C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9B56CC" w:rsidRPr="00541840">
        <w:rPr>
          <w:rFonts w:ascii="Book Antiqua" w:hAnsi="Book Antiqua"/>
          <w:vertAlign w:val="superscript"/>
          <w:lang w:val="en-GB"/>
        </w:rPr>
        <w:t>19</w:t>
      </w:r>
      <w:r w:rsidR="0027768C" w:rsidRPr="00541840">
        <w:rPr>
          <w:rFonts w:ascii="Book Antiqua" w:hAnsi="Book Antiqua"/>
          <w:vertAlign w:val="superscript"/>
          <w:lang w:val="en-GB"/>
        </w:rPr>
        <w:t>]</w:t>
      </w:r>
      <w:r w:rsidR="00E53EF8" w:rsidRPr="00541840">
        <w:rPr>
          <w:rFonts w:ascii="Book Antiqua" w:hAnsi="Book Antiqua"/>
          <w:lang w:val="en-GB"/>
        </w:rPr>
        <w:t>.</w:t>
      </w:r>
      <w:r w:rsidR="009B0871" w:rsidRPr="00541840">
        <w:rPr>
          <w:rFonts w:ascii="Book Antiqua" w:hAnsi="Book Antiqua"/>
          <w:lang w:val="en-GB"/>
        </w:rPr>
        <w:t xml:space="preserve"> No validation of </w:t>
      </w:r>
      <w:r w:rsidR="00426D25" w:rsidRPr="00541840">
        <w:rPr>
          <w:rFonts w:ascii="Book Antiqua" w:hAnsi="Book Antiqua"/>
          <w:lang w:val="en-GB"/>
        </w:rPr>
        <w:t xml:space="preserve">the </w:t>
      </w:r>
      <w:r w:rsidR="009B0871" w:rsidRPr="00541840">
        <w:rPr>
          <w:rFonts w:ascii="Book Antiqua" w:hAnsi="Book Antiqua"/>
          <w:lang w:val="en-GB"/>
        </w:rPr>
        <w:t xml:space="preserve">data was planned. LR </w:t>
      </w:r>
      <w:r w:rsidR="0027768C" w:rsidRPr="00541840">
        <w:rPr>
          <w:rFonts w:ascii="Book Antiqua" w:hAnsi="Book Antiqua"/>
          <w:lang w:val="en-GB"/>
        </w:rPr>
        <w:t xml:space="preserve">was diagnosed </w:t>
      </w:r>
      <w:r w:rsidR="00426D25" w:rsidRPr="00541840">
        <w:rPr>
          <w:rFonts w:ascii="Book Antiqua" w:hAnsi="Book Antiqua"/>
          <w:lang w:val="en-GB"/>
        </w:rPr>
        <w:t>by</w:t>
      </w:r>
      <w:r w:rsidR="0027768C" w:rsidRPr="00541840">
        <w:rPr>
          <w:rFonts w:ascii="Book Antiqua" w:hAnsi="Book Antiqua"/>
          <w:lang w:val="en-GB"/>
        </w:rPr>
        <w:t xml:space="preserve"> raising CEA associated with imaging proving recurrence, and this might have underestimated the actual incidence</w:t>
      </w:r>
      <w:r w:rsidR="00047D69" w:rsidRPr="00541840">
        <w:rPr>
          <w:rFonts w:ascii="Book Antiqua" w:hAnsi="Book Antiqua"/>
          <w:lang w:val="en-GB"/>
        </w:rPr>
        <w:t>.</w:t>
      </w:r>
      <w:r w:rsidR="003D6C73" w:rsidRPr="00541840">
        <w:rPr>
          <w:rFonts w:ascii="Book Antiqua" w:hAnsi="Book Antiqua"/>
          <w:lang w:val="en-GB"/>
        </w:rPr>
        <w:t xml:space="preserve"> </w:t>
      </w:r>
      <w:r w:rsidR="00880A2E" w:rsidRPr="00541840">
        <w:rPr>
          <w:rFonts w:ascii="Book Antiqua" w:hAnsi="Book Antiqua"/>
          <w:lang w:val="en-GB"/>
        </w:rPr>
        <w:t>Quality of life was not available in this study. Health-related q</w:t>
      </w:r>
      <w:r w:rsidR="003D6C73" w:rsidRPr="00541840">
        <w:rPr>
          <w:rFonts w:ascii="Book Antiqua" w:hAnsi="Book Antiqua"/>
          <w:lang w:val="en-GB"/>
        </w:rPr>
        <w:t>uality of life</w:t>
      </w:r>
      <w:r w:rsidR="00880A2E" w:rsidRPr="00541840">
        <w:rPr>
          <w:rFonts w:ascii="Book Antiqua" w:hAnsi="Book Antiqua"/>
          <w:lang w:val="en-GB"/>
        </w:rPr>
        <w:t xml:space="preserve"> and social function</w:t>
      </w:r>
      <w:r w:rsidR="003D6C73" w:rsidRPr="00541840">
        <w:rPr>
          <w:rFonts w:ascii="Book Antiqua" w:hAnsi="Book Antiqua"/>
          <w:lang w:val="en-GB"/>
        </w:rPr>
        <w:t xml:space="preserve"> </w:t>
      </w:r>
      <w:r w:rsidR="00880A2E" w:rsidRPr="00541840">
        <w:rPr>
          <w:rFonts w:ascii="Book Antiqua" w:hAnsi="Book Antiqua"/>
          <w:lang w:val="en-GB"/>
        </w:rPr>
        <w:t>are</w:t>
      </w:r>
      <w:r w:rsidR="003D6C73" w:rsidRPr="00541840">
        <w:rPr>
          <w:rFonts w:ascii="Book Antiqua" w:hAnsi="Book Antiqua"/>
          <w:lang w:val="en-GB"/>
        </w:rPr>
        <w:t xml:space="preserve"> </w:t>
      </w:r>
      <w:r w:rsidR="00880A2E" w:rsidRPr="00541840">
        <w:rPr>
          <w:rFonts w:ascii="Book Antiqua" w:hAnsi="Book Antiqua"/>
          <w:lang w:val="en-GB"/>
        </w:rPr>
        <w:t>of paramount importance in patients</w:t>
      </w:r>
      <w:r w:rsidR="00152813" w:rsidRPr="00541840">
        <w:rPr>
          <w:rFonts w:ascii="Book Antiqua" w:hAnsi="Book Antiqua"/>
          <w:lang w:val="en-GB"/>
        </w:rPr>
        <w:t xml:space="preserve"> who are</w:t>
      </w:r>
      <w:r w:rsidR="00880A2E" w:rsidRPr="00541840">
        <w:rPr>
          <w:rFonts w:ascii="Book Antiqua" w:hAnsi="Book Antiqua"/>
          <w:lang w:val="en-GB"/>
        </w:rPr>
        <w:t xml:space="preserve"> candidate</w:t>
      </w:r>
      <w:r w:rsidR="00152813" w:rsidRPr="00541840">
        <w:rPr>
          <w:rFonts w:ascii="Book Antiqua" w:hAnsi="Book Antiqua"/>
          <w:lang w:val="en-GB"/>
        </w:rPr>
        <w:t>s</w:t>
      </w:r>
      <w:r w:rsidR="00880A2E" w:rsidRPr="00541840">
        <w:rPr>
          <w:rFonts w:ascii="Book Antiqua" w:hAnsi="Book Antiqua"/>
          <w:lang w:val="en-GB"/>
        </w:rPr>
        <w:t xml:space="preserve"> </w:t>
      </w:r>
      <w:r w:rsidR="00152813" w:rsidRPr="00541840">
        <w:rPr>
          <w:rFonts w:ascii="Book Antiqua" w:hAnsi="Book Antiqua"/>
          <w:lang w:val="en-GB"/>
        </w:rPr>
        <w:t xml:space="preserve">for </w:t>
      </w:r>
      <w:r w:rsidR="006C2F28" w:rsidRPr="00541840">
        <w:rPr>
          <w:rFonts w:ascii="Book Antiqua" w:hAnsi="Book Antiqua"/>
          <w:lang w:val="en-GB"/>
        </w:rPr>
        <w:t>PE and</w:t>
      </w:r>
      <w:r w:rsidR="00880A2E" w:rsidRPr="00541840">
        <w:rPr>
          <w:rFonts w:ascii="Book Antiqua" w:hAnsi="Book Antiqua"/>
          <w:lang w:val="en-GB"/>
        </w:rPr>
        <w:t xml:space="preserve"> should be considered </w:t>
      </w:r>
      <w:r w:rsidR="003D6C73" w:rsidRPr="00541840">
        <w:rPr>
          <w:rFonts w:ascii="Book Antiqua" w:hAnsi="Book Antiqua"/>
          <w:lang w:val="en-GB"/>
        </w:rPr>
        <w:t>an important endpoint of LARC surgery</w:t>
      </w:r>
      <w:r w:rsidR="00880A2E" w:rsidRPr="00541840">
        <w:rPr>
          <w:rFonts w:ascii="Book Antiqua" w:hAnsi="Book Antiqua"/>
          <w:lang w:val="en-GB"/>
        </w:rPr>
        <w:t xml:space="preserve">. </w:t>
      </w:r>
      <w:r w:rsidR="00355594" w:rsidRPr="00541840">
        <w:rPr>
          <w:rFonts w:ascii="Book Antiqua" w:hAnsi="Book Antiqua"/>
          <w:lang w:val="en-GB"/>
        </w:rPr>
        <w:t xml:space="preserve">The stressful experience that patients and families go through after receiving a diagnosis and when they are forced to face an advanced and aggressive disease is made even more difficult when the perspectives of the necessity of a definitive stoma (sometimes more than one) are considered. </w:t>
      </w:r>
      <w:r w:rsidR="00A30175" w:rsidRPr="00541840">
        <w:rPr>
          <w:rFonts w:ascii="Book Antiqua" w:hAnsi="Book Antiqua"/>
          <w:lang w:val="en-GB"/>
        </w:rPr>
        <w:t>However, no dedicated questionnaire</w:t>
      </w:r>
      <w:r w:rsidR="00B73D4E" w:rsidRPr="00541840">
        <w:rPr>
          <w:rFonts w:ascii="Book Antiqua" w:hAnsi="Book Antiqua"/>
          <w:lang w:val="en-GB"/>
        </w:rPr>
        <w:t>s</w:t>
      </w:r>
      <w:r w:rsidR="00A30175" w:rsidRPr="00541840">
        <w:rPr>
          <w:rFonts w:ascii="Book Antiqua" w:hAnsi="Book Antiqua"/>
          <w:lang w:val="en-GB"/>
        </w:rPr>
        <w:t xml:space="preserve"> or assessment</w:t>
      </w:r>
      <w:r w:rsidR="00B73D4E" w:rsidRPr="00541840">
        <w:rPr>
          <w:rFonts w:ascii="Book Antiqua" w:hAnsi="Book Antiqua"/>
          <w:lang w:val="en-GB"/>
        </w:rPr>
        <w:t>s</w:t>
      </w:r>
      <w:r w:rsidR="00A30175" w:rsidRPr="00541840">
        <w:rPr>
          <w:rFonts w:ascii="Book Antiqua" w:hAnsi="Book Antiqua"/>
          <w:lang w:val="en-GB"/>
        </w:rPr>
        <w:t xml:space="preserve"> have been proposed and validated in this group of </w:t>
      </w:r>
      <w:r w:rsidR="006C2F28" w:rsidRPr="00541840">
        <w:rPr>
          <w:rFonts w:ascii="Book Antiqua" w:hAnsi="Book Antiqua"/>
          <w:lang w:val="en-GB"/>
        </w:rPr>
        <w:t>patients and</w:t>
      </w:r>
      <w:r w:rsidR="00A30175" w:rsidRPr="00541840">
        <w:rPr>
          <w:rFonts w:ascii="Book Antiqua" w:hAnsi="Book Antiqua"/>
          <w:lang w:val="en-GB"/>
        </w:rPr>
        <w:t xml:space="preserve"> should therefore be </w:t>
      </w:r>
      <w:r w:rsidR="00EF4B5A">
        <w:rPr>
          <w:rFonts w:ascii="Book Antiqua" w:hAnsi="Book Antiqua"/>
          <w:lang w:val="en-GB"/>
        </w:rPr>
        <w:t>considered a research priority.</w:t>
      </w:r>
    </w:p>
    <w:p w14:paraId="4D2E396E" w14:textId="26BBAB87" w:rsidR="0027768C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6E33C9" w:rsidRPr="00541840">
        <w:rPr>
          <w:rFonts w:ascii="Book Antiqua" w:hAnsi="Book Antiqua"/>
          <w:lang w:val="en-GB"/>
        </w:rPr>
        <w:t xml:space="preserve">This study has strengths. </w:t>
      </w:r>
      <w:r w:rsidR="0027768C" w:rsidRPr="00541840">
        <w:rPr>
          <w:rFonts w:ascii="Book Antiqua" w:hAnsi="Book Antiqua"/>
          <w:lang w:val="en-GB"/>
        </w:rPr>
        <w:t>Limited series of PE for LA</w:t>
      </w:r>
      <w:r w:rsidR="009970AC" w:rsidRPr="00541840">
        <w:rPr>
          <w:rFonts w:ascii="Book Antiqua" w:hAnsi="Book Antiqua"/>
          <w:lang w:val="en-GB"/>
        </w:rPr>
        <w:t>P</w:t>
      </w:r>
      <w:r w:rsidR="0027768C" w:rsidRPr="00541840">
        <w:rPr>
          <w:rFonts w:ascii="Book Antiqua" w:hAnsi="Book Antiqua"/>
          <w:lang w:val="en-GB"/>
        </w:rPr>
        <w:t>RC have been reported, and the</w:t>
      </w:r>
      <w:r w:rsidR="000B3C55" w:rsidRPr="00541840">
        <w:rPr>
          <w:rFonts w:ascii="Book Antiqua" w:hAnsi="Book Antiqua"/>
          <w:lang w:val="en-GB"/>
        </w:rPr>
        <w:t xml:space="preserve"> findings</w:t>
      </w:r>
      <w:r w:rsidR="0027768C" w:rsidRPr="00541840">
        <w:rPr>
          <w:rFonts w:ascii="Book Antiqua" w:hAnsi="Book Antiqua"/>
          <w:lang w:val="en-GB"/>
        </w:rPr>
        <w:t xml:space="preserve"> described </w:t>
      </w:r>
      <w:r w:rsidR="000B3C55" w:rsidRPr="00541840">
        <w:rPr>
          <w:rFonts w:ascii="Book Antiqua" w:hAnsi="Book Antiqua"/>
          <w:lang w:val="en-GB"/>
        </w:rPr>
        <w:t xml:space="preserve">herein </w:t>
      </w:r>
      <w:r w:rsidR="0027768C" w:rsidRPr="00541840">
        <w:rPr>
          <w:rFonts w:ascii="Book Antiqua" w:hAnsi="Book Antiqua"/>
          <w:lang w:val="en-GB"/>
        </w:rPr>
        <w:t xml:space="preserve">represent the second largest </w:t>
      </w:r>
      <w:r w:rsidR="00614109" w:rsidRPr="00541840">
        <w:rPr>
          <w:rFonts w:ascii="Book Antiqua" w:hAnsi="Book Antiqua"/>
          <w:lang w:val="en-GB"/>
        </w:rPr>
        <w:t xml:space="preserve">study </w:t>
      </w:r>
      <w:r w:rsidR="003D6C73" w:rsidRPr="00541840">
        <w:rPr>
          <w:rFonts w:ascii="Book Antiqua" w:hAnsi="Book Antiqua"/>
          <w:lang w:val="en-GB"/>
        </w:rPr>
        <w:t>with 5-year follow</w:t>
      </w:r>
      <w:r w:rsidR="0060460A" w:rsidRPr="00541840">
        <w:rPr>
          <w:rFonts w:ascii="Book Antiqua" w:hAnsi="Book Antiqua"/>
          <w:lang w:val="en-GB"/>
        </w:rPr>
        <w:t xml:space="preserve"> </w:t>
      </w:r>
      <w:r w:rsidR="003D6C73" w:rsidRPr="00541840">
        <w:rPr>
          <w:rFonts w:ascii="Book Antiqua" w:hAnsi="Book Antiqua"/>
          <w:lang w:val="en-GB"/>
        </w:rPr>
        <w:t xml:space="preserve">up available </w:t>
      </w:r>
      <w:r w:rsidR="0027768C" w:rsidRPr="00541840">
        <w:rPr>
          <w:rFonts w:ascii="Book Antiqua" w:hAnsi="Book Antiqua"/>
          <w:lang w:val="en-GB"/>
        </w:rPr>
        <w:t xml:space="preserve">after the </w:t>
      </w:r>
      <w:proofErr w:type="spellStart"/>
      <w:r w:rsidR="0027768C" w:rsidRPr="00541840">
        <w:rPr>
          <w:rFonts w:ascii="Book Antiqua" w:hAnsi="Book Antiqua"/>
          <w:lang w:val="en-GB"/>
        </w:rPr>
        <w:t>PelvEx</w:t>
      </w:r>
      <w:proofErr w:type="spellEnd"/>
      <w:r w:rsidR="0027768C" w:rsidRPr="00541840">
        <w:rPr>
          <w:rFonts w:ascii="Book Antiqua" w:hAnsi="Book Antiqua"/>
          <w:lang w:val="en-GB"/>
        </w:rPr>
        <w:t xml:space="preserve"> Collaborative</w:t>
      </w:r>
      <w:r w:rsidR="003D6C73" w:rsidRPr="00541840">
        <w:rPr>
          <w:rFonts w:ascii="Book Antiqua" w:hAnsi="Book Antiqua"/>
          <w:lang w:val="en-GB"/>
        </w:rPr>
        <w:t xml:space="preserve"> study</w:t>
      </w:r>
      <w:r w:rsidR="0027768C" w:rsidRPr="00541840">
        <w:rPr>
          <w:rFonts w:ascii="Book Antiqua" w:hAnsi="Book Antiqua"/>
          <w:lang w:val="en-GB"/>
        </w:rPr>
        <w:t>.</w:t>
      </w:r>
      <w:r w:rsidR="00047D69" w:rsidRPr="00541840">
        <w:rPr>
          <w:rFonts w:ascii="Book Antiqua" w:hAnsi="Book Antiqua"/>
          <w:lang w:val="en-GB"/>
        </w:rPr>
        <w:t xml:space="preserve"> </w:t>
      </w:r>
      <w:r w:rsidR="0027768C" w:rsidRPr="00541840">
        <w:rPr>
          <w:rFonts w:ascii="Book Antiqua" w:hAnsi="Book Antiqua"/>
          <w:lang w:val="en-GB"/>
        </w:rPr>
        <w:t>We suggested that patients with LA</w:t>
      </w:r>
      <w:r w:rsidR="009970AC" w:rsidRPr="00541840">
        <w:rPr>
          <w:rFonts w:ascii="Book Antiqua" w:hAnsi="Book Antiqua"/>
          <w:lang w:val="en-GB"/>
        </w:rPr>
        <w:t>P</w:t>
      </w:r>
      <w:r w:rsidR="0027768C" w:rsidRPr="00541840">
        <w:rPr>
          <w:rFonts w:ascii="Book Antiqua" w:hAnsi="Book Antiqua"/>
          <w:lang w:val="en-GB"/>
        </w:rPr>
        <w:t>RC of the lower third might benefit from a more aggressive surgical approach, and future studies could be designed to confirm the survival advantage in this group of patients.</w:t>
      </w:r>
      <w:r w:rsidR="00311462" w:rsidRPr="00541840">
        <w:rPr>
          <w:rFonts w:ascii="Book Antiqua" w:hAnsi="Book Antiqua"/>
          <w:lang w:val="en-GB"/>
        </w:rPr>
        <w:t xml:space="preserve"> Some </w:t>
      </w:r>
      <w:r w:rsidR="00D43FC2" w:rsidRPr="00541840">
        <w:rPr>
          <w:rFonts w:ascii="Book Antiqua" w:hAnsi="Book Antiqua"/>
          <w:lang w:val="en-GB"/>
        </w:rPr>
        <w:t>centres</w:t>
      </w:r>
      <w:r w:rsidR="00311462" w:rsidRPr="00541840">
        <w:rPr>
          <w:rFonts w:ascii="Book Antiqua" w:hAnsi="Book Antiqua"/>
          <w:lang w:val="en-GB"/>
        </w:rPr>
        <w:t xml:space="preserve"> advocated PE in patients with liver metastases. The numbers were too small to conduct sub-analyses, and results could be misleading. Interestingly, distant metastases are usually a contraindication to PE in most referral </w:t>
      </w:r>
      <w:proofErr w:type="gramStart"/>
      <w:r w:rsidR="00D43FC2" w:rsidRPr="00541840">
        <w:rPr>
          <w:rFonts w:ascii="Book Antiqua" w:hAnsi="Book Antiqua"/>
          <w:lang w:val="en-GB"/>
        </w:rPr>
        <w:t>centres</w:t>
      </w:r>
      <w:r w:rsidR="00311462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7822D0" w:rsidRPr="00541840">
        <w:rPr>
          <w:rFonts w:ascii="Book Antiqua" w:hAnsi="Book Antiqua"/>
          <w:vertAlign w:val="superscript"/>
          <w:lang w:val="en-GB"/>
        </w:rPr>
        <w:t>5</w:t>
      </w:r>
      <w:r w:rsidR="00311462" w:rsidRPr="00541840">
        <w:rPr>
          <w:rFonts w:ascii="Book Antiqua" w:hAnsi="Book Antiqua"/>
          <w:vertAlign w:val="superscript"/>
          <w:lang w:val="en-GB"/>
        </w:rPr>
        <w:t>]</w:t>
      </w:r>
      <w:r w:rsidR="00311462" w:rsidRPr="00541840">
        <w:rPr>
          <w:rFonts w:ascii="Book Antiqua" w:hAnsi="Book Antiqua"/>
          <w:lang w:val="en-GB"/>
        </w:rPr>
        <w:t>. As per the available position paper, LA</w:t>
      </w:r>
      <w:r w:rsidR="009970AC" w:rsidRPr="00541840">
        <w:rPr>
          <w:rFonts w:ascii="Book Antiqua" w:hAnsi="Book Antiqua"/>
          <w:lang w:val="en-GB"/>
        </w:rPr>
        <w:t>P</w:t>
      </w:r>
      <w:r w:rsidR="00311462" w:rsidRPr="00541840">
        <w:rPr>
          <w:rFonts w:ascii="Book Antiqua" w:hAnsi="Book Antiqua"/>
          <w:lang w:val="en-GB"/>
        </w:rPr>
        <w:t xml:space="preserve">RC with metastases amenable to resection could benefit from PE, on </w:t>
      </w:r>
      <w:r w:rsidR="000A6E4F" w:rsidRPr="00541840">
        <w:rPr>
          <w:rFonts w:ascii="Book Antiqua" w:hAnsi="Book Antiqua"/>
          <w:lang w:val="en-GB"/>
        </w:rPr>
        <w:t xml:space="preserve">the </w:t>
      </w:r>
      <w:r w:rsidR="00311462" w:rsidRPr="00541840">
        <w:rPr>
          <w:rFonts w:ascii="Book Antiqua" w:hAnsi="Book Antiqua"/>
          <w:lang w:val="en-GB"/>
        </w:rPr>
        <w:t xml:space="preserve">condition that </w:t>
      </w:r>
      <w:r w:rsidR="00D43FC2" w:rsidRPr="00541840">
        <w:rPr>
          <w:rFonts w:ascii="Book Antiqua" w:hAnsi="Book Antiqua"/>
          <w:lang w:val="en-GB"/>
        </w:rPr>
        <w:t>a dedicated MDT agrees to the indication</w:t>
      </w:r>
      <w:r w:rsidR="00311462" w:rsidRPr="00541840">
        <w:rPr>
          <w:rFonts w:ascii="Book Antiqua" w:hAnsi="Book Antiqua"/>
          <w:lang w:val="en-GB"/>
        </w:rPr>
        <w:t>.</w:t>
      </w:r>
      <w:r w:rsidR="007B1495" w:rsidRPr="00541840">
        <w:rPr>
          <w:rFonts w:ascii="Book Antiqua" w:hAnsi="Book Antiqua"/>
          <w:lang w:val="en-GB"/>
        </w:rPr>
        <w:t xml:space="preserve"> </w:t>
      </w:r>
      <w:r w:rsidR="004623A8" w:rsidRPr="00541840">
        <w:rPr>
          <w:rFonts w:ascii="Book Antiqua" w:hAnsi="Book Antiqua"/>
          <w:lang w:val="en-GB"/>
        </w:rPr>
        <w:t xml:space="preserve">In agreement with </w:t>
      </w:r>
      <w:r w:rsidR="004623A8" w:rsidRPr="00541840">
        <w:rPr>
          <w:rFonts w:ascii="Book Antiqua" w:hAnsi="Book Antiqua"/>
          <w:lang w:val="en-GB"/>
        </w:rPr>
        <w:lastRenderedPageBreak/>
        <w:t xml:space="preserve">the statements of the beyond TME </w:t>
      </w:r>
      <w:proofErr w:type="gramStart"/>
      <w:r w:rsidR="004623A8" w:rsidRPr="00541840">
        <w:rPr>
          <w:rFonts w:ascii="Book Antiqua" w:hAnsi="Book Antiqua"/>
          <w:lang w:val="en-GB"/>
        </w:rPr>
        <w:t>Collaborative</w:t>
      </w:r>
      <w:r w:rsidR="004623A8" w:rsidRPr="00541840">
        <w:rPr>
          <w:rFonts w:ascii="Book Antiqua" w:hAnsi="Book Antiqua"/>
          <w:vertAlign w:val="superscript"/>
          <w:lang w:val="en-GB"/>
        </w:rPr>
        <w:t>[</w:t>
      </w:r>
      <w:proofErr w:type="gramEnd"/>
      <w:r w:rsidR="009B56CC" w:rsidRPr="00541840">
        <w:rPr>
          <w:rFonts w:ascii="Book Antiqua" w:hAnsi="Book Antiqua"/>
          <w:vertAlign w:val="superscript"/>
          <w:lang w:val="en-GB"/>
        </w:rPr>
        <w:t>19</w:t>
      </w:r>
      <w:r w:rsidR="004623A8" w:rsidRPr="00541840">
        <w:rPr>
          <w:rFonts w:ascii="Book Antiqua" w:hAnsi="Book Antiqua"/>
          <w:vertAlign w:val="superscript"/>
          <w:lang w:val="en-GB"/>
        </w:rPr>
        <w:t>]</w:t>
      </w:r>
      <w:r w:rsidR="004623A8" w:rsidRPr="00541840">
        <w:rPr>
          <w:rFonts w:ascii="Book Antiqua" w:hAnsi="Book Antiqua"/>
          <w:lang w:val="en-GB"/>
        </w:rPr>
        <w:t xml:space="preserve">, </w:t>
      </w:r>
      <w:r w:rsidR="008434FB" w:rsidRPr="00541840">
        <w:rPr>
          <w:rFonts w:ascii="Book Antiqua" w:hAnsi="Book Antiqua"/>
          <w:lang w:val="en-GB"/>
        </w:rPr>
        <w:t xml:space="preserve">the </w:t>
      </w:r>
      <w:r w:rsidR="004623A8" w:rsidRPr="00541840">
        <w:rPr>
          <w:rFonts w:ascii="Book Antiqua" w:hAnsi="Book Antiqua"/>
          <w:lang w:val="en-GB"/>
        </w:rPr>
        <w:t xml:space="preserve">outcomes of PE should be separately reported, and our manuscript only included this homogeneous group of patients.  </w:t>
      </w:r>
    </w:p>
    <w:p w14:paraId="1094A35B" w14:textId="0D9C5091" w:rsidR="000946C6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10" w:name="_Hlk528231760"/>
      <w:r>
        <w:rPr>
          <w:rFonts w:ascii="Book Antiqua" w:hAnsi="Book Antiqua"/>
          <w:lang w:val="en-GB"/>
        </w:rPr>
        <w:t xml:space="preserve">  </w:t>
      </w:r>
      <w:r w:rsidR="000946C6" w:rsidRPr="00541840">
        <w:rPr>
          <w:rFonts w:ascii="Book Antiqua" w:hAnsi="Book Antiqua"/>
          <w:lang w:val="en-GB"/>
        </w:rPr>
        <w:t xml:space="preserve">PE is an extensive procedure with significant rate of perioperative adverse events. The analysis of </w:t>
      </w:r>
      <w:r w:rsidR="009970AC" w:rsidRPr="00541840">
        <w:rPr>
          <w:rFonts w:ascii="Book Antiqua" w:hAnsi="Book Antiqua"/>
          <w:lang w:val="en-GB"/>
        </w:rPr>
        <w:t xml:space="preserve">a </w:t>
      </w:r>
      <w:r w:rsidR="005C43AA" w:rsidRPr="00541840">
        <w:rPr>
          <w:rFonts w:ascii="Book Antiqua" w:hAnsi="Book Antiqua"/>
          <w:lang w:val="en-GB"/>
        </w:rPr>
        <w:t>n</w:t>
      </w:r>
      <w:r w:rsidR="009970AC" w:rsidRPr="00541840">
        <w:rPr>
          <w:rFonts w:ascii="Book Antiqua" w:hAnsi="Book Antiqua"/>
          <w:lang w:val="en-GB"/>
        </w:rPr>
        <w:t xml:space="preserve">ational </w:t>
      </w:r>
      <w:r w:rsidR="000946C6" w:rsidRPr="00541840">
        <w:rPr>
          <w:rFonts w:ascii="Book Antiqua" w:hAnsi="Book Antiqua"/>
          <w:lang w:val="en-GB"/>
        </w:rPr>
        <w:t>database on LA</w:t>
      </w:r>
      <w:r w:rsidR="009970AC" w:rsidRPr="00541840">
        <w:rPr>
          <w:rFonts w:ascii="Book Antiqua" w:hAnsi="Book Antiqua"/>
          <w:lang w:val="en-GB"/>
        </w:rPr>
        <w:t>P</w:t>
      </w:r>
      <w:r w:rsidR="000946C6" w:rsidRPr="00541840">
        <w:rPr>
          <w:rFonts w:ascii="Book Antiqua" w:hAnsi="Book Antiqua"/>
          <w:lang w:val="en-GB"/>
        </w:rPr>
        <w:t>RC treated with PE over 10 years confirmed the survival benefit of the procedure, which overwhelm</w:t>
      </w:r>
      <w:r w:rsidR="00EC0DC6" w:rsidRPr="00541840">
        <w:rPr>
          <w:rFonts w:ascii="Book Antiqua" w:hAnsi="Book Antiqua"/>
          <w:lang w:val="en-GB"/>
        </w:rPr>
        <w:t>s</w:t>
      </w:r>
      <w:r w:rsidR="000946C6" w:rsidRPr="00541840">
        <w:rPr>
          <w:rFonts w:ascii="Book Antiqua" w:hAnsi="Book Antiqua"/>
          <w:lang w:val="en-GB"/>
        </w:rPr>
        <w:t xml:space="preserve"> the morbidity and mortality associated with it. The rates of LR, DFS and OS were in line with most of the reported studies, but </w:t>
      </w:r>
      <w:r w:rsidR="00F716C9" w:rsidRPr="00541840">
        <w:rPr>
          <w:rFonts w:ascii="Book Antiqua" w:hAnsi="Book Antiqua"/>
          <w:lang w:val="en-GB"/>
        </w:rPr>
        <w:t>any effort should be made to improve these results (</w:t>
      </w:r>
      <w:r w:rsidR="00F716C9" w:rsidRPr="00EF4B5A">
        <w:rPr>
          <w:rFonts w:ascii="Book Antiqua" w:hAnsi="Book Antiqua"/>
          <w:i/>
          <w:lang w:val="en-GB"/>
        </w:rPr>
        <w:t>e.g.</w:t>
      </w:r>
      <w:r w:rsidR="006E6F57" w:rsidRPr="00541840">
        <w:rPr>
          <w:rFonts w:ascii="Book Antiqua" w:hAnsi="Book Antiqua"/>
          <w:lang w:val="en-GB"/>
        </w:rPr>
        <w:t>,</w:t>
      </w:r>
      <w:r w:rsidR="00F716C9" w:rsidRPr="00541840">
        <w:rPr>
          <w:rFonts w:ascii="Book Antiqua" w:hAnsi="Book Antiqua"/>
          <w:lang w:val="en-GB"/>
        </w:rPr>
        <w:t xml:space="preserve"> </w:t>
      </w:r>
      <w:r w:rsidR="00F716C9" w:rsidRPr="00EF4B5A">
        <w:rPr>
          <w:rFonts w:ascii="Book Antiqua" w:hAnsi="Book Antiqua"/>
          <w:i/>
          <w:lang w:val="en-GB"/>
        </w:rPr>
        <w:t>via</w:t>
      </w:r>
      <w:r w:rsidR="00F716C9" w:rsidRPr="00541840">
        <w:rPr>
          <w:rFonts w:ascii="Book Antiqua" w:hAnsi="Book Antiqua"/>
          <w:lang w:val="en-GB"/>
        </w:rPr>
        <w:t xml:space="preserve"> centralization, adherence to prospective registries and auditing, dedicated training)</w:t>
      </w:r>
      <w:r w:rsidR="000946C6" w:rsidRPr="00541840">
        <w:rPr>
          <w:rFonts w:ascii="Book Antiqua" w:hAnsi="Book Antiqua"/>
          <w:lang w:val="en-GB"/>
        </w:rPr>
        <w:t xml:space="preserve">. </w:t>
      </w:r>
      <w:r w:rsidR="00F716C9" w:rsidRPr="00541840">
        <w:rPr>
          <w:rFonts w:ascii="Book Antiqua" w:hAnsi="Book Antiqua"/>
          <w:lang w:val="en-GB"/>
        </w:rPr>
        <w:t xml:space="preserve">Disease-free resection margins (R0) </w:t>
      </w:r>
      <w:r w:rsidR="00EC0DC6" w:rsidRPr="00541840">
        <w:rPr>
          <w:rFonts w:ascii="Book Antiqua" w:hAnsi="Book Antiqua"/>
          <w:lang w:val="en-GB"/>
        </w:rPr>
        <w:t>comprise</w:t>
      </w:r>
      <w:r w:rsidR="009970AC" w:rsidRPr="00541840">
        <w:rPr>
          <w:rFonts w:ascii="Book Antiqua" w:hAnsi="Book Antiqua"/>
          <w:lang w:val="en-GB"/>
        </w:rPr>
        <w:t xml:space="preserve"> </w:t>
      </w:r>
      <w:r w:rsidR="00F716C9" w:rsidRPr="00541840">
        <w:rPr>
          <w:rFonts w:ascii="Book Antiqua" w:hAnsi="Book Antiqua"/>
          <w:lang w:val="en-GB"/>
        </w:rPr>
        <w:t>the aim of surgery</w:t>
      </w:r>
      <w:r w:rsidR="000946C6" w:rsidRPr="00541840">
        <w:rPr>
          <w:rFonts w:ascii="Book Antiqua" w:hAnsi="Book Antiqua"/>
          <w:lang w:val="en-GB"/>
        </w:rPr>
        <w:t xml:space="preserve">, as they predict LR. PE should be carried out in dedicated </w:t>
      </w:r>
      <w:r w:rsidR="005C765F" w:rsidRPr="00541840">
        <w:rPr>
          <w:rFonts w:ascii="Book Antiqua" w:hAnsi="Book Antiqua"/>
          <w:lang w:val="en-GB"/>
        </w:rPr>
        <w:t>u</w:t>
      </w:r>
      <w:r w:rsidR="000946C6" w:rsidRPr="00541840">
        <w:rPr>
          <w:rFonts w:ascii="Book Antiqua" w:hAnsi="Book Antiqua"/>
          <w:lang w:val="en-GB"/>
        </w:rPr>
        <w:t>nit</w:t>
      </w:r>
      <w:r w:rsidR="005C765F" w:rsidRPr="00541840">
        <w:rPr>
          <w:rFonts w:ascii="Book Antiqua" w:hAnsi="Book Antiqua"/>
          <w:lang w:val="en-GB"/>
        </w:rPr>
        <w:t>s</w:t>
      </w:r>
      <w:r w:rsidR="000946C6" w:rsidRPr="00541840">
        <w:rPr>
          <w:rFonts w:ascii="Book Antiqua" w:hAnsi="Book Antiqua"/>
          <w:lang w:val="en-GB"/>
        </w:rPr>
        <w:t xml:space="preserve"> under the care of MDT to reduce or promptly treat complications, which impair long</w:t>
      </w:r>
      <w:r w:rsidR="00723FCB" w:rsidRPr="00541840">
        <w:rPr>
          <w:rFonts w:ascii="Book Antiqua" w:hAnsi="Book Antiqua"/>
          <w:lang w:val="en-GB"/>
        </w:rPr>
        <w:t>-</w:t>
      </w:r>
      <w:r w:rsidR="000946C6" w:rsidRPr="00541840">
        <w:rPr>
          <w:rFonts w:ascii="Book Antiqua" w:hAnsi="Book Antiqua"/>
          <w:lang w:val="en-GB"/>
        </w:rPr>
        <w:t>term survival.</w:t>
      </w:r>
    </w:p>
    <w:bookmarkEnd w:id="10"/>
    <w:p w14:paraId="314B8166" w14:textId="40CB7A8E" w:rsidR="00573F04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573F04" w:rsidRPr="00541840">
        <w:rPr>
          <w:rFonts w:ascii="Book Antiqua" w:hAnsi="Book Antiqua"/>
          <w:lang w:val="en-GB"/>
        </w:rPr>
        <w:t xml:space="preserve">Compared with </w:t>
      </w:r>
      <w:r w:rsidR="00743972" w:rsidRPr="00541840">
        <w:rPr>
          <w:rFonts w:ascii="Book Antiqua" w:hAnsi="Book Antiqua"/>
          <w:lang w:val="en-GB"/>
        </w:rPr>
        <w:t>non-</w:t>
      </w:r>
      <w:proofErr w:type="spellStart"/>
      <w:r w:rsidR="00743972" w:rsidRPr="00541840">
        <w:rPr>
          <w:rFonts w:ascii="Book Antiqua" w:hAnsi="Book Antiqua"/>
          <w:lang w:val="en-GB"/>
        </w:rPr>
        <w:t>exenterative</w:t>
      </w:r>
      <w:proofErr w:type="spellEnd"/>
      <w:r w:rsidR="00743972" w:rsidRPr="00541840">
        <w:rPr>
          <w:rFonts w:ascii="Book Antiqua" w:hAnsi="Book Antiqua"/>
          <w:lang w:val="en-GB"/>
        </w:rPr>
        <w:t xml:space="preserve"> TME surgery, PE was associated with longer disease-free intervals and achieved similar OS in patients with LA</w:t>
      </w:r>
      <w:r w:rsidR="009970AC" w:rsidRPr="00541840">
        <w:rPr>
          <w:rFonts w:ascii="Book Antiqua" w:hAnsi="Book Antiqua"/>
          <w:lang w:val="en-GB"/>
        </w:rPr>
        <w:t>P</w:t>
      </w:r>
      <w:r w:rsidR="00743972" w:rsidRPr="00541840">
        <w:rPr>
          <w:rFonts w:ascii="Book Antiqua" w:hAnsi="Book Antiqua"/>
          <w:lang w:val="en-GB"/>
        </w:rPr>
        <w:t xml:space="preserve">RC for low rectal cancer. </w:t>
      </w:r>
    </w:p>
    <w:p w14:paraId="38AFF2E5" w14:textId="5929760C" w:rsidR="00743972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743972" w:rsidRPr="00541840">
        <w:rPr>
          <w:rFonts w:ascii="Book Antiqua" w:hAnsi="Book Antiqua"/>
          <w:lang w:val="en-GB"/>
        </w:rPr>
        <w:t>Further studies are needed to clarify patient selection pathways</w:t>
      </w:r>
      <w:r w:rsidR="00EF34C3" w:rsidRPr="00541840">
        <w:rPr>
          <w:rFonts w:ascii="Book Antiqua" w:hAnsi="Book Antiqua"/>
          <w:lang w:val="en-GB"/>
        </w:rPr>
        <w:t xml:space="preserve"> and</w:t>
      </w:r>
      <w:r w:rsidR="00743972" w:rsidRPr="00541840">
        <w:rPr>
          <w:rFonts w:ascii="Book Antiqua" w:hAnsi="Book Antiqua"/>
          <w:lang w:val="en-GB"/>
        </w:rPr>
        <w:t xml:space="preserve"> referral </w:t>
      </w:r>
      <w:r w:rsidR="00D43FC2" w:rsidRPr="00541840">
        <w:rPr>
          <w:rFonts w:ascii="Book Antiqua" w:hAnsi="Book Antiqua"/>
          <w:lang w:val="en-GB"/>
        </w:rPr>
        <w:t>centre</w:t>
      </w:r>
      <w:r w:rsidR="00743972" w:rsidRPr="00541840">
        <w:rPr>
          <w:rFonts w:ascii="Book Antiqua" w:hAnsi="Book Antiqua"/>
          <w:lang w:val="en-GB"/>
        </w:rPr>
        <w:t xml:space="preserve"> accreditation polic</w:t>
      </w:r>
      <w:r w:rsidR="00EF34C3" w:rsidRPr="00541840">
        <w:rPr>
          <w:rFonts w:ascii="Book Antiqua" w:hAnsi="Book Antiqua"/>
          <w:lang w:val="en-GB"/>
        </w:rPr>
        <w:t xml:space="preserve">ies, </w:t>
      </w:r>
      <w:r w:rsidR="00743972" w:rsidRPr="00541840">
        <w:rPr>
          <w:rFonts w:ascii="Book Antiqua" w:hAnsi="Book Antiqua"/>
          <w:lang w:val="en-GB"/>
        </w:rPr>
        <w:t>and to assess quality of life after PE.</w:t>
      </w:r>
    </w:p>
    <w:p w14:paraId="26A289BF" w14:textId="77777777" w:rsidR="00EF4B5A" w:rsidRDefault="00EF4B5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lang w:val="en-GB"/>
        </w:rPr>
      </w:pPr>
      <w:bookmarkStart w:id="11" w:name="OLE_LINK151"/>
      <w:bookmarkStart w:id="12" w:name="OLE_LINK259"/>
      <w:bookmarkEnd w:id="1"/>
    </w:p>
    <w:p w14:paraId="50EAEAA9" w14:textId="77777777" w:rsidR="007462BA" w:rsidRPr="00541840" w:rsidRDefault="007462B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caps/>
          <w:lang w:val="en-GB"/>
        </w:rPr>
      </w:pPr>
      <w:r w:rsidRPr="00541840">
        <w:rPr>
          <w:rFonts w:ascii="Book Antiqua" w:hAnsi="Book Antiqua" w:cs="Segoe UI"/>
          <w:b/>
          <w:caps/>
          <w:shd w:val="clear" w:color="auto" w:fill="FFFFFF"/>
          <w:lang w:val="en-GB"/>
        </w:rPr>
        <w:t xml:space="preserve">Article Highlights  </w:t>
      </w:r>
    </w:p>
    <w:p w14:paraId="2E1296C6" w14:textId="77777777" w:rsidR="007462BA" w:rsidRPr="00541840" w:rsidRDefault="007462B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>Research background</w:t>
      </w:r>
    </w:p>
    <w:p w14:paraId="1A2EFE27" w14:textId="448B20A1" w:rsidR="0082797F" w:rsidRPr="00541840" w:rsidRDefault="00295C51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  <w:lang w:val="en-GB"/>
        </w:rPr>
      </w:pPr>
      <w:r w:rsidRPr="00541840">
        <w:rPr>
          <w:rFonts w:ascii="Book Antiqua" w:hAnsi="Book Antiqua"/>
          <w:shd w:val="clear" w:color="auto" w:fill="FFFFFF"/>
          <w:lang w:val="en-GB"/>
        </w:rPr>
        <w:t xml:space="preserve">Colorectal cancer is the fourth cause of death caused by cancer according to reports from the United States. Up to 33% of rectal cancers might present as locally advanced, requiring multidisciplinary approaches. Pelvic exenteration </w:t>
      </w:r>
      <w:r w:rsidR="00442AFA" w:rsidRPr="00541840">
        <w:rPr>
          <w:rFonts w:ascii="Book Antiqua" w:hAnsi="Book Antiqua"/>
          <w:shd w:val="clear" w:color="auto" w:fill="FFFFFF"/>
          <w:lang w:val="en-GB"/>
        </w:rPr>
        <w:t xml:space="preserve">(PE) 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combined with multimodal treatment </w:t>
      </w:r>
      <w:r w:rsidR="00E6042F" w:rsidRPr="00541840">
        <w:rPr>
          <w:rFonts w:ascii="Book Antiqua" w:hAnsi="Book Antiqua"/>
          <w:shd w:val="clear" w:color="auto" w:fill="FFFFFF"/>
          <w:lang w:val="en-GB"/>
        </w:rPr>
        <w:t xml:space="preserve">has 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resulted in increased survival in </w:t>
      </w:r>
      <w:r w:rsidR="00FD7F84" w:rsidRPr="00541840">
        <w:rPr>
          <w:rFonts w:ascii="Book Antiqua" w:hAnsi="Book Antiqua"/>
          <w:shd w:val="clear" w:color="auto" w:fill="FFFFFF"/>
          <w:lang w:val="en-GB"/>
        </w:rPr>
        <w:t xml:space="preserve">this 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population of patients, but there remains </w:t>
      </w:r>
      <w:r w:rsidR="005E0A74" w:rsidRPr="00541840">
        <w:rPr>
          <w:rFonts w:ascii="Book Antiqua" w:hAnsi="Book Antiqua"/>
          <w:shd w:val="clear" w:color="auto" w:fill="FFFFFF"/>
          <w:lang w:val="en-GB"/>
        </w:rPr>
        <w:t xml:space="preserve">a </w:t>
      </w:r>
      <w:r w:rsidRPr="00541840">
        <w:rPr>
          <w:rFonts w:ascii="Book Antiqua" w:hAnsi="Book Antiqua"/>
          <w:shd w:val="clear" w:color="auto" w:fill="FFFFFF"/>
          <w:lang w:val="en-GB"/>
        </w:rPr>
        <w:t>need for further reports in the literature concerning the management of patient</w:t>
      </w:r>
      <w:r w:rsidR="008C02C9" w:rsidRPr="00541840">
        <w:rPr>
          <w:rFonts w:ascii="Book Antiqua" w:hAnsi="Book Antiqua"/>
          <w:shd w:val="clear" w:color="auto" w:fill="FFFFFF"/>
          <w:lang w:val="en-GB"/>
        </w:rPr>
        <w:t>s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 with primary locally advanced rectal cancer</w:t>
      </w:r>
      <w:r w:rsidR="00EF4B5A">
        <w:rPr>
          <w:rFonts w:ascii="Book Antiqua" w:hAnsi="Book Antiqua"/>
          <w:shd w:val="clear" w:color="auto" w:fill="FFFFFF"/>
          <w:lang w:val="en-GB"/>
        </w:rPr>
        <w:t>.</w:t>
      </w:r>
    </w:p>
    <w:p w14:paraId="17D8D7F1" w14:textId="77777777" w:rsidR="00E13A10" w:rsidRPr="00541840" w:rsidRDefault="00E13A10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lang w:val="en-GB"/>
        </w:rPr>
      </w:pPr>
    </w:p>
    <w:p w14:paraId="74E0EDBF" w14:textId="77777777" w:rsidR="007462BA" w:rsidRPr="00541840" w:rsidRDefault="007462B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>Research motivation</w:t>
      </w:r>
    </w:p>
    <w:p w14:paraId="740DB73D" w14:textId="5CB9D799" w:rsidR="00B252DB" w:rsidRPr="00541840" w:rsidRDefault="00B252D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  <w:lang w:val="en-GB"/>
        </w:rPr>
      </w:pPr>
      <w:r w:rsidRPr="00541840">
        <w:rPr>
          <w:rFonts w:ascii="Book Antiqua" w:hAnsi="Book Antiqua"/>
          <w:shd w:val="clear" w:color="auto" w:fill="FFFFFF"/>
          <w:lang w:val="en-GB"/>
        </w:rPr>
        <w:lastRenderedPageBreak/>
        <w:t>Previous studies suggested that an aggressive approach</w:t>
      </w:r>
      <w:r w:rsidR="008C02C9" w:rsidRPr="00541840">
        <w:rPr>
          <w:rFonts w:ascii="Book Antiqua" w:hAnsi="Book Antiqua"/>
          <w:shd w:val="clear" w:color="auto" w:fill="FFFFFF"/>
          <w:lang w:val="en-GB"/>
        </w:rPr>
        <w:t>,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 with surgery combined with other treatment modalit</w:t>
      </w:r>
      <w:r w:rsidR="008C02C9" w:rsidRPr="00541840">
        <w:rPr>
          <w:rFonts w:ascii="Book Antiqua" w:hAnsi="Book Antiqua"/>
          <w:shd w:val="clear" w:color="auto" w:fill="FFFFFF"/>
          <w:lang w:val="en-GB"/>
        </w:rPr>
        <w:t>ies,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 might confer good outcome in terms of </w:t>
      </w:r>
      <w:r w:rsidR="00D43FC2" w:rsidRPr="00541840">
        <w:rPr>
          <w:rFonts w:ascii="Book Antiqua" w:hAnsi="Book Antiqua"/>
          <w:shd w:val="clear" w:color="auto" w:fill="FFFFFF"/>
          <w:lang w:val="en-GB"/>
        </w:rPr>
        <w:t>tumour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 clearance and survival in locally advanced primary rectal cancer</w:t>
      </w:r>
      <w:r w:rsidR="00442AFA" w:rsidRPr="00541840">
        <w:rPr>
          <w:rFonts w:ascii="Book Antiqua" w:hAnsi="Book Antiqua"/>
          <w:shd w:val="clear" w:color="auto" w:fill="FFFFFF"/>
          <w:lang w:val="en-GB"/>
        </w:rPr>
        <w:t xml:space="preserve"> (LAPRC)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. Few reports have been published detailing the outcome of </w:t>
      </w:r>
      <w:r w:rsidR="004325C2" w:rsidRPr="00541840">
        <w:rPr>
          <w:rFonts w:ascii="Book Antiqua" w:hAnsi="Book Antiqua"/>
          <w:shd w:val="clear" w:color="auto" w:fill="FFFFFF"/>
          <w:lang w:val="en-GB"/>
        </w:rPr>
        <w:t>n</w:t>
      </w:r>
      <w:r w:rsidR="00EF4B5A">
        <w:rPr>
          <w:rFonts w:ascii="Book Antiqua" w:hAnsi="Book Antiqua"/>
          <w:shd w:val="clear" w:color="auto" w:fill="FFFFFF"/>
          <w:lang w:val="en-GB"/>
        </w:rPr>
        <w:t xml:space="preserve">ationwide databases. </w:t>
      </w:r>
    </w:p>
    <w:p w14:paraId="4D3B8CEE" w14:textId="77777777" w:rsidR="007462BA" w:rsidRPr="00541840" w:rsidRDefault="007462B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009A645A" w14:textId="77777777" w:rsidR="007462BA" w:rsidRPr="00541840" w:rsidRDefault="007462B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>Research objectives</w:t>
      </w:r>
    </w:p>
    <w:p w14:paraId="3E0874A9" w14:textId="11AC188C" w:rsidR="00B252DB" w:rsidRPr="00541840" w:rsidRDefault="00B252D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shd w:val="clear" w:color="auto" w:fill="FFFFFF"/>
          <w:lang w:val="en-GB"/>
        </w:rPr>
      </w:pPr>
      <w:r w:rsidRPr="00541840">
        <w:rPr>
          <w:rFonts w:ascii="Book Antiqua" w:hAnsi="Book Antiqua"/>
          <w:shd w:val="clear" w:color="auto" w:fill="FFFFFF"/>
          <w:lang w:val="en-GB"/>
        </w:rPr>
        <w:t xml:space="preserve">This study aimed to investigate the outcome of </w:t>
      </w:r>
      <w:r w:rsidR="00442AFA" w:rsidRPr="00541840">
        <w:rPr>
          <w:rFonts w:ascii="Book Antiqua" w:hAnsi="Book Antiqua"/>
          <w:shd w:val="clear" w:color="auto" w:fill="FFFFFF"/>
          <w:lang w:val="en-GB"/>
        </w:rPr>
        <w:t>PE</w:t>
      </w:r>
      <w:r w:rsidRPr="00541840">
        <w:rPr>
          <w:rFonts w:ascii="Book Antiqua" w:hAnsi="Book Antiqua"/>
          <w:shd w:val="clear" w:color="auto" w:fill="FFFFFF"/>
          <w:lang w:val="en-GB"/>
        </w:rPr>
        <w:t xml:space="preserve"> for primary rectal cancer in patients included in the National Spanish Association of Surgeons Rectal Cancer Registry.</w:t>
      </w:r>
    </w:p>
    <w:p w14:paraId="6570586D" w14:textId="77777777" w:rsidR="007462BA" w:rsidRPr="00541840" w:rsidRDefault="007462B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21FD3B85" w14:textId="77777777" w:rsidR="007462BA" w:rsidRPr="00541840" w:rsidRDefault="007462B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>Research methods</w:t>
      </w:r>
    </w:p>
    <w:p w14:paraId="0AE122B4" w14:textId="40E7A736" w:rsidR="00B252DB" w:rsidRPr="00541840" w:rsidRDefault="00B252D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This is a retrospective, observational study drafted according to the </w:t>
      </w:r>
      <w:r w:rsidR="00EF4B5A">
        <w:rPr>
          <w:rFonts w:ascii="Book Antiqua" w:hAnsi="Book Antiqua"/>
          <w:lang w:val="en-GB"/>
        </w:rPr>
        <w:t>STROBE</w:t>
      </w:r>
      <w:r w:rsidRPr="00541840">
        <w:rPr>
          <w:rFonts w:ascii="Book Antiqua" w:hAnsi="Book Antiqua"/>
          <w:lang w:val="en-GB"/>
        </w:rPr>
        <w:t xml:space="preserve"> statement. Patients who underwent </w:t>
      </w:r>
      <w:r w:rsidR="00442AFA" w:rsidRPr="00541840">
        <w:rPr>
          <w:rFonts w:ascii="Book Antiqua" w:hAnsi="Book Antiqua"/>
          <w:lang w:val="en-GB"/>
        </w:rPr>
        <w:t>PE</w:t>
      </w:r>
      <w:r w:rsidRPr="00541840">
        <w:rPr>
          <w:rFonts w:ascii="Book Antiqua" w:hAnsi="Book Antiqua"/>
          <w:lang w:val="en-GB"/>
        </w:rPr>
        <w:t xml:space="preserve"> for </w:t>
      </w:r>
      <w:r w:rsidR="00442AFA" w:rsidRPr="00541840">
        <w:rPr>
          <w:rFonts w:ascii="Book Antiqua" w:hAnsi="Book Antiqua"/>
          <w:lang w:val="en-GB"/>
        </w:rPr>
        <w:t>LAPRC</w:t>
      </w:r>
      <w:r w:rsidRPr="00541840">
        <w:rPr>
          <w:rFonts w:ascii="Book Antiqua" w:hAnsi="Book Antiqua"/>
          <w:lang w:val="en-GB"/>
        </w:rPr>
        <w:t xml:space="preserve"> between 2006 and 2017</w:t>
      </w:r>
      <w:r w:rsidR="006F5053" w:rsidRPr="00541840">
        <w:rPr>
          <w:rFonts w:ascii="Book Antiqua" w:hAnsi="Book Antiqua"/>
          <w:lang w:val="en-GB"/>
        </w:rPr>
        <w:t xml:space="preserve"> and</w:t>
      </w:r>
      <w:r w:rsidRPr="00541840">
        <w:rPr>
          <w:rFonts w:ascii="Book Antiqua" w:hAnsi="Book Antiqua"/>
          <w:lang w:val="en-GB"/>
        </w:rPr>
        <w:t xml:space="preserve"> who were registered in the Spanish Registry of Rectal Cancer of the Spanish Association of Surgeons were included if surgery was performed with curative intent and if 5-year follow</w:t>
      </w:r>
      <w:r w:rsidR="0060460A" w:rsidRPr="00541840"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up had been completed.</w:t>
      </w:r>
    </w:p>
    <w:p w14:paraId="79FD0E81" w14:textId="12068934" w:rsidR="00B252DB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B252DB" w:rsidRPr="00541840">
        <w:rPr>
          <w:rFonts w:ascii="Book Antiqua" w:hAnsi="Book Antiqua"/>
          <w:lang w:val="en-GB"/>
        </w:rPr>
        <w:t>Short-term morbidity and mortality of the procedure and 5-year oncologic outcome represented the primary aims of this study. Secondary aims included a comparison of outcome</w:t>
      </w:r>
      <w:r w:rsidR="004845F3" w:rsidRPr="00541840">
        <w:rPr>
          <w:rFonts w:ascii="Book Antiqua" w:hAnsi="Book Antiqua"/>
          <w:lang w:val="en-GB"/>
        </w:rPr>
        <w:t>s</w:t>
      </w:r>
      <w:r w:rsidR="00B252DB" w:rsidRPr="00541840">
        <w:rPr>
          <w:rFonts w:ascii="Book Antiqua" w:hAnsi="Book Antiqua"/>
          <w:lang w:val="en-GB"/>
        </w:rPr>
        <w:t xml:space="preserve"> with a matched group of patients from the registry who underwent non-</w:t>
      </w:r>
      <w:proofErr w:type="spellStart"/>
      <w:r w:rsidR="00B252DB" w:rsidRPr="00541840">
        <w:rPr>
          <w:rFonts w:ascii="Book Antiqua" w:hAnsi="Book Antiqua"/>
          <w:lang w:val="en-GB"/>
        </w:rPr>
        <w:t>exenterative</w:t>
      </w:r>
      <w:proofErr w:type="spellEnd"/>
      <w:r w:rsidR="00B252DB" w:rsidRPr="00541840">
        <w:rPr>
          <w:rFonts w:ascii="Book Antiqua" w:hAnsi="Book Antiqua"/>
          <w:lang w:val="en-GB"/>
        </w:rPr>
        <w:t xml:space="preserve"> surgery for low rectal cancer during the same time frame.</w:t>
      </w:r>
    </w:p>
    <w:p w14:paraId="7C227720" w14:textId="77777777" w:rsidR="007462BA" w:rsidRPr="00541840" w:rsidRDefault="007462B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51410807" w14:textId="77777777" w:rsidR="007462BA" w:rsidRPr="00541840" w:rsidRDefault="007462B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i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>Research results</w:t>
      </w:r>
    </w:p>
    <w:p w14:paraId="46DDC2B1" w14:textId="12D1E752" w:rsidR="00B252DB" w:rsidRPr="00541840" w:rsidRDefault="00442AF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>PE</w:t>
      </w:r>
      <w:r w:rsidR="00B252DB" w:rsidRPr="00541840">
        <w:rPr>
          <w:rFonts w:ascii="Book Antiqua" w:hAnsi="Book Antiqua"/>
          <w:lang w:val="en-GB"/>
        </w:rPr>
        <w:t xml:space="preserve"> were associated with perioperative mortality </w:t>
      </w:r>
      <w:r w:rsidR="00E21146" w:rsidRPr="00541840">
        <w:rPr>
          <w:rFonts w:ascii="Book Antiqua" w:hAnsi="Book Antiqua"/>
          <w:lang w:val="en-GB"/>
        </w:rPr>
        <w:t>in approximately</w:t>
      </w:r>
      <w:r w:rsidR="00B252DB" w:rsidRPr="00541840">
        <w:rPr>
          <w:rFonts w:ascii="Book Antiqua" w:hAnsi="Book Antiqua"/>
          <w:lang w:val="en-GB"/>
        </w:rPr>
        <w:t xml:space="preserve"> 2.5%</w:t>
      </w:r>
      <w:r w:rsidR="00E21146" w:rsidRPr="00541840">
        <w:rPr>
          <w:rFonts w:ascii="Book Antiqua" w:hAnsi="Book Antiqua"/>
          <w:lang w:val="en-GB"/>
        </w:rPr>
        <w:t xml:space="preserve"> of patients</w:t>
      </w:r>
      <w:r w:rsidR="00B252DB" w:rsidRPr="00541840">
        <w:rPr>
          <w:rFonts w:ascii="Book Antiqua" w:hAnsi="Book Antiqua"/>
          <w:lang w:val="en-GB"/>
        </w:rPr>
        <w:t xml:space="preserve">, and perioperative morbidity was common. More than 50% of patients had at least one complication, which required reoperation in 10%. Up to 10% of patients suffered from intra-abdominal septic complication. Wound-associated complications at the perineum were common, almost reaching 20%. The rate of resections with margins </w:t>
      </w:r>
      <w:r w:rsidR="000708C2" w:rsidRPr="00541840">
        <w:rPr>
          <w:rFonts w:ascii="Book Antiqua" w:hAnsi="Book Antiqua"/>
          <w:lang w:val="en-GB"/>
        </w:rPr>
        <w:t xml:space="preserve">that </w:t>
      </w:r>
      <w:r w:rsidR="00B252DB" w:rsidRPr="00541840">
        <w:rPr>
          <w:rFonts w:ascii="Book Antiqua" w:hAnsi="Book Antiqua"/>
          <w:lang w:val="en-GB"/>
        </w:rPr>
        <w:t xml:space="preserve">involved </w:t>
      </w:r>
      <w:r w:rsidR="00D43FC2" w:rsidRPr="00541840">
        <w:rPr>
          <w:rFonts w:ascii="Book Antiqua" w:hAnsi="Book Antiqua"/>
          <w:lang w:val="en-GB"/>
        </w:rPr>
        <w:t>tumours</w:t>
      </w:r>
      <w:r w:rsidR="00B252DB" w:rsidRPr="00541840">
        <w:rPr>
          <w:rFonts w:ascii="Book Antiqua" w:hAnsi="Book Antiqua"/>
          <w:lang w:val="en-GB"/>
        </w:rPr>
        <w:t xml:space="preserve"> was 23%, and good quality of the mesorectum was achieved in 74% of specimens. </w:t>
      </w:r>
    </w:p>
    <w:p w14:paraId="4482EB73" w14:textId="5D5819B4" w:rsidR="00B252DB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lastRenderedPageBreak/>
        <w:t xml:space="preserve">  </w:t>
      </w:r>
      <w:r w:rsidR="00B252DB" w:rsidRPr="00541840">
        <w:rPr>
          <w:rFonts w:ascii="Book Antiqua" w:hAnsi="Book Antiqua"/>
          <w:lang w:val="en-GB"/>
        </w:rPr>
        <w:t xml:space="preserve">Oncologic outcome was acceptable, with good life expectancy provided a </w:t>
      </w:r>
      <w:r w:rsidR="00D43FC2" w:rsidRPr="00541840">
        <w:rPr>
          <w:rFonts w:ascii="Book Antiqua" w:hAnsi="Book Antiqua"/>
          <w:lang w:val="en-GB"/>
        </w:rPr>
        <w:t>free</w:t>
      </w:r>
      <w:r w:rsidR="00B252DB" w:rsidRPr="00541840">
        <w:rPr>
          <w:rFonts w:ascii="Book Antiqua" w:hAnsi="Book Antiqua"/>
          <w:lang w:val="en-GB"/>
        </w:rPr>
        <w:t>-free resection margin had been achieved. An involved margin was independently associated with incr</w:t>
      </w:r>
      <w:r>
        <w:rPr>
          <w:rFonts w:ascii="Book Antiqua" w:hAnsi="Book Antiqua"/>
          <w:lang w:val="en-GB"/>
        </w:rPr>
        <w:t>eased risk of local recurrence [hazard ratio (</w:t>
      </w:r>
      <w:r w:rsidR="00B252DB" w:rsidRPr="00541840">
        <w:rPr>
          <w:rFonts w:ascii="Book Antiqua" w:hAnsi="Book Antiqua"/>
          <w:lang w:val="en-GB"/>
        </w:rPr>
        <w:t>HR</w:t>
      </w:r>
      <w:r>
        <w:rPr>
          <w:rFonts w:ascii="Book Antiqua" w:hAnsi="Book Antiqua"/>
          <w:lang w:val="en-GB"/>
        </w:rPr>
        <w:t>)</w:t>
      </w:r>
      <w:r w:rsidR="00B252DB" w:rsidRPr="00541840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 xml:space="preserve">= </w:t>
      </w:r>
      <w:r w:rsidR="00B252DB" w:rsidRPr="00541840">
        <w:rPr>
          <w:rFonts w:ascii="Book Antiqua" w:hAnsi="Book Antiqua"/>
          <w:lang w:val="en-GB"/>
        </w:rPr>
        <w:t>5.58, 95%CI</w:t>
      </w:r>
      <w:r>
        <w:rPr>
          <w:rFonts w:ascii="Book Antiqua" w:hAnsi="Book Antiqua"/>
          <w:lang w:val="en-GB"/>
        </w:rPr>
        <w:t>:</w:t>
      </w:r>
      <w:r w:rsidR="00B252DB" w:rsidRPr="00541840">
        <w:rPr>
          <w:rFonts w:ascii="Book Antiqua" w:hAnsi="Book Antiqua"/>
          <w:lang w:val="en-GB"/>
        </w:rPr>
        <w:t xml:space="preserve"> 1.04-30.07, </w:t>
      </w:r>
      <w:r w:rsidRPr="00EF4B5A">
        <w:rPr>
          <w:rFonts w:ascii="Book Antiqua" w:hAnsi="Book Antiqua"/>
          <w:i/>
          <w:lang w:val="en-GB"/>
        </w:rPr>
        <w:t xml:space="preserve">P </w:t>
      </w:r>
      <w:r w:rsidR="00B252DB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0.04]</w:t>
      </w:r>
      <w:r w:rsidR="00B252DB" w:rsidRPr="00541840">
        <w:rPr>
          <w:rFonts w:ascii="Book Antiqua" w:hAnsi="Book Antiqua"/>
          <w:lang w:val="en-GB"/>
        </w:rPr>
        <w:t xml:space="preserve">. Survival was impaired </w:t>
      </w:r>
      <w:r>
        <w:rPr>
          <w:rFonts w:ascii="Book Antiqua" w:hAnsi="Book Antiqua"/>
          <w:lang w:val="en-GB"/>
        </w:rPr>
        <w:t>by perioperative complications [</w:t>
      </w:r>
      <w:r w:rsidR="00B252DB" w:rsidRPr="00541840">
        <w:rPr>
          <w:rFonts w:ascii="Book Antiqua" w:hAnsi="Book Antiqua"/>
          <w:lang w:val="en-GB"/>
        </w:rPr>
        <w:t xml:space="preserve">HR </w:t>
      </w:r>
      <w:r>
        <w:rPr>
          <w:rFonts w:ascii="Book Antiqua" w:hAnsi="Book Antiqua"/>
          <w:lang w:val="en-GB"/>
        </w:rPr>
        <w:t xml:space="preserve">= </w:t>
      </w:r>
      <w:r w:rsidR="00B252DB" w:rsidRPr="00541840">
        <w:rPr>
          <w:rFonts w:ascii="Book Antiqua" w:hAnsi="Book Antiqua"/>
          <w:lang w:val="en-GB"/>
        </w:rPr>
        <w:t>3.53, 95%CI</w:t>
      </w:r>
      <w:r>
        <w:rPr>
          <w:rFonts w:ascii="Book Antiqua" w:hAnsi="Book Antiqua"/>
          <w:lang w:val="en-GB"/>
        </w:rPr>
        <w:t>:</w:t>
      </w:r>
      <w:r w:rsidR="00B252DB" w:rsidRPr="00541840">
        <w:rPr>
          <w:rFonts w:ascii="Book Antiqua" w:hAnsi="Book Antiqua"/>
          <w:lang w:val="en-GB"/>
        </w:rPr>
        <w:t xml:space="preserve"> 1.12-10.94, </w:t>
      </w:r>
      <w:r w:rsidRPr="00EF4B5A">
        <w:rPr>
          <w:rFonts w:ascii="Book Antiqua" w:hAnsi="Book Antiqua"/>
          <w:i/>
          <w:lang w:val="en-GB"/>
        </w:rPr>
        <w:t>P</w:t>
      </w:r>
      <w:r>
        <w:rPr>
          <w:rFonts w:ascii="Book Antiqua" w:hAnsi="Book Antiqua"/>
          <w:lang w:val="en-GB"/>
        </w:rPr>
        <w:t xml:space="preserve"> </w:t>
      </w:r>
      <w:r w:rsidR="00B252DB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0.03]</w:t>
      </w:r>
      <w:r w:rsidR="00B252DB" w:rsidRPr="00541840">
        <w:rPr>
          <w:rFonts w:ascii="Book Antiqua" w:hAnsi="Book Antiqua"/>
          <w:lang w:val="en-GB"/>
        </w:rPr>
        <w:t>.</w:t>
      </w:r>
    </w:p>
    <w:p w14:paraId="6D8F6AE0" w14:textId="00BF7518" w:rsidR="00B252DB" w:rsidRPr="00541840" w:rsidRDefault="00EF4B5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  </w:t>
      </w:r>
      <w:r w:rsidR="00B252DB" w:rsidRPr="00541840">
        <w:rPr>
          <w:rFonts w:ascii="Book Antiqua" w:hAnsi="Book Antiqua"/>
          <w:lang w:val="en-GB"/>
        </w:rPr>
        <w:t>In terms of comparison with non-</w:t>
      </w:r>
      <w:proofErr w:type="spellStart"/>
      <w:r w:rsidR="00B252DB" w:rsidRPr="00541840">
        <w:rPr>
          <w:rFonts w:ascii="Book Antiqua" w:hAnsi="Book Antiqua"/>
          <w:lang w:val="en-GB"/>
        </w:rPr>
        <w:t>exenterative</w:t>
      </w:r>
      <w:proofErr w:type="spellEnd"/>
      <w:r w:rsidR="00B252DB" w:rsidRPr="00541840">
        <w:rPr>
          <w:rFonts w:ascii="Book Antiqua" w:hAnsi="Book Antiqua"/>
          <w:lang w:val="en-GB"/>
        </w:rPr>
        <w:t xml:space="preserve"> procedures, the latter were associated with </w:t>
      </w:r>
      <w:r w:rsidR="006F2F32" w:rsidRPr="00541840">
        <w:rPr>
          <w:rFonts w:ascii="Book Antiqua" w:hAnsi="Book Antiqua"/>
          <w:lang w:val="en-GB"/>
        </w:rPr>
        <w:t xml:space="preserve">fewer </w:t>
      </w:r>
      <w:r w:rsidR="00B252DB" w:rsidRPr="00541840">
        <w:rPr>
          <w:rFonts w:ascii="Book Antiqua" w:hAnsi="Book Antiqua"/>
          <w:lang w:val="en-GB"/>
        </w:rPr>
        <w:t>blood transfusions (</w:t>
      </w:r>
      <w:r w:rsidRPr="00EF4B5A">
        <w:rPr>
          <w:rFonts w:ascii="Book Antiqua" w:hAnsi="Book Antiqua"/>
          <w:i/>
          <w:lang w:val="en-GB"/>
        </w:rPr>
        <w:t>P</w:t>
      </w:r>
      <w:r>
        <w:rPr>
          <w:rFonts w:ascii="Book Antiqua" w:hAnsi="Book Antiqua"/>
          <w:lang w:val="en-GB"/>
        </w:rPr>
        <w:t xml:space="preserve"> </w:t>
      </w:r>
      <w:r w:rsidR="00B252DB" w:rsidRPr="00541840">
        <w:rPr>
          <w:rFonts w:ascii="Book Antiqua" w:hAnsi="Book Antiqua"/>
          <w:lang w:val="en-GB"/>
        </w:rPr>
        <w:t>=</w:t>
      </w:r>
      <w:r>
        <w:rPr>
          <w:rFonts w:ascii="Book Antiqua" w:hAnsi="Book Antiqua"/>
          <w:lang w:val="en-GB"/>
        </w:rPr>
        <w:t xml:space="preserve"> </w:t>
      </w:r>
      <w:r w:rsidR="00B252DB" w:rsidRPr="00541840">
        <w:rPr>
          <w:rFonts w:ascii="Book Antiqua" w:hAnsi="Book Antiqua"/>
          <w:lang w:val="en-GB"/>
        </w:rPr>
        <w:t>0.035) and more anastomoses (</w:t>
      </w:r>
      <w:r w:rsidRPr="00EF4B5A">
        <w:rPr>
          <w:rFonts w:ascii="Book Antiqua" w:hAnsi="Book Antiqua"/>
          <w:i/>
          <w:lang w:val="en-GB"/>
        </w:rPr>
        <w:t>P</w:t>
      </w:r>
      <w:r w:rsidRPr="00541840">
        <w:rPr>
          <w:rFonts w:ascii="Book Antiqua" w:hAnsi="Book Antiqua"/>
          <w:lang w:val="en-GB"/>
        </w:rPr>
        <w:t xml:space="preserve"> </w:t>
      </w:r>
      <w:r w:rsidR="00B252DB" w:rsidRPr="00541840">
        <w:rPr>
          <w:rFonts w:ascii="Book Antiqua" w:hAnsi="Book Antiqua"/>
          <w:lang w:val="en-GB"/>
        </w:rPr>
        <w:t>&lt;</w:t>
      </w:r>
      <w:r>
        <w:rPr>
          <w:rFonts w:ascii="Book Antiqua" w:hAnsi="Book Antiqua"/>
          <w:lang w:val="en-GB"/>
        </w:rPr>
        <w:t xml:space="preserve"> </w:t>
      </w:r>
      <w:r w:rsidR="00B252DB" w:rsidRPr="00541840">
        <w:rPr>
          <w:rFonts w:ascii="Book Antiqua" w:hAnsi="Book Antiqua"/>
          <w:lang w:val="en-GB"/>
        </w:rPr>
        <w:t xml:space="preserve">0.001). However, resections with involved margins were less common after </w:t>
      </w:r>
      <w:r w:rsidR="00442AFA" w:rsidRPr="00541840">
        <w:rPr>
          <w:rFonts w:ascii="Book Antiqua" w:hAnsi="Book Antiqua"/>
          <w:lang w:val="en-GB"/>
        </w:rPr>
        <w:t>PE</w:t>
      </w:r>
      <w:r w:rsidR="00A25657" w:rsidRPr="00541840">
        <w:rPr>
          <w:rFonts w:ascii="Book Antiqua" w:hAnsi="Book Antiqua"/>
          <w:lang w:val="en-GB"/>
        </w:rPr>
        <w:t>.</w:t>
      </w:r>
    </w:p>
    <w:p w14:paraId="3203F3E2" w14:textId="77777777" w:rsidR="007462BA" w:rsidRPr="00541840" w:rsidRDefault="007462BA" w:rsidP="00086FF2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shd w:val="clear" w:color="auto" w:fill="FFFFFF"/>
          <w:lang w:val="en-GB"/>
        </w:rPr>
      </w:pPr>
    </w:p>
    <w:p w14:paraId="5CAFFD24" w14:textId="77777777" w:rsidR="007462BA" w:rsidRPr="00541840" w:rsidRDefault="007462B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Segoe UI"/>
          <w:b/>
          <w:i/>
          <w:shd w:val="clear" w:color="auto" w:fill="FFFFFF"/>
          <w:lang w:val="en-GB"/>
        </w:rPr>
      </w:pPr>
      <w:r w:rsidRPr="00541840">
        <w:rPr>
          <w:rFonts w:ascii="Book Antiqua" w:hAnsi="Book Antiqua"/>
          <w:b/>
          <w:i/>
          <w:lang w:val="en-GB"/>
        </w:rPr>
        <w:t>Research conclusions</w:t>
      </w:r>
    </w:p>
    <w:p w14:paraId="668F3853" w14:textId="4ADE1D11" w:rsidR="00B252DB" w:rsidRPr="00541840" w:rsidRDefault="00442AFA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>PE</w:t>
      </w:r>
      <w:r w:rsidR="00B252DB" w:rsidRPr="00541840">
        <w:rPr>
          <w:rFonts w:ascii="Book Antiqua" w:hAnsi="Book Antiqua"/>
          <w:lang w:val="en-GB"/>
        </w:rPr>
        <w:t xml:space="preserve"> is an extensive procedure </w:t>
      </w:r>
      <w:r w:rsidR="00547E83" w:rsidRPr="00541840">
        <w:rPr>
          <w:rFonts w:ascii="Book Antiqua" w:hAnsi="Book Antiqua"/>
          <w:lang w:val="en-GB"/>
        </w:rPr>
        <w:t>with</w:t>
      </w:r>
      <w:r w:rsidR="00B252DB" w:rsidRPr="00541840">
        <w:rPr>
          <w:rFonts w:ascii="Book Antiqua" w:hAnsi="Book Antiqua"/>
          <w:lang w:val="en-GB"/>
        </w:rPr>
        <w:t xml:space="preserve"> a significant rate of perioperative adverse events. However, our analysis of patients with </w:t>
      </w:r>
      <w:r w:rsidRPr="00541840">
        <w:rPr>
          <w:rFonts w:ascii="Book Antiqua" w:hAnsi="Book Antiqua"/>
          <w:lang w:val="en-GB"/>
        </w:rPr>
        <w:t>LAPRC</w:t>
      </w:r>
      <w:r w:rsidR="00B252DB" w:rsidRPr="00541840">
        <w:rPr>
          <w:rFonts w:ascii="Book Antiqua" w:hAnsi="Book Antiqua"/>
          <w:lang w:val="en-GB"/>
        </w:rPr>
        <w:t xml:space="preserve"> treated with </w:t>
      </w:r>
      <w:r w:rsidR="0007143B" w:rsidRPr="00541840">
        <w:rPr>
          <w:rFonts w:ascii="Book Antiqua" w:hAnsi="Book Antiqua"/>
          <w:lang w:val="en-GB"/>
        </w:rPr>
        <w:t xml:space="preserve">this </w:t>
      </w:r>
      <w:r w:rsidR="00B252DB" w:rsidRPr="00541840">
        <w:rPr>
          <w:rFonts w:ascii="Book Antiqua" w:hAnsi="Book Antiqua"/>
          <w:lang w:val="en-GB"/>
        </w:rPr>
        <w:t xml:space="preserve">procedure over 10 years confirmed that the survival benefits justify an aggressive attitude, provided that oncologic clearance is achievable. These procedures must be performed in </w:t>
      </w:r>
      <w:r w:rsidR="00757155" w:rsidRPr="00541840">
        <w:rPr>
          <w:rFonts w:ascii="Book Antiqua" w:hAnsi="Book Antiqua"/>
          <w:lang w:val="en-GB"/>
        </w:rPr>
        <w:t xml:space="preserve">a </w:t>
      </w:r>
      <w:r w:rsidR="00B252DB" w:rsidRPr="00541840">
        <w:rPr>
          <w:rFonts w:ascii="Book Antiqua" w:hAnsi="Book Antiqua"/>
          <w:lang w:val="en-GB"/>
        </w:rPr>
        <w:t>dedicated unit</w:t>
      </w:r>
      <w:r w:rsidR="00757155" w:rsidRPr="00541840">
        <w:rPr>
          <w:rFonts w:ascii="Book Antiqua" w:hAnsi="Book Antiqua"/>
          <w:lang w:val="en-GB"/>
        </w:rPr>
        <w:t>,</w:t>
      </w:r>
      <w:r w:rsidR="00B252DB" w:rsidRPr="00541840">
        <w:rPr>
          <w:rFonts w:ascii="Book Antiqua" w:hAnsi="Book Antiqua"/>
          <w:lang w:val="en-GB"/>
        </w:rPr>
        <w:t xml:space="preserve"> and patients be managed under the care of multidisciplinary teams. </w:t>
      </w:r>
    </w:p>
    <w:p w14:paraId="1F70B7B9" w14:textId="77777777" w:rsidR="007462BA" w:rsidRPr="00541840" w:rsidRDefault="007462BA" w:rsidP="00086FF2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shd w:val="clear" w:color="auto" w:fill="FFFFFF"/>
          <w:lang w:val="en-GB"/>
        </w:rPr>
      </w:pPr>
    </w:p>
    <w:p w14:paraId="6B223798" w14:textId="77777777" w:rsidR="007462BA" w:rsidRPr="00541840" w:rsidRDefault="007462BA" w:rsidP="00442AFA">
      <w:pPr>
        <w:adjustRightInd w:val="0"/>
        <w:snapToGrid w:val="0"/>
        <w:spacing w:line="360" w:lineRule="auto"/>
        <w:jc w:val="both"/>
        <w:outlineLvl w:val="0"/>
        <w:rPr>
          <w:rFonts w:ascii="Book Antiqua" w:hAnsi="Book Antiqua" w:cs="Segoe UI"/>
          <w:b/>
          <w:i/>
          <w:shd w:val="clear" w:color="auto" w:fill="FFFFFF"/>
          <w:lang w:val="en-GB"/>
        </w:rPr>
      </w:pPr>
      <w:r w:rsidRPr="00541840">
        <w:rPr>
          <w:rFonts w:ascii="Book Antiqua" w:hAnsi="Book Antiqua" w:cs="Segoe UI"/>
          <w:b/>
          <w:i/>
          <w:shd w:val="clear" w:color="auto" w:fill="FFFFFF"/>
          <w:lang w:val="en-GB"/>
        </w:rPr>
        <w:t>Research perspectives</w:t>
      </w:r>
    </w:p>
    <w:bookmarkEnd w:id="11"/>
    <w:bookmarkEnd w:id="12"/>
    <w:p w14:paraId="1ABBB05E" w14:textId="20C230AD" w:rsidR="00B252DB" w:rsidRPr="00541840" w:rsidRDefault="00B252DB" w:rsidP="00086FF2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 xml:space="preserve">An aggressive attitude could confer a significant survival gain in carefully selected patients with </w:t>
      </w:r>
      <w:r w:rsidR="00442AFA" w:rsidRPr="00541840">
        <w:rPr>
          <w:rFonts w:ascii="Book Antiqua" w:hAnsi="Book Antiqua"/>
          <w:lang w:val="en-GB"/>
        </w:rPr>
        <w:t>LAPRC</w:t>
      </w:r>
      <w:r w:rsidRPr="00541840">
        <w:rPr>
          <w:rFonts w:ascii="Book Antiqua" w:hAnsi="Book Antiqua"/>
          <w:lang w:val="en-GB"/>
        </w:rPr>
        <w:t xml:space="preserve">. The use of </w:t>
      </w:r>
      <w:r w:rsidR="0013761C" w:rsidRPr="00541840">
        <w:rPr>
          <w:rFonts w:ascii="Book Antiqua" w:hAnsi="Book Antiqua"/>
          <w:lang w:val="en-GB"/>
        </w:rPr>
        <w:t>n</w:t>
      </w:r>
      <w:r w:rsidRPr="00541840">
        <w:rPr>
          <w:rFonts w:ascii="Book Antiqua" w:hAnsi="Book Antiqua"/>
          <w:lang w:val="en-GB"/>
        </w:rPr>
        <w:t>ational and Internat</w:t>
      </w:r>
      <w:r w:rsidR="0013761C" w:rsidRPr="00541840">
        <w:rPr>
          <w:rFonts w:ascii="Book Antiqua" w:hAnsi="Book Antiqua"/>
          <w:lang w:val="en-GB"/>
        </w:rPr>
        <w:t>i</w:t>
      </w:r>
      <w:r w:rsidRPr="00541840">
        <w:rPr>
          <w:rFonts w:ascii="Book Antiqua" w:hAnsi="Book Antiqua"/>
          <w:lang w:val="en-GB"/>
        </w:rPr>
        <w:t xml:space="preserve">onal registries is of great value to monitor the performance of </w:t>
      </w:r>
      <w:r w:rsidR="00D43FC2" w:rsidRPr="00541840">
        <w:rPr>
          <w:rFonts w:ascii="Book Antiqua" w:hAnsi="Book Antiqua"/>
          <w:lang w:val="en-GB"/>
        </w:rPr>
        <w:t>centres</w:t>
      </w:r>
      <w:r w:rsidRPr="00541840">
        <w:rPr>
          <w:rFonts w:ascii="Book Antiqua" w:hAnsi="Book Antiqua"/>
          <w:lang w:val="en-GB"/>
        </w:rPr>
        <w:t xml:space="preserve"> dealing with </w:t>
      </w:r>
      <w:r w:rsidR="00442AFA" w:rsidRPr="00541840">
        <w:rPr>
          <w:rFonts w:ascii="Book Antiqua" w:hAnsi="Book Antiqua"/>
          <w:lang w:val="en-GB"/>
        </w:rPr>
        <w:t>PE</w:t>
      </w:r>
      <w:r w:rsidRPr="00541840">
        <w:rPr>
          <w:rFonts w:ascii="Book Antiqua" w:hAnsi="Book Antiqua"/>
          <w:lang w:val="en-GB"/>
        </w:rPr>
        <w:t xml:space="preserve"> and internal auditing; therefore</w:t>
      </w:r>
      <w:r w:rsidR="00F614C2" w:rsidRPr="00541840">
        <w:rPr>
          <w:rFonts w:ascii="Book Antiqua" w:hAnsi="Book Antiqua"/>
          <w:lang w:val="en-GB"/>
        </w:rPr>
        <w:t>,</w:t>
      </w:r>
      <w:r w:rsidRPr="00541840">
        <w:rPr>
          <w:rFonts w:ascii="Book Antiqua" w:hAnsi="Book Antiqua"/>
          <w:lang w:val="en-GB"/>
        </w:rPr>
        <w:t xml:space="preserve"> their use should be encouraged.  </w:t>
      </w:r>
    </w:p>
    <w:p w14:paraId="4BFBC8A0" w14:textId="77777777" w:rsidR="00EF4B5A" w:rsidRDefault="00EF4B5A" w:rsidP="00442AFA">
      <w:pPr>
        <w:tabs>
          <w:tab w:val="left" w:pos="1275"/>
        </w:tabs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</w:p>
    <w:p w14:paraId="4EA4BD3D" w14:textId="0566992B" w:rsidR="00347A94" w:rsidRPr="00541840" w:rsidRDefault="00347A94" w:rsidP="00442AFA">
      <w:pPr>
        <w:tabs>
          <w:tab w:val="left" w:pos="1275"/>
        </w:tabs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t>ACKNOWLEDGMENT</w:t>
      </w:r>
      <w:r w:rsidR="00EB2CA6">
        <w:rPr>
          <w:rFonts w:ascii="Book Antiqua" w:hAnsi="Book Antiqua"/>
          <w:b/>
          <w:lang w:val="en-GB"/>
        </w:rPr>
        <w:t>S</w:t>
      </w:r>
    </w:p>
    <w:p w14:paraId="29556DAB" w14:textId="6FD73837" w:rsidR="00347A94" w:rsidRPr="00541840" w:rsidRDefault="00347A94" w:rsidP="00EB2CA6">
      <w:pPr>
        <w:tabs>
          <w:tab w:val="left" w:pos="1275"/>
        </w:tabs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lang w:val="en-GB"/>
        </w:rPr>
        <w:t>The authors would like to thank Hector Ortiz for coordinating the Rectal Cancer Project (Viking) and this manuscript.</w:t>
      </w:r>
      <w:r w:rsidR="00EB2CA6">
        <w:rPr>
          <w:rFonts w:ascii="Book Antiqua" w:hAnsi="Book Antiqua"/>
          <w:lang w:val="en-GB"/>
        </w:rPr>
        <w:t xml:space="preserve"> We thank all the collaborator</w:t>
      </w:r>
      <w:r w:rsidR="000B038B">
        <w:rPr>
          <w:rFonts w:ascii="Book Antiqua" w:hAnsi="Book Antiqua"/>
          <w:lang w:val="en-GB"/>
        </w:rPr>
        <w:t>s</w:t>
      </w:r>
      <w:r w:rsidR="00EB2CA6">
        <w:rPr>
          <w:rFonts w:ascii="Book Antiqua" w:hAnsi="Book Antiqua"/>
          <w:lang w:val="en-GB"/>
        </w:rPr>
        <w:t xml:space="preserve"> in </w:t>
      </w:r>
      <w:r w:rsidR="00EB2CA6" w:rsidRPr="00EB2CA6">
        <w:rPr>
          <w:rFonts w:ascii="Book Antiqua" w:hAnsi="Book Antiqua"/>
          <w:lang w:val="en-GB"/>
        </w:rPr>
        <w:t>Rectal Cancer (Viking) Project 2006-2013</w:t>
      </w:r>
      <w:r w:rsidRPr="00541840">
        <w:rPr>
          <w:rFonts w:ascii="Book Antiqua" w:hAnsi="Book Antiqua"/>
          <w:lang w:val="en-GB"/>
        </w:rPr>
        <w:t>.</w:t>
      </w:r>
    </w:p>
    <w:p w14:paraId="5434C132" w14:textId="77777777" w:rsidR="00EB2CA6" w:rsidRDefault="00EB2CA6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br w:type="page"/>
      </w:r>
      <w:bookmarkStart w:id="13" w:name="_GoBack"/>
      <w:bookmarkEnd w:id="13"/>
    </w:p>
    <w:p w14:paraId="04267624" w14:textId="53969DE8" w:rsidR="00347A94" w:rsidRPr="00EB2CA6" w:rsidRDefault="00347A94" w:rsidP="00EB2CA6">
      <w:pPr>
        <w:tabs>
          <w:tab w:val="left" w:pos="1275"/>
        </w:tabs>
        <w:adjustRightInd w:val="0"/>
        <w:snapToGrid w:val="0"/>
        <w:spacing w:line="360" w:lineRule="auto"/>
        <w:jc w:val="both"/>
        <w:outlineLvl w:val="0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lastRenderedPageBreak/>
        <w:t>REFERENCES</w:t>
      </w:r>
    </w:p>
    <w:p w14:paraId="237D118A" w14:textId="4CF9B2EC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lang w:eastAsia="zh-CN"/>
        </w:rPr>
      </w:pPr>
      <w:r w:rsidRPr="00EA5A4C">
        <w:rPr>
          <w:rFonts w:ascii="Book Antiqua" w:hAnsi="Book Antiqua"/>
        </w:rPr>
        <w:t>1 </w:t>
      </w:r>
      <w:r w:rsidRPr="00EA5A4C">
        <w:rPr>
          <w:rFonts w:ascii="Book Antiqua" w:hAnsi="Book Antiqua"/>
          <w:b/>
          <w:bCs/>
        </w:rPr>
        <w:t>U.S. Cancer Statistics Working Group</w:t>
      </w:r>
      <w:r w:rsidRPr="00EA5A4C">
        <w:rPr>
          <w:rFonts w:ascii="Book Antiqua" w:hAnsi="Book Antiqua"/>
          <w:bCs/>
        </w:rPr>
        <w:t>. United States Cancer Statistics: 1999–2014 Incidence and Mortality Web-based Report. Atlanta: U.S. Department of Health and Human Services,</w:t>
      </w:r>
      <w:r>
        <w:rPr>
          <w:rFonts w:ascii="Book Antiqua" w:hAnsi="Book Antiqua"/>
        </w:rPr>
        <w:t xml:space="preserve"> </w:t>
      </w:r>
      <w:r w:rsidRPr="00EA5A4C">
        <w:rPr>
          <w:rFonts w:ascii="Book Antiqua" w:hAnsi="Book Antiqua"/>
        </w:rPr>
        <w:t xml:space="preserve">Centers for Disease Control and Prevention and National Cancer Institute; 2017. Accessed March 2, 2018 Available from: URL: </w:t>
      </w:r>
      <w:hyperlink r:id="rId9" w:history="1">
        <w:r w:rsidR="002446BB" w:rsidRPr="00AC6ECF">
          <w:rPr>
            <w:rStyle w:val="Hyperlink"/>
            <w:rFonts w:ascii="Book Antiqua" w:hAnsi="Book Antiqua"/>
          </w:rPr>
          <w:t>https://nccd.cdc.gov/USCSDataViz/rdPage.aspx</w:t>
        </w:r>
      </w:hyperlink>
      <w:r w:rsidR="002446BB">
        <w:rPr>
          <w:rFonts w:ascii="Book Antiqua" w:hAnsi="Book Antiqua" w:hint="eastAsia"/>
          <w:lang w:eastAsia="zh-CN"/>
        </w:rPr>
        <w:t xml:space="preserve"> </w:t>
      </w:r>
    </w:p>
    <w:p w14:paraId="101691AF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2 </w:t>
      </w:r>
      <w:r w:rsidRPr="00EA5A4C">
        <w:rPr>
          <w:rFonts w:ascii="Book Antiqua" w:hAnsi="Book Antiqua"/>
          <w:b/>
          <w:bCs/>
        </w:rPr>
        <w:t>Siegel RL</w:t>
      </w:r>
      <w:r w:rsidRPr="00EA5A4C">
        <w:rPr>
          <w:rFonts w:ascii="Book Antiqua" w:hAnsi="Book Antiqua"/>
        </w:rPr>
        <w:t xml:space="preserve">, Miller KD, </w:t>
      </w:r>
      <w:proofErr w:type="spellStart"/>
      <w:r w:rsidRPr="00EA5A4C">
        <w:rPr>
          <w:rFonts w:ascii="Book Antiqua" w:hAnsi="Book Antiqua"/>
        </w:rPr>
        <w:t>Fedewa</w:t>
      </w:r>
      <w:proofErr w:type="spellEnd"/>
      <w:r w:rsidRPr="00EA5A4C">
        <w:rPr>
          <w:rFonts w:ascii="Book Antiqua" w:hAnsi="Book Antiqua"/>
        </w:rPr>
        <w:t xml:space="preserve"> SA, </w:t>
      </w:r>
      <w:proofErr w:type="spellStart"/>
      <w:r w:rsidRPr="00EA5A4C">
        <w:rPr>
          <w:rFonts w:ascii="Book Antiqua" w:hAnsi="Book Antiqua"/>
        </w:rPr>
        <w:t>Ahnen</w:t>
      </w:r>
      <w:proofErr w:type="spellEnd"/>
      <w:r w:rsidRPr="00EA5A4C">
        <w:rPr>
          <w:rFonts w:ascii="Book Antiqua" w:hAnsi="Book Antiqua"/>
        </w:rPr>
        <w:t xml:space="preserve"> DJ, </w:t>
      </w:r>
      <w:proofErr w:type="spellStart"/>
      <w:r w:rsidRPr="00EA5A4C">
        <w:rPr>
          <w:rFonts w:ascii="Book Antiqua" w:hAnsi="Book Antiqua"/>
        </w:rPr>
        <w:t>Meester</w:t>
      </w:r>
      <w:proofErr w:type="spellEnd"/>
      <w:r w:rsidRPr="00EA5A4C">
        <w:rPr>
          <w:rFonts w:ascii="Book Antiqua" w:hAnsi="Book Antiqua"/>
        </w:rPr>
        <w:t xml:space="preserve"> RGS, </w:t>
      </w:r>
      <w:proofErr w:type="spellStart"/>
      <w:r w:rsidRPr="00EA5A4C">
        <w:rPr>
          <w:rFonts w:ascii="Book Antiqua" w:hAnsi="Book Antiqua"/>
        </w:rPr>
        <w:t>Barzi</w:t>
      </w:r>
      <w:proofErr w:type="spellEnd"/>
      <w:r w:rsidRPr="00EA5A4C">
        <w:rPr>
          <w:rFonts w:ascii="Book Antiqua" w:hAnsi="Book Antiqua"/>
        </w:rPr>
        <w:t xml:space="preserve"> A, Jemal A. Colorectal cancer statistics, 2017. </w:t>
      </w:r>
      <w:r w:rsidRPr="00EA5A4C">
        <w:rPr>
          <w:rFonts w:ascii="Book Antiqua" w:hAnsi="Book Antiqua"/>
          <w:i/>
          <w:iCs/>
        </w:rPr>
        <w:t>CA Cancer J Clin</w:t>
      </w:r>
      <w:r w:rsidRPr="00EA5A4C">
        <w:rPr>
          <w:rFonts w:ascii="Book Antiqua" w:hAnsi="Book Antiqua"/>
        </w:rPr>
        <w:t> 2017; </w:t>
      </w:r>
      <w:r w:rsidRPr="00EA5A4C">
        <w:rPr>
          <w:rFonts w:ascii="Book Antiqua" w:hAnsi="Book Antiqua"/>
          <w:b/>
          <w:bCs/>
        </w:rPr>
        <w:t>67</w:t>
      </w:r>
      <w:r w:rsidRPr="00EA5A4C">
        <w:rPr>
          <w:rFonts w:ascii="Book Antiqua" w:hAnsi="Book Antiqua"/>
        </w:rPr>
        <w:t>: 177-193 [PMID: 28248415 DOI: 10.3322/caac.21395]</w:t>
      </w:r>
    </w:p>
    <w:p w14:paraId="4CDFA30A" w14:textId="32142B3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lang w:eastAsia="zh-CN"/>
        </w:rPr>
      </w:pPr>
      <w:r w:rsidRPr="00EA5A4C">
        <w:rPr>
          <w:rFonts w:ascii="Book Antiqua" w:hAnsi="Book Antiqua"/>
        </w:rPr>
        <w:t>3 </w:t>
      </w:r>
      <w:r w:rsidRPr="002A3C7C">
        <w:rPr>
          <w:rFonts w:ascii="Book Antiqua" w:hAnsi="Book Antiqua"/>
          <w:bCs/>
        </w:rPr>
        <w:t>S</w:t>
      </w:r>
      <w:r w:rsidRPr="00EA5A4C">
        <w:rPr>
          <w:rFonts w:ascii="Book Antiqua" w:hAnsi="Book Antiqua"/>
          <w:bCs/>
        </w:rPr>
        <w:t>EER Cancer Stat Facts: Colorectal Cancer. National Cancer Institute. Accessed March 2,</w:t>
      </w:r>
      <w:r w:rsidRPr="00EA5A4C">
        <w:rPr>
          <w:rFonts w:ascii="Book Antiqua" w:hAnsi="Book Antiqua"/>
        </w:rPr>
        <w:t xml:space="preserve"> 2018 Available from: URL: </w:t>
      </w:r>
      <w:hyperlink r:id="rId10" w:history="1">
        <w:r w:rsidR="002A3C7C" w:rsidRPr="00AC6ECF">
          <w:rPr>
            <w:rStyle w:val="Hyperlink"/>
            <w:rFonts w:ascii="Book Antiqua" w:hAnsi="Book Antiqua"/>
          </w:rPr>
          <w:t>http://seer.cancer.gov/statfacts/html/colorect.html</w:t>
        </w:r>
      </w:hyperlink>
      <w:r w:rsidR="002A3C7C">
        <w:rPr>
          <w:rFonts w:ascii="Book Antiqua" w:hAnsi="Book Antiqua" w:hint="eastAsia"/>
          <w:lang w:eastAsia="zh-CN"/>
        </w:rPr>
        <w:t xml:space="preserve"> </w:t>
      </w:r>
    </w:p>
    <w:p w14:paraId="3A7EA6E0" w14:textId="5D91A4E2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4 </w:t>
      </w:r>
      <w:r w:rsidRPr="00EA5A4C">
        <w:rPr>
          <w:rFonts w:ascii="Book Antiqua" w:hAnsi="Book Antiqua"/>
          <w:b/>
          <w:bCs/>
        </w:rPr>
        <w:t>MERCURY Study Group</w:t>
      </w:r>
      <w:r w:rsidRPr="00EA5A4C">
        <w:rPr>
          <w:rFonts w:ascii="Book Antiqua" w:hAnsi="Book Antiqua"/>
        </w:rPr>
        <w:t>. Diagnostic accuracy of preoperative magnetic resonance imaging in predicting curative resection of rectal cancer: prospective observational study. </w:t>
      </w:r>
      <w:r w:rsidRPr="00EA5A4C">
        <w:rPr>
          <w:rFonts w:ascii="Book Antiqua" w:hAnsi="Book Antiqua"/>
          <w:i/>
          <w:iCs/>
        </w:rPr>
        <w:t>BMJ</w:t>
      </w:r>
      <w:r w:rsidRPr="00EA5A4C">
        <w:rPr>
          <w:rFonts w:ascii="Book Antiqua" w:hAnsi="Book Antiqua"/>
        </w:rPr>
        <w:t> 2006; </w:t>
      </w:r>
      <w:r w:rsidRPr="00EA5A4C">
        <w:rPr>
          <w:rFonts w:ascii="Book Antiqua" w:hAnsi="Book Antiqua"/>
          <w:b/>
          <w:bCs/>
        </w:rPr>
        <w:t>333</w:t>
      </w:r>
      <w:r w:rsidRPr="00EA5A4C">
        <w:rPr>
          <w:rFonts w:ascii="Book Antiqua" w:hAnsi="Book Antiqua"/>
        </w:rPr>
        <w:t>: 779 [PMID: 16984925 DOI: 10.1136/bmj.38937.646400.55]</w:t>
      </w:r>
    </w:p>
    <w:p w14:paraId="27D4BCF6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5 </w:t>
      </w:r>
      <w:proofErr w:type="spellStart"/>
      <w:r w:rsidRPr="00EA5A4C">
        <w:rPr>
          <w:rFonts w:ascii="Book Antiqua" w:hAnsi="Book Antiqua"/>
          <w:b/>
          <w:bCs/>
        </w:rPr>
        <w:t>Kontovounisios</w:t>
      </w:r>
      <w:proofErr w:type="spellEnd"/>
      <w:r w:rsidRPr="00EA5A4C">
        <w:rPr>
          <w:rFonts w:ascii="Book Antiqua" w:hAnsi="Book Antiqua"/>
          <w:b/>
          <w:bCs/>
        </w:rPr>
        <w:t xml:space="preserve"> C</w:t>
      </w:r>
      <w:r w:rsidRPr="00EA5A4C">
        <w:rPr>
          <w:rFonts w:ascii="Book Antiqua" w:hAnsi="Book Antiqua"/>
        </w:rPr>
        <w:t xml:space="preserve">, Tan E, </w:t>
      </w:r>
      <w:proofErr w:type="spellStart"/>
      <w:r w:rsidRPr="00EA5A4C">
        <w:rPr>
          <w:rFonts w:ascii="Book Antiqua" w:hAnsi="Book Antiqua"/>
        </w:rPr>
        <w:t>Pawa</w:t>
      </w:r>
      <w:proofErr w:type="spellEnd"/>
      <w:r w:rsidRPr="00EA5A4C">
        <w:rPr>
          <w:rFonts w:ascii="Book Antiqua" w:hAnsi="Book Antiqua"/>
        </w:rPr>
        <w:t xml:space="preserve"> N, Brown G, Tait D, Cunningham D, Rasheed S, </w:t>
      </w:r>
      <w:proofErr w:type="spellStart"/>
      <w:r w:rsidRPr="00EA5A4C">
        <w:rPr>
          <w:rFonts w:ascii="Book Antiqua" w:hAnsi="Book Antiqua"/>
        </w:rPr>
        <w:t>Tekkis</w:t>
      </w:r>
      <w:proofErr w:type="spellEnd"/>
      <w:r w:rsidRPr="00EA5A4C">
        <w:rPr>
          <w:rFonts w:ascii="Book Antiqua" w:hAnsi="Book Antiqua"/>
        </w:rPr>
        <w:t xml:space="preserve"> P. The selection process can improve the outcome in locally advanced and recurrent colorectal cancer: activity and results of a dedicated multidisciplinary colorectal cancer </w:t>
      </w:r>
      <w:proofErr w:type="spellStart"/>
      <w:r w:rsidRPr="00EA5A4C">
        <w:rPr>
          <w:rFonts w:ascii="Book Antiqua" w:hAnsi="Book Antiqua"/>
        </w:rPr>
        <w:t>centre</w:t>
      </w:r>
      <w:proofErr w:type="spellEnd"/>
      <w:r w:rsidRPr="00EA5A4C">
        <w:rPr>
          <w:rFonts w:ascii="Book Antiqua" w:hAnsi="Book Antiqua"/>
        </w:rPr>
        <w:t>. </w:t>
      </w:r>
      <w:r w:rsidRPr="00EA5A4C">
        <w:rPr>
          <w:rFonts w:ascii="Book Antiqua" w:hAnsi="Book Antiqua"/>
          <w:i/>
          <w:iCs/>
        </w:rPr>
        <w:t>Colorectal Dis</w:t>
      </w:r>
      <w:r w:rsidRPr="00EA5A4C">
        <w:rPr>
          <w:rFonts w:ascii="Book Antiqua" w:hAnsi="Book Antiqua"/>
        </w:rPr>
        <w:t> 2017; </w:t>
      </w:r>
      <w:r w:rsidRPr="00EA5A4C">
        <w:rPr>
          <w:rFonts w:ascii="Book Antiqua" w:hAnsi="Book Antiqua"/>
          <w:b/>
          <w:bCs/>
        </w:rPr>
        <w:t>19</w:t>
      </w:r>
      <w:r w:rsidRPr="00EA5A4C">
        <w:rPr>
          <w:rFonts w:ascii="Book Antiqua" w:hAnsi="Book Antiqua"/>
        </w:rPr>
        <w:t>: 331-338 [PMID: 27629565 DOI: 10.1111/codi.13517]</w:t>
      </w:r>
    </w:p>
    <w:p w14:paraId="2761FE30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6 </w:t>
      </w:r>
      <w:r w:rsidRPr="00EA5A4C">
        <w:rPr>
          <w:rFonts w:ascii="Book Antiqua" w:hAnsi="Book Antiqua"/>
          <w:b/>
          <w:bCs/>
        </w:rPr>
        <w:t>Brown KGM</w:t>
      </w:r>
      <w:r w:rsidRPr="00EA5A4C">
        <w:rPr>
          <w:rFonts w:ascii="Book Antiqua" w:hAnsi="Book Antiqua"/>
        </w:rPr>
        <w:t>, Solomon MJ, Koh CE. Pelvic Exenteration Surgery: The Evolution of Radical Surgical Techniques for Advanced and Recurrent Pelvic Malignancy. </w:t>
      </w:r>
      <w:r w:rsidRPr="00EA5A4C">
        <w:rPr>
          <w:rFonts w:ascii="Book Antiqua" w:hAnsi="Book Antiqua"/>
          <w:i/>
          <w:iCs/>
        </w:rPr>
        <w:t>Dis Colon Rectum</w:t>
      </w:r>
      <w:r w:rsidRPr="00EA5A4C">
        <w:rPr>
          <w:rFonts w:ascii="Book Antiqua" w:hAnsi="Book Antiqua"/>
        </w:rPr>
        <w:t> 2017; </w:t>
      </w:r>
      <w:r w:rsidRPr="00EA5A4C">
        <w:rPr>
          <w:rFonts w:ascii="Book Antiqua" w:hAnsi="Book Antiqua"/>
          <w:b/>
          <w:bCs/>
        </w:rPr>
        <w:t>60</w:t>
      </w:r>
      <w:r w:rsidRPr="00EA5A4C">
        <w:rPr>
          <w:rFonts w:ascii="Book Antiqua" w:hAnsi="Book Antiqua"/>
        </w:rPr>
        <w:t>: 745-754 [PMID: 28594725 DOI: 10.1097/DCR.0000000000000839]</w:t>
      </w:r>
    </w:p>
    <w:p w14:paraId="75614296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7 </w:t>
      </w:r>
      <w:proofErr w:type="spellStart"/>
      <w:r w:rsidRPr="00EA5A4C">
        <w:rPr>
          <w:rFonts w:ascii="Book Antiqua" w:hAnsi="Book Antiqua"/>
          <w:b/>
          <w:bCs/>
        </w:rPr>
        <w:t>Simillis</w:t>
      </w:r>
      <w:proofErr w:type="spellEnd"/>
      <w:r w:rsidRPr="00EA5A4C">
        <w:rPr>
          <w:rFonts w:ascii="Book Antiqua" w:hAnsi="Book Antiqua"/>
          <w:b/>
          <w:bCs/>
        </w:rPr>
        <w:t xml:space="preserve"> C</w:t>
      </w:r>
      <w:r w:rsidRPr="00EA5A4C">
        <w:rPr>
          <w:rFonts w:ascii="Book Antiqua" w:hAnsi="Book Antiqua"/>
        </w:rPr>
        <w:t xml:space="preserve">, Baird DL, </w:t>
      </w:r>
      <w:proofErr w:type="spellStart"/>
      <w:r w:rsidRPr="00EA5A4C">
        <w:rPr>
          <w:rFonts w:ascii="Book Antiqua" w:hAnsi="Book Antiqua"/>
        </w:rPr>
        <w:t>Kontovounisios</w:t>
      </w:r>
      <w:proofErr w:type="spellEnd"/>
      <w:r w:rsidRPr="00EA5A4C">
        <w:rPr>
          <w:rFonts w:ascii="Book Antiqua" w:hAnsi="Book Antiqua"/>
        </w:rPr>
        <w:t xml:space="preserve"> C, </w:t>
      </w:r>
      <w:proofErr w:type="spellStart"/>
      <w:r w:rsidRPr="00EA5A4C">
        <w:rPr>
          <w:rFonts w:ascii="Book Antiqua" w:hAnsi="Book Antiqua"/>
        </w:rPr>
        <w:t>Pawa</w:t>
      </w:r>
      <w:proofErr w:type="spellEnd"/>
      <w:r w:rsidRPr="00EA5A4C">
        <w:rPr>
          <w:rFonts w:ascii="Book Antiqua" w:hAnsi="Book Antiqua"/>
        </w:rPr>
        <w:t xml:space="preserve"> N, Brown G, Rasheed S, </w:t>
      </w:r>
      <w:proofErr w:type="spellStart"/>
      <w:r w:rsidRPr="00EA5A4C">
        <w:rPr>
          <w:rFonts w:ascii="Book Antiqua" w:hAnsi="Book Antiqua"/>
        </w:rPr>
        <w:t>Tekkis</w:t>
      </w:r>
      <w:proofErr w:type="spellEnd"/>
      <w:r w:rsidRPr="00EA5A4C">
        <w:rPr>
          <w:rFonts w:ascii="Book Antiqua" w:hAnsi="Book Antiqua"/>
        </w:rPr>
        <w:t xml:space="preserve"> PP. A Systematic Review to Assess Resection Margin Status After Abdominoperineal Excision and Pelvic Exenteration for Rectal Cancer. </w:t>
      </w:r>
      <w:r w:rsidRPr="00EA5A4C">
        <w:rPr>
          <w:rFonts w:ascii="Book Antiqua" w:hAnsi="Book Antiqua"/>
          <w:i/>
          <w:iCs/>
        </w:rPr>
        <w:t>Ann Surg</w:t>
      </w:r>
      <w:r w:rsidRPr="00EA5A4C">
        <w:rPr>
          <w:rFonts w:ascii="Book Antiqua" w:hAnsi="Book Antiqua"/>
        </w:rPr>
        <w:t> 2017; </w:t>
      </w:r>
      <w:r w:rsidRPr="00EA5A4C">
        <w:rPr>
          <w:rFonts w:ascii="Book Antiqua" w:hAnsi="Book Antiqua"/>
          <w:b/>
          <w:bCs/>
        </w:rPr>
        <w:t>265</w:t>
      </w:r>
      <w:r w:rsidRPr="00EA5A4C">
        <w:rPr>
          <w:rFonts w:ascii="Book Antiqua" w:hAnsi="Book Antiqua"/>
        </w:rPr>
        <w:t>: 291-299 [PMID: 27537531 DOI: 10.1097/SLA.0000000000001963]</w:t>
      </w:r>
    </w:p>
    <w:p w14:paraId="2F447BD0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8 </w:t>
      </w:r>
      <w:proofErr w:type="spellStart"/>
      <w:r w:rsidRPr="00EA5A4C">
        <w:rPr>
          <w:rFonts w:ascii="Book Antiqua" w:hAnsi="Book Antiqua"/>
          <w:b/>
          <w:bCs/>
        </w:rPr>
        <w:t>Selvaggi</w:t>
      </w:r>
      <w:proofErr w:type="spellEnd"/>
      <w:r w:rsidRPr="00EA5A4C">
        <w:rPr>
          <w:rFonts w:ascii="Book Antiqua" w:hAnsi="Book Antiqua"/>
          <w:b/>
          <w:bCs/>
        </w:rPr>
        <w:t xml:space="preserve"> F</w:t>
      </w:r>
      <w:r w:rsidRPr="00EA5A4C">
        <w:rPr>
          <w:rFonts w:ascii="Book Antiqua" w:hAnsi="Book Antiqua"/>
        </w:rPr>
        <w:t xml:space="preserve">, </w:t>
      </w:r>
      <w:proofErr w:type="spellStart"/>
      <w:r w:rsidRPr="00EA5A4C">
        <w:rPr>
          <w:rFonts w:ascii="Book Antiqua" w:hAnsi="Book Antiqua"/>
        </w:rPr>
        <w:t>Fucini</w:t>
      </w:r>
      <w:proofErr w:type="spellEnd"/>
      <w:r w:rsidRPr="00EA5A4C">
        <w:rPr>
          <w:rFonts w:ascii="Book Antiqua" w:hAnsi="Book Antiqua"/>
        </w:rPr>
        <w:t xml:space="preserve"> C, </w:t>
      </w:r>
      <w:proofErr w:type="spellStart"/>
      <w:r w:rsidRPr="00EA5A4C">
        <w:rPr>
          <w:rFonts w:ascii="Book Antiqua" w:hAnsi="Book Antiqua"/>
        </w:rPr>
        <w:t>Pellino</w:t>
      </w:r>
      <w:proofErr w:type="spellEnd"/>
      <w:r w:rsidRPr="00EA5A4C">
        <w:rPr>
          <w:rFonts w:ascii="Book Antiqua" w:hAnsi="Book Antiqua"/>
        </w:rPr>
        <w:t xml:space="preserve"> G, </w:t>
      </w:r>
      <w:proofErr w:type="spellStart"/>
      <w:r w:rsidRPr="00EA5A4C">
        <w:rPr>
          <w:rFonts w:ascii="Book Antiqua" w:hAnsi="Book Antiqua"/>
        </w:rPr>
        <w:t>Sciaudone</w:t>
      </w:r>
      <w:proofErr w:type="spellEnd"/>
      <w:r w:rsidRPr="00EA5A4C">
        <w:rPr>
          <w:rFonts w:ascii="Book Antiqua" w:hAnsi="Book Antiqua"/>
        </w:rPr>
        <w:t xml:space="preserve"> G, </w:t>
      </w:r>
      <w:proofErr w:type="spellStart"/>
      <w:r w:rsidRPr="00EA5A4C">
        <w:rPr>
          <w:rFonts w:ascii="Book Antiqua" w:hAnsi="Book Antiqua"/>
        </w:rPr>
        <w:t>Maretto</w:t>
      </w:r>
      <w:proofErr w:type="spellEnd"/>
      <w:r w:rsidRPr="00EA5A4C">
        <w:rPr>
          <w:rFonts w:ascii="Book Antiqua" w:hAnsi="Book Antiqua"/>
        </w:rPr>
        <w:t xml:space="preserve"> I, Mondi I, Bartolini N, </w:t>
      </w:r>
      <w:proofErr w:type="spellStart"/>
      <w:r w:rsidRPr="00EA5A4C">
        <w:rPr>
          <w:rFonts w:ascii="Book Antiqua" w:hAnsi="Book Antiqua"/>
        </w:rPr>
        <w:t>Caminati</w:t>
      </w:r>
      <w:proofErr w:type="spellEnd"/>
      <w:r w:rsidRPr="00EA5A4C">
        <w:rPr>
          <w:rFonts w:ascii="Book Antiqua" w:hAnsi="Book Antiqua"/>
        </w:rPr>
        <w:t xml:space="preserve"> F, </w:t>
      </w:r>
      <w:proofErr w:type="spellStart"/>
      <w:r w:rsidRPr="00EA5A4C">
        <w:rPr>
          <w:rFonts w:ascii="Book Antiqua" w:hAnsi="Book Antiqua"/>
        </w:rPr>
        <w:t>Pucciarelli</w:t>
      </w:r>
      <w:proofErr w:type="spellEnd"/>
      <w:r w:rsidRPr="00EA5A4C">
        <w:rPr>
          <w:rFonts w:ascii="Book Antiqua" w:hAnsi="Book Antiqua"/>
        </w:rPr>
        <w:t xml:space="preserve"> S. Outcome and prognostic factors of local recurrent rectal </w:t>
      </w:r>
      <w:r w:rsidRPr="00EA5A4C">
        <w:rPr>
          <w:rFonts w:ascii="Book Antiqua" w:hAnsi="Book Antiqua"/>
        </w:rPr>
        <w:lastRenderedPageBreak/>
        <w:t>cancer: a pooled analysis of 150 patients. </w:t>
      </w:r>
      <w:r w:rsidRPr="00EA5A4C">
        <w:rPr>
          <w:rFonts w:ascii="Book Antiqua" w:hAnsi="Book Antiqua"/>
          <w:i/>
          <w:iCs/>
        </w:rPr>
        <w:t xml:space="preserve">Tech </w:t>
      </w:r>
      <w:proofErr w:type="spellStart"/>
      <w:r w:rsidRPr="00EA5A4C">
        <w:rPr>
          <w:rFonts w:ascii="Book Antiqua" w:hAnsi="Book Antiqua"/>
          <w:i/>
          <w:iCs/>
        </w:rPr>
        <w:t>Coloproctol</w:t>
      </w:r>
      <w:proofErr w:type="spellEnd"/>
      <w:r w:rsidRPr="00EA5A4C">
        <w:rPr>
          <w:rFonts w:ascii="Book Antiqua" w:hAnsi="Book Antiqua"/>
        </w:rPr>
        <w:t> 2015; </w:t>
      </w:r>
      <w:r w:rsidRPr="00EA5A4C">
        <w:rPr>
          <w:rFonts w:ascii="Book Antiqua" w:hAnsi="Book Antiqua"/>
          <w:b/>
          <w:bCs/>
        </w:rPr>
        <w:t>19</w:t>
      </w:r>
      <w:r w:rsidRPr="00EA5A4C">
        <w:rPr>
          <w:rFonts w:ascii="Book Antiqua" w:hAnsi="Book Antiqua"/>
        </w:rPr>
        <w:t>: 135-144 [PMID: 25384359 DOI: 10.1007/s10151-014-1241-x]</w:t>
      </w:r>
    </w:p>
    <w:p w14:paraId="714EB632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9 </w:t>
      </w:r>
      <w:proofErr w:type="spellStart"/>
      <w:r w:rsidRPr="00EA5A4C">
        <w:rPr>
          <w:rFonts w:ascii="Book Antiqua" w:hAnsi="Book Antiqua"/>
          <w:b/>
          <w:bCs/>
        </w:rPr>
        <w:t>Harji</w:t>
      </w:r>
      <w:proofErr w:type="spellEnd"/>
      <w:r w:rsidRPr="00EA5A4C">
        <w:rPr>
          <w:rFonts w:ascii="Book Antiqua" w:hAnsi="Book Antiqua"/>
          <w:b/>
          <w:bCs/>
        </w:rPr>
        <w:t xml:space="preserve"> DP</w:t>
      </w:r>
      <w:r w:rsidRPr="00EA5A4C">
        <w:rPr>
          <w:rFonts w:ascii="Book Antiqua" w:hAnsi="Book Antiqua"/>
        </w:rPr>
        <w:t>, Griffiths B, McArthur DR, Sagar PM. Surgery for recurrent rectal cancer: higher and wider? </w:t>
      </w:r>
      <w:r w:rsidRPr="00EA5A4C">
        <w:rPr>
          <w:rFonts w:ascii="Book Antiqua" w:hAnsi="Book Antiqua"/>
          <w:i/>
          <w:iCs/>
        </w:rPr>
        <w:t>Colorectal Dis</w:t>
      </w:r>
      <w:r w:rsidRPr="00EA5A4C">
        <w:rPr>
          <w:rFonts w:ascii="Book Antiqua" w:hAnsi="Book Antiqua"/>
        </w:rPr>
        <w:t> 2013; </w:t>
      </w:r>
      <w:r w:rsidRPr="00EA5A4C">
        <w:rPr>
          <w:rFonts w:ascii="Book Antiqua" w:hAnsi="Book Antiqua"/>
          <w:b/>
          <w:bCs/>
        </w:rPr>
        <w:t>15</w:t>
      </w:r>
      <w:r w:rsidRPr="00EA5A4C">
        <w:rPr>
          <w:rFonts w:ascii="Book Antiqua" w:hAnsi="Book Antiqua"/>
        </w:rPr>
        <w:t>: 139-145 [PMID: 22564242 DOI: 10.1111/j.1463-1318.2012.03076.x]</w:t>
      </w:r>
    </w:p>
    <w:p w14:paraId="73B0A1FC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10 </w:t>
      </w:r>
      <w:r w:rsidRPr="00EA5A4C">
        <w:rPr>
          <w:rFonts w:ascii="Book Antiqua" w:hAnsi="Book Antiqua"/>
          <w:b/>
          <w:bCs/>
        </w:rPr>
        <w:t>Koh CE</w:t>
      </w:r>
      <w:r w:rsidRPr="00EA5A4C">
        <w:rPr>
          <w:rFonts w:ascii="Book Antiqua" w:hAnsi="Book Antiqua"/>
        </w:rPr>
        <w:t>, Solomon MJ, Brown KG, Austin K, Byrne CM, Lee P, Young JM. The Evolution of Pelvic Exenteration Practice at a Single Center: Lessons Learned from over 500 Cases. </w:t>
      </w:r>
      <w:r w:rsidRPr="00EA5A4C">
        <w:rPr>
          <w:rFonts w:ascii="Book Antiqua" w:hAnsi="Book Antiqua"/>
          <w:i/>
          <w:iCs/>
        </w:rPr>
        <w:t>Dis Colon Rectum</w:t>
      </w:r>
      <w:r w:rsidRPr="00EA5A4C">
        <w:rPr>
          <w:rFonts w:ascii="Book Antiqua" w:hAnsi="Book Antiqua"/>
        </w:rPr>
        <w:t> 2017; </w:t>
      </w:r>
      <w:r w:rsidRPr="00EA5A4C">
        <w:rPr>
          <w:rFonts w:ascii="Book Antiqua" w:hAnsi="Book Antiqua"/>
          <w:b/>
          <w:bCs/>
        </w:rPr>
        <w:t>60</w:t>
      </w:r>
      <w:r w:rsidRPr="00EA5A4C">
        <w:rPr>
          <w:rFonts w:ascii="Book Antiqua" w:hAnsi="Book Antiqua"/>
        </w:rPr>
        <w:t>: 627-635 [PMID: 28481857 DOI: 10.1097/DCR.0000000000000825]</w:t>
      </w:r>
    </w:p>
    <w:p w14:paraId="5A432A45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11 </w:t>
      </w:r>
      <w:proofErr w:type="spellStart"/>
      <w:r w:rsidRPr="00EA5A4C">
        <w:rPr>
          <w:rFonts w:ascii="Book Antiqua" w:hAnsi="Book Antiqua"/>
          <w:b/>
          <w:bCs/>
        </w:rPr>
        <w:t>Rottoli</w:t>
      </w:r>
      <w:proofErr w:type="spellEnd"/>
      <w:r w:rsidRPr="00EA5A4C">
        <w:rPr>
          <w:rFonts w:ascii="Book Antiqua" w:hAnsi="Book Antiqua"/>
          <w:b/>
          <w:bCs/>
        </w:rPr>
        <w:t xml:space="preserve"> M</w:t>
      </w:r>
      <w:r w:rsidRPr="00EA5A4C">
        <w:rPr>
          <w:rFonts w:ascii="Book Antiqua" w:hAnsi="Book Antiqua"/>
        </w:rPr>
        <w:t xml:space="preserve">, </w:t>
      </w:r>
      <w:proofErr w:type="spellStart"/>
      <w:r w:rsidRPr="00EA5A4C">
        <w:rPr>
          <w:rFonts w:ascii="Book Antiqua" w:hAnsi="Book Antiqua"/>
        </w:rPr>
        <w:t>Vallicelli</w:t>
      </w:r>
      <w:proofErr w:type="spellEnd"/>
      <w:r w:rsidRPr="00EA5A4C">
        <w:rPr>
          <w:rFonts w:ascii="Book Antiqua" w:hAnsi="Book Antiqua"/>
        </w:rPr>
        <w:t xml:space="preserve"> C, </w:t>
      </w:r>
      <w:proofErr w:type="spellStart"/>
      <w:r w:rsidRPr="00EA5A4C">
        <w:rPr>
          <w:rFonts w:ascii="Book Antiqua" w:hAnsi="Book Antiqua"/>
        </w:rPr>
        <w:t>Boschi</w:t>
      </w:r>
      <w:proofErr w:type="spellEnd"/>
      <w:r w:rsidRPr="00EA5A4C">
        <w:rPr>
          <w:rFonts w:ascii="Book Antiqua" w:hAnsi="Book Antiqua"/>
        </w:rPr>
        <w:t xml:space="preserve"> L, </w:t>
      </w:r>
      <w:proofErr w:type="spellStart"/>
      <w:r w:rsidRPr="00EA5A4C">
        <w:rPr>
          <w:rFonts w:ascii="Book Antiqua" w:hAnsi="Book Antiqua"/>
        </w:rPr>
        <w:t>Poggioli</w:t>
      </w:r>
      <w:proofErr w:type="spellEnd"/>
      <w:r w:rsidRPr="00EA5A4C">
        <w:rPr>
          <w:rFonts w:ascii="Book Antiqua" w:hAnsi="Book Antiqua"/>
        </w:rPr>
        <w:t xml:space="preserve"> G. Outcomes of pelvic exenteration for recurrent and primary locally advanced rectal cancer. </w:t>
      </w:r>
      <w:r w:rsidRPr="00EA5A4C">
        <w:rPr>
          <w:rFonts w:ascii="Book Antiqua" w:hAnsi="Book Antiqua"/>
          <w:i/>
          <w:iCs/>
        </w:rPr>
        <w:t>Int J Surg</w:t>
      </w:r>
      <w:r w:rsidRPr="00EA5A4C">
        <w:rPr>
          <w:rFonts w:ascii="Book Antiqua" w:hAnsi="Book Antiqua"/>
        </w:rPr>
        <w:t> 2017; </w:t>
      </w:r>
      <w:r w:rsidRPr="00EA5A4C">
        <w:rPr>
          <w:rFonts w:ascii="Book Antiqua" w:hAnsi="Book Antiqua"/>
          <w:b/>
          <w:bCs/>
        </w:rPr>
        <w:t>48</w:t>
      </w:r>
      <w:r w:rsidRPr="00EA5A4C">
        <w:rPr>
          <w:rFonts w:ascii="Book Antiqua" w:hAnsi="Book Antiqua"/>
        </w:rPr>
        <w:t>: 69-73 [PMID: 28987560 DOI: 10.1016/j.ijsu.2017.09.069]</w:t>
      </w:r>
    </w:p>
    <w:p w14:paraId="5DB97E4B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12 </w:t>
      </w:r>
      <w:r w:rsidRPr="00EA5A4C">
        <w:rPr>
          <w:rFonts w:ascii="Book Antiqua" w:hAnsi="Book Antiqua"/>
          <w:b/>
          <w:bCs/>
        </w:rPr>
        <w:t>Garcia-</w:t>
      </w:r>
      <w:proofErr w:type="spellStart"/>
      <w:r w:rsidRPr="00EA5A4C">
        <w:rPr>
          <w:rFonts w:ascii="Book Antiqua" w:hAnsi="Book Antiqua"/>
          <w:b/>
          <w:bCs/>
        </w:rPr>
        <w:t>Granero</w:t>
      </w:r>
      <w:proofErr w:type="spellEnd"/>
      <w:r w:rsidRPr="00EA5A4C">
        <w:rPr>
          <w:rFonts w:ascii="Book Antiqua" w:hAnsi="Book Antiqua"/>
          <w:b/>
          <w:bCs/>
        </w:rPr>
        <w:t xml:space="preserve"> A</w:t>
      </w:r>
      <w:r w:rsidRPr="00EA5A4C">
        <w:rPr>
          <w:rFonts w:ascii="Book Antiqua" w:hAnsi="Book Antiqua"/>
        </w:rPr>
        <w:t xml:space="preserve">, Biondo S, </w:t>
      </w:r>
      <w:proofErr w:type="spellStart"/>
      <w:r w:rsidRPr="00EA5A4C">
        <w:rPr>
          <w:rFonts w:ascii="Book Antiqua" w:hAnsi="Book Antiqua"/>
        </w:rPr>
        <w:t>Espin-Basany</w:t>
      </w:r>
      <w:proofErr w:type="spellEnd"/>
      <w:r w:rsidRPr="00EA5A4C">
        <w:rPr>
          <w:rFonts w:ascii="Book Antiqua" w:hAnsi="Book Antiqua"/>
        </w:rPr>
        <w:t xml:space="preserve"> E, González-Castillo A, Valverde S, </w:t>
      </w:r>
      <w:proofErr w:type="spellStart"/>
      <w:r w:rsidRPr="00EA5A4C">
        <w:rPr>
          <w:rFonts w:ascii="Book Antiqua" w:hAnsi="Book Antiqua"/>
        </w:rPr>
        <w:t>Trenti</w:t>
      </w:r>
      <w:proofErr w:type="spellEnd"/>
      <w:r w:rsidRPr="00EA5A4C">
        <w:rPr>
          <w:rFonts w:ascii="Book Antiqua" w:hAnsi="Book Antiqua"/>
        </w:rPr>
        <w:t xml:space="preserve"> L, Gil-Moreno A, Kreisler E. Pelvic exenteration with rectal resection for different types of malignancies at two tertiary referral </w:t>
      </w:r>
      <w:proofErr w:type="spellStart"/>
      <w:r w:rsidRPr="00EA5A4C">
        <w:rPr>
          <w:rFonts w:ascii="Book Antiqua" w:hAnsi="Book Antiqua"/>
        </w:rPr>
        <w:t>centres</w:t>
      </w:r>
      <w:proofErr w:type="spellEnd"/>
      <w:r w:rsidRPr="00EA5A4C">
        <w:rPr>
          <w:rFonts w:ascii="Book Antiqua" w:hAnsi="Book Antiqua"/>
        </w:rPr>
        <w:t>. </w:t>
      </w:r>
      <w:r w:rsidRPr="00EA5A4C">
        <w:rPr>
          <w:rFonts w:ascii="Book Antiqua" w:hAnsi="Book Antiqua"/>
          <w:i/>
          <w:iCs/>
        </w:rPr>
        <w:t xml:space="preserve">Cir </w:t>
      </w:r>
      <w:proofErr w:type="spellStart"/>
      <w:r w:rsidRPr="00EA5A4C">
        <w:rPr>
          <w:rFonts w:ascii="Book Antiqua" w:hAnsi="Book Antiqua"/>
          <w:i/>
          <w:iCs/>
        </w:rPr>
        <w:t>Esp</w:t>
      </w:r>
      <w:proofErr w:type="spellEnd"/>
      <w:r w:rsidRPr="00EA5A4C">
        <w:rPr>
          <w:rFonts w:ascii="Book Antiqua" w:hAnsi="Book Antiqua"/>
        </w:rPr>
        <w:t> 2018; </w:t>
      </w:r>
      <w:r w:rsidRPr="00EA5A4C">
        <w:rPr>
          <w:rFonts w:ascii="Book Antiqua" w:hAnsi="Book Antiqua"/>
          <w:b/>
          <w:bCs/>
        </w:rPr>
        <w:t>96</w:t>
      </w:r>
      <w:r w:rsidRPr="00EA5A4C">
        <w:rPr>
          <w:rFonts w:ascii="Book Antiqua" w:hAnsi="Book Antiqua"/>
        </w:rPr>
        <w:t>: 138-148 [PMID: 29229359 DOI: 10.1016/j.ciresp.2017.11.001]</w:t>
      </w:r>
    </w:p>
    <w:p w14:paraId="302EEC4C" w14:textId="31B21EBA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13 </w:t>
      </w:r>
      <w:proofErr w:type="spellStart"/>
      <w:r w:rsidRPr="00EA5A4C">
        <w:rPr>
          <w:rFonts w:ascii="Book Antiqua" w:hAnsi="Book Antiqua"/>
          <w:b/>
          <w:bCs/>
        </w:rPr>
        <w:t>PelvEx</w:t>
      </w:r>
      <w:proofErr w:type="spellEnd"/>
      <w:r w:rsidRPr="00EA5A4C">
        <w:rPr>
          <w:rFonts w:ascii="Book Antiqua" w:hAnsi="Book Antiqua"/>
          <w:b/>
          <w:bCs/>
        </w:rPr>
        <w:t xml:space="preserve"> Collaborative</w:t>
      </w:r>
      <w:r w:rsidRPr="00EA5A4C">
        <w:rPr>
          <w:rFonts w:ascii="Book Antiqua" w:hAnsi="Book Antiqua"/>
        </w:rPr>
        <w:t>. Surgical and Survival Outcomes Following Pelvic Exenteration for Locally Advanced Primary Rectal Cancer: Results from an International Collaboration. </w:t>
      </w:r>
      <w:r w:rsidRPr="00EA5A4C">
        <w:rPr>
          <w:rFonts w:ascii="Book Antiqua" w:hAnsi="Book Antiqua"/>
          <w:i/>
          <w:iCs/>
        </w:rPr>
        <w:t>Ann Surg</w:t>
      </w:r>
      <w:r w:rsidRPr="00EA5A4C">
        <w:rPr>
          <w:rFonts w:ascii="Book Antiqua" w:hAnsi="Book Antiqua"/>
        </w:rPr>
        <w:t xml:space="preserve"> 2017 </w:t>
      </w:r>
      <w:proofErr w:type="spellStart"/>
      <w:r>
        <w:rPr>
          <w:rFonts w:ascii="Book Antiqua" w:hAnsi="Book Antiqua"/>
        </w:rPr>
        <w:t>Epub</w:t>
      </w:r>
      <w:proofErr w:type="spellEnd"/>
      <w:r>
        <w:rPr>
          <w:rFonts w:ascii="Book Antiqua" w:hAnsi="Book Antiqua"/>
        </w:rPr>
        <w:t xml:space="preserve"> ahead of print </w:t>
      </w:r>
      <w:r w:rsidRPr="00EA5A4C">
        <w:rPr>
          <w:rFonts w:ascii="Book Antiqua" w:hAnsi="Book Antiqua"/>
        </w:rPr>
        <w:t>[PMID: 28938268 DOI: 10.1097/SLA.0000000000002528]</w:t>
      </w:r>
    </w:p>
    <w:p w14:paraId="132BEC6A" w14:textId="19519466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14 </w:t>
      </w:r>
      <w:proofErr w:type="spellStart"/>
      <w:r w:rsidRPr="00EA5A4C">
        <w:rPr>
          <w:rFonts w:ascii="Book Antiqua" w:hAnsi="Book Antiqua"/>
          <w:b/>
          <w:bCs/>
        </w:rPr>
        <w:t>PelvEx</w:t>
      </w:r>
      <w:proofErr w:type="spellEnd"/>
      <w:r w:rsidRPr="00EA5A4C">
        <w:rPr>
          <w:rFonts w:ascii="Book Antiqua" w:hAnsi="Book Antiqua"/>
          <w:b/>
          <w:bCs/>
        </w:rPr>
        <w:t xml:space="preserve"> Collaborative</w:t>
      </w:r>
      <w:r w:rsidRPr="00EA5A4C">
        <w:rPr>
          <w:rFonts w:ascii="Book Antiqua" w:hAnsi="Book Antiqua"/>
        </w:rPr>
        <w:t>. Factors affecting outcomes following pelvic exenteration for locally recurrent rectal cancer. </w:t>
      </w:r>
      <w:r w:rsidRPr="00EA5A4C">
        <w:rPr>
          <w:rFonts w:ascii="Book Antiqua" w:hAnsi="Book Antiqua"/>
          <w:i/>
          <w:iCs/>
        </w:rPr>
        <w:t>Br J Surg</w:t>
      </w:r>
      <w:r w:rsidRPr="00EA5A4C">
        <w:rPr>
          <w:rFonts w:ascii="Book Antiqua" w:hAnsi="Book Antiqua"/>
        </w:rPr>
        <w:t> 2018; </w:t>
      </w:r>
      <w:r w:rsidRPr="00EA5A4C">
        <w:rPr>
          <w:rFonts w:ascii="Book Antiqua" w:hAnsi="Book Antiqua"/>
          <w:b/>
          <w:bCs/>
        </w:rPr>
        <w:t>105</w:t>
      </w:r>
      <w:r w:rsidRPr="00EA5A4C">
        <w:rPr>
          <w:rFonts w:ascii="Book Antiqua" w:hAnsi="Book Antiqua"/>
        </w:rPr>
        <w:t>: 650-657 [PMID: 29529336 DOI: 10.1002/bjs.10734]</w:t>
      </w:r>
    </w:p>
    <w:p w14:paraId="171958F4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15 </w:t>
      </w:r>
      <w:r w:rsidRPr="00EA5A4C">
        <w:rPr>
          <w:rFonts w:ascii="Book Antiqua" w:hAnsi="Book Antiqua"/>
          <w:b/>
          <w:bCs/>
        </w:rPr>
        <w:t>Ortiz H</w:t>
      </w:r>
      <w:r w:rsidRPr="00EA5A4C">
        <w:rPr>
          <w:rFonts w:ascii="Book Antiqua" w:hAnsi="Book Antiqua"/>
        </w:rPr>
        <w:t xml:space="preserve">, </w:t>
      </w:r>
      <w:proofErr w:type="spellStart"/>
      <w:r w:rsidRPr="00EA5A4C">
        <w:rPr>
          <w:rFonts w:ascii="Book Antiqua" w:hAnsi="Book Antiqua"/>
        </w:rPr>
        <w:t>Codina</w:t>
      </w:r>
      <w:proofErr w:type="spellEnd"/>
      <w:r w:rsidRPr="00EA5A4C">
        <w:rPr>
          <w:rFonts w:ascii="Book Antiqua" w:hAnsi="Book Antiqua"/>
        </w:rPr>
        <w:t xml:space="preserve"> A. Rectal cancer project of the Spanish Association of Surgeons (Viking project): Past and future. </w:t>
      </w:r>
      <w:r w:rsidRPr="00EA5A4C">
        <w:rPr>
          <w:rFonts w:ascii="Book Antiqua" w:hAnsi="Book Antiqua"/>
          <w:i/>
          <w:iCs/>
        </w:rPr>
        <w:t xml:space="preserve">Cir </w:t>
      </w:r>
      <w:proofErr w:type="spellStart"/>
      <w:r w:rsidRPr="00EA5A4C">
        <w:rPr>
          <w:rFonts w:ascii="Book Antiqua" w:hAnsi="Book Antiqua"/>
          <w:i/>
          <w:iCs/>
        </w:rPr>
        <w:t>Esp</w:t>
      </w:r>
      <w:proofErr w:type="spellEnd"/>
      <w:r w:rsidRPr="00EA5A4C">
        <w:rPr>
          <w:rFonts w:ascii="Book Antiqua" w:hAnsi="Book Antiqua"/>
        </w:rPr>
        <w:t> 2016; </w:t>
      </w:r>
      <w:r w:rsidRPr="00EA5A4C">
        <w:rPr>
          <w:rFonts w:ascii="Book Antiqua" w:hAnsi="Book Antiqua"/>
          <w:b/>
          <w:bCs/>
        </w:rPr>
        <w:t>94</w:t>
      </w:r>
      <w:r w:rsidRPr="00EA5A4C">
        <w:rPr>
          <w:rFonts w:ascii="Book Antiqua" w:hAnsi="Book Antiqua"/>
        </w:rPr>
        <w:t>: 63-64 [PMID: 26772740 DOI: 10.1016/j.ciresp.2015.11.009]</w:t>
      </w:r>
    </w:p>
    <w:p w14:paraId="42765631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16 </w:t>
      </w:r>
      <w:r w:rsidRPr="00EA5A4C">
        <w:rPr>
          <w:rFonts w:ascii="Book Antiqua" w:hAnsi="Book Antiqua"/>
          <w:b/>
          <w:bCs/>
        </w:rPr>
        <w:t>von Elm E</w:t>
      </w:r>
      <w:r w:rsidRPr="00EA5A4C">
        <w:rPr>
          <w:rFonts w:ascii="Book Antiqua" w:hAnsi="Book Antiqua"/>
        </w:rPr>
        <w:t xml:space="preserve">, Altman DG, Egger M, Pocock SJ, </w:t>
      </w:r>
      <w:proofErr w:type="spellStart"/>
      <w:r w:rsidRPr="00EA5A4C">
        <w:rPr>
          <w:rFonts w:ascii="Book Antiqua" w:hAnsi="Book Antiqua"/>
        </w:rPr>
        <w:t>Gøtzsche</w:t>
      </w:r>
      <w:proofErr w:type="spellEnd"/>
      <w:r w:rsidRPr="00EA5A4C">
        <w:rPr>
          <w:rFonts w:ascii="Book Antiqua" w:hAnsi="Book Antiqua"/>
        </w:rPr>
        <w:t xml:space="preserve"> PC, </w:t>
      </w:r>
      <w:proofErr w:type="spellStart"/>
      <w:r w:rsidRPr="00EA5A4C">
        <w:rPr>
          <w:rFonts w:ascii="Book Antiqua" w:hAnsi="Book Antiqua"/>
        </w:rPr>
        <w:t>Vandenbroucke</w:t>
      </w:r>
      <w:proofErr w:type="spellEnd"/>
      <w:r w:rsidRPr="00EA5A4C">
        <w:rPr>
          <w:rFonts w:ascii="Book Antiqua" w:hAnsi="Book Antiqua"/>
        </w:rPr>
        <w:t xml:space="preserve"> JP; STROBE Initiative. Strengthening the Reporting of Observational Studies in Epidemiology (STROBE) statement: guidelines for reporting observational studies. </w:t>
      </w:r>
      <w:r w:rsidRPr="00EA5A4C">
        <w:rPr>
          <w:rFonts w:ascii="Book Antiqua" w:hAnsi="Book Antiqua"/>
          <w:i/>
          <w:iCs/>
        </w:rPr>
        <w:t>BMJ</w:t>
      </w:r>
      <w:r w:rsidRPr="00EA5A4C">
        <w:rPr>
          <w:rFonts w:ascii="Book Antiqua" w:hAnsi="Book Antiqua"/>
        </w:rPr>
        <w:t> 2007; </w:t>
      </w:r>
      <w:r w:rsidRPr="00EA5A4C">
        <w:rPr>
          <w:rFonts w:ascii="Book Antiqua" w:hAnsi="Book Antiqua"/>
          <w:b/>
          <w:bCs/>
        </w:rPr>
        <w:t>335</w:t>
      </w:r>
      <w:r w:rsidRPr="00EA5A4C">
        <w:rPr>
          <w:rFonts w:ascii="Book Antiqua" w:hAnsi="Book Antiqua"/>
        </w:rPr>
        <w:t>: 806-808 [PMID: 17947786 DOI: 10.1136/bmj.39335.541782.AD]</w:t>
      </w:r>
    </w:p>
    <w:p w14:paraId="50D56F90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lastRenderedPageBreak/>
        <w:t>17 </w:t>
      </w:r>
      <w:proofErr w:type="spellStart"/>
      <w:r w:rsidRPr="00EA5A4C">
        <w:rPr>
          <w:rFonts w:ascii="Book Antiqua" w:hAnsi="Book Antiqua"/>
          <w:b/>
          <w:bCs/>
        </w:rPr>
        <w:t>Wibe</w:t>
      </w:r>
      <w:proofErr w:type="spellEnd"/>
      <w:r w:rsidRPr="00EA5A4C">
        <w:rPr>
          <w:rFonts w:ascii="Book Antiqua" w:hAnsi="Book Antiqua"/>
          <w:b/>
          <w:bCs/>
        </w:rPr>
        <w:t xml:space="preserve"> A</w:t>
      </w:r>
      <w:r w:rsidRPr="00EA5A4C">
        <w:rPr>
          <w:rFonts w:ascii="Book Antiqua" w:hAnsi="Book Antiqua"/>
        </w:rPr>
        <w:t xml:space="preserve">, </w:t>
      </w:r>
      <w:proofErr w:type="spellStart"/>
      <w:r w:rsidRPr="00EA5A4C">
        <w:rPr>
          <w:rFonts w:ascii="Book Antiqua" w:hAnsi="Book Antiqua"/>
        </w:rPr>
        <w:t>Møller</w:t>
      </w:r>
      <w:proofErr w:type="spellEnd"/>
      <w:r w:rsidRPr="00EA5A4C">
        <w:rPr>
          <w:rFonts w:ascii="Book Antiqua" w:hAnsi="Book Antiqua"/>
        </w:rPr>
        <w:t xml:space="preserve"> B, </w:t>
      </w:r>
      <w:proofErr w:type="spellStart"/>
      <w:r w:rsidRPr="00EA5A4C">
        <w:rPr>
          <w:rFonts w:ascii="Book Antiqua" w:hAnsi="Book Antiqua"/>
        </w:rPr>
        <w:t>Norstein</w:t>
      </w:r>
      <w:proofErr w:type="spellEnd"/>
      <w:r w:rsidRPr="00EA5A4C">
        <w:rPr>
          <w:rFonts w:ascii="Book Antiqua" w:hAnsi="Book Antiqua"/>
        </w:rPr>
        <w:t xml:space="preserve"> J, Carlsen E, Wiig JN, Heald RJ, </w:t>
      </w:r>
      <w:proofErr w:type="spellStart"/>
      <w:r w:rsidRPr="00EA5A4C">
        <w:rPr>
          <w:rFonts w:ascii="Book Antiqua" w:hAnsi="Book Antiqua"/>
        </w:rPr>
        <w:t>Langmark</w:t>
      </w:r>
      <w:proofErr w:type="spellEnd"/>
      <w:r w:rsidRPr="00EA5A4C">
        <w:rPr>
          <w:rFonts w:ascii="Book Antiqua" w:hAnsi="Book Antiqua"/>
        </w:rPr>
        <w:t xml:space="preserve"> F, </w:t>
      </w:r>
      <w:proofErr w:type="spellStart"/>
      <w:r w:rsidRPr="00EA5A4C">
        <w:rPr>
          <w:rFonts w:ascii="Book Antiqua" w:hAnsi="Book Antiqua"/>
        </w:rPr>
        <w:t>Myrvold</w:t>
      </w:r>
      <w:proofErr w:type="spellEnd"/>
      <w:r w:rsidRPr="00EA5A4C">
        <w:rPr>
          <w:rFonts w:ascii="Book Antiqua" w:hAnsi="Book Antiqua"/>
        </w:rPr>
        <w:t xml:space="preserve"> HE, </w:t>
      </w:r>
      <w:proofErr w:type="spellStart"/>
      <w:r w:rsidRPr="00EA5A4C">
        <w:rPr>
          <w:rFonts w:ascii="Book Antiqua" w:hAnsi="Book Antiqua"/>
        </w:rPr>
        <w:t>Søreide</w:t>
      </w:r>
      <w:proofErr w:type="spellEnd"/>
      <w:r w:rsidRPr="00EA5A4C">
        <w:rPr>
          <w:rFonts w:ascii="Book Antiqua" w:hAnsi="Book Antiqua"/>
        </w:rPr>
        <w:t xml:space="preserve"> O; Norwegian Rectal Cancer Group. A national strategic change in treatment policy for rectal cancer--implementation of total </w:t>
      </w:r>
      <w:proofErr w:type="spellStart"/>
      <w:r w:rsidRPr="00EA5A4C">
        <w:rPr>
          <w:rFonts w:ascii="Book Antiqua" w:hAnsi="Book Antiqua"/>
        </w:rPr>
        <w:t>mesorectal</w:t>
      </w:r>
      <w:proofErr w:type="spellEnd"/>
      <w:r w:rsidRPr="00EA5A4C">
        <w:rPr>
          <w:rFonts w:ascii="Book Antiqua" w:hAnsi="Book Antiqua"/>
        </w:rPr>
        <w:t xml:space="preserve"> excision as routine treatment in Norway. A national audit. </w:t>
      </w:r>
      <w:r w:rsidRPr="00EA5A4C">
        <w:rPr>
          <w:rFonts w:ascii="Book Antiqua" w:hAnsi="Book Antiqua"/>
          <w:i/>
          <w:iCs/>
        </w:rPr>
        <w:t>Dis Colon Rectum</w:t>
      </w:r>
      <w:r w:rsidRPr="00EA5A4C">
        <w:rPr>
          <w:rFonts w:ascii="Book Antiqua" w:hAnsi="Book Antiqua"/>
        </w:rPr>
        <w:t> 2002; </w:t>
      </w:r>
      <w:r w:rsidRPr="00EA5A4C">
        <w:rPr>
          <w:rFonts w:ascii="Book Antiqua" w:hAnsi="Book Antiqua"/>
          <w:b/>
          <w:bCs/>
        </w:rPr>
        <w:t>45</w:t>
      </w:r>
      <w:r w:rsidRPr="00EA5A4C">
        <w:rPr>
          <w:rFonts w:ascii="Book Antiqua" w:hAnsi="Book Antiqua"/>
        </w:rPr>
        <w:t>: 857-866 [PMID: 12130870]</w:t>
      </w:r>
    </w:p>
    <w:p w14:paraId="2725D862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18 </w:t>
      </w:r>
      <w:r w:rsidRPr="00EA5A4C">
        <w:rPr>
          <w:rFonts w:ascii="Book Antiqua" w:hAnsi="Book Antiqua"/>
          <w:b/>
          <w:bCs/>
        </w:rPr>
        <w:t>Biondo S</w:t>
      </w:r>
      <w:r w:rsidRPr="00EA5A4C">
        <w:rPr>
          <w:rFonts w:ascii="Book Antiqua" w:hAnsi="Book Antiqua"/>
        </w:rPr>
        <w:t xml:space="preserve">, Ortiz H, Lujan J, </w:t>
      </w:r>
      <w:proofErr w:type="spellStart"/>
      <w:r w:rsidRPr="00EA5A4C">
        <w:rPr>
          <w:rFonts w:ascii="Book Antiqua" w:hAnsi="Book Antiqua"/>
        </w:rPr>
        <w:t>Codina-Cazador</w:t>
      </w:r>
      <w:proofErr w:type="spellEnd"/>
      <w:r w:rsidRPr="00EA5A4C">
        <w:rPr>
          <w:rFonts w:ascii="Book Antiqua" w:hAnsi="Book Antiqua"/>
        </w:rPr>
        <w:t xml:space="preserve"> A, </w:t>
      </w:r>
      <w:proofErr w:type="spellStart"/>
      <w:r w:rsidRPr="00EA5A4C">
        <w:rPr>
          <w:rFonts w:ascii="Book Antiqua" w:hAnsi="Book Antiqua"/>
        </w:rPr>
        <w:t>Espin</w:t>
      </w:r>
      <w:proofErr w:type="spellEnd"/>
      <w:r w:rsidRPr="00EA5A4C">
        <w:rPr>
          <w:rFonts w:ascii="Book Antiqua" w:hAnsi="Book Antiqua"/>
        </w:rPr>
        <w:t xml:space="preserve"> E, Garcia-</w:t>
      </w:r>
      <w:proofErr w:type="spellStart"/>
      <w:r w:rsidRPr="00EA5A4C">
        <w:rPr>
          <w:rFonts w:ascii="Book Antiqua" w:hAnsi="Book Antiqua"/>
        </w:rPr>
        <w:t>Granero</w:t>
      </w:r>
      <w:proofErr w:type="spellEnd"/>
      <w:r w:rsidRPr="00EA5A4C">
        <w:rPr>
          <w:rFonts w:ascii="Book Antiqua" w:hAnsi="Book Antiqua"/>
        </w:rPr>
        <w:t xml:space="preserve"> E, Kreisler E, de Miguel M, </w:t>
      </w:r>
      <w:proofErr w:type="spellStart"/>
      <w:r w:rsidRPr="00EA5A4C">
        <w:rPr>
          <w:rFonts w:ascii="Book Antiqua" w:hAnsi="Book Antiqua"/>
        </w:rPr>
        <w:t>Alos</w:t>
      </w:r>
      <w:proofErr w:type="spellEnd"/>
      <w:r w:rsidRPr="00EA5A4C">
        <w:rPr>
          <w:rFonts w:ascii="Book Antiqua" w:hAnsi="Book Antiqua"/>
        </w:rPr>
        <w:t xml:space="preserve"> R, Echeverria A. Quality of mesorectum after laparoscopic resection for rectal cancer - results of an audited teaching </w:t>
      </w:r>
      <w:proofErr w:type="spellStart"/>
      <w:r w:rsidRPr="00EA5A4C">
        <w:rPr>
          <w:rFonts w:ascii="Book Antiqua" w:hAnsi="Book Antiqua"/>
        </w:rPr>
        <w:t>programme</w:t>
      </w:r>
      <w:proofErr w:type="spellEnd"/>
      <w:r w:rsidRPr="00EA5A4C">
        <w:rPr>
          <w:rFonts w:ascii="Book Antiqua" w:hAnsi="Book Antiqua"/>
        </w:rPr>
        <w:t xml:space="preserve"> in Spain. </w:t>
      </w:r>
      <w:r w:rsidRPr="00EA5A4C">
        <w:rPr>
          <w:rFonts w:ascii="Book Antiqua" w:hAnsi="Book Antiqua"/>
          <w:i/>
          <w:iCs/>
        </w:rPr>
        <w:t>Colorectal Dis</w:t>
      </w:r>
      <w:r w:rsidRPr="00EA5A4C">
        <w:rPr>
          <w:rFonts w:ascii="Book Antiqua" w:hAnsi="Book Antiqua"/>
        </w:rPr>
        <w:t> 2010; </w:t>
      </w:r>
      <w:r w:rsidRPr="00EA5A4C">
        <w:rPr>
          <w:rFonts w:ascii="Book Antiqua" w:hAnsi="Book Antiqua"/>
          <w:b/>
          <w:bCs/>
        </w:rPr>
        <w:t>12</w:t>
      </w:r>
      <w:r w:rsidRPr="00EA5A4C">
        <w:rPr>
          <w:rFonts w:ascii="Book Antiqua" w:hAnsi="Book Antiqua"/>
        </w:rPr>
        <w:t>: 24-31 [PMID: 19175653 DOI: 10.1111/j.1463-1318.2008.01720.x]</w:t>
      </w:r>
    </w:p>
    <w:p w14:paraId="71EADEBF" w14:textId="69B6C3D3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19 </w:t>
      </w:r>
      <w:r w:rsidRPr="00EA5A4C">
        <w:rPr>
          <w:rFonts w:ascii="Book Antiqua" w:hAnsi="Book Antiqua"/>
          <w:b/>
          <w:bCs/>
        </w:rPr>
        <w:t>Beyond TME Collaborative</w:t>
      </w:r>
      <w:r w:rsidRPr="00EA5A4C">
        <w:rPr>
          <w:rFonts w:ascii="Book Antiqua" w:hAnsi="Book Antiqua"/>
        </w:rPr>
        <w:t xml:space="preserve">. Consensus statement on the multidisciplinary management of patients with recurrent and primary rectal cancer beyond total </w:t>
      </w:r>
      <w:proofErr w:type="spellStart"/>
      <w:r w:rsidRPr="00EA5A4C">
        <w:rPr>
          <w:rFonts w:ascii="Book Antiqua" w:hAnsi="Book Antiqua"/>
        </w:rPr>
        <w:t>mesorectal</w:t>
      </w:r>
      <w:proofErr w:type="spellEnd"/>
      <w:r w:rsidRPr="00EA5A4C">
        <w:rPr>
          <w:rFonts w:ascii="Book Antiqua" w:hAnsi="Book Antiqua"/>
        </w:rPr>
        <w:t xml:space="preserve"> excision planes. </w:t>
      </w:r>
      <w:r w:rsidRPr="00EA5A4C">
        <w:rPr>
          <w:rFonts w:ascii="Book Antiqua" w:hAnsi="Book Antiqua"/>
          <w:i/>
          <w:iCs/>
        </w:rPr>
        <w:t>Br J Surg</w:t>
      </w:r>
      <w:r w:rsidRPr="00EA5A4C">
        <w:rPr>
          <w:rFonts w:ascii="Book Antiqua" w:hAnsi="Book Antiqua"/>
        </w:rPr>
        <w:t> 2013; </w:t>
      </w:r>
      <w:r w:rsidRPr="00EA5A4C">
        <w:rPr>
          <w:rFonts w:ascii="Book Antiqua" w:hAnsi="Book Antiqua"/>
          <w:b/>
          <w:bCs/>
        </w:rPr>
        <w:t>100</w:t>
      </w:r>
      <w:r w:rsidRPr="00EA5A4C">
        <w:rPr>
          <w:rFonts w:ascii="Book Antiqua" w:hAnsi="Book Antiqua"/>
        </w:rPr>
        <w:t>: 1009-1014 [PMID: 23754654 DOI: 10.1002/bjs.9192]</w:t>
      </w:r>
    </w:p>
    <w:p w14:paraId="5A703999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20 </w:t>
      </w:r>
      <w:r w:rsidRPr="00EA5A4C">
        <w:rPr>
          <w:rFonts w:ascii="Book Antiqua" w:hAnsi="Book Antiqua"/>
          <w:b/>
          <w:bCs/>
        </w:rPr>
        <w:t>Ortiz H</w:t>
      </w:r>
      <w:r w:rsidRPr="00EA5A4C">
        <w:rPr>
          <w:rFonts w:ascii="Book Antiqua" w:hAnsi="Book Antiqua"/>
        </w:rPr>
        <w:t xml:space="preserve">, </w:t>
      </w:r>
      <w:proofErr w:type="spellStart"/>
      <w:r w:rsidRPr="00EA5A4C">
        <w:rPr>
          <w:rFonts w:ascii="Book Antiqua" w:hAnsi="Book Antiqua"/>
        </w:rPr>
        <w:t>Ciga</w:t>
      </w:r>
      <w:proofErr w:type="spellEnd"/>
      <w:r w:rsidRPr="00EA5A4C">
        <w:rPr>
          <w:rFonts w:ascii="Book Antiqua" w:hAnsi="Book Antiqua"/>
        </w:rPr>
        <w:t xml:space="preserve"> MA, Armendariz P, Kreisler E, </w:t>
      </w:r>
      <w:proofErr w:type="spellStart"/>
      <w:r w:rsidRPr="00EA5A4C">
        <w:rPr>
          <w:rFonts w:ascii="Book Antiqua" w:hAnsi="Book Antiqua"/>
        </w:rPr>
        <w:t>Codina-Cazador</w:t>
      </w:r>
      <w:proofErr w:type="spellEnd"/>
      <w:r w:rsidRPr="00EA5A4C">
        <w:rPr>
          <w:rFonts w:ascii="Book Antiqua" w:hAnsi="Book Antiqua"/>
        </w:rPr>
        <w:t xml:space="preserve"> A, Gomez-</w:t>
      </w:r>
      <w:proofErr w:type="spellStart"/>
      <w:r w:rsidRPr="00EA5A4C">
        <w:rPr>
          <w:rFonts w:ascii="Book Antiqua" w:hAnsi="Book Antiqua"/>
        </w:rPr>
        <w:t>Barbadillo</w:t>
      </w:r>
      <w:proofErr w:type="spellEnd"/>
      <w:r w:rsidRPr="00EA5A4C">
        <w:rPr>
          <w:rFonts w:ascii="Book Antiqua" w:hAnsi="Book Antiqua"/>
        </w:rPr>
        <w:t xml:space="preserve"> J, Garcia-</w:t>
      </w:r>
      <w:proofErr w:type="spellStart"/>
      <w:r w:rsidRPr="00EA5A4C">
        <w:rPr>
          <w:rFonts w:ascii="Book Antiqua" w:hAnsi="Book Antiqua"/>
        </w:rPr>
        <w:t>Granero</w:t>
      </w:r>
      <w:proofErr w:type="spellEnd"/>
      <w:r w:rsidRPr="00EA5A4C">
        <w:rPr>
          <w:rFonts w:ascii="Book Antiqua" w:hAnsi="Book Antiqua"/>
        </w:rPr>
        <w:t xml:space="preserve"> E, </w:t>
      </w:r>
      <w:proofErr w:type="spellStart"/>
      <w:r w:rsidRPr="00EA5A4C">
        <w:rPr>
          <w:rFonts w:ascii="Book Antiqua" w:hAnsi="Book Antiqua"/>
        </w:rPr>
        <w:t>Roig</w:t>
      </w:r>
      <w:proofErr w:type="spellEnd"/>
      <w:r w:rsidRPr="00EA5A4C">
        <w:rPr>
          <w:rFonts w:ascii="Book Antiqua" w:hAnsi="Book Antiqua"/>
        </w:rPr>
        <w:t xml:space="preserve"> JV, Biondo S; Spanish Rectal Cancer Project. </w:t>
      </w:r>
      <w:proofErr w:type="spellStart"/>
      <w:r w:rsidRPr="00EA5A4C">
        <w:rPr>
          <w:rFonts w:ascii="Book Antiqua" w:hAnsi="Book Antiqua"/>
        </w:rPr>
        <w:t>Multicentre</w:t>
      </w:r>
      <w:proofErr w:type="spellEnd"/>
      <w:r w:rsidRPr="00EA5A4C">
        <w:rPr>
          <w:rFonts w:ascii="Book Antiqua" w:hAnsi="Book Antiqua"/>
        </w:rPr>
        <w:t xml:space="preserve"> propensity score-matched analysis of conventional versus extended abdominoperineal excision for low rectal cancer. </w:t>
      </w:r>
      <w:r w:rsidRPr="00EA5A4C">
        <w:rPr>
          <w:rFonts w:ascii="Book Antiqua" w:hAnsi="Book Antiqua"/>
          <w:i/>
          <w:iCs/>
        </w:rPr>
        <w:t>Br J Surg</w:t>
      </w:r>
      <w:r w:rsidRPr="00EA5A4C">
        <w:rPr>
          <w:rFonts w:ascii="Book Antiqua" w:hAnsi="Book Antiqua"/>
        </w:rPr>
        <w:t> 2014; </w:t>
      </w:r>
      <w:r w:rsidRPr="00EA5A4C">
        <w:rPr>
          <w:rFonts w:ascii="Book Antiqua" w:hAnsi="Book Antiqua"/>
          <w:b/>
          <w:bCs/>
        </w:rPr>
        <w:t>101</w:t>
      </w:r>
      <w:r w:rsidRPr="00EA5A4C">
        <w:rPr>
          <w:rFonts w:ascii="Book Antiqua" w:hAnsi="Book Antiqua"/>
        </w:rPr>
        <w:t>: 874-882 [PMID: 24817654 DOI: 10.1002/bjs.9522]</w:t>
      </w:r>
    </w:p>
    <w:p w14:paraId="1E5E984C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21 </w:t>
      </w:r>
      <w:r w:rsidRPr="00EA5A4C">
        <w:rPr>
          <w:rFonts w:ascii="Book Antiqua" w:hAnsi="Book Antiqua"/>
          <w:b/>
          <w:bCs/>
        </w:rPr>
        <w:t>García-</w:t>
      </w:r>
      <w:proofErr w:type="spellStart"/>
      <w:r w:rsidRPr="00EA5A4C">
        <w:rPr>
          <w:rFonts w:ascii="Book Antiqua" w:hAnsi="Book Antiqua"/>
          <w:b/>
          <w:bCs/>
        </w:rPr>
        <w:t>Granero</w:t>
      </w:r>
      <w:proofErr w:type="spellEnd"/>
      <w:r w:rsidRPr="00EA5A4C">
        <w:rPr>
          <w:rFonts w:ascii="Book Antiqua" w:hAnsi="Book Antiqua"/>
          <w:b/>
          <w:bCs/>
        </w:rPr>
        <w:t xml:space="preserve"> E</w:t>
      </w:r>
      <w:r w:rsidRPr="00EA5A4C">
        <w:rPr>
          <w:rFonts w:ascii="Book Antiqua" w:hAnsi="Book Antiqua"/>
        </w:rPr>
        <w:t xml:space="preserve">, </w:t>
      </w:r>
      <w:proofErr w:type="spellStart"/>
      <w:r w:rsidRPr="00EA5A4C">
        <w:rPr>
          <w:rFonts w:ascii="Book Antiqua" w:hAnsi="Book Antiqua"/>
        </w:rPr>
        <w:t>Faiz</w:t>
      </w:r>
      <w:proofErr w:type="spellEnd"/>
      <w:r w:rsidRPr="00EA5A4C">
        <w:rPr>
          <w:rFonts w:ascii="Book Antiqua" w:hAnsi="Book Antiqua"/>
        </w:rPr>
        <w:t xml:space="preserve"> O, Muñoz E, Flor B, Navarro S, </w:t>
      </w:r>
      <w:proofErr w:type="spellStart"/>
      <w:r w:rsidRPr="00EA5A4C">
        <w:rPr>
          <w:rFonts w:ascii="Book Antiqua" w:hAnsi="Book Antiqua"/>
        </w:rPr>
        <w:t>Faus</w:t>
      </w:r>
      <w:proofErr w:type="spellEnd"/>
      <w:r w:rsidRPr="00EA5A4C">
        <w:rPr>
          <w:rFonts w:ascii="Book Antiqua" w:hAnsi="Book Antiqua"/>
        </w:rPr>
        <w:t xml:space="preserve"> C, García-Botello SA, </w:t>
      </w:r>
      <w:proofErr w:type="spellStart"/>
      <w:r w:rsidRPr="00EA5A4C">
        <w:rPr>
          <w:rFonts w:ascii="Book Antiqua" w:hAnsi="Book Antiqua"/>
        </w:rPr>
        <w:t>Lledó</w:t>
      </w:r>
      <w:proofErr w:type="spellEnd"/>
      <w:r w:rsidRPr="00EA5A4C">
        <w:rPr>
          <w:rFonts w:ascii="Book Antiqua" w:hAnsi="Book Antiqua"/>
        </w:rPr>
        <w:t xml:space="preserve"> S, Cervantes A. Macroscopic assessment of </w:t>
      </w:r>
      <w:proofErr w:type="spellStart"/>
      <w:r w:rsidRPr="00EA5A4C">
        <w:rPr>
          <w:rFonts w:ascii="Book Antiqua" w:hAnsi="Book Antiqua"/>
        </w:rPr>
        <w:t>mesorectal</w:t>
      </w:r>
      <w:proofErr w:type="spellEnd"/>
      <w:r w:rsidRPr="00EA5A4C">
        <w:rPr>
          <w:rFonts w:ascii="Book Antiqua" w:hAnsi="Book Antiqua"/>
        </w:rPr>
        <w:t xml:space="preserve"> excision in rectal cancer: a useful tool for improving quality control in a multidisciplinary team. </w:t>
      </w:r>
      <w:r w:rsidRPr="00EA5A4C">
        <w:rPr>
          <w:rFonts w:ascii="Book Antiqua" w:hAnsi="Book Antiqua"/>
          <w:i/>
          <w:iCs/>
        </w:rPr>
        <w:t>Cancer</w:t>
      </w:r>
      <w:r w:rsidRPr="00EA5A4C">
        <w:rPr>
          <w:rFonts w:ascii="Book Antiqua" w:hAnsi="Book Antiqua"/>
        </w:rPr>
        <w:t> 2009; </w:t>
      </w:r>
      <w:r w:rsidRPr="00EA5A4C">
        <w:rPr>
          <w:rFonts w:ascii="Book Antiqua" w:hAnsi="Book Antiqua"/>
          <w:b/>
          <w:bCs/>
        </w:rPr>
        <w:t>115</w:t>
      </w:r>
      <w:r w:rsidRPr="00EA5A4C">
        <w:rPr>
          <w:rFonts w:ascii="Book Antiqua" w:hAnsi="Book Antiqua"/>
        </w:rPr>
        <w:t>: 3400-3411 [PMID: 19479978 DOI: 10.1002/cncr.24387]</w:t>
      </w:r>
    </w:p>
    <w:p w14:paraId="2E055CCC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22 </w:t>
      </w:r>
      <w:r w:rsidRPr="00EA5A4C">
        <w:rPr>
          <w:rFonts w:ascii="Book Antiqua" w:hAnsi="Book Antiqua"/>
          <w:b/>
          <w:bCs/>
        </w:rPr>
        <w:t>Quirke P</w:t>
      </w:r>
      <w:r w:rsidRPr="00EA5A4C">
        <w:rPr>
          <w:rFonts w:ascii="Book Antiqua" w:hAnsi="Book Antiqua"/>
        </w:rPr>
        <w:t xml:space="preserve">, Steele R, Monson J, Grieve R, Khanna S, Couture J, O'Callaghan C, </w:t>
      </w:r>
      <w:proofErr w:type="spellStart"/>
      <w:r w:rsidRPr="00EA5A4C">
        <w:rPr>
          <w:rFonts w:ascii="Book Antiqua" w:hAnsi="Book Antiqua"/>
        </w:rPr>
        <w:t>Myint</w:t>
      </w:r>
      <w:proofErr w:type="spellEnd"/>
      <w:r w:rsidRPr="00EA5A4C">
        <w:rPr>
          <w:rFonts w:ascii="Book Antiqua" w:hAnsi="Book Antiqua"/>
        </w:rPr>
        <w:t xml:space="preserve"> AS, </w:t>
      </w:r>
      <w:proofErr w:type="spellStart"/>
      <w:r w:rsidRPr="00EA5A4C">
        <w:rPr>
          <w:rFonts w:ascii="Book Antiqua" w:hAnsi="Book Antiqua"/>
        </w:rPr>
        <w:t>Bessell</w:t>
      </w:r>
      <w:proofErr w:type="spellEnd"/>
      <w:r w:rsidRPr="00EA5A4C">
        <w:rPr>
          <w:rFonts w:ascii="Book Antiqua" w:hAnsi="Book Antiqua"/>
        </w:rPr>
        <w:t xml:space="preserve"> E, Thompson LC, Parmar M, Stephens RJ, </w:t>
      </w:r>
      <w:proofErr w:type="spellStart"/>
      <w:r w:rsidRPr="00EA5A4C">
        <w:rPr>
          <w:rFonts w:ascii="Book Antiqua" w:hAnsi="Book Antiqua"/>
        </w:rPr>
        <w:t>Sebag</w:t>
      </w:r>
      <w:proofErr w:type="spellEnd"/>
      <w:r w:rsidRPr="00EA5A4C">
        <w:rPr>
          <w:rFonts w:ascii="Book Antiqua" w:hAnsi="Book Antiqua"/>
        </w:rPr>
        <w:t xml:space="preserve">-Montefiore D; MRC CR07/NCIC-CTG CO16 Trial Investigators; NCRI Colorectal Cancer Study Group. Effect of the plane of surgery achieved on local recurrence in patients with operable rectal cancer: a prospective study using data from the MRC CR07 and NCIC-CTG CO16 </w:t>
      </w:r>
      <w:proofErr w:type="spellStart"/>
      <w:r w:rsidRPr="00EA5A4C">
        <w:rPr>
          <w:rFonts w:ascii="Book Antiqua" w:hAnsi="Book Antiqua"/>
        </w:rPr>
        <w:t>randomised</w:t>
      </w:r>
      <w:proofErr w:type="spellEnd"/>
      <w:r w:rsidRPr="00EA5A4C">
        <w:rPr>
          <w:rFonts w:ascii="Book Antiqua" w:hAnsi="Book Antiqua"/>
        </w:rPr>
        <w:t xml:space="preserve"> clinical trial. </w:t>
      </w:r>
      <w:r w:rsidRPr="00EA5A4C">
        <w:rPr>
          <w:rFonts w:ascii="Book Antiqua" w:hAnsi="Book Antiqua"/>
          <w:i/>
          <w:iCs/>
        </w:rPr>
        <w:t>Lancet</w:t>
      </w:r>
      <w:r w:rsidRPr="00EA5A4C">
        <w:rPr>
          <w:rFonts w:ascii="Book Antiqua" w:hAnsi="Book Antiqua"/>
        </w:rPr>
        <w:t> 2009; </w:t>
      </w:r>
      <w:r w:rsidRPr="00EA5A4C">
        <w:rPr>
          <w:rFonts w:ascii="Book Antiqua" w:hAnsi="Book Antiqua"/>
          <w:b/>
          <w:bCs/>
        </w:rPr>
        <w:t>373</w:t>
      </w:r>
      <w:r w:rsidRPr="00EA5A4C">
        <w:rPr>
          <w:rFonts w:ascii="Book Antiqua" w:hAnsi="Book Antiqua"/>
        </w:rPr>
        <w:t>: 821-828 [PMID: 19269520 DOI: 10.1016/S0140-6736(09)60485-2]</w:t>
      </w:r>
    </w:p>
    <w:p w14:paraId="1EC5D900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lastRenderedPageBreak/>
        <w:t>23 </w:t>
      </w:r>
      <w:proofErr w:type="spellStart"/>
      <w:r w:rsidRPr="00EA5A4C">
        <w:rPr>
          <w:rFonts w:ascii="Book Antiqua" w:hAnsi="Book Antiqua"/>
          <w:b/>
          <w:bCs/>
        </w:rPr>
        <w:t>Nagtegaal</w:t>
      </w:r>
      <w:proofErr w:type="spellEnd"/>
      <w:r w:rsidRPr="00EA5A4C">
        <w:rPr>
          <w:rFonts w:ascii="Book Antiqua" w:hAnsi="Book Antiqua"/>
          <w:b/>
          <w:bCs/>
        </w:rPr>
        <w:t xml:space="preserve"> ID</w:t>
      </w:r>
      <w:r w:rsidRPr="00EA5A4C">
        <w:rPr>
          <w:rFonts w:ascii="Book Antiqua" w:hAnsi="Book Antiqua"/>
        </w:rPr>
        <w:t xml:space="preserve">, van de Velde CJ, van der </w:t>
      </w:r>
      <w:proofErr w:type="spellStart"/>
      <w:r w:rsidRPr="00EA5A4C">
        <w:rPr>
          <w:rFonts w:ascii="Book Antiqua" w:hAnsi="Book Antiqua"/>
        </w:rPr>
        <w:t>Worp</w:t>
      </w:r>
      <w:proofErr w:type="spellEnd"/>
      <w:r w:rsidRPr="00EA5A4C">
        <w:rPr>
          <w:rFonts w:ascii="Book Antiqua" w:hAnsi="Book Antiqua"/>
        </w:rPr>
        <w:t xml:space="preserve"> E, </w:t>
      </w:r>
      <w:proofErr w:type="spellStart"/>
      <w:r w:rsidRPr="00EA5A4C">
        <w:rPr>
          <w:rFonts w:ascii="Book Antiqua" w:hAnsi="Book Antiqua"/>
        </w:rPr>
        <w:t>Kapiteijn</w:t>
      </w:r>
      <w:proofErr w:type="spellEnd"/>
      <w:r w:rsidRPr="00EA5A4C">
        <w:rPr>
          <w:rFonts w:ascii="Book Antiqua" w:hAnsi="Book Antiqua"/>
        </w:rPr>
        <w:t xml:space="preserve"> E, Quirke P, van </w:t>
      </w:r>
      <w:proofErr w:type="spellStart"/>
      <w:r w:rsidRPr="00EA5A4C">
        <w:rPr>
          <w:rFonts w:ascii="Book Antiqua" w:hAnsi="Book Antiqua"/>
        </w:rPr>
        <w:t>Krieken</w:t>
      </w:r>
      <w:proofErr w:type="spellEnd"/>
      <w:r w:rsidRPr="00EA5A4C">
        <w:rPr>
          <w:rFonts w:ascii="Book Antiqua" w:hAnsi="Book Antiqua"/>
        </w:rPr>
        <w:t xml:space="preserve"> JH; Cooperative Clinical Investigators of the Dutch Colorectal Cancer Group. Macroscopic evaluation of rectal cancer resection specimen: clinical significance of the pathologist in quality control. </w:t>
      </w:r>
      <w:r w:rsidRPr="00EA5A4C">
        <w:rPr>
          <w:rFonts w:ascii="Book Antiqua" w:hAnsi="Book Antiqua"/>
          <w:i/>
          <w:iCs/>
        </w:rPr>
        <w:t>J Clin Oncol</w:t>
      </w:r>
      <w:r w:rsidRPr="00EA5A4C">
        <w:rPr>
          <w:rFonts w:ascii="Book Antiqua" w:hAnsi="Book Antiqua"/>
        </w:rPr>
        <w:t> 2002; </w:t>
      </w:r>
      <w:r w:rsidRPr="00EA5A4C">
        <w:rPr>
          <w:rFonts w:ascii="Book Antiqua" w:hAnsi="Book Antiqua"/>
          <w:b/>
          <w:bCs/>
        </w:rPr>
        <w:t>20</w:t>
      </w:r>
      <w:r w:rsidRPr="00EA5A4C">
        <w:rPr>
          <w:rFonts w:ascii="Book Antiqua" w:hAnsi="Book Antiqua"/>
        </w:rPr>
        <w:t>: 1729-1734 [PMID: 11919228 DOI: 10.1200/JCO.2002.07.010]</w:t>
      </w:r>
    </w:p>
    <w:p w14:paraId="27229524" w14:textId="040852D9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24 </w:t>
      </w:r>
      <w:proofErr w:type="spellStart"/>
      <w:r w:rsidRPr="00EA5A4C">
        <w:rPr>
          <w:rFonts w:ascii="Book Antiqua" w:hAnsi="Book Antiqua"/>
          <w:b/>
          <w:bCs/>
        </w:rPr>
        <w:t>Brunschwig</w:t>
      </w:r>
      <w:proofErr w:type="spellEnd"/>
      <w:r w:rsidRPr="00EA5A4C">
        <w:rPr>
          <w:rFonts w:ascii="Book Antiqua" w:hAnsi="Book Antiqua"/>
          <w:b/>
          <w:bCs/>
        </w:rPr>
        <w:t xml:space="preserve"> A</w:t>
      </w:r>
      <w:r w:rsidRPr="00EA5A4C">
        <w:rPr>
          <w:rFonts w:ascii="Book Antiqua" w:hAnsi="Book Antiqua"/>
        </w:rPr>
        <w:t>. Complete excision of pelvic viscera for advanced carcinoma; a one-stage abdominoperineal operation with end colostomy and bilateral ureteral implantation into the colon above the colostomy. </w:t>
      </w:r>
      <w:r w:rsidRPr="00EA5A4C">
        <w:rPr>
          <w:rFonts w:ascii="Book Antiqua" w:hAnsi="Book Antiqua"/>
          <w:i/>
          <w:iCs/>
        </w:rPr>
        <w:t>Cancer</w:t>
      </w:r>
      <w:r w:rsidRPr="00EA5A4C">
        <w:rPr>
          <w:rFonts w:ascii="Book Antiqua" w:hAnsi="Book Antiqua"/>
        </w:rPr>
        <w:t> 1948; </w:t>
      </w:r>
      <w:r w:rsidRPr="00EA5A4C">
        <w:rPr>
          <w:rFonts w:ascii="Book Antiqua" w:hAnsi="Book Antiqua"/>
          <w:b/>
          <w:bCs/>
        </w:rPr>
        <w:t>1</w:t>
      </w:r>
      <w:r w:rsidRPr="00EA5A4C">
        <w:rPr>
          <w:rFonts w:ascii="Book Antiqua" w:hAnsi="Book Antiqua"/>
        </w:rPr>
        <w:t>: 177-183 [PMID: 18875031]</w:t>
      </w:r>
    </w:p>
    <w:p w14:paraId="74C04C22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25 </w:t>
      </w:r>
      <w:r w:rsidRPr="00EA5A4C">
        <w:rPr>
          <w:rFonts w:ascii="Book Antiqua" w:hAnsi="Book Antiqua"/>
          <w:b/>
          <w:bCs/>
        </w:rPr>
        <w:t>Heriot AG</w:t>
      </w:r>
      <w:r w:rsidRPr="00EA5A4C">
        <w:rPr>
          <w:rFonts w:ascii="Book Antiqua" w:hAnsi="Book Antiqua"/>
        </w:rPr>
        <w:t xml:space="preserve">, Byrne CM, Lee P, Dobbs B, Tilney H, Solomon MJ, Mackay J, </w:t>
      </w:r>
      <w:proofErr w:type="spellStart"/>
      <w:r w:rsidRPr="00EA5A4C">
        <w:rPr>
          <w:rFonts w:ascii="Book Antiqua" w:hAnsi="Book Antiqua"/>
        </w:rPr>
        <w:t>Frizelle</w:t>
      </w:r>
      <w:proofErr w:type="spellEnd"/>
      <w:r w:rsidRPr="00EA5A4C">
        <w:rPr>
          <w:rFonts w:ascii="Book Antiqua" w:hAnsi="Book Antiqua"/>
        </w:rPr>
        <w:t xml:space="preserve"> F. Extended radical resection: the choice for locally recurrent rectal cancer. </w:t>
      </w:r>
      <w:r w:rsidRPr="00EA5A4C">
        <w:rPr>
          <w:rFonts w:ascii="Book Antiqua" w:hAnsi="Book Antiqua"/>
          <w:i/>
          <w:iCs/>
        </w:rPr>
        <w:t>Dis Colon Rectum</w:t>
      </w:r>
      <w:r w:rsidRPr="00EA5A4C">
        <w:rPr>
          <w:rFonts w:ascii="Book Antiqua" w:hAnsi="Book Antiqua"/>
        </w:rPr>
        <w:t> 2008; </w:t>
      </w:r>
      <w:r w:rsidRPr="00EA5A4C">
        <w:rPr>
          <w:rFonts w:ascii="Book Antiqua" w:hAnsi="Book Antiqua"/>
          <w:b/>
          <w:bCs/>
        </w:rPr>
        <w:t>51</w:t>
      </w:r>
      <w:r w:rsidRPr="00EA5A4C">
        <w:rPr>
          <w:rFonts w:ascii="Book Antiqua" w:hAnsi="Book Antiqua"/>
        </w:rPr>
        <w:t>: 284-291 [PMID: 18204879 DOI: 10.1007/s10350-007-9152-9]</w:t>
      </w:r>
    </w:p>
    <w:p w14:paraId="1035AE30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26 </w:t>
      </w:r>
      <w:proofErr w:type="spellStart"/>
      <w:r w:rsidRPr="00EA5A4C">
        <w:rPr>
          <w:rFonts w:ascii="Book Antiqua" w:hAnsi="Book Antiqua"/>
          <w:b/>
          <w:bCs/>
        </w:rPr>
        <w:t>Bhangu</w:t>
      </w:r>
      <w:proofErr w:type="spellEnd"/>
      <w:r w:rsidRPr="00EA5A4C">
        <w:rPr>
          <w:rFonts w:ascii="Book Antiqua" w:hAnsi="Book Antiqua"/>
          <w:b/>
          <w:bCs/>
        </w:rPr>
        <w:t xml:space="preserve"> A</w:t>
      </w:r>
      <w:r w:rsidRPr="00EA5A4C">
        <w:rPr>
          <w:rFonts w:ascii="Book Antiqua" w:hAnsi="Book Antiqua"/>
        </w:rPr>
        <w:t xml:space="preserve">, Ali SM, Darzi A, Brown G, </w:t>
      </w:r>
      <w:proofErr w:type="spellStart"/>
      <w:r w:rsidRPr="00EA5A4C">
        <w:rPr>
          <w:rFonts w:ascii="Book Antiqua" w:hAnsi="Book Antiqua"/>
        </w:rPr>
        <w:t>Tekkis</w:t>
      </w:r>
      <w:proofErr w:type="spellEnd"/>
      <w:r w:rsidRPr="00EA5A4C">
        <w:rPr>
          <w:rFonts w:ascii="Book Antiqua" w:hAnsi="Book Antiqua"/>
        </w:rPr>
        <w:t xml:space="preserve"> P. Meta-analysis of survival based on resection margin status following surgery for recurrent rectal cancer. </w:t>
      </w:r>
      <w:r w:rsidRPr="00EA5A4C">
        <w:rPr>
          <w:rFonts w:ascii="Book Antiqua" w:hAnsi="Book Antiqua"/>
          <w:i/>
          <w:iCs/>
        </w:rPr>
        <w:t>Colorectal Dis</w:t>
      </w:r>
      <w:r w:rsidRPr="00EA5A4C">
        <w:rPr>
          <w:rFonts w:ascii="Book Antiqua" w:hAnsi="Book Antiqua"/>
        </w:rPr>
        <w:t> 2012; </w:t>
      </w:r>
      <w:r w:rsidRPr="00EA5A4C">
        <w:rPr>
          <w:rFonts w:ascii="Book Antiqua" w:hAnsi="Book Antiqua"/>
          <w:b/>
          <w:bCs/>
        </w:rPr>
        <w:t>14</w:t>
      </w:r>
      <w:r w:rsidRPr="00EA5A4C">
        <w:rPr>
          <w:rFonts w:ascii="Book Antiqua" w:hAnsi="Book Antiqua"/>
        </w:rPr>
        <w:t>: 1457-1466 [PMID: 22356246 DOI: 10.1111/j.1463-1318.2012.03005.x]</w:t>
      </w:r>
    </w:p>
    <w:p w14:paraId="76682866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27 </w:t>
      </w:r>
      <w:r w:rsidRPr="00EA5A4C">
        <w:rPr>
          <w:rFonts w:ascii="Book Antiqua" w:hAnsi="Book Antiqua"/>
          <w:b/>
          <w:bCs/>
        </w:rPr>
        <w:t>Nielsen MB</w:t>
      </w:r>
      <w:r w:rsidRPr="00EA5A4C">
        <w:rPr>
          <w:rFonts w:ascii="Book Antiqua" w:hAnsi="Book Antiqua"/>
        </w:rPr>
        <w:t xml:space="preserve">, Rasmussen PC, </w:t>
      </w:r>
      <w:proofErr w:type="spellStart"/>
      <w:r w:rsidRPr="00EA5A4C">
        <w:rPr>
          <w:rFonts w:ascii="Book Antiqua" w:hAnsi="Book Antiqua"/>
        </w:rPr>
        <w:t>Lindegaard</w:t>
      </w:r>
      <w:proofErr w:type="spellEnd"/>
      <w:r w:rsidRPr="00EA5A4C">
        <w:rPr>
          <w:rFonts w:ascii="Book Antiqua" w:hAnsi="Book Antiqua"/>
        </w:rPr>
        <w:t xml:space="preserve"> JC, </w:t>
      </w:r>
      <w:proofErr w:type="spellStart"/>
      <w:r w:rsidRPr="00EA5A4C">
        <w:rPr>
          <w:rFonts w:ascii="Book Antiqua" w:hAnsi="Book Antiqua"/>
        </w:rPr>
        <w:t>Laurberg</w:t>
      </w:r>
      <w:proofErr w:type="spellEnd"/>
      <w:r w:rsidRPr="00EA5A4C">
        <w:rPr>
          <w:rFonts w:ascii="Book Antiqua" w:hAnsi="Book Antiqua"/>
        </w:rPr>
        <w:t xml:space="preserve"> S. A 10-year experience of total pelvic exenteration for primary advanced and locally recurrent rectal cancer based on a prospective database. </w:t>
      </w:r>
      <w:r w:rsidRPr="00EA5A4C">
        <w:rPr>
          <w:rFonts w:ascii="Book Antiqua" w:hAnsi="Book Antiqua"/>
          <w:i/>
          <w:iCs/>
        </w:rPr>
        <w:t>Colorectal Dis</w:t>
      </w:r>
      <w:r w:rsidRPr="00EA5A4C">
        <w:rPr>
          <w:rFonts w:ascii="Book Antiqua" w:hAnsi="Book Antiqua"/>
        </w:rPr>
        <w:t> 2012; </w:t>
      </w:r>
      <w:r w:rsidRPr="00EA5A4C">
        <w:rPr>
          <w:rFonts w:ascii="Book Antiqua" w:hAnsi="Book Antiqua"/>
          <w:b/>
          <w:bCs/>
        </w:rPr>
        <w:t>14</w:t>
      </w:r>
      <w:r w:rsidRPr="00EA5A4C">
        <w:rPr>
          <w:rFonts w:ascii="Book Antiqua" w:hAnsi="Book Antiqua"/>
        </w:rPr>
        <w:t>: 1076-1083 [PMID: 22107085 DOI: 10.1111/j.1463-1318.2011.02893.x]</w:t>
      </w:r>
    </w:p>
    <w:p w14:paraId="14E2BD67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28 </w:t>
      </w:r>
      <w:proofErr w:type="spellStart"/>
      <w:r w:rsidRPr="00EA5A4C">
        <w:rPr>
          <w:rFonts w:ascii="Book Antiqua" w:hAnsi="Book Antiqua"/>
          <w:b/>
          <w:bCs/>
        </w:rPr>
        <w:t>Loughrey</w:t>
      </w:r>
      <w:proofErr w:type="spellEnd"/>
      <w:r w:rsidRPr="00EA5A4C">
        <w:rPr>
          <w:rFonts w:ascii="Book Antiqua" w:hAnsi="Book Antiqua"/>
          <w:b/>
          <w:bCs/>
        </w:rPr>
        <w:t xml:space="preserve"> MB McManus DT. Pelvic Exenteration Specimens. In: Eds Allen D,</w:t>
      </w:r>
      <w:r w:rsidRPr="00EA5A4C">
        <w:rPr>
          <w:rFonts w:ascii="Book Antiqua" w:hAnsi="Book Antiqua"/>
        </w:rPr>
        <w:t> Cameron R. Histopathology Specimens. London: Springer, 2013 [doi:10.1007/978-0-85729-673-3_35]</w:t>
      </w:r>
    </w:p>
    <w:p w14:paraId="5988E512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29 </w:t>
      </w:r>
      <w:r w:rsidRPr="00EA5A4C">
        <w:rPr>
          <w:rFonts w:ascii="Book Antiqua" w:hAnsi="Book Antiqua"/>
          <w:b/>
          <w:bCs/>
        </w:rPr>
        <w:t>Yang TX</w:t>
      </w:r>
      <w:r w:rsidRPr="00EA5A4C">
        <w:rPr>
          <w:rFonts w:ascii="Book Antiqua" w:hAnsi="Book Antiqua"/>
        </w:rPr>
        <w:t>, Morris DL, Chua TC. Pelvic exenteration for rectal cancer: a systematic review. </w:t>
      </w:r>
      <w:r w:rsidRPr="00EA5A4C">
        <w:rPr>
          <w:rFonts w:ascii="Book Antiqua" w:hAnsi="Book Antiqua"/>
          <w:i/>
          <w:iCs/>
        </w:rPr>
        <w:t>Dis Colon Rectum</w:t>
      </w:r>
      <w:r w:rsidRPr="00EA5A4C">
        <w:rPr>
          <w:rFonts w:ascii="Book Antiqua" w:hAnsi="Book Antiqua"/>
        </w:rPr>
        <w:t> 2013; </w:t>
      </w:r>
      <w:r w:rsidRPr="00EA5A4C">
        <w:rPr>
          <w:rFonts w:ascii="Book Antiqua" w:hAnsi="Book Antiqua"/>
          <w:b/>
          <w:bCs/>
        </w:rPr>
        <w:t>56</w:t>
      </w:r>
      <w:r w:rsidRPr="00EA5A4C">
        <w:rPr>
          <w:rFonts w:ascii="Book Antiqua" w:hAnsi="Book Antiqua"/>
        </w:rPr>
        <w:t>: 519-531 [PMID: 23478621 DOI: 10.1097/DCR.0b013e31827a7868]</w:t>
      </w:r>
    </w:p>
    <w:p w14:paraId="73C8B668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30 </w:t>
      </w:r>
      <w:r w:rsidRPr="00EA5A4C">
        <w:rPr>
          <w:rFonts w:ascii="Book Antiqua" w:hAnsi="Book Antiqua"/>
          <w:b/>
          <w:bCs/>
        </w:rPr>
        <w:t>Coleman MP</w:t>
      </w:r>
      <w:r w:rsidRPr="00EA5A4C">
        <w:rPr>
          <w:rFonts w:ascii="Book Antiqua" w:hAnsi="Book Antiqua"/>
        </w:rPr>
        <w:t xml:space="preserve">, Forman D, Bryant H, Butler J, Rachet B, </w:t>
      </w:r>
      <w:proofErr w:type="spellStart"/>
      <w:r w:rsidRPr="00EA5A4C">
        <w:rPr>
          <w:rFonts w:ascii="Book Antiqua" w:hAnsi="Book Antiqua"/>
        </w:rPr>
        <w:t>Maringe</w:t>
      </w:r>
      <w:proofErr w:type="spellEnd"/>
      <w:r w:rsidRPr="00EA5A4C">
        <w:rPr>
          <w:rFonts w:ascii="Book Antiqua" w:hAnsi="Book Antiqua"/>
        </w:rPr>
        <w:t xml:space="preserve"> C, Nur U, Tracey E, </w:t>
      </w:r>
      <w:proofErr w:type="spellStart"/>
      <w:r w:rsidRPr="00EA5A4C">
        <w:rPr>
          <w:rFonts w:ascii="Book Antiqua" w:hAnsi="Book Antiqua"/>
        </w:rPr>
        <w:t>Coory</w:t>
      </w:r>
      <w:proofErr w:type="spellEnd"/>
      <w:r w:rsidRPr="00EA5A4C">
        <w:rPr>
          <w:rFonts w:ascii="Book Antiqua" w:hAnsi="Book Antiqua"/>
        </w:rPr>
        <w:t xml:space="preserve"> M, Hatcher J, </w:t>
      </w:r>
      <w:proofErr w:type="spellStart"/>
      <w:r w:rsidRPr="00EA5A4C">
        <w:rPr>
          <w:rFonts w:ascii="Book Antiqua" w:hAnsi="Book Antiqua"/>
        </w:rPr>
        <w:t>McGahan</w:t>
      </w:r>
      <w:proofErr w:type="spellEnd"/>
      <w:r w:rsidRPr="00EA5A4C">
        <w:rPr>
          <w:rFonts w:ascii="Book Antiqua" w:hAnsi="Book Antiqua"/>
        </w:rPr>
        <w:t xml:space="preserve"> CE, Turner D, </w:t>
      </w:r>
      <w:proofErr w:type="spellStart"/>
      <w:r w:rsidRPr="00EA5A4C">
        <w:rPr>
          <w:rFonts w:ascii="Book Antiqua" w:hAnsi="Book Antiqua"/>
        </w:rPr>
        <w:t>Marrett</w:t>
      </w:r>
      <w:proofErr w:type="spellEnd"/>
      <w:r w:rsidRPr="00EA5A4C">
        <w:rPr>
          <w:rFonts w:ascii="Book Antiqua" w:hAnsi="Book Antiqua"/>
        </w:rPr>
        <w:t xml:space="preserve"> L, </w:t>
      </w:r>
      <w:proofErr w:type="spellStart"/>
      <w:r w:rsidRPr="00EA5A4C">
        <w:rPr>
          <w:rFonts w:ascii="Book Antiqua" w:hAnsi="Book Antiqua"/>
        </w:rPr>
        <w:t>Gjerstorff</w:t>
      </w:r>
      <w:proofErr w:type="spellEnd"/>
      <w:r w:rsidRPr="00EA5A4C">
        <w:rPr>
          <w:rFonts w:ascii="Book Antiqua" w:hAnsi="Book Antiqua"/>
        </w:rPr>
        <w:t xml:space="preserve"> ML, Johannesen TB, </w:t>
      </w:r>
      <w:proofErr w:type="spellStart"/>
      <w:r w:rsidRPr="00EA5A4C">
        <w:rPr>
          <w:rFonts w:ascii="Book Antiqua" w:hAnsi="Book Antiqua"/>
        </w:rPr>
        <w:t>Adolfsson</w:t>
      </w:r>
      <w:proofErr w:type="spellEnd"/>
      <w:r w:rsidRPr="00EA5A4C">
        <w:rPr>
          <w:rFonts w:ascii="Book Antiqua" w:hAnsi="Book Antiqua"/>
        </w:rPr>
        <w:t xml:space="preserve"> J, </w:t>
      </w:r>
      <w:proofErr w:type="spellStart"/>
      <w:r w:rsidRPr="00EA5A4C">
        <w:rPr>
          <w:rFonts w:ascii="Book Antiqua" w:hAnsi="Book Antiqua"/>
        </w:rPr>
        <w:t>Lambe</w:t>
      </w:r>
      <w:proofErr w:type="spellEnd"/>
      <w:r w:rsidRPr="00EA5A4C">
        <w:rPr>
          <w:rFonts w:ascii="Book Antiqua" w:hAnsi="Book Antiqua"/>
        </w:rPr>
        <w:t xml:space="preserve"> M, Lawrence G, Meechan D, Morris EJ, Middleton R, Steward J, Richards MA; ICBP Module 1 Working Group. Cancer </w:t>
      </w:r>
      <w:r w:rsidRPr="00EA5A4C">
        <w:rPr>
          <w:rFonts w:ascii="Book Antiqua" w:hAnsi="Book Antiqua"/>
        </w:rPr>
        <w:lastRenderedPageBreak/>
        <w:t>survival in Australia, Canada, Denmark, Norway, Sweden, and the UK, 1995-2007 (the International Cancer Benchmarking Partnership): an analysis of population-based cancer registry data. </w:t>
      </w:r>
      <w:r w:rsidRPr="00EA5A4C">
        <w:rPr>
          <w:rFonts w:ascii="Book Antiqua" w:hAnsi="Book Antiqua"/>
          <w:i/>
          <w:iCs/>
        </w:rPr>
        <w:t>Lancet</w:t>
      </w:r>
      <w:r w:rsidRPr="00EA5A4C">
        <w:rPr>
          <w:rFonts w:ascii="Book Antiqua" w:hAnsi="Book Antiqua"/>
        </w:rPr>
        <w:t> 2011; </w:t>
      </w:r>
      <w:r w:rsidRPr="00EA5A4C">
        <w:rPr>
          <w:rFonts w:ascii="Book Antiqua" w:hAnsi="Book Antiqua"/>
          <w:b/>
          <w:bCs/>
        </w:rPr>
        <w:t>377</w:t>
      </w:r>
      <w:r w:rsidRPr="00EA5A4C">
        <w:rPr>
          <w:rFonts w:ascii="Book Antiqua" w:hAnsi="Book Antiqua"/>
        </w:rPr>
        <w:t>: 127-138 [PMID: 21183212 DOI: 10.1016/S0140-6736(10)62231-3]</w:t>
      </w:r>
    </w:p>
    <w:p w14:paraId="760AAFEF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31 </w:t>
      </w:r>
      <w:r w:rsidRPr="00EA5A4C">
        <w:rPr>
          <w:rFonts w:ascii="Book Antiqua" w:hAnsi="Book Antiqua"/>
          <w:b/>
          <w:bCs/>
        </w:rPr>
        <w:t>Hsu TW</w:t>
      </w:r>
      <w:r w:rsidRPr="00EA5A4C">
        <w:rPr>
          <w:rFonts w:ascii="Book Antiqua" w:hAnsi="Book Antiqua"/>
        </w:rPr>
        <w:t>, Chiang FF, Chen MC, Wang HM. Pelvic exenteration for men with locally advanced rectal cancer: a morbidity analysis of complicated cases. </w:t>
      </w:r>
      <w:r w:rsidRPr="00EA5A4C">
        <w:rPr>
          <w:rFonts w:ascii="Book Antiqua" w:hAnsi="Book Antiqua"/>
          <w:i/>
          <w:iCs/>
        </w:rPr>
        <w:t>Asian J Surg</w:t>
      </w:r>
      <w:r w:rsidRPr="00EA5A4C">
        <w:rPr>
          <w:rFonts w:ascii="Book Antiqua" w:hAnsi="Book Antiqua"/>
        </w:rPr>
        <w:t> 2011; </w:t>
      </w:r>
      <w:r w:rsidRPr="00EA5A4C">
        <w:rPr>
          <w:rFonts w:ascii="Book Antiqua" w:hAnsi="Book Antiqua"/>
          <w:b/>
          <w:bCs/>
        </w:rPr>
        <w:t>34</w:t>
      </w:r>
      <w:r w:rsidRPr="00EA5A4C">
        <w:rPr>
          <w:rFonts w:ascii="Book Antiqua" w:hAnsi="Book Antiqua"/>
        </w:rPr>
        <w:t>: 115-120 [PMID: 22208686 DOI: 10.1016/j.asjsur.2011.08.002]</w:t>
      </w:r>
    </w:p>
    <w:p w14:paraId="130C6348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32 </w:t>
      </w:r>
      <w:r w:rsidRPr="00EA5A4C">
        <w:rPr>
          <w:rFonts w:ascii="Book Antiqua" w:hAnsi="Book Antiqua"/>
          <w:b/>
          <w:bCs/>
        </w:rPr>
        <w:t>García-</w:t>
      </w:r>
      <w:proofErr w:type="spellStart"/>
      <w:r w:rsidRPr="00EA5A4C">
        <w:rPr>
          <w:rFonts w:ascii="Book Antiqua" w:hAnsi="Book Antiqua"/>
          <w:b/>
          <w:bCs/>
        </w:rPr>
        <w:t>Granero</w:t>
      </w:r>
      <w:proofErr w:type="spellEnd"/>
      <w:r w:rsidRPr="00EA5A4C">
        <w:rPr>
          <w:rFonts w:ascii="Book Antiqua" w:hAnsi="Book Antiqua"/>
          <w:b/>
          <w:bCs/>
        </w:rPr>
        <w:t xml:space="preserve"> E</w:t>
      </w:r>
      <w:r w:rsidRPr="00EA5A4C">
        <w:rPr>
          <w:rFonts w:ascii="Book Antiqua" w:hAnsi="Book Antiqua"/>
        </w:rPr>
        <w:t xml:space="preserve">, Navarro F, </w:t>
      </w:r>
      <w:proofErr w:type="spellStart"/>
      <w:r w:rsidRPr="00EA5A4C">
        <w:rPr>
          <w:rFonts w:ascii="Book Antiqua" w:hAnsi="Book Antiqua"/>
        </w:rPr>
        <w:t>Cerdán</w:t>
      </w:r>
      <w:proofErr w:type="spellEnd"/>
      <w:r w:rsidRPr="00EA5A4C">
        <w:rPr>
          <w:rFonts w:ascii="Book Antiqua" w:hAnsi="Book Antiqua"/>
        </w:rPr>
        <w:t xml:space="preserve"> Santacruz C, </w:t>
      </w:r>
      <w:proofErr w:type="spellStart"/>
      <w:r w:rsidRPr="00EA5A4C">
        <w:rPr>
          <w:rFonts w:ascii="Book Antiqua" w:hAnsi="Book Antiqua"/>
        </w:rPr>
        <w:t>Frasson</w:t>
      </w:r>
      <w:proofErr w:type="spellEnd"/>
      <w:r w:rsidRPr="00EA5A4C">
        <w:rPr>
          <w:rFonts w:ascii="Book Antiqua" w:hAnsi="Book Antiqua"/>
        </w:rPr>
        <w:t xml:space="preserve"> M, García-</w:t>
      </w:r>
      <w:proofErr w:type="spellStart"/>
      <w:r w:rsidRPr="00EA5A4C">
        <w:rPr>
          <w:rFonts w:ascii="Book Antiqua" w:hAnsi="Book Antiqua"/>
        </w:rPr>
        <w:t>Granero</w:t>
      </w:r>
      <w:proofErr w:type="spellEnd"/>
      <w:r w:rsidRPr="00EA5A4C">
        <w:rPr>
          <w:rFonts w:ascii="Book Antiqua" w:hAnsi="Book Antiqua"/>
        </w:rPr>
        <w:t xml:space="preserve"> A, </w:t>
      </w:r>
      <w:proofErr w:type="spellStart"/>
      <w:r w:rsidRPr="00EA5A4C">
        <w:rPr>
          <w:rFonts w:ascii="Book Antiqua" w:hAnsi="Book Antiqua"/>
        </w:rPr>
        <w:t>Marinello</w:t>
      </w:r>
      <w:proofErr w:type="spellEnd"/>
      <w:r w:rsidRPr="00EA5A4C">
        <w:rPr>
          <w:rFonts w:ascii="Book Antiqua" w:hAnsi="Book Antiqua"/>
        </w:rPr>
        <w:t xml:space="preserve"> F, Flor-</w:t>
      </w:r>
      <w:proofErr w:type="spellStart"/>
      <w:r w:rsidRPr="00EA5A4C">
        <w:rPr>
          <w:rFonts w:ascii="Book Antiqua" w:hAnsi="Book Antiqua"/>
        </w:rPr>
        <w:t>Lorente</w:t>
      </w:r>
      <w:proofErr w:type="spellEnd"/>
      <w:r w:rsidRPr="00EA5A4C">
        <w:rPr>
          <w:rFonts w:ascii="Book Antiqua" w:hAnsi="Book Antiqua"/>
        </w:rPr>
        <w:t xml:space="preserve"> B, </w:t>
      </w:r>
      <w:proofErr w:type="spellStart"/>
      <w:r w:rsidRPr="00EA5A4C">
        <w:rPr>
          <w:rFonts w:ascii="Book Antiqua" w:hAnsi="Book Antiqua"/>
        </w:rPr>
        <w:t>Espí</w:t>
      </w:r>
      <w:proofErr w:type="spellEnd"/>
      <w:r w:rsidRPr="00EA5A4C">
        <w:rPr>
          <w:rFonts w:ascii="Book Antiqua" w:hAnsi="Book Antiqua"/>
        </w:rPr>
        <w:t xml:space="preserve"> A. Individual surgeon is an independent risk factor for leak after double-stapled colorectal anastomosis: An institutional analysis of 800 patients. </w:t>
      </w:r>
      <w:r w:rsidRPr="00EA5A4C">
        <w:rPr>
          <w:rFonts w:ascii="Book Antiqua" w:hAnsi="Book Antiqua"/>
          <w:i/>
          <w:iCs/>
        </w:rPr>
        <w:t>Surgery</w:t>
      </w:r>
      <w:r w:rsidRPr="00EA5A4C">
        <w:rPr>
          <w:rFonts w:ascii="Book Antiqua" w:hAnsi="Book Antiqua"/>
        </w:rPr>
        <w:t> 2017; </w:t>
      </w:r>
      <w:r w:rsidRPr="00EA5A4C">
        <w:rPr>
          <w:rFonts w:ascii="Book Antiqua" w:hAnsi="Book Antiqua"/>
          <w:b/>
          <w:bCs/>
        </w:rPr>
        <w:t>162</w:t>
      </w:r>
      <w:r w:rsidRPr="00EA5A4C">
        <w:rPr>
          <w:rFonts w:ascii="Book Antiqua" w:hAnsi="Book Antiqua"/>
        </w:rPr>
        <w:t>: 1006-1016 [PMID: 28739093 DOI: 10.1016/j.surg.2017.05.023]</w:t>
      </w:r>
    </w:p>
    <w:p w14:paraId="5D497395" w14:textId="4E5F072D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33 </w:t>
      </w:r>
      <w:r w:rsidRPr="00EA5A4C">
        <w:rPr>
          <w:rFonts w:ascii="Book Antiqua" w:hAnsi="Book Antiqua"/>
          <w:b/>
          <w:bCs/>
        </w:rPr>
        <w:t>Georgiou PA</w:t>
      </w:r>
      <w:r w:rsidRPr="00EA5A4C">
        <w:rPr>
          <w:rFonts w:ascii="Book Antiqua" w:hAnsi="Book Antiqua"/>
        </w:rPr>
        <w:t xml:space="preserve">, </w:t>
      </w:r>
      <w:proofErr w:type="spellStart"/>
      <w:r w:rsidRPr="00EA5A4C">
        <w:rPr>
          <w:rFonts w:ascii="Book Antiqua" w:hAnsi="Book Antiqua"/>
        </w:rPr>
        <w:t>Bhangu</w:t>
      </w:r>
      <w:proofErr w:type="spellEnd"/>
      <w:r w:rsidRPr="00EA5A4C">
        <w:rPr>
          <w:rFonts w:ascii="Book Antiqua" w:hAnsi="Book Antiqua"/>
        </w:rPr>
        <w:t xml:space="preserve"> A, Brown G, Rasheed S, Nicholls RJ, </w:t>
      </w:r>
      <w:proofErr w:type="spellStart"/>
      <w:r w:rsidRPr="00EA5A4C">
        <w:rPr>
          <w:rFonts w:ascii="Book Antiqua" w:hAnsi="Book Antiqua"/>
        </w:rPr>
        <w:t>Tekkis</w:t>
      </w:r>
      <w:proofErr w:type="spellEnd"/>
      <w:r w:rsidRPr="00EA5A4C">
        <w:rPr>
          <w:rFonts w:ascii="Book Antiqua" w:hAnsi="Book Antiqua"/>
        </w:rPr>
        <w:t xml:space="preserve"> PP. Learning curve for the management of recurrent and locally advanced primary rectal cancer: a single team's experience. </w:t>
      </w:r>
      <w:r w:rsidRPr="00EA5A4C">
        <w:rPr>
          <w:rFonts w:ascii="Book Antiqua" w:hAnsi="Book Antiqua"/>
          <w:i/>
          <w:iCs/>
        </w:rPr>
        <w:t>Colorectal Dis</w:t>
      </w:r>
      <w:r>
        <w:rPr>
          <w:rFonts w:ascii="Book Antiqua" w:hAnsi="Book Antiqua"/>
          <w:i/>
          <w:iCs/>
        </w:rPr>
        <w:t xml:space="preserve"> </w:t>
      </w:r>
      <w:r w:rsidRPr="00EA5A4C">
        <w:rPr>
          <w:rFonts w:ascii="Book Antiqua" w:hAnsi="Book Antiqua"/>
        </w:rPr>
        <w:t>2015; </w:t>
      </w:r>
      <w:r w:rsidRPr="00EA5A4C">
        <w:rPr>
          <w:rFonts w:ascii="Book Antiqua" w:hAnsi="Book Antiqua"/>
          <w:b/>
          <w:bCs/>
        </w:rPr>
        <w:t>17</w:t>
      </w:r>
      <w:r w:rsidRPr="00EA5A4C">
        <w:rPr>
          <w:rFonts w:ascii="Book Antiqua" w:hAnsi="Book Antiqua"/>
        </w:rPr>
        <w:t>: 57-65 [PMID: 25204543 DOI: 10.1111/codi.12772]</w:t>
      </w:r>
    </w:p>
    <w:p w14:paraId="65E3FE55" w14:textId="46F392CB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34 </w:t>
      </w:r>
      <w:proofErr w:type="spellStart"/>
      <w:r w:rsidRPr="00EA5A4C">
        <w:rPr>
          <w:rFonts w:ascii="Book Antiqua" w:hAnsi="Book Antiqua"/>
          <w:b/>
          <w:bCs/>
        </w:rPr>
        <w:t>Baguena</w:t>
      </w:r>
      <w:proofErr w:type="spellEnd"/>
      <w:r w:rsidRPr="00EA5A4C">
        <w:rPr>
          <w:rFonts w:ascii="Book Antiqua" w:hAnsi="Book Antiqua"/>
          <w:b/>
          <w:bCs/>
        </w:rPr>
        <w:t xml:space="preserve"> G</w:t>
      </w:r>
      <w:r w:rsidRPr="00EA5A4C">
        <w:rPr>
          <w:rFonts w:ascii="Book Antiqua" w:hAnsi="Book Antiqua"/>
          <w:bCs/>
        </w:rPr>
        <w:t>,</w:t>
      </w:r>
      <w:r w:rsidRPr="00EA5A4C">
        <w:rPr>
          <w:rFonts w:ascii="Book Antiqua" w:hAnsi="Book Antiqua"/>
        </w:rPr>
        <w:t> </w:t>
      </w:r>
      <w:proofErr w:type="spellStart"/>
      <w:r w:rsidRPr="00EA5A4C">
        <w:rPr>
          <w:rFonts w:ascii="Book Antiqua" w:hAnsi="Book Antiqua"/>
        </w:rPr>
        <w:t>Pellino</w:t>
      </w:r>
      <w:proofErr w:type="spellEnd"/>
      <w:r w:rsidRPr="00EA5A4C">
        <w:rPr>
          <w:rFonts w:ascii="Book Antiqua" w:hAnsi="Book Antiqua"/>
        </w:rPr>
        <w:t xml:space="preserve"> G, </w:t>
      </w:r>
      <w:proofErr w:type="spellStart"/>
      <w:r w:rsidRPr="00EA5A4C">
        <w:rPr>
          <w:rFonts w:ascii="Book Antiqua" w:hAnsi="Book Antiqua"/>
        </w:rPr>
        <w:t>Frasson</w:t>
      </w:r>
      <w:proofErr w:type="spellEnd"/>
      <w:r w:rsidRPr="00EA5A4C">
        <w:rPr>
          <w:rFonts w:ascii="Book Antiqua" w:hAnsi="Book Antiqua"/>
        </w:rPr>
        <w:t xml:space="preserve"> M, </w:t>
      </w:r>
      <w:proofErr w:type="spellStart"/>
      <w:r w:rsidRPr="00EA5A4C">
        <w:rPr>
          <w:rFonts w:ascii="Book Antiqua" w:hAnsi="Book Antiqua"/>
        </w:rPr>
        <w:t>Roselló</w:t>
      </w:r>
      <w:proofErr w:type="spellEnd"/>
      <w:r w:rsidRPr="00EA5A4C">
        <w:rPr>
          <w:rFonts w:ascii="Book Antiqua" w:hAnsi="Book Antiqua"/>
        </w:rPr>
        <w:t xml:space="preserve"> S, Cervantes A, García-</w:t>
      </w:r>
      <w:proofErr w:type="spellStart"/>
      <w:r w:rsidRPr="00EA5A4C">
        <w:rPr>
          <w:rFonts w:ascii="Book Antiqua" w:hAnsi="Book Antiqua"/>
        </w:rPr>
        <w:t>Granero</w:t>
      </w:r>
      <w:proofErr w:type="spellEnd"/>
      <w:r w:rsidRPr="00EA5A4C">
        <w:rPr>
          <w:rFonts w:ascii="Book Antiqua" w:hAnsi="Book Antiqua"/>
        </w:rPr>
        <w:t xml:space="preserve"> A, </w:t>
      </w:r>
      <w:proofErr w:type="spellStart"/>
      <w:r w:rsidRPr="00EA5A4C">
        <w:rPr>
          <w:rFonts w:ascii="Book Antiqua" w:hAnsi="Book Antiqua"/>
        </w:rPr>
        <w:t>Giner</w:t>
      </w:r>
      <w:proofErr w:type="spellEnd"/>
      <w:r w:rsidRPr="00EA5A4C">
        <w:rPr>
          <w:rFonts w:ascii="Book Antiqua" w:hAnsi="Book Antiqua"/>
        </w:rPr>
        <w:t xml:space="preserve"> F, García-</w:t>
      </w:r>
      <w:proofErr w:type="spellStart"/>
      <w:r w:rsidRPr="00EA5A4C">
        <w:rPr>
          <w:rFonts w:ascii="Book Antiqua" w:hAnsi="Book Antiqua"/>
        </w:rPr>
        <w:t>Granero</w:t>
      </w:r>
      <w:proofErr w:type="spellEnd"/>
      <w:r w:rsidRPr="00EA5A4C">
        <w:rPr>
          <w:rFonts w:ascii="Book Antiqua" w:hAnsi="Book Antiqua"/>
        </w:rPr>
        <w:t xml:space="preserve"> E. Prognostic impact of </w:t>
      </w:r>
      <w:proofErr w:type="spellStart"/>
      <w:r w:rsidRPr="00EA5A4C">
        <w:rPr>
          <w:rFonts w:ascii="Book Antiqua" w:hAnsi="Book Antiqua"/>
        </w:rPr>
        <w:t>pT</w:t>
      </w:r>
      <w:proofErr w:type="spellEnd"/>
      <w:r w:rsidRPr="00EA5A4C">
        <w:rPr>
          <w:rFonts w:ascii="Book Antiqua" w:hAnsi="Book Antiqua"/>
        </w:rPr>
        <w:t xml:space="preserve"> stage and peritoneal invasion in locally advanced colon cancer. Dis Colon Rectum 2018; In press</w:t>
      </w:r>
    </w:p>
    <w:p w14:paraId="76A0EF99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35 </w:t>
      </w:r>
      <w:proofErr w:type="spellStart"/>
      <w:r w:rsidRPr="00EA5A4C">
        <w:rPr>
          <w:rFonts w:ascii="Book Antiqua" w:hAnsi="Book Antiqua"/>
          <w:b/>
          <w:bCs/>
        </w:rPr>
        <w:t>Dayal</w:t>
      </w:r>
      <w:proofErr w:type="spellEnd"/>
      <w:r w:rsidRPr="00EA5A4C">
        <w:rPr>
          <w:rFonts w:ascii="Book Antiqua" w:hAnsi="Book Antiqua"/>
          <w:b/>
          <w:bCs/>
        </w:rPr>
        <w:t xml:space="preserve"> S</w:t>
      </w:r>
      <w:r w:rsidRPr="00EA5A4C">
        <w:rPr>
          <w:rFonts w:ascii="Book Antiqua" w:hAnsi="Book Antiqua"/>
        </w:rPr>
        <w:t xml:space="preserve">, Moran B. LOREC: the English Low Rectal Cancer National Development </w:t>
      </w:r>
      <w:proofErr w:type="spellStart"/>
      <w:r w:rsidRPr="00EA5A4C">
        <w:rPr>
          <w:rFonts w:ascii="Book Antiqua" w:hAnsi="Book Antiqua"/>
        </w:rPr>
        <w:t>Programme</w:t>
      </w:r>
      <w:proofErr w:type="spellEnd"/>
      <w:r w:rsidRPr="00EA5A4C">
        <w:rPr>
          <w:rFonts w:ascii="Book Antiqua" w:hAnsi="Book Antiqua"/>
        </w:rPr>
        <w:t>. </w:t>
      </w:r>
      <w:r w:rsidRPr="00EA5A4C">
        <w:rPr>
          <w:rFonts w:ascii="Book Antiqua" w:hAnsi="Book Antiqua"/>
          <w:i/>
          <w:iCs/>
        </w:rPr>
        <w:t>Br J Hosp Med</w:t>
      </w:r>
      <w:r w:rsidRPr="00EA5A4C">
        <w:rPr>
          <w:rFonts w:ascii="Book Antiqua" w:hAnsi="Book Antiqua"/>
          <w:iCs/>
        </w:rPr>
        <w:t xml:space="preserve"> (</w:t>
      </w:r>
      <w:proofErr w:type="spellStart"/>
      <w:r w:rsidRPr="00EA5A4C">
        <w:rPr>
          <w:rFonts w:ascii="Book Antiqua" w:hAnsi="Book Antiqua"/>
          <w:iCs/>
        </w:rPr>
        <w:t>Lond</w:t>
      </w:r>
      <w:proofErr w:type="spellEnd"/>
      <w:r w:rsidRPr="00EA5A4C">
        <w:rPr>
          <w:rFonts w:ascii="Book Antiqua" w:hAnsi="Book Antiqua"/>
          <w:iCs/>
        </w:rPr>
        <w:t>)</w:t>
      </w:r>
      <w:r w:rsidRPr="00EA5A4C">
        <w:rPr>
          <w:rFonts w:ascii="Book Antiqua" w:hAnsi="Book Antiqua"/>
        </w:rPr>
        <w:t> 2013; </w:t>
      </w:r>
      <w:r w:rsidRPr="00EA5A4C">
        <w:rPr>
          <w:rFonts w:ascii="Book Antiqua" w:hAnsi="Book Antiqua"/>
          <w:b/>
          <w:bCs/>
        </w:rPr>
        <w:t>74</w:t>
      </w:r>
      <w:r w:rsidRPr="00EA5A4C">
        <w:rPr>
          <w:rFonts w:ascii="Book Antiqua" w:hAnsi="Book Antiqua"/>
        </w:rPr>
        <w:t>: 377-380 [PMID: 24159637]</w:t>
      </w:r>
    </w:p>
    <w:p w14:paraId="1714AFEE" w14:textId="77777777" w:rsidR="00EA5A4C" w:rsidRPr="00EA5A4C" w:rsidRDefault="00EA5A4C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</w:rPr>
      </w:pPr>
      <w:r w:rsidRPr="00EA5A4C">
        <w:rPr>
          <w:rFonts w:ascii="Book Antiqua" w:hAnsi="Book Antiqua"/>
        </w:rPr>
        <w:t>36 </w:t>
      </w:r>
      <w:proofErr w:type="spellStart"/>
      <w:r w:rsidRPr="00EA5A4C">
        <w:rPr>
          <w:rFonts w:ascii="Book Antiqua" w:hAnsi="Book Antiqua"/>
          <w:b/>
          <w:bCs/>
        </w:rPr>
        <w:t>Sahnan</w:t>
      </w:r>
      <w:proofErr w:type="spellEnd"/>
      <w:r w:rsidRPr="00EA5A4C">
        <w:rPr>
          <w:rFonts w:ascii="Book Antiqua" w:hAnsi="Book Antiqua"/>
          <w:b/>
          <w:bCs/>
        </w:rPr>
        <w:t xml:space="preserve"> K</w:t>
      </w:r>
      <w:r w:rsidRPr="00EA5A4C">
        <w:rPr>
          <w:rFonts w:ascii="Book Antiqua" w:hAnsi="Book Antiqua"/>
        </w:rPr>
        <w:t xml:space="preserve">, </w:t>
      </w:r>
      <w:proofErr w:type="spellStart"/>
      <w:r w:rsidRPr="00EA5A4C">
        <w:rPr>
          <w:rFonts w:ascii="Book Antiqua" w:hAnsi="Book Antiqua"/>
        </w:rPr>
        <w:t>Pellino</w:t>
      </w:r>
      <w:proofErr w:type="spellEnd"/>
      <w:r w:rsidRPr="00EA5A4C">
        <w:rPr>
          <w:rFonts w:ascii="Book Antiqua" w:hAnsi="Book Antiqua"/>
        </w:rPr>
        <w:t xml:space="preserve"> G, </w:t>
      </w:r>
      <w:proofErr w:type="spellStart"/>
      <w:r w:rsidRPr="00EA5A4C">
        <w:rPr>
          <w:rFonts w:ascii="Book Antiqua" w:hAnsi="Book Antiqua"/>
        </w:rPr>
        <w:t>Adegbola</w:t>
      </w:r>
      <w:proofErr w:type="spellEnd"/>
      <w:r w:rsidRPr="00EA5A4C">
        <w:rPr>
          <w:rFonts w:ascii="Book Antiqua" w:hAnsi="Book Antiqua"/>
        </w:rPr>
        <w:t xml:space="preserve"> SO, Tozer PJ, </w:t>
      </w:r>
      <w:proofErr w:type="spellStart"/>
      <w:r w:rsidRPr="00EA5A4C">
        <w:rPr>
          <w:rFonts w:ascii="Book Antiqua" w:hAnsi="Book Antiqua"/>
        </w:rPr>
        <w:t>Chandrasinghe</w:t>
      </w:r>
      <w:proofErr w:type="spellEnd"/>
      <w:r w:rsidRPr="00EA5A4C">
        <w:rPr>
          <w:rFonts w:ascii="Book Antiqua" w:hAnsi="Book Antiqua"/>
        </w:rPr>
        <w:t xml:space="preserve"> P, </w:t>
      </w:r>
      <w:proofErr w:type="spellStart"/>
      <w:r w:rsidRPr="00EA5A4C">
        <w:rPr>
          <w:rFonts w:ascii="Book Antiqua" w:hAnsi="Book Antiqua"/>
        </w:rPr>
        <w:t>Miskovic</w:t>
      </w:r>
      <w:proofErr w:type="spellEnd"/>
      <w:r w:rsidRPr="00EA5A4C">
        <w:rPr>
          <w:rFonts w:ascii="Book Antiqua" w:hAnsi="Book Antiqua"/>
        </w:rPr>
        <w:t xml:space="preserve"> D, </w:t>
      </w:r>
      <w:proofErr w:type="spellStart"/>
      <w:r w:rsidRPr="00EA5A4C">
        <w:rPr>
          <w:rFonts w:ascii="Book Antiqua" w:hAnsi="Book Antiqua"/>
        </w:rPr>
        <w:t>Hompes</w:t>
      </w:r>
      <w:proofErr w:type="spellEnd"/>
      <w:r w:rsidRPr="00EA5A4C">
        <w:rPr>
          <w:rFonts w:ascii="Book Antiqua" w:hAnsi="Book Antiqua"/>
        </w:rPr>
        <w:t xml:space="preserve"> R, </w:t>
      </w:r>
      <w:proofErr w:type="spellStart"/>
      <w:r w:rsidRPr="00EA5A4C">
        <w:rPr>
          <w:rFonts w:ascii="Book Antiqua" w:hAnsi="Book Antiqua"/>
        </w:rPr>
        <w:t>Warusavitarne</w:t>
      </w:r>
      <w:proofErr w:type="spellEnd"/>
      <w:r w:rsidRPr="00EA5A4C">
        <w:rPr>
          <w:rFonts w:ascii="Book Antiqua" w:hAnsi="Book Antiqua"/>
        </w:rPr>
        <w:t xml:space="preserve"> J, Lung PFC. Development of a model of three-dimensional imaging for the preoperative planning of </w:t>
      </w:r>
      <w:proofErr w:type="spellStart"/>
      <w:r w:rsidRPr="00EA5A4C">
        <w:rPr>
          <w:rFonts w:ascii="Book Antiqua" w:hAnsi="Book Antiqua"/>
        </w:rPr>
        <w:t>TaTME</w:t>
      </w:r>
      <w:proofErr w:type="spellEnd"/>
      <w:r w:rsidRPr="00EA5A4C">
        <w:rPr>
          <w:rFonts w:ascii="Book Antiqua" w:hAnsi="Book Antiqua"/>
        </w:rPr>
        <w:t>. </w:t>
      </w:r>
      <w:r w:rsidRPr="00EA5A4C">
        <w:rPr>
          <w:rFonts w:ascii="Book Antiqua" w:hAnsi="Book Antiqua"/>
          <w:i/>
          <w:iCs/>
        </w:rPr>
        <w:t xml:space="preserve">Tech </w:t>
      </w:r>
      <w:proofErr w:type="spellStart"/>
      <w:r w:rsidRPr="00EA5A4C">
        <w:rPr>
          <w:rFonts w:ascii="Book Antiqua" w:hAnsi="Book Antiqua"/>
          <w:i/>
          <w:iCs/>
        </w:rPr>
        <w:t>Coloproctol</w:t>
      </w:r>
      <w:proofErr w:type="spellEnd"/>
      <w:r w:rsidRPr="00EA5A4C">
        <w:rPr>
          <w:rFonts w:ascii="Book Antiqua" w:hAnsi="Book Antiqua"/>
        </w:rPr>
        <w:t> 2018; </w:t>
      </w:r>
      <w:r w:rsidRPr="00EA5A4C">
        <w:rPr>
          <w:rFonts w:ascii="Book Antiqua" w:hAnsi="Book Antiqua"/>
          <w:b/>
          <w:bCs/>
        </w:rPr>
        <w:t>22</w:t>
      </w:r>
      <w:r w:rsidRPr="00EA5A4C">
        <w:rPr>
          <w:rFonts w:ascii="Book Antiqua" w:hAnsi="Book Antiqua"/>
        </w:rPr>
        <w:t>: 59-63 [PMID: 29188460 DOI: 10.1007/s10151-017-1724-7]</w:t>
      </w:r>
    </w:p>
    <w:p w14:paraId="5DA23EB3" w14:textId="4F27888C" w:rsidR="00347A94" w:rsidRPr="00541840" w:rsidRDefault="00347A94" w:rsidP="00EA5A4C">
      <w:pPr>
        <w:pStyle w:val="ListParagraph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/>
          <w:lang w:val="en-GB"/>
        </w:rPr>
      </w:pPr>
    </w:p>
    <w:p w14:paraId="19D6D6E3" w14:textId="408E192A" w:rsidR="00EA5A4C" w:rsidRDefault="00EA5A4C" w:rsidP="00EA5A4C">
      <w:pPr>
        <w:wordWrap w:val="0"/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</w:rPr>
      </w:pPr>
      <w:bookmarkStart w:id="14" w:name="OLE_LINK148"/>
      <w:bookmarkStart w:id="15" w:name="OLE_LINK320"/>
      <w:bookmarkStart w:id="16" w:name="OLE_LINK387"/>
      <w:bookmarkStart w:id="17" w:name="OLE_LINK254"/>
      <w:bookmarkStart w:id="18" w:name="OLE_LINK149"/>
      <w:bookmarkStart w:id="19" w:name="OLE_LINK225"/>
      <w:bookmarkStart w:id="20" w:name="OLE_LINK207"/>
      <w:bookmarkStart w:id="21" w:name="OLE_LINK226"/>
      <w:bookmarkStart w:id="22" w:name="OLE_LINK212"/>
      <w:bookmarkStart w:id="23" w:name="OLE_LINK250"/>
      <w:bookmarkStart w:id="24" w:name="OLE_LINK281"/>
      <w:bookmarkStart w:id="25" w:name="OLE_LINK282"/>
      <w:bookmarkStart w:id="26" w:name="OLE_LINK313"/>
      <w:bookmarkStart w:id="27" w:name="OLE_LINK304"/>
      <w:bookmarkStart w:id="28" w:name="OLE_LINK321"/>
      <w:bookmarkStart w:id="29" w:name="OLE_LINK385"/>
      <w:bookmarkStart w:id="30" w:name="OLE_LINK400"/>
      <w:bookmarkStart w:id="31" w:name="OLE_LINK346"/>
      <w:bookmarkStart w:id="32" w:name="OLE_LINK371"/>
      <w:bookmarkStart w:id="33" w:name="OLE_LINK334"/>
      <w:bookmarkStart w:id="34" w:name="OLE_LINK1830"/>
      <w:bookmarkStart w:id="35" w:name="OLE_LINK457"/>
      <w:bookmarkStart w:id="36" w:name="OLE_LINK288"/>
      <w:bookmarkStart w:id="37" w:name="OLE_LINK384"/>
      <w:bookmarkStart w:id="38" w:name="OLE_LINK379"/>
      <w:bookmarkStart w:id="39" w:name="OLE_LINK303"/>
      <w:bookmarkStart w:id="40" w:name="OLE_LINK450"/>
      <w:bookmarkStart w:id="41" w:name="OLE_LINK489"/>
      <w:bookmarkStart w:id="42" w:name="OLE_LINK535"/>
      <w:bookmarkStart w:id="43" w:name="OLE_LINK648"/>
      <w:bookmarkStart w:id="44" w:name="OLE_LINK686"/>
      <w:bookmarkStart w:id="45" w:name="OLE_LINK471"/>
      <w:bookmarkStart w:id="46" w:name="OLE_LINK462"/>
      <w:bookmarkStart w:id="47" w:name="OLE_LINK519"/>
      <w:bookmarkStart w:id="48" w:name="OLE_LINK575"/>
      <w:bookmarkStart w:id="49" w:name="OLE_LINK491"/>
      <w:bookmarkStart w:id="50" w:name="OLE_LINK532"/>
      <w:bookmarkStart w:id="51" w:name="OLE_LINK572"/>
      <w:bookmarkStart w:id="52" w:name="OLE_LINK574"/>
      <w:bookmarkStart w:id="53" w:name="OLE_LINK480"/>
      <w:bookmarkStart w:id="54" w:name="OLE_LINK567"/>
      <w:bookmarkStart w:id="55" w:name="OLE_LINK2700"/>
      <w:bookmarkStart w:id="56" w:name="OLE_LINK581"/>
      <w:bookmarkStart w:id="57" w:name="OLE_LINK639"/>
      <w:bookmarkStart w:id="58" w:name="OLE_LINK688"/>
      <w:bookmarkStart w:id="59" w:name="OLE_LINK722"/>
      <w:bookmarkStart w:id="60" w:name="OLE_LINK542"/>
      <w:bookmarkStart w:id="61" w:name="OLE_LINK589"/>
      <w:bookmarkStart w:id="62" w:name="OLE_LINK582"/>
      <w:bookmarkStart w:id="63" w:name="OLE_LINK640"/>
      <w:bookmarkStart w:id="64" w:name="OLE_LINK714"/>
      <w:bookmarkStart w:id="65" w:name="OLE_LINK593"/>
      <w:bookmarkStart w:id="66" w:name="OLE_LINK716"/>
      <w:bookmarkStart w:id="67" w:name="OLE_LINK770"/>
      <w:bookmarkStart w:id="68" w:name="OLE_LINK801"/>
      <w:bookmarkStart w:id="69" w:name="OLE_LINK660"/>
      <w:bookmarkStart w:id="70" w:name="OLE_LINK781"/>
      <w:bookmarkStart w:id="71" w:name="OLE_LINK833"/>
      <w:bookmarkStart w:id="72" w:name="OLE_LINK642"/>
      <w:bookmarkStart w:id="73" w:name="OLE_LINK700"/>
      <w:bookmarkStart w:id="74" w:name="OLE_LINK792"/>
      <w:bookmarkStart w:id="75" w:name="OLE_LINK2882"/>
      <w:bookmarkStart w:id="76" w:name="OLE_LINK836"/>
      <w:bookmarkStart w:id="77" w:name="OLE_LINK889"/>
      <w:bookmarkStart w:id="78" w:name="OLE_LINK782"/>
      <w:bookmarkStart w:id="79" w:name="OLE_LINK826"/>
      <w:bookmarkStart w:id="80" w:name="OLE_LINK865"/>
      <w:bookmarkStart w:id="81" w:name="OLE_LINK856"/>
      <w:bookmarkStart w:id="82" w:name="OLE_LINK908"/>
      <w:bookmarkStart w:id="83" w:name="OLE_LINK980"/>
      <w:bookmarkStart w:id="84" w:name="OLE_LINK1018"/>
      <w:bookmarkStart w:id="85" w:name="OLE_LINK1049"/>
      <w:bookmarkStart w:id="86" w:name="OLE_LINK1076"/>
      <w:bookmarkStart w:id="87" w:name="OLE_LINK1106"/>
      <w:bookmarkStart w:id="88" w:name="OLE_LINK891"/>
      <w:bookmarkStart w:id="89" w:name="OLE_LINK943"/>
      <w:bookmarkStart w:id="90" w:name="OLE_LINK981"/>
      <w:bookmarkStart w:id="91" w:name="OLE_LINK1030"/>
      <w:bookmarkStart w:id="92" w:name="OLE_LINK847"/>
      <w:bookmarkStart w:id="93" w:name="OLE_LINK909"/>
      <w:bookmarkStart w:id="94" w:name="OLE_LINK906"/>
      <w:bookmarkStart w:id="95" w:name="OLE_LINK992"/>
      <w:bookmarkStart w:id="96" w:name="OLE_LINK993"/>
      <w:bookmarkStart w:id="97" w:name="OLE_LINK1052"/>
      <w:bookmarkStart w:id="98" w:name="OLE_LINK946"/>
      <w:bookmarkStart w:id="99" w:name="OLE_LINK911"/>
      <w:bookmarkStart w:id="100" w:name="OLE_LINK930"/>
      <w:bookmarkStart w:id="101" w:name="OLE_LINK1059"/>
      <w:bookmarkStart w:id="102" w:name="OLE_LINK1174"/>
      <w:bookmarkStart w:id="103" w:name="OLE_LINK1137"/>
      <w:bookmarkStart w:id="104" w:name="OLE_LINK1167"/>
      <w:bookmarkStart w:id="105" w:name="OLE_LINK1200"/>
      <w:bookmarkStart w:id="106" w:name="OLE_LINK1241"/>
      <w:bookmarkStart w:id="107" w:name="OLE_LINK1288"/>
      <w:bookmarkStart w:id="108" w:name="OLE_LINK1056"/>
      <w:bookmarkStart w:id="109" w:name="OLE_LINK1158"/>
      <w:bookmarkStart w:id="110" w:name="OLE_LINK1175"/>
      <w:bookmarkStart w:id="111" w:name="OLE_LINK1074"/>
      <w:bookmarkStart w:id="112" w:name="OLE_LINK1169"/>
      <w:bookmarkStart w:id="113" w:name="OLE_LINK386"/>
      <w:r w:rsidRPr="004F57C6">
        <w:rPr>
          <w:rFonts w:ascii="Book Antiqua" w:hAnsi="Book Antiqua"/>
          <w:b/>
          <w:bCs/>
        </w:rPr>
        <w:t>P-Reviewer:</w:t>
      </w:r>
      <w:r w:rsidRPr="004F57C6">
        <w:rPr>
          <w:rFonts w:ascii="Book Antiqua" w:hAnsi="Book Antiqua" w:hint="eastAsia"/>
          <w:b/>
          <w:bCs/>
        </w:rPr>
        <w:t xml:space="preserve"> </w:t>
      </w:r>
      <w:r w:rsidRPr="00EA5A4C">
        <w:rPr>
          <w:rFonts w:ascii="Book Antiqua" w:hAnsi="Book Antiqua"/>
          <w:bCs/>
        </w:rPr>
        <w:t>El-</w:t>
      </w:r>
      <w:proofErr w:type="spellStart"/>
      <w:r w:rsidRPr="00EA5A4C">
        <w:rPr>
          <w:rFonts w:ascii="Book Antiqua" w:hAnsi="Book Antiqua"/>
          <w:bCs/>
        </w:rPr>
        <w:t>Hussuna</w:t>
      </w:r>
      <w:proofErr w:type="spellEnd"/>
      <w:r>
        <w:rPr>
          <w:rFonts w:ascii="Book Antiqua" w:hAnsi="Book Antiqua"/>
          <w:bCs/>
        </w:rPr>
        <w:t xml:space="preserve"> A, Jurado M</w:t>
      </w:r>
    </w:p>
    <w:p w14:paraId="61FE708B" w14:textId="77777777" w:rsidR="00EA5A4C" w:rsidRPr="0053246E" w:rsidRDefault="00EA5A4C" w:rsidP="00EA5A4C">
      <w:pPr>
        <w:adjustRightInd w:val="0"/>
        <w:snapToGrid w:val="0"/>
        <w:spacing w:line="360" w:lineRule="auto"/>
        <w:jc w:val="right"/>
        <w:rPr>
          <w:rFonts w:ascii="Book Antiqua" w:hAnsi="Book Antiqua"/>
        </w:rPr>
      </w:pPr>
      <w:r w:rsidRPr="004F57C6">
        <w:rPr>
          <w:rFonts w:ascii="Book Antiqua" w:hAnsi="Book Antiqua"/>
          <w:b/>
          <w:bCs/>
        </w:rPr>
        <w:t>S-Editor:</w:t>
      </w:r>
      <w:r w:rsidRPr="004F57C6"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</w:rPr>
        <w:t>Ma</w:t>
      </w:r>
      <w:r w:rsidRPr="004F57C6"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</w:rPr>
        <w:t>RY</w:t>
      </w:r>
      <w:r>
        <w:rPr>
          <w:rFonts w:ascii="Book Antiqua" w:hAnsi="Book Antiqua" w:hint="eastAsia"/>
        </w:rPr>
        <w:t xml:space="preserve"> </w:t>
      </w:r>
      <w:r w:rsidRPr="004F57C6">
        <w:rPr>
          <w:rFonts w:ascii="Book Antiqua" w:hAnsi="Book Antiqua"/>
          <w:b/>
          <w:bCs/>
        </w:rPr>
        <w:t>L-Editor:</w:t>
      </w:r>
      <w:r w:rsidRPr="004F57C6">
        <w:rPr>
          <w:rFonts w:ascii="Book Antiqua" w:hAnsi="Book Antiqua"/>
        </w:rPr>
        <w:t xml:space="preserve"> </w:t>
      </w:r>
      <w:r w:rsidRPr="004F57C6">
        <w:rPr>
          <w:rFonts w:ascii="Book Antiqua" w:hAnsi="Book Antiqua"/>
          <w:b/>
          <w:bCs/>
        </w:rPr>
        <w:t>E-Editor:</w:t>
      </w:r>
    </w:p>
    <w:p w14:paraId="79307988" w14:textId="77777777" w:rsidR="00EA5A4C" w:rsidRPr="004F57C6" w:rsidRDefault="00EA5A4C" w:rsidP="00EA5A4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</w:rPr>
      </w:pPr>
      <w:bookmarkStart w:id="114" w:name="OLE_LINK880"/>
      <w:bookmarkStart w:id="115" w:name="OLE_LINK88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4F57C6">
        <w:rPr>
          <w:rFonts w:ascii="Book Antiqua" w:hAnsi="Book Antiqua" w:cs="Helvetica"/>
          <w:b/>
        </w:rPr>
        <w:t xml:space="preserve">Specialty type: </w:t>
      </w:r>
      <w:r w:rsidRPr="004F57C6">
        <w:rPr>
          <w:rFonts w:ascii="Book Antiqua" w:hAnsi="Book Antiqua" w:cs="Helvetica"/>
        </w:rPr>
        <w:t>Gastroenterology and</w:t>
      </w:r>
      <w:r w:rsidRPr="004F57C6">
        <w:rPr>
          <w:rFonts w:ascii="Book Antiqua" w:hAnsi="Book Antiqua" w:cs="Helvetica" w:hint="eastAsia"/>
        </w:rPr>
        <w:t xml:space="preserve"> </w:t>
      </w:r>
      <w:r w:rsidRPr="004F57C6">
        <w:rPr>
          <w:rFonts w:ascii="Book Antiqua" w:hAnsi="Book Antiqua" w:cs="Helvetica"/>
        </w:rPr>
        <w:t>hepatology</w:t>
      </w:r>
    </w:p>
    <w:p w14:paraId="53B34BF8" w14:textId="189BD814" w:rsidR="00EA5A4C" w:rsidRPr="004F57C6" w:rsidRDefault="00EA5A4C" w:rsidP="00EA5A4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4F57C6">
        <w:rPr>
          <w:rFonts w:ascii="Book Antiqua" w:hAnsi="Book Antiqua" w:cs="Helvetica"/>
          <w:b/>
        </w:rPr>
        <w:t xml:space="preserve">Country of origin: </w:t>
      </w:r>
      <w:r>
        <w:rPr>
          <w:rFonts w:ascii="Book Antiqua" w:hAnsi="Book Antiqua" w:cs="Helvetica"/>
          <w:lang w:val="en-CA"/>
        </w:rPr>
        <w:t>Spain</w:t>
      </w:r>
    </w:p>
    <w:p w14:paraId="207642C9" w14:textId="77777777" w:rsidR="00EA5A4C" w:rsidRPr="004F57C6" w:rsidRDefault="00EA5A4C" w:rsidP="00EA5A4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4F57C6">
        <w:rPr>
          <w:rFonts w:ascii="Book Antiqua" w:hAnsi="Book Antiqua" w:cs="Helvetica"/>
          <w:b/>
        </w:rPr>
        <w:lastRenderedPageBreak/>
        <w:t>Peer-review report classification</w:t>
      </w:r>
    </w:p>
    <w:p w14:paraId="73ECDCC0" w14:textId="77777777" w:rsidR="00EA5A4C" w:rsidRPr="004F57C6" w:rsidRDefault="00EA5A4C" w:rsidP="00EA5A4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t xml:space="preserve">Grade A (Excellent): </w:t>
      </w:r>
      <w:r>
        <w:rPr>
          <w:rFonts w:ascii="Book Antiqua" w:hAnsi="Book Antiqua" w:cs="Helvetica" w:hint="eastAsia"/>
        </w:rPr>
        <w:t>0</w:t>
      </w:r>
    </w:p>
    <w:p w14:paraId="60DDB9BE" w14:textId="4E933BE2" w:rsidR="00EA5A4C" w:rsidRPr="004F57C6" w:rsidRDefault="00EA5A4C" w:rsidP="00EA5A4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t xml:space="preserve">Grade B (Very good): </w:t>
      </w:r>
      <w:r>
        <w:rPr>
          <w:rFonts w:ascii="Book Antiqua" w:hAnsi="Book Antiqua" w:cs="Helvetica" w:hint="eastAsia"/>
        </w:rPr>
        <w:t>0</w:t>
      </w:r>
    </w:p>
    <w:p w14:paraId="352BA1F0" w14:textId="77777777" w:rsidR="00EA5A4C" w:rsidRPr="004F57C6" w:rsidRDefault="00EA5A4C" w:rsidP="00EA5A4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t xml:space="preserve">Grade C (Good): </w:t>
      </w:r>
      <w:r w:rsidRPr="004F57C6">
        <w:rPr>
          <w:rFonts w:ascii="Book Antiqua" w:hAnsi="Book Antiqua" w:cs="Helvetica" w:hint="eastAsia"/>
        </w:rPr>
        <w:t>C, C</w:t>
      </w:r>
    </w:p>
    <w:p w14:paraId="65F04DF3" w14:textId="77777777" w:rsidR="00EA5A4C" w:rsidRPr="004F57C6" w:rsidRDefault="00EA5A4C" w:rsidP="00EA5A4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t xml:space="preserve">Grade D (Fair): </w:t>
      </w:r>
      <w:r>
        <w:rPr>
          <w:rFonts w:ascii="Book Antiqua" w:hAnsi="Book Antiqua" w:cs="Helvetica" w:hint="eastAsia"/>
        </w:rPr>
        <w:t>0</w:t>
      </w:r>
    </w:p>
    <w:p w14:paraId="7F561D67" w14:textId="4EEB5458" w:rsidR="00EB2CA6" w:rsidRPr="00541840" w:rsidRDefault="00EA5A4C" w:rsidP="00EA5A4C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4F57C6">
        <w:rPr>
          <w:rFonts w:ascii="Book Antiqua" w:hAnsi="Book Antiqua" w:cs="Helvetica"/>
        </w:rPr>
        <w:t xml:space="preserve">Grade E (Poor): </w:t>
      </w:r>
      <w:r w:rsidRPr="004F57C6">
        <w:rPr>
          <w:rFonts w:ascii="Book Antiqua" w:hAnsi="Book Antiqua" w:cs="Helvetica" w:hint="eastAsia"/>
        </w:rPr>
        <w:t>0</w:t>
      </w:r>
      <w:bookmarkEnd w:id="113"/>
      <w:bookmarkEnd w:id="114"/>
      <w:bookmarkEnd w:id="115"/>
    </w:p>
    <w:p w14:paraId="6E0E7662" w14:textId="77777777" w:rsidR="00347A94" w:rsidRPr="00541840" w:rsidRDefault="00347A94" w:rsidP="00EA5A4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br w:type="page"/>
      </w:r>
    </w:p>
    <w:p w14:paraId="067D6E6D" w14:textId="45DEE18F" w:rsidR="00F63CE8" w:rsidRPr="00541840" w:rsidRDefault="00414047" w:rsidP="00EA5A4C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noProof/>
          <w:lang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03B93BE5" wp14:editId="7E0BB4F2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4396105" cy="3800475"/>
            <wp:effectExtent l="0" t="0" r="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22" w:rsidRPr="00541840">
        <w:rPr>
          <w:rFonts w:ascii="Book Antiqua" w:hAnsi="Book Antiqua"/>
          <w:b/>
          <w:lang w:val="en-GB"/>
        </w:rPr>
        <w:t xml:space="preserve"> </w:t>
      </w:r>
    </w:p>
    <w:p w14:paraId="52BFFC3B" w14:textId="6C0639A8" w:rsidR="00E31A2E" w:rsidRDefault="00F63CE8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t>Figure 1</w:t>
      </w:r>
      <w:r w:rsidRPr="00E31A2E">
        <w:rPr>
          <w:rFonts w:ascii="Book Antiqua" w:hAnsi="Book Antiqua"/>
          <w:b/>
          <w:lang w:val="en-GB"/>
        </w:rPr>
        <w:t xml:space="preserve"> </w:t>
      </w:r>
      <w:r w:rsidR="005C14B1" w:rsidRPr="00E31A2E">
        <w:rPr>
          <w:rFonts w:ascii="Book Antiqua" w:hAnsi="Book Antiqua"/>
          <w:b/>
          <w:lang w:val="en-GB"/>
        </w:rPr>
        <w:t>Overall local recurrence after pelvic exenteration for locally advanced primary rectal cancer</w:t>
      </w:r>
      <w:r w:rsidRPr="00E31A2E">
        <w:rPr>
          <w:rFonts w:ascii="Book Antiqua" w:hAnsi="Book Antiqua"/>
          <w:b/>
          <w:lang w:val="en-GB"/>
        </w:rPr>
        <w:t xml:space="preserve">. </w:t>
      </w:r>
    </w:p>
    <w:p w14:paraId="2FF08F50" w14:textId="77777777" w:rsidR="00E31A2E" w:rsidRDefault="00E31A2E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br w:type="page"/>
      </w:r>
    </w:p>
    <w:p w14:paraId="066B4107" w14:textId="2748FE0A" w:rsidR="000D1522" w:rsidRPr="00E31A2E" w:rsidRDefault="00414047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3AB6AE67" wp14:editId="4A2F41CF">
            <wp:simplePos x="0" y="0"/>
            <wp:positionH relativeFrom="column">
              <wp:posOffset>-3810</wp:posOffset>
            </wp:positionH>
            <wp:positionV relativeFrom="paragraph">
              <wp:posOffset>281305</wp:posOffset>
            </wp:positionV>
            <wp:extent cx="4224655" cy="370522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D609" w14:textId="6C9EE877" w:rsidR="00E31A2E" w:rsidRDefault="005C14B1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t>Figure 2</w:t>
      </w:r>
      <w:r w:rsidRPr="00541840">
        <w:rPr>
          <w:rFonts w:ascii="Book Antiqua" w:hAnsi="Book Antiqua"/>
          <w:lang w:val="en-GB"/>
        </w:rPr>
        <w:t xml:space="preserve"> </w:t>
      </w:r>
      <w:r w:rsidRPr="00E31A2E">
        <w:rPr>
          <w:rFonts w:ascii="Book Antiqua" w:hAnsi="Book Antiqua"/>
          <w:b/>
          <w:lang w:val="en-GB"/>
        </w:rPr>
        <w:t xml:space="preserve">Overall disease-free survival after pelvic exenteration for locally advanced primary rectal cancer. </w:t>
      </w:r>
    </w:p>
    <w:p w14:paraId="31D1A650" w14:textId="77777777" w:rsidR="00E31A2E" w:rsidRDefault="00E31A2E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5482ABB0" w14:textId="3AED8975" w:rsidR="000D1522" w:rsidRPr="00541840" w:rsidRDefault="00414047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560BD4E1" wp14:editId="33B3B23D">
            <wp:simplePos x="0" y="0"/>
            <wp:positionH relativeFrom="column">
              <wp:posOffset>-3810</wp:posOffset>
            </wp:positionH>
            <wp:positionV relativeFrom="paragraph">
              <wp:posOffset>290830</wp:posOffset>
            </wp:positionV>
            <wp:extent cx="3943350" cy="3467100"/>
            <wp:effectExtent l="0" t="0" r="0" b="0"/>
            <wp:wrapTopAndBottom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A70FA" w14:textId="0A6E0CCB" w:rsidR="005C14B1" w:rsidRPr="00E31A2E" w:rsidRDefault="005C14B1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b/>
          <w:lang w:val="en-GB"/>
        </w:rPr>
        <w:t>Figure 3</w:t>
      </w:r>
      <w:r w:rsidRPr="00541840">
        <w:rPr>
          <w:rFonts w:ascii="Book Antiqua" w:hAnsi="Book Antiqua"/>
          <w:lang w:val="en-GB"/>
        </w:rPr>
        <w:t xml:space="preserve"> </w:t>
      </w:r>
      <w:r w:rsidRPr="00E31A2E">
        <w:rPr>
          <w:rFonts w:ascii="Book Antiqua" w:hAnsi="Book Antiqua"/>
          <w:b/>
          <w:lang w:val="en-GB"/>
        </w:rPr>
        <w:t>Overall survival after pelvic exenteration for locally advanced primary rectal cancer.</w:t>
      </w:r>
    </w:p>
    <w:p w14:paraId="17074AC0" w14:textId="3E1A60B8" w:rsidR="00E31A2E" w:rsidRDefault="00E31A2E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5A068B0B" w14:textId="33A8F137" w:rsidR="00400084" w:rsidRPr="00541840" w:rsidRDefault="00822A5D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lastRenderedPageBreak/>
        <w:t>Table 1</w:t>
      </w:r>
      <w:r w:rsidRPr="00822A5D">
        <w:rPr>
          <w:rFonts w:ascii="Book Antiqua" w:hAnsi="Book Antiqua"/>
          <w:b/>
          <w:lang w:val="en-GB"/>
        </w:rPr>
        <w:t xml:space="preserve"> Demographic, preoperative, and surgical details for 82 pelvic exenterations</w:t>
      </w:r>
      <w:r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i/>
          <w:lang w:val="en-GB"/>
        </w:rPr>
        <w:t>n</w:t>
      </w:r>
      <w:r>
        <w:rPr>
          <w:rFonts w:ascii="Book Antiqua" w:hAnsi="Book Antiqua"/>
          <w:b/>
          <w:lang w:val="en-GB"/>
        </w:rPr>
        <w:t xml:space="preserve"> (%)</w:t>
      </w:r>
    </w:p>
    <w:tbl>
      <w:tblPr>
        <w:tblW w:w="719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</w:tblGrid>
      <w:tr w:rsidR="00822A5D" w:rsidRPr="00541840" w14:paraId="27EEDF98" w14:textId="77777777" w:rsidTr="00156684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62E207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541840">
              <w:rPr>
                <w:rFonts w:ascii="Book Antiqua" w:hAnsi="Book Antiqua"/>
                <w:b/>
                <w:lang w:val="en-GB"/>
              </w:rPr>
              <w:t>Variable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86015B" w14:textId="0FC9AF58" w:rsidR="00400084" w:rsidRPr="00822A5D" w:rsidRDefault="00414047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GB" w:eastAsia="zh-CN"/>
              </w:rPr>
            </w:pPr>
            <w:r>
              <w:rPr>
                <w:rFonts w:ascii="Book Antiqua" w:hAnsi="Book Antiqua" w:hint="eastAsia"/>
                <w:b/>
                <w:lang w:val="en-GB" w:eastAsia="zh-CN"/>
              </w:rPr>
              <w:t>Value</w:t>
            </w:r>
          </w:p>
        </w:tc>
      </w:tr>
      <w:tr w:rsidR="00822A5D" w:rsidRPr="00541840" w14:paraId="134CFC81" w14:textId="77777777" w:rsidTr="00156684">
        <w:tc>
          <w:tcPr>
            <w:tcW w:w="450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2049467" w14:textId="386776E1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 xml:space="preserve">Age, </w:t>
            </w:r>
            <w:proofErr w:type="spellStart"/>
            <w:r w:rsidRPr="00541840">
              <w:rPr>
                <w:rFonts w:ascii="Book Antiqua" w:hAnsi="Book Antiqua"/>
                <w:lang w:val="en-GB"/>
              </w:rPr>
              <w:t>y</w:t>
            </w:r>
            <w:r w:rsidR="00822A5D">
              <w:rPr>
                <w:rFonts w:ascii="Book Antiqua" w:hAnsi="Book Antiqua"/>
                <w:lang w:val="en-GB"/>
              </w:rPr>
              <w:t>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4BDE026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61.8 (11.5)</w:t>
            </w:r>
          </w:p>
        </w:tc>
      </w:tr>
      <w:tr w:rsidR="00822A5D" w:rsidRPr="00541840" w14:paraId="643E68A3" w14:textId="77777777" w:rsidTr="00156684">
        <w:trPr>
          <w:trHeight w:val="690"/>
        </w:trPr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0B7FAD85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Gender</w:t>
            </w:r>
          </w:p>
          <w:p w14:paraId="3C3073D3" w14:textId="4010EEEB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Male</w:t>
            </w:r>
          </w:p>
          <w:p w14:paraId="29D83B72" w14:textId="64AA888F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Female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676D5D6D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69A616B5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54 (65.9)</w:t>
            </w:r>
          </w:p>
          <w:p w14:paraId="23C1FE1D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28 (34.1)</w:t>
            </w:r>
          </w:p>
        </w:tc>
      </w:tr>
      <w:tr w:rsidR="00822A5D" w:rsidRPr="00541840" w14:paraId="7CEA2499" w14:textId="77777777" w:rsidTr="00156684">
        <w:trPr>
          <w:trHeight w:val="1150"/>
        </w:trPr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494127B4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ASA score:</w:t>
            </w:r>
          </w:p>
          <w:p w14:paraId="639D1335" w14:textId="645B3368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I</w:t>
            </w:r>
          </w:p>
          <w:p w14:paraId="1BF6CAE6" w14:textId="19D0120C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II</w:t>
            </w:r>
          </w:p>
          <w:p w14:paraId="65D28995" w14:textId="5E511419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III</w:t>
            </w:r>
          </w:p>
          <w:p w14:paraId="58F50387" w14:textId="677CF6B2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IV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4A95292F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5759D36E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3 (3.7)</w:t>
            </w:r>
          </w:p>
          <w:p w14:paraId="2C10F742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42 (51.2)</w:t>
            </w:r>
          </w:p>
          <w:p w14:paraId="21EA5FB7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33 (40.2)</w:t>
            </w:r>
          </w:p>
          <w:p w14:paraId="3766C6EC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 (4.9)</w:t>
            </w:r>
          </w:p>
        </w:tc>
      </w:tr>
      <w:tr w:rsidR="00822A5D" w:rsidRPr="00541840" w14:paraId="65669CB4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3D8AEBC2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 xml:space="preserve">Obstruction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158333CB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5 (6.1)</w:t>
            </w:r>
          </w:p>
        </w:tc>
      </w:tr>
      <w:tr w:rsidR="00822A5D" w:rsidRPr="00541840" w14:paraId="5A17E621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2C969ACE" w14:textId="77777777" w:rsidR="00400084" w:rsidRPr="00541840" w:rsidRDefault="004E7B0C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MR</w:t>
            </w:r>
            <w:r w:rsidR="00400084" w:rsidRPr="00541840">
              <w:rPr>
                <w:rFonts w:ascii="Book Antiqua" w:hAnsi="Book Antiqua"/>
                <w:lang w:val="en-GB"/>
              </w:rPr>
              <w:t xml:space="preserve"> T:</w:t>
            </w:r>
          </w:p>
          <w:p w14:paraId="28BD9C84" w14:textId="052A51E9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T3</w:t>
            </w:r>
          </w:p>
          <w:p w14:paraId="0D2A38F7" w14:textId="4394FBE9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T4</w:t>
            </w:r>
          </w:p>
          <w:p w14:paraId="27D81A5F" w14:textId="4590F030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Missing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287882A8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32394032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13 (15.9)</w:t>
            </w:r>
          </w:p>
          <w:p w14:paraId="59609DD9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56 (68.3)</w:t>
            </w:r>
          </w:p>
          <w:p w14:paraId="6A9465F2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13 (15.9)</w:t>
            </w:r>
          </w:p>
        </w:tc>
      </w:tr>
      <w:tr w:rsidR="00822A5D" w:rsidRPr="00541840" w14:paraId="2293134F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61E46B6F" w14:textId="77777777" w:rsidR="00400084" w:rsidRPr="00541840" w:rsidRDefault="004E7B0C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MR</w:t>
            </w:r>
            <w:r w:rsidR="00400084" w:rsidRPr="00541840">
              <w:rPr>
                <w:rFonts w:ascii="Book Antiqua" w:hAnsi="Book Antiqua"/>
                <w:lang w:val="en-GB"/>
              </w:rPr>
              <w:t xml:space="preserve"> N:</w:t>
            </w:r>
          </w:p>
          <w:p w14:paraId="12FA6D4D" w14:textId="23A22368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N0</w:t>
            </w:r>
          </w:p>
          <w:p w14:paraId="2C3FCCA2" w14:textId="1E3519BC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N1</w:t>
            </w:r>
          </w:p>
          <w:p w14:paraId="269A3C65" w14:textId="762909AD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N2</w:t>
            </w:r>
          </w:p>
          <w:p w14:paraId="060BA47E" w14:textId="1F651D86" w:rsidR="00400084" w:rsidRPr="00822A5D" w:rsidRDefault="00400084" w:rsidP="00C17855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Missing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07B2394A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5B4C723F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11 (13.4)</w:t>
            </w:r>
          </w:p>
          <w:p w14:paraId="1EC7B4BA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24 (29.3)</w:t>
            </w:r>
          </w:p>
          <w:p w14:paraId="6E6D153D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35 (42.7)</w:t>
            </w:r>
          </w:p>
          <w:p w14:paraId="69D4C4E9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12 (14.6)</w:t>
            </w:r>
          </w:p>
        </w:tc>
      </w:tr>
      <w:tr w:rsidR="00822A5D" w:rsidRPr="00541840" w14:paraId="10191EB1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7F58906B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Sphincters involved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03A94718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22 (26.8)</w:t>
            </w:r>
          </w:p>
        </w:tc>
      </w:tr>
      <w:tr w:rsidR="00822A5D" w:rsidRPr="00541840" w14:paraId="00CF13DC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2EBB1DE8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Metastasis at presentation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5B770A32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7 (8.5)</w:t>
            </w:r>
          </w:p>
        </w:tc>
      </w:tr>
      <w:tr w:rsidR="00822A5D" w:rsidRPr="00541840" w14:paraId="75783739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23397D6B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Neoadjuvant treatment</w:t>
            </w:r>
          </w:p>
          <w:p w14:paraId="6F8D48F0" w14:textId="3A555CCC" w:rsidR="00400084" w:rsidRPr="00822A5D" w:rsidRDefault="00400084" w:rsidP="0022569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Long course RT</w:t>
            </w:r>
          </w:p>
          <w:p w14:paraId="1A340714" w14:textId="77D5D9BE" w:rsidR="00400084" w:rsidRPr="00822A5D" w:rsidRDefault="00400084" w:rsidP="0022569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Long course CRT</w:t>
            </w:r>
          </w:p>
          <w:p w14:paraId="59004B14" w14:textId="620F53D8" w:rsidR="00400084" w:rsidRPr="00822A5D" w:rsidRDefault="00400084" w:rsidP="0022569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822A5D">
              <w:rPr>
                <w:rFonts w:ascii="Book Antiqua" w:hAnsi="Book Antiqua"/>
                <w:lang w:val="en-GB"/>
              </w:rPr>
              <w:t>C</w:t>
            </w:r>
            <w:r w:rsidR="004E7B0C" w:rsidRPr="00822A5D">
              <w:rPr>
                <w:rFonts w:ascii="Book Antiqua" w:hAnsi="Book Antiqua"/>
                <w:lang w:val="en-GB"/>
              </w:rPr>
              <w:t>x</w:t>
            </w:r>
            <w:r w:rsidRPr="00822A5D">
              <w:rPr>
                <w:rFonts w:ascii="Book Antiqua" w:hAnsi="Book Antiqua"/>
                <w:lang w:val="en-GB"/>
              </w:rPr>
              <w:t>T</w:t>
            </w:r>
            <w:proofErr w:type="spellEnd"/>
          </w:p>
          <w:p w14:paraId="7B4D1CAC" w14:textId="01106F0C" w:rsidR="00400084" w:rsidRPr="00822A5D" w:rsidRDefault="00400084" w:rsidP="0022569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Short Course RT</w:t>
            </w:r>
          </w:p>
          <w:p w14:paraId="5851ED97" w14:textId="6E80D036" w:rsidR="00400084" w:rsidRPr="00822A5D" w:rsidRDefault="00400084" w:rsidP="0022569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822A5D">
              <w:rPr>
                <w:rFonts w:ascii="Book Antiqua" w:hAnsi="Book Antiqua"/>
                <w:lang w:val="en-GB"/>
              </w:rPr>
              <w:t>C</w:t>
            </w:r>
            <w:r w:rsidR="004E7B0C" w:rsidRPr="00822A5D">
              <w:rPr>
                <w:rFonts w:ascii="Book Antiqua" w:hAnsi="Book Antiqua"/>
                <w:lang w:val="en-GB"/>
              </w:rPr>
              <w:t>x</w:t>
            </w:r>
            <w:r w:rsidRPr="00822A5D">
              <w:rPr>
                <w:rFonts w:ascii="Book Antiqua" w:hAnsi="Book Antiqua"/>
                <w:lang w:val="en-GB"/>
              </w:rPr>
              <w:t>T</w:t>
            </w:r>
            <w:proofErr w:type="spellEnd"/>
            <w:r w:rsidRPr="00822A5D">
              <w:rPr>
                <w:rFonts w:ascii="Book Antiqua" w:hAnsi="Book Antiqua"/>
                <w:lang w:val="en-GB"/>
              </w:rPr>
              <w:t xml:space="preserve"> followed by RT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5A14A47A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59 (72)</w:t>
            </w:r>
          </w:p>
          <w:p w14:paraId="64F6C85D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3 (5)</w:t>
            </w:r>
          </w:p>
          <w:p w14:paraId="6A719523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41 (69.5)</w:t>
            </w:r>
          </w:p>
          <w:p w14:paraId="22735B80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 (6.8)</w:t>
            </w:r>
          </w:p>
          <w:p w14:paraId="3E89F3AC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 (6.8)</w:t>
            </w:r>
          </w:p>
          <w:p w14:paraId="4D55F3D6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7 (11.9)</w:t>
            </w:r>
          </w:p>
        </w:tc>
      </w:tr>
      <w:tr w:rsidR="00822A5D" w:rsidRPr="00541840" w14:paraId="6D26A828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1FEB87C9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Adjuvant treatment</w:t>
            </w:r>
          </w:p>
          <w:p w14:paraId="29C4EA16" w14:textId="5EC091F1" w:rsidR="00400084" w:rsidRPr="00822A5D" w:rsidRDefault="00400084" w:rsidP="0022569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lastRenderedPageBreak/>
              <w:t>CRT</w:t>
            </w:r>
          </w:p>
          <w:p w14:paraId="02550D16" w14:textId="1CABA631" w:rsidR="00400084" w:rsidRPr="00822A5D" w:rsidRDefault="00400084" w:rsidP="00225691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CT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13E3B639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lastRenderedPageBreak/>
              <w:t>54 (65.9)</w:t>
            </w:r>
          </w:p>
          <w:p w14:paraId="21D26926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lastRenderedPageBreak/>
              <w:t>6 (11.1)</w:t>
            </w:r>
          </w:p>
          <w:p w14:paraId="2018A961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48 (88.9)</w:t>
            </w:r>
          </w:p>
        </w:tc>
      </w:tr>
      <w:tr w:rsidR="00822A5D" w:rsidRPr="00541840" w14:paraId="1FBD4DB1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7F0DF007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lastRenderedPageBreak/>
              <w:t xml:space="preserve">Perioperative transfusions, </w:t>
            </w:r>
            <w:r w:rsidRPr="00822A5D">
              <w:rPr>
                <w:rFonts w:ascii="Book Antiqua" w:hAnsi="Book Antiqua"/>
                <w:i/>
                <w:lang w:val="en-GB"/>
              </w:rPr>
              <w:t>n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54BE3327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3.4 (2)</w:t>
            </w:r>
          </w:p>
        </w:tc>
      </w:tr>
      <w:tr w:rsidR="00822A5D" w:rsidRPr="00541840" w14:paraId="6C55609A" w14:textId="77777777" w:rsidTr="00156684">
        <w:tc>
          <w:tcPr>
            <w:tcW w:w="4503" w:type="dxa"/>
            <w:tcBorders>
              <w:right w:val="nil"/>
            </w:tcBorders>
            <w:shd w:val="clear" w:color="auto" w:fill="auto"/>
          </w:tcPr>
          <w:p w14:paraId="3C5A2FB4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Anastomosis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6AE4F344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15 (18.3)</w:t>
            </w:r>
          </w:p>
        </w:tc>
      </w:tr>
      <w:tr w:rsidR="00822A5D" w:rsidRPr="00541840" w14:paraId="6C0B43F0" w14:textId="77777777" w:rsidTr="00156684">
        <w:trPr>
          <w:trHeight w:val="233"/>
        </w:trPr>
        <w:tc>
          <w:tcPr>
            <w:tcW w:w="45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67D92D" w14:textId="77777777" w:rsidR="00400084" w:rsidRPr="00541840" w:rsidRDefault="00400084" w:rsidP="00E31A2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Synchronous metastasis resected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3561D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 (6.8)</w:t>
            </w:r>
          </w:p>
        </w:tc>
      </w:tr>
    </w:tbl>
    <w:p w14:paraId="487596F2" w14:textId="36B969FA" w:rsidR="00822A5D" w:rsidRDefault="00822A5D" w:rsidP="00822A5D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>Data are expressed as numbe</w:t>
      </w:r>
      <w:r>
        <w:rPr>
          <w:rFonts w:ascii="Book Antiqua" w:hAnsi="Book Antiqua"/>
          <w:lang w:val="en-GB"/>
        </w:rPr>
        <w:t>r of patients (%) or median (25</w:t>
      </w:r>
      <w:r w:rsidRPr="00541840">
        <w:rPr>
          <w:rFonts w:ascii="Book Antiqua" w:hAnsi="Book Antiqua"/>
          <w:lang w:val="en-GB"/>
        </w:rPr>
        <w:t>-75 percentiles).</w:t>
      </w:r>
      <w:r>
        <w:rPr>
          <w:rFonts w:ascii="Book Antiqua" w:hAnsi="Book Antiqua"/>
          <w:lang w:val="en-GB"/>
        </w:rPr>
        <w:t xml:space="preserve"> </w:t>
      </w:r>
      <w:r w:rsidRPr="00541840">
        <w:rPr>
          <w:rFonts w:ascii="Book Antiqua" w:hAnsi="Book Antiqua"/>
          <w:lang w:val="en-GB"/>
        </w:rPr>
        <w:t>ASA: American Society of Anaesthesiologists</w:t>
      </w:r>
      <w:r>
        <w:rPr>
          <w:rFonts w:ascii="Book Antiqua" w:hAnsi="Book Antiqua"/>
          <w:lang w:val="en-GB"/>
        </w:rPr>
        <w:t xml:space="preserve">; CRT: Chemoradiation therapy; </w:t>
      </w:r>
      <w:proofErr w:type="spellStart"/>
      <w:r>
        <w:rPr>
          <w:rFonts w:ascii="Book Antiqua" w:hAnsi="Book Antiqua"/>
          <w:lang w:val="en-GB"/>
        </w:rPr>
        <w:t>CxT</w:t>
      </w:r>
      <w:proofErr w:type="spellEnd"/>
      <w:r>
        <w:rPr>
          <w:rFonts w:ascii="Book Antiqua" w:hAnsi="Book Antiqua"/>
          <w:lang w:val="en-GB"/>
        </w:rPr>
        <w:t>: C</w:t>
      </w:r>
      <w:r w:rsidRPr="00541840">
        <w:rPr>
          <w:rFonts w:ascii="Book Antiqua" w:hAnsi="Book Antiqua"/>
          <w:lang w:val="en-GB"/>
        </w:rPr>
        <w:t xml:space="preserve">hemotherapy; </w:t>
      </w:r>
      <w:r>
        <w:rPr>
          <w:rFonts w:ascii="Book Antiqua" w:hAnsi="Book Antiqua"/>
          <w:lang w:val="en-GB"/>
        </w:rPr>
        <w:t>MR: Magnetic resonance; RT: R</w:t>
      </w:r>
      <w:r w:rsidRPr="00541840">
        <w:rPr>
          <w:rFonts w:ascii="Book Antiqua" w:hAnsi="Book Antiqua"/>
          <w:lang w:val="en-GB"/>
        </w:rPr>
        <w:t>adiotherapy</w:t>
      </w:r>
      <w:r>
        <w:rPr>
          <w:rFonts w:ascii="Book Antiqua" w:hAnsi="Book Antiqua"/>
          <w:lang w:val="en-GB"/>
        </w:rPr>
        <w:t>.</w:t>
      </w:r>
    </w:p>
    <w:p w14:paraId="02236CF9" w14:textId="77777777" w:rsidR="00822A5D" w:rsidRDefault="00822A5D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063191F7" w14:textId="77A90B36" w:rsidR="00400084" w:rsidRPr="00541840" w:rsidRDefault="00822A5D" w:rsidP="00822A5D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lastRenderedPageBreak/>
        <w:t>Table 2</w:t>
      </w:r>
      <w:r w:rsidRPr="00822A5D">
        <w:rPr>
          <w:rFonts w:ascii="Book Antiqua" w:hAnsi="Book Antiqua"/>
          <w:b/>
          <w:lang w:val="en-GB"/>
        </w:rPr>
        <w:t xml:space="preserve"> Short-term outcomes </w:t>
      </w:r>
      <w:r>
        <w:rPr>
          <w:rFonts w:ascii="Book Antiqua" w:hAnsi="Book Antiqua"/>
          <w:b/>
          <w:i/>
          <w:lang w:val="en-GB"/>
        </w:rPr>
        <w:t>n</w:t>
      </w:r>
      <w:r>
        <w:rPr>
          <w:rFonts w:ascii="Book Antiqua" w:hAnsi="Book Antiqua"/>
          <w:b/>
          <w:lang w:val="en-GB"/>
        </w:rPr>
        <w:t xml:space="preserve"> (%)</w:t>
      </w:r>
    </w:p>
    <w:tbl>
      <w:tblPr>
        <w:tblW w:w="667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2126"/>
      </w:tblGrid>
      <w:tr w:rsidR="00822A5D" w:rsidRPr="00541840" w14:paraId="59C2640D" w14:textId="77777777" w:rsidTr="00822A5D"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0329E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541840">
              <w:rPr>
                <w:rFonts w:ascii="Book Antiqua" w:hAnsi="Book Antiqua"/>
                <w:b/>
                <w:lang w:val="en-GB"/>
              </w:rPr>
              <w:t>Variable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2C312" w14:textId="39F7AC87" w:rsidR="00400084" w:rsidRPr="00541840" w:rsidRDefault="00DD7071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 w:hint="eastAsia"/>
                <w:b/>
                <w:lang w:val="en-GB" w:eastAsia="zh-CN"/>
              </w:rPr>
              <w:t>Value</w:t>
            </w:r>
          </w:p>
        </w:tc>
      </w:tr>
      <w:tr w:rsidR="00822A5D" w:rsidRPr="00541840" w14:paraId="073EC653" w14:textId="77777777" w:rsidTr="00822A5D">
        <w:tc>
          <w:tcPr>
            <w:tcW w:w="4547" w:type="dxa"/>
            <w:tcBorders>
              <w:top w:val="single" w:sz="4" w:space="0" w:color="auto"/>
            </w:tcBorders>
            <w:shd w:val="clear" w:color="auto" w:fill="auto"/>
          </w:tcPr>
          <w:p w14:paraId="118530C0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Complications, any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DABEA0D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45 (54.9)</w:t>
            </w:r>
          </w:p>
        </w:tc>
      </w:tr>
      <w:tr w:rsidR="00822A5D" w:rsidRPr="00541840" w14:paraId="21AD4E1C" w14:textId="77777777" w:rsidTr="00822A5D">
        <w:trPr>
          <w:trHeight w:val="115"/>
        </w:trPr>
        <w:tc>
          <w:tcPr>
            <w:tcW w:w="4547" w:type="dxa"/>
            <w:shd w:val="clear" w:color="auto" w:fill="auto"/>
          </w:tcPr>
          <w:p w14:paraId="0E4B0A37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Reoperation</w:t>
            </w:r>
          </w:p>
        </w:tc>
        <w:tc>
          <w:tcPr>
            <w:tcW w:w="2126" w:type="dxa"/>
            <w:shd w:val="clear" w:color="auto" w:fill="auto"/>
          </w:tcPr>
          <w:p w14:paraId="6FD38BF6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8 (9.8)</w:t>
            </w:r>
          </w:p>
        </w:tc>
      </w:tr>
      <w:tr w:rsidR="00822A5D" w:rsidRPr="00541840" w14:paraId="733C7719" w14:textId="77777777" w:rsidTr="00822A5D">
        <w:trPr>
          <w:trHeight w:val="161"/>
        </w:trPr>
        <w:tc>
          <w:tcPr>
            <w:tcW w:w="4547" w:type="dxa"/>
            <w:shd w:val="clear" w:color="auto" w:fill="auto"/>
          </w:tcPr>
          <w:p w14:paraId="109A57D3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Perioperative death</w:t>
            </w:r>
          </w:p>
        </w:tc>
        <w:tc>
          <w:tcPr>
            <w:tcW w:w="2126" w:type="dxa"/>
            <w:shd w:val="clear" w:color="auto" w:fill="auto"/>
          </w:tcPr>
          <w:p w14:paraId="0C27F05A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</w:tc>
      </w:tr>
      <w:tr w:rsidR="00822A5D" w:rsidRPr="00541840" w14:paraId="06F95A96" w14:textId="77777777" w:rsidTr="00822A5D">
        <w:tc>
          <w:tcPr>
            <w:tcW w:w="4547" w:type="dxa"/>
            <w:shd w:val="clear" w:color="auto" w:fill="auto"/>
          </w:tcPr>
          <w:p w14:paraId="71B1E214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Sepsis</w:t>
            </w:r>
          </w:p>
        </w:tc>
        <w:tc>
          <w:tcPr>
            <w:tcW w:w="2126" w:type="dxa"/>
            <w:shd w:val="clear" w:color="auto" w:fill="auto"/>
          </w:tcPr>
          <w:p w14:paraId="503B1DF7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 (4.9)</w:t>
            </w:r>
          </w:p>
        </w:tc>
      </w:tr>
      <w:tr w:rsidR="00822A5D" w:rsidRPr="00541840" w14:paraId="23D22C03" w14:textId="77777777" w:rsidTr="00822A5D">
        <w:tc>
          <w:tcPr>
            <w:tcW w:w="4547" w:type="dxa"/>
            <w:shd w:val="clear" w:color="auto" w:fill="auto"/>
          </w:tcPr>
          <w:p w14:paraId="2714D568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Abdominal Surgical Site Infection</w:t>
            </w:r>
          </w:p>
        </w:tc>
        <w:tc>
          <w:tcPr>
            <w:tcW w:w="2126" w:type="dxa"/>
            <w:shd w:val="clear" w:color="auto" w:fill="auto"/>
          </w:tcPr>
          <w:p w14:paraId="654BB100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15 (18.3)</w:t>
            </w:r>
          </w:p>
        </w:tc>
      </w:tr>
      <w:tr w:rsidR="00822A5D" w:rsidRPr="00541840" w14:paraId="326693CB" w14:textId="77777777" w:rsidTr="00822A5D">
        <w:tc>
          <w:tcPr>
            <w:tcW w:w="4547" w:type="dxa"/>
            <w:shd w:val="clear" w:color="auto" w:fill="auto"/>
          </w:tcPr>
          <w:p w14:paraId="50EF2EDA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 xml:space="preserve">Abdominal hernia </w:t>
            </w:r>
          </w:p>
        </w:tc>
        <w:tc>
          <w:tcPr>
            <w:tcW w:w="2126" w:type="dxa"/>
            <w:shd w:val="clear" w:color="auto" w:fill="auto"/>
          </w:tcPr>
          <w:p w14:paraId="02E55124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</w:tc>
      </w:tr>
      <w:tr w:rsidR="00822A5D" w:rsidRPr="00541840" w14:paraId="1CA4C633" w14:textId="77777777" w:rsidTr="00822A5D">
        <w:tc>
          <w:tcPr>
            <w:tcW w:w="4547" w:type="dxa"/>
            <w:shd w:val="clear" w:color="auto" w:fill="auto"/>
          </w:tcPr>
          <w:p w14:paraId="244091B1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Perineal Wound Complications</w:t>
            </w:r>
          </w:p>
        </w:tc>
        <w:tc>
          <w:tcPr>
            <w:tcW w:w="2126" w:type="dxa"/>
            <w:shd w:val="clear" w:color="auto" w:fill="auto"/>
          </w:tcPr>
          <w:p w14:paraId="5C21ED98" w14:textId="15A31A85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13/67 (19.4)</w:t>
            </w:r>
          </w:p>
        </w:tc>
      </w:tr>
      <w:tr w:rsidR="00822A5D" w:rsidRPr="00541840" w14:paraId="3B6856D1" w14:textId="77777777" w:rsidTr="00822A5D">
        <w:tc>
          <w:tcPr>
            <w:tcW w:w="4547" w:type="dxa"/>
            <w:shd w:val="clear" w:color="auto" w:fill="auto"/>
          </w:tcPr>
          <w:p w14:paraId="78544E2B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 xml:space="preserve">Intra-abdominal septic complications </w:t>
            </w:r>
          </w:p>
        </w:tc>
        <w:tc>
          <w:tcPr>
            <w:tcW w:w="2126" w:type="dxa"/>
            <w:shd w:val="clear" w:color="auto" w:fill="auto"/>
          </w:tcPr>
          <w:p w14:paraId="5547B7F0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8 (9.8)</w:t>
            </w:r>
          </w:p>
        </w:tc>
      </w:tr>
      <w:tr w:rsidR="00822A5D" w:rsidRPr="00541840" w14:paraId="534E4CEF" w14:textId="77777777" w:rsidTr="00822A5D">
        <w:tc>
          <w:tcPr>
            <w:tcW w:w="4547" w:type="dxa"/>
            <w:shd w:val="clear" w:color="auto" w:fill="auto"/>
          </w:tcPr>
          <w:p w14:paraId="2CD76798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Injury to hollow viscera</w:t>
            </w:r>
          </w:p>
        </w:tc>
        <w:tc>
          <w:tcPr>
            <w:tcW w:w="2126" w:type="dxa"/>
            <w:shd w:val="clear" w:color="auto" w:fill="auto"/>
          </w:tcPr>
          <w:p w14:paraId="5EADF9A0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</w:tc>
      </w:tr>
      <w:tr w:rsidR="00822A5D" w:rsidRPr="00541840" w14:paraId="06173B53" w14:textId="77777777" w:rsidTr="00822A5D">
        <w:tc>
          <w:tcPr>
            <w:tcW w:w="4547" w:type="dxa"/>
            <w:shd w:val="clear" w:color="auto" w:fill="auto"/>
          </w:tcPr>
          <w:p w14:paraId="7DEA568B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Ileus</w:t>
            </w:r>
          </w:p>
        </w:tc>
        <w:tc>
          <w:tcPr>
            <w:tcW w:w="2126" w:type="dxa"/>
            <w:shd w:val="clear" w:color="auto" w:fill="auto"/>
          </w:tcPr>
          <w:p w14:paraId="22071E04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9 (11)</w:t>
            </w:r>
          </w:p>
        </w:tc>
      </w:tr>
      <w:tr w:rsidR="00822A5D" w:rsidRPr="00541840" w14:paraId="27F840F6" w14:textId="77777777" w:rsidTr="00822A5D">
        <w:tc>
          <w:tcPr>
            <w:tcW w:w="4547" w:type="dxa"/>
            <w:shd w:val="clear" w:color="auto" w:fill="auto"/>
          </w:tcPr>
          <w:p w14:paraId="444B97A6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Urinary tract complications</w:t>
            </w:r>
          </w:p>
        </w:tc>
        <w:tc>
          <w:tcPr>
            <w:tcW w:w="2126" w:type="dxa"/>
            <w:shd w:val="clear" w:color="auto" w:fill="auto"/>
          </w:tcPr>
          <w:p w14:paraId="2305937F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9 (11)</w:t>
            </w:r>
          </w:p>
        </w:tc>
      </w:tr>
      <w:tr w:rsidR="00822A5D" w:rsidRPr="00541840" w14:paraId="143272F1" w14:textId="77777777" w:rsidTr="00822A5D">
        <w:tc>
          <w:tcPr>
            <w:tcW w:w="4547" w:type="dxa"/>
            <w:shd w:val="clear" w:color="auto" w:fill="auto"/>
          </w:tcPr>
          <w:p w14:paraId="79E0DE54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Pulmonary complications</w:t>
            </w:r>
          </w:p>
        </w:tc>
        <w:tc>
          <w:tcPr>
            <w:tcW w:w="2126" w:type="dxa"/>
            <w:shd w:val="clear" w:color="auto" w:fill="auto"/>
          </w:tcPr>
          <w:p w14:paraId="42BE28DD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8 (9.8)</w:t>
            </w:r>
          </w:p>
        </w:tc>
      </w:tr>
      <w:tr w:rsidR="00822A5D" w:rsidRPr="00541840" w14:paraId="052B989E" w14:textId="77777777" w:rsidTr="00822A5D">
        <w:tc>
          <w:tcPr>
            <w:tcW w:w="4547" w:type="dxa"/>
            <w:shd w:val="clear" w:color="auto" w:fill="auto"/>
          </w:tcPr>
          <w:p w14:paraId="6E70340E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Neurological complications</w:t>
            </w:r>
          </w:p>
        </w:tc>
        <w:tc>
          <w:tcPr>
            <w:tcW w:w="2126" w:type="dxa"/>
            <w:shd w:val="clear" w:color="auto" w:fill="auto"/>
          </w:tcPr>
          <w:p w14:paraId="6189F93E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</w:tc>
      </w:tr>
      <w:tr w:rsidR="00822A5D" w:rsidRPr="00541840" w14:paraId="2283C077" w14:textId="77777777" w:rsidTr="00822A5D">
        <w:tc>
          <w:tcPr>
            <w:tcW w:w="4547" w:type="dxa"/>
            <w:shd w:val="clear" w:color="auto" w:fill="auto"/>
          </w:tcPr>
          <w:p w14:paraId="748A97BF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Multiorgan failure</w:t>
            </w:r>
          </w:p>
        </w:tc>
        <w:tc>
          <w:tcPr>
            <w:tcW w:w="2126" w:type="dxa"/>
            <w:shd w:val="clear" w:color="auto" w:fill="auto"/>
          </w:tcPr>
          <w:p w14:paraId="03EC7CFE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</w:tc>
      </w:tr>
      <w:tr w:rsidR="00822A5D" w:rsidRPr="00541840" w14:paraId="177E60FD" w14:textId="77777777" w:rsidTr="00822A5D">
        <w:tc>
          <w:tcPr>
            <w:tcW w:w="4547" w:type="dxa"/>
            <w:shd w:val="clear" w:color="auto" w:fill="auto"/>
          </w:tcPr>
          <w:p w14:paraId="337B64CE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CVC infection</w:t>
            </w:r>
          </w:p>
        </w:tc>
        <w:tc>
          <w:tcPr>
            <w:tcW w:w="2126" w:type="dxa"/>
            <w:shd w:val="clear" w:color="auto" w:fill="auto"/>
          </w:tcPr>
          <w:p w14:paraId="1FD708EE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</w:tc>
      </w:tr>
      <w:tr w:rsidR="00822A5D" w:rsidRPr="00541840" w14:paraId="7DB5327C" w14:textId="77777777" w:rsidTr="00822A5D">
        <w:tc>
          <w:tcPr>
            <w:tcW w:w="4547" w:type="dxa"/>
            <w:shd w:val="clear" w:color="auto" w:fill="auto"/>
          </w:tcPr>
          <w:p w14:paraId="665B8B2C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Acute kidney failure</w:t>
            </w:r>
          </w:p>
        </w:tc>
        <w:tc>
          <w:tcPr>
            <w:tcW w:w="2126" w:type="dxa"/>
            <w:shd w:val="clear" w:color="auto" w:fill="auto"/>
          </w:tcPr>
          <w:p w14:paraId="60F6F8D7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</w:tc>
      </w:tr>
    </w:tbl>
    <w:p w14:paraId="0A4F3BED" w14:textId="6F6FAF9A" w:rsidR="00822A5D" w:rsidRDefault="00822A5D" w:rsidP="00822A5D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t>Data are expressed as numbe</w:t>
      </w:r>
      <w:r>
        <w:rPr>
          <w:rFonts w:ascii="Book Antiqua" w:hAnsi="Book Antiqua"/>
          <w:lang w:val="en-GB"/>
        </w:rPr>
        <w:t>r of patients (%) or median (25-75</w:t>
      </w:r>
      <w:r w:rsidRPr="00541840">
        <w:rPr>
          <w:rFonts w:ascii="Book Antiqua" w:hAnsi="Book Antiqua"/>
          <w:lang w:val="en-GB"/>
        </w:rPr>
        <w:t xml:space="preserve"> percentiles).</w:t>
      </w:r>
      <w:r>
        <w:rPr>
          <w:rFonts w:ascii="Book Antiqua" w:hAnsi="Book Antiqua"/>
          <w:lang w:val="en-GB"/>
        </w:rPr>
        <w:t xml:space="preserve"> CVC: C</w:t>
      </w:r>
      <w:r w:rsidRPr="00541840">
        <w:rPr>
          <w:rFonts w:ascii="Book Antiqua" w:hAnsi="Book Antiqua"/>
          <w:lang w:val="en-GB"/>
        </w:rPr>
        <w:t>entral venous catheter</w:t>
      </w:r>
      <w:r>
        <w:rPr>
          <w:rFonts w:ascii="Book Antiqua" w:hAnsi="Book Antiqua"/>
          <w:lang w:val="en-GB"/>
        </w:rPr>
        <w:t>.</w:t>
      </w:r>
    </w:p>
    <w:p w14:paraId="2AB09C0F" w14:textId="77777777" w:rsidR="00822A5D" w:rsidRDefault="00822A5D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2701142C" w14:textId="17A739A9" w:rsidR="00400084" w:rsidRPr="00822A5D" w:rsidRDefault="00822A5D" w:rsidP="00822A5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lastRenderedPageBreak/>
        <w:t>T</w:t>
      </w:r>
      <w:r>
        <w:rPr>
          <w:rFonts w:ascii="Book Antiqua" w:hAnsi="Book Antiqua"/>
          <w:b/>
          <w:lang w:val="en-GB"/>
        </w:rPr>
        <w:t>able 3</w:t>
      </w:r>
      <w:r>
        <w:rPr>
          <w:rFonts w:ascii="Book Antiqua" w:hAnsi="Book Antiqua"/>
          <w:lang w:val="en-GB"/>
        </w:rPr>
        <w:t xml:space="preserve"> </w:t>
      </w:r>
      <w:r w:rsidRPr="00822A5D">
        <w:rPr>
          <w:rFonts w:ascii="Book Antiqua" w:hAnsi="Book Antiqua"/>
          <w:b/>
          <w:lang w:val="en-GB"/>
        </w:rPr>
        <w:t>Pathological outcomes and survival</w:t>
      </w:r>
      <w:r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i/>
          <w:lang w:val="en-GB"/>
        </w:rPr>
        <w:t>n</w:t>
      </w:r>
      <w:r>
        <w:rPr>
          <w:rFonts w:ascii="Book Antiqua" w:hAnsi="Book Antiqua"/>
          <w:b/>
          <w:lang w:val="en-GB"/>
        </w:rPr>
        <w:t xml:space="preserve"> (%)</w:t>
      </w:r>
    </w:p>
    <w:tbl>
      <w:tblPr>
        <w:tblW w:w="776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1499"/>
      </w:tblGrid>
      <w:tr w:rsidR="00400084" w:rsidRPr="00541840" w14:paraId="089DBFF9" w14:textId="77777777" w:rsidTr="00822A5D"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621E2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541840">
              <w:rPr>
                <w:rFonts w:ascii="Book Antiqua" w:hAnsi="Book Antiqua"/>
                <w:b/>
                <w:lang w:val="en-GB"/>
              </w:rPr>
              <w:t>Variable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E9B04" w14:textId="76965105" w:rsidR="00400084" w:rsidRPr="00541840" w:rsidRDefault="00F81C39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 w:hint="eastAsia"/>
                <w:b/>
                <w:lang w:val="en-GB" w:eastAsia="zh-CN"/>
              </w:rPr>
              <w:t>Value</w:t>
            </w:r>
          </w:p>
        </w:tc>
      </w:tr>
      <w:tr w:rsidR="00400084" w:rsidRPr="00541840" w14:paraId="46A247CD" w14:textId="77777777" w:rsidTr="00822A5D">
        <w:tc>
          <w:tcPr>
            <w:tcW w:w="6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A6CEE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541840">
              <w:rPr>
                <w:rFonts w:ascii="Book Antiqua" w:hAnsi="Book Antiqua"/>
                <w:lang w:val="en-GB"/>
              </w:rPr>
              <w:t>pT</w:t>
            </w:r>
            <w:proofErr w:type="spellEnd"/>
          </w:p>
          <w:p w14:paraId="2491A627" w14:textId="120967A2" w:rsidR="00400084" w:rsidRPr="00822A5D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Tx</w:t>
            </w:r>
          </w:p>
          <w:p w14:paraId="029FE8C9" w14:textId="0DD96B2D" w:rsidR="00400084" w:rsidRPr="00822A5D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T0</w:t>
            </w:r>
          </w:p>
          <w:p w14:paraId="4BB2067D" w14:textId="68F14F19" w:rsidR="00400084" w:rsidRPr="00822A5D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T2</w:t>
            </w:r>
          </w:p>
          <w:p w14:paraId="07AFCE58" w14:textId="0C74634D" w:rsidR="00400084" w:rsidRPr="00822A5D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T3a,b</w:t>
            </w:r>
          </w:p>
          <w:p w14:paraId="7E8BC3C8" w14:textId="6812460E" w:rsidR="00400084" w:rsidRPr="00822A5D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T3c,d</w:t>
            </w:r>
          </w:p>
          <w:p w14:paraId="52E2CA3D" w14:textId="2016730F" w:rsidR="00400084" w:rsidRPr="00822A5D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T4a</w:t>
            </w:r>
          </w:p>
          <w:p w14:paraId="6175664B" w14:textId="1848D67A" w:rsidR="00400084" w:rsidRPr="00822A5D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822A5D">
              <w:rPr>
                <w:rFonts w:ascii="Book Antiqua" w:hAnsi="Book Antiqua"/>
                <w:lang w:val="en-GB"/>
              </w:rPr>
              <w:t>T4b</w:t>
            </w:r>
          </w:p>
          <w:p w14:paraId="6FE226CE" w14:textId="77777777" w:rsidR="00400084" w:rsidRPr="00822A5D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5B0C39">
              <w:rPr>
                <w:rFonts w:ascii="Book Antiqua" w:hAnsi="Book Antiqua"/>
                <w:caps/>
                <w:lang w:val="en-GB"/>
              </w:rPr>
              <w:t>m</w:t>
            </w:r>
            <w:r w:rsidRPr="00822A5D">
              <w:rPr>
                <w:rFonts w:ascii="Book Antiqua" w:hAnsi="Book Antiqua"/>
                <w:lang w:val="en-GB"/>
              </w:rPr>
              <w:t>issing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14:paraId="51F7ABB0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25826CB6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  <w:p w14:paraId="1791399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(1.2)</w:t>
            </w:r>
          </w:p>
          <w:p w14:paraId="395A3309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(2.4)</w:t>
            </w:r>
          </w:p>
          <w:p w14:paraId="5464C56C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6 (7.3)</w:t>
            </w:r>
          </w:p>
          <w:p w14:paraId="38F6A25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13 (15.9)</w:t>
            </w:r>
          </w:p>
          <w:p w14:paraId="68BDCE59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27 (32.9)</w:t>
            </w:r>
          </w:p>
          <w:p w14:paraId="54A20CC4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30 (36.6)</w:t>
            </w:r>
          </w:p>
          <w:p w14:paraId="67D08C46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(1.2)</w:t>
            </w:r>
          </w:p>
        </w:tc>
      </w:tr>
      <w:tr w:rsidR="00400084" w:rsidRPr="00541840" w14:paraId="5A15A884" w14:textId="77777777" w:rsidTr="00822A5D">
        <w:trPr>
          <w:trHeight w:val="115"/>
        </w:trPr>
        <w:tc>
          <w:tcPr>
            <w:tcW w:w="6264" w:type="dxa"/>
            <w:shd w:val="clear" w:color="auto" w:fill="auto"/>
            <w:vAlign w:val="center"/>
          </w:tcPr>
          <w:p w14:paraId="5AA94C4D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541840">
              <w:rPr>
                <w:rFonts w:ascii="Book Antiqua" w:hAnsi="Book Antiqua"/>
                <w:lang w:val="en-GB"/>
              </w:rPr>
              <w:t>pN</w:t>
            </w:r>
            <w:proofErr w:type="spellEnd"/>
          </w:p>
          <w:p w14:paraId="2BE11518" w14:textId="3D58B97F" w:rsidR="00400084" w:rsidRPr="003D4281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3D4281">
              <w:rPr>
                <w:rFonts w:ascii="Book Antiqua" w:hAnsi="Book Antiqua"/>
                <w:lang w:val="en-GB"/>
              </w:rPr>
              <w:t>Nx</w:t>
            </w:r>
            <w:proofErr w:type="spellEnd"/>
          </w:p>
          <w:p w14:paraId="74F2FB81" w14:textId="0FD1194D" w:rsidR="00400084" w:rsidRPr="003D4281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N0</w:t>
            </w:r>
          </w:p>
          <w:p w14:paraId="28A77023" w14:textId="63C4627B" w:rsidR="00400084" w:rsidRPr="003D4281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N1</w:t>
            </w:r>
          </w:p>
          <w:p w14:paraId="3A85B453" w14:textId="0002FBC7" w:rsidR="00400084" w:rsidRPr="003D4281" w:rsidRDefault="00400084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N2</w:t>
            </w:r>
          </w:p>
          <w:p w14:paraId="3663A42D" w14:textId="0D81B4C6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M</w:t>
            </w:r>
            <w:r w:rsidR="00400084" w:rsidRPr="003D4281">
              <w:rPr>
                <w:rFonts w:ascii="Book Antiqua" w:hAnsi="Book Antiqua"/>
                <w:lang w:val="en-GB"/>
              </w:rPr>
              <w:t>issing</w:t>
            </w:r>
          </w:p>
        </w:tc>
        <w:tc>
          <w:tcPr>
            <w:tcW w:w="1499" w:type="dxa"/>
            <w:shd w:val="clear" w:color="auto" w:fill="auto"/>
          </w:tcPr>
          <w:p w14:paraId="279E2BE4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7A067FA0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25 (30.5)</w:t>
            </w:r>
          </w:p>
          <w:p w14:paraId="665B06FF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33 (40.2)</w:t>
            </w:r>
          </w:p>
          <w:p w14:paraId="4D2857CD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17 (20.7)</w:t>
            </w:r>
          </w:p>
          <w:p w14:paraId="1FBD3448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6 (7.3)</w:t>
            </w:r>
          </w:p>
          <w:p w14:paraId="388B7BB5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(1.2)</w:t>
            </w:r>
          </w:p>
        </w:tc>
      </w:tr>
      <w:tr w:rsidR="00400084" w:rsidRPr="00541840" w14:paraId="164BF65E" w14:textId="77777777" w:rsidTr="00822A5D">
        <w:trPr>
          <w:trHeight w:val="161"/>
        </w:trPr>
        <w:tc>
          <w:tcPr>
            <w:tcW w:w="6264" w:type="dxa"/>
            <w:shd w:val="clear" w:color="auto" w:fill="auto"/>
            <w:vAlign w:val="center"/>
          </w:tcPr>
          <w:p w14:paraId="0BEEC106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Nodes isolated</w:t>
            </w:r>
          </w:p>
        </w:tc>
        <w:tc>
          <w:tcPr>
            <w:tcW w:w="1499" w:type="dxa"/>
            <w:shd w:val="clear" w:color="auto" w:fill="auto"/>
          </w:tcPr>
          <w:p w14:paraId="616FBA53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15.5 (10.6)</w:t>
            </w:r>
          </w:p>
        </w:tc>
      </w:tr>
      <w:tr w:rsidR="00400084" w:rsidRPr="00541840" w14:paraId="4CCF3F02" w14:textId="77777777" w:rsidTr="00822A5D">
        <w:tc>
          <w:tcPr>
            <w:tcW w:w="6264" w:type="dxa"/>
            <w:shd w:val="clear" w:color="auto" w:fill="auto"/>
            <w:vAlign w:val="center"/>
          </w:tcPr>
          <w:p w14:paraId="7B37436B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Positive nodes</w:t>
            </w:r>
          </w:p>
        </w:tc>
        <w:tc>
          <w:tcPr>
            <w:tcW w:w="1499" w:type="dxa"/>
            <w:shd w:val="clear" w:color="auto" w:fill="auto"/>
          </w:tcPr>
          <w:p w14:paraId="122266D2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1.1 (0.4)</w:t>
            </w:r>
          </w:p>
        </w:tc>
      </w:tr>
      <w:tr w:rsidR="00400084" w:rsidRPr="00541840" w14:paraId="6EC46A9F" w14:textId="77777777" w:rsidTr="00822A5D">
        <w:tc>
          <w:tcPr>
            <w:tcW w:w="6264" w:type="dxa"/>
            <w:shd w:val="clear" w:color="auto" w:fill="auto"/>
            <w:vAlign w:val="center"/>
          </w:tcPr>
          <w:p w14:paraId="45B11CD2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Resection margins involved</w:t>
            </w:r>
          </w:p>
        </w:tc>
        <w:tc>
          <w:tcPr>
            <w:tcW w:w="1499" w:type="dxa"/>
            <w:shd w:val="clear" w:color="auto" w:fill="auto"/>
          </w:tcPr>
          <w:p w14:paraId="36AB901D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19 (23.2)</w:t>
            </w:r>
          </w:p>
        </w:tc>
      </w:tr>
      <w:tr w:rsidR="00400084" w:rsidRPr="00541840" w14:paraId="2B7C6787" w14:textId="77777777" w:rsidTr="00822A5D">
        <w:tc>
          <w:tcPr>
            <w:tcW w:w="6264" w:type="dxa"/>
            <w:shd w:val="clear" w:color="auto" w:fill="auto"/>
            <w:vAlign w:val="center"/>
          </w:tcPr>
          <w:p w14:paraId="003B378C" w14:textId="70E6434A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Response to neoadjuvant treatment (</w:t>
            </w:r>
            <w:r w:rsidRPr="003D4281">
              <w:rPr>
                <w:rFonts w:ascii="Book Antiqua" w:hAnsi="Book Antiqua"/>
                <w:i/>
                <w:lang w:val="en-GB"/>
              </w:rPr>
              <w:t>n</w:t>
            </w:r>
            <w:r w:rsidR="003D4281">
              <w:rPr>
                <w:rFonts w:ascii="Book Antiqua" w:hAnsi="Book Antiqua"/>
                <w:lang w:val="en-GB"/>
              </w:rPr>
              <w:t xml:space="preserve"> </w:t>
            </w:r>
            <w:r w:rsidRPr="00541840">
              <w:rPr>
                <w:rFonts w:ascii="Book Antiqua" w:hAnsi="Book Antiqua"/>
                <w:lang w:val="en-GB"/>
              </w:rPr>
              <w:t>=</w:t>
            </w:r>
            <w:r w:rsidR="003D4281">
              <w:rPr>
                <w:rFonts w:ascii="Book Antiqua" w:hAnsi="Book Antiqua"/>
                <w:lang w:val="en-GB"/>
              </w:rPr>
              <w:t xml:space="preserve"> </w:t>
            </w:r>
            <w:r w:rsidRPr="00541840">
              <w:rPr>
                <w:rFonts w:ascii="Book Antiqua" w:hAnsi="Book Antiqua"/>
                <w:lang w:val="en-GB"/>
              </w:rPr>
              <w:t>59)</w:t>
            </w:r>
          </w:p>
          <w:p w14:paraId="7ACEAAFB" w14:textId="4400BB3D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Complete</w:t>
            </w:r>
          </w:p>
          <w:p w14:paraId="65825711" w14:textId="6B1BFA64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 xml:space="preserve">Islands </w:t>
            </w:r>
            <w:r w:rsidR="00400084" w:rsidRPr="003D4281">
              <w:rPr>
                <w:rFonts w:ascii="Book Antiqua" w:hAnsi="Book Antiqua"/>
                <w:lang w:val="en-GB"/>
              </w:rPr>
              <w:t xml:space="preserve">of </w:t>
            </w:r>
            <w:r w:rsidR="00D43FC2" w:rsidRPr="003D4281">
              <w:rPr>
                <w:rFonts w:ascii="Book Antiqua" w:hAnsi="Book Antiqua"/>
                <w:lang w:val="en-GB"/>
              </w:rPr>
              <w:t>tumour</w:t>
            </w:r>
            <w:r w:rsidR="00400084" w:rsidRPr="003D4281">
              <w:rPr>
                <w:rFonts w:ascii="Book Antiqua" w:hAnsi="Book Antiqua"/>
                <w:lang w:val="en-GB"/>
              </w:rPr>
              <w:t xml:space="preserve"> cells</w:t>
            </w:r>
          </w:p>
          <w:p w14:paraId="54532761" w14:textId="2B61BB93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Predo</w:t>
            </w:r>
            <w:r w:rsidR="00400084" w:rsidRPr="003D4281">
              <w:rPr>
                <w:rFonts w:ascii="Book Antiqua" w:hAnsi="Book Antiqua"/>
                <w:lang w:val="en-GB"/>
              </w:rPr>
              <w:t>minantly fibrotic</w:t>
            </w:r>
          </w:p>
          <w:p w14:paraId="151A85EA" w14:textId="5F65C9CC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 xml:space="preserve">Predominantly </w:t>
            </w:r>
            <w:r w:rsidR="00D43FC2" w:rsidRPr="003D4281">
              <w:rPr>
                <w:rFonts w:ascii="Book Antiqua" w:hAnsi="Book Antiqua"/>
                <w:lang w:val="en-GB"/>
              </w:rPr>
              <w:t>tumour</w:t>
            </w:r>
            <w:r w:rsidR="00400084" w:rsidRPr="003D4281">
              <w:rPr>
                <w:rFonts w:ascii="Book Antiqua" w:hAnsi="Book Antiqua"/>
                <w:lang w:val="en-GB"/>
              </w:rPr>
              <w:t xml:space="preserve"> nests</w:t>
            </w:r>
          </w:p>
          <w:p w14:paraId="35901509" w14:textId="5EFB7751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No response</w:t>
            </w:r>
          </w:p>
          <w:p w14:paraId="7383C87E" w14:textId="701D40F4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Missing</w:t>
            </w:r>
          </w:p>
        </w:tc>
        <w:tc>
          <w:tcPr>
            <w:tcW w:w="1499" w:type="dxa"/>
            <w:shd w:val="clear" w:color="auto" w:fill="auto"/>
          </w:tcPr>
          <w:p w14:paraId="21AF7BE4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6430A5E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(1.7)</w:t>
            </w:r>
          </w:p>
          <w:p w14:paraId="39589097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(1.7)</w:t>
            </w:r>
          </w:p>
          <w:p w14:paraId="15AFC142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20 (33.9)</w:t>
            </w:r>
          </w:p>
          <w:p w14:paraId="1295B0A2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21 (35.6)</w:t>
            </w:r>
          </w:p>
          <w:p w14:paraId="13A5FE69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12 (20.3)</w:t>
            </w:r>
          </w:p>
          <w:p w14:paraId="621DC787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 (6.8)</w:t>
            </w:r>
          </w:p>
        </w:tc>
      </w:tr>
      <w:tr w:rsidR="00400084" w:rsidRPr="00541840" w14:paraId="7B98DBC7" w14:textId="77777777" w:rsidTr="00822A5D">
        <w:tc>
          <w:tcPr>
            <w:tcW w:w="6264" w:type="dxa"/>
            <w:shd w:val="clear" w:color="auto" w:fill="auto"/>
            <w:vAlign w:val="center"/>
          </w:tcPr>
          <w:p w14:paraId="5E9C6595" w14:textId="77777777" w:rsidR="00400084" w:rsidRPr="00541840" w:rsidRDefault="00400084" w:rsidP="00822A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Quality of mesorectum</w:t>
            </w:r>
            <w:r w:rsidR="00720A9B" w:rsidRPr="00541840">
              <w:rPr>
                <w:rFonts w:ascii="Book Antiqua" w:hAnsi="Book Antiqua"/>
                <w:vertAlign w:val="superscript"/>
                <w:lang w:val="en-GB"/>
              </w:rPr>
              <w:t>[20-23]</w:t>
            </w:r>
          </w:p>
          <w:p w14:paraId="30F1E02B" w14:textId="2D51CB60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G</w:t>
            </w:r>
            <w:r w:rsidR="00400084" w:rsidRPr="003D4281">
              <w:rPr>
                <w:rFonts w:ascii="Book Antiqua" w:hAnsi="Book Antiqua"/>
                <w:lang w:val="en-GB"/>
              </w:rPr>
              <w:t>ood</w:t>
            </w:r>
            <w:r w:rsidR="00720A9B" w:rsidRPr="003D4281">
              <w:rPr>
                <w:rFonts w:ascii="Book Antiqua" w:hAnsi="Book Antiqua"/>
                <w:lang w:val="en-GB"/>
              </w:rPr>
              <w:t>/complete</w:t>
            </w:r>
          </w:p>
          <w:p w14:paraId="4A319FB2" w14:textId="35F3E995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P</w:t>
            </w:r>
            <w:r w:rsidR="00400084" w:rsidRPr="003D4281">
              <w:rPr>
                <w:rFonts w:ascii="Book Antiqua" w:hAnsi="Book Antiqua"/>
                <w:lang w:val="en-GB"/>
              </w:rPr>
              <w:t>artially good</w:t>
            </w:r>
            <w:r w:rsidR="00720A9B" w:rsidRPr="003D4281">
              <w:rPr>
                <w:rFonts w:ascii="Book Antiqua" w:hAnsi="Book Antiqua"/>
                <w:lang w:val="en-GB"/>
              </w:rPr>
              <w:t>/near complete</w:t>
            </w:r>
          </w:p>
          <w:p w14:paraId="6CC853D7" w14:textId="6954CC72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B</w:t>
            </w:r>
            <w:r w:rsidR="00400084" w:rsidRPr="003D4281">
              <w:rPr>
                <w:rFonts w:ascii="Book Antiqua" w:hAnsi="Book Antiqua"/>
                <w:lang w:val="en-GB"/>
              </w:rPr>
              <w:t>ad</w:t>
            </w:r>
            <w:r w:rsidR="00720A9B" w:rsidRPr="003D4281">
              <w:rPr>
                <w:rFonts w:ascii="Book Antiqua" w:hAnsi="Book Antiqua"/>
                <w:lang w:val="en-GB"/>
              </w:rPr>
              <w:t>/incomplete</w:t>
            </w:r>
          </w:p>
          <w:p w14:paraId="5C4559B0" w14:textId="75343104" w:rsidR="00400084" w:rsidRPr="003D4281" w:rsidRDefault="003D4281" w:rsidP="005B0C39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lastRenderedPageBreak/>
              <w:t>M</w:t>
            </w:r>
            <w:r w:rsidR="00400084" w:rsidRPr="003D4281">
              <w:rPr>
                <w:rFonts w:ascii="Book Antiqua" w:hAnsi="Book Antiqua"/>
                <w:lang w:val="en-GB"/>
              </w:rPr>
              <w:t>issing</w:t>
            </w:r>
          </w:p>
        </w:tc>
        <w:tc>
          <w:tcPr>
            <w:tcW w:w="1499" w:type="dxa"/>
            <w:shd w:val="clear" w:color="auto" w:fill="auto"/>
          </w:tcPr>
          <w:p w14:paraId="6B8E951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57F9AF1A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61 (74.4)</w:t>
            </w:r>
          </w:p>
          <w:p w14:paraId="20BF5116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9 (11)</w:t>
            </w:r>
          </w:p>
          <w:p w14:paraId="66968E42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8 (9.8)</w:t>
            </w:r>
          </w:p>
          <w:p w14:paraId="38DC6EF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lastRenderedPageBreak/>
              <w:t>4 (4.9)</w:t>
            </w:r>
          </w:p>
        </w:tc>
      </w:tr>
    </w:tbl>
    <w:p w14:paraId="3E7ED1C1" w14:textId="59689D21" w:rsidR="003D4281" w:rsidRDefault="003D4281" w:rsidP="003D428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541840">
        <w:rPr>
          <w:rFonts w:ascii="Book Antiqua" w:hAnsi="Book Antiqua"/>
          <w:lang w:val="en-GB"/>
        </w:rPr>
        <w:lastRenderedPageBreak/>
        <w:t>Data are expressed as numbe</w:t>
      </w:r>
      <w:r>
        <w:rPr>
          <w:rFonts w:ascii="Book Antiqua" w:hAnsi="Book Antiqua"/>
          <w:lang w:val="en-GB"/>
        </w:rPr>
        <w:t>r of patients (%) or median (25-75</w:t>
      </w:r>
      <w:r w:rsidRPr="00541840">
        <w:rPr>
          <w:rFonts w:ascii="Book Antiqua" w:hAnsi="Book Antiqua"/>
          <w:lang w:val="en-GB"/>
        </w:rPr>
        <w:t xml:space="preserve"> percentiles).</w:t>
      </w:r>
    </w:p>
    <w:p w14:paraId="1D60D26F" w14:textId="77777777" w:rsidR="003D4281" w:rsidRDefault="003D4281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77E64EC4" w14:textId="1C4DB2F3" w:rsidR="00400084" w:rsidRPr="003D4281" w:rsidRDefault="003D4281" w:rsidP="003D428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r w:rsidRPr="00541840">
        <w:rPr>
          <w:rFonts w:ascii="Book Antiqua" w:hAnsi="Book Antiqua"/>
          <w:b/>
          <w:lang w:val="en-GB"/>
        </w:rPr>
        <w:lastRenderedPageBreak/>
        <w:t>Table 4</w:t>
      </w:r>
      <w:r>
        <w:rPr>
          <w:rFonts w:ascii="Book Antiqua" w:hAnsi="Book Antiqua"/>
          <w:b/>
          <w:lang w:val="en-GB"/>
        </w:rPr>
        <w:t xml:space="preserve"> </w:t>
      </w:r>
      <w:r w:rsidRPr="003D4281">
        <w:rPr>
          <w:rFonts w:ascii="Book Antiqua" w:hAnsi="Book Antiqua"/>
          <w:b/>
          <w:lang w:val="en-GB"/>
        </w:rPr>
        <w:t>Propensity-matched analysis</w:t>
      </w:r>
      <w:r>
        <w:rPr>
          <w:rFonts w:ascii="Book Antiqua" w:hAnsi="Book Antiqua"/>
          <w:b/>
          <w:lang w:val="en-GB"/>
        </w:rPr>
        <w:t xml:space="preserve"> </w:t>
      </w:r>
      <w:r>
        <w:rPr>
          <w:rFonts w:ascii="Book Antiqua" w:hAnsi="Book Antiqua"/>
          <w:b/>
          <w:i/>
          <w:lang w:val="en-GB"/>
        </w:rPr>
        <w:t>n</w:t>
      </w:r>
      <w:r>
        <w:rPr>
          <w:rFonts w:ascii="Book Antiqua" w:hAnsi="Book Antiqua"/>
          <w:b/>
          <w:lang w:val="en-GB"/>
        </w:rPr>
        <w:t xml:space="preserve"> (%)</w:t>
      </w:r>
    </w:p>
    <w:tbl>
      <w:tblPr>
        <w:tblW w:w="9673" w:type="dxa"/>
        <w:tblInd w:w="-45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03"/>
        <w:gridCol w:w="2123"/>
        <w:gridCol w:w="1512"/>
      </w:tblGrid>
      <w:tr w:rsidR="00400084" w:rsidRPr="00541840" w14:paraId="024E7F70" w14:textId="77777777" w:rsidTr="003D4281">
        <w:trPr>
          <w:trHeight w:val="391"/>
          <w:tblHeader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7223A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8C6DC" w14:textId="77777777" w:rsidR="00400084" w:rsidRPr="00541840" w:rsidRDefault="00E13A10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541840">
              <w:rPr>
                <w:rFonts w:ascii="Book Antiqua" w:hAnsi="Book Antiqua"/>
                <w:b/>
                <w:lang w:val="en-GB"/>
              </w:rPr>
              <w:t>Pelvic Exenteration</w:t>
            </w:r>
          </w:p>
          <w:p w14:paraId="2BE1E42D" w14:textId="6727ADD2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3D4281">
              <w:rPr>
                <w:rFonts w:ascii="Book Antiqua" w:hAnsi="Book Antiqua"/>
                <w:b/>
                <w:i/>
                <w:lang w:val="en-GB"/>
              </w:rPr>
              <w:t>n</w:t>
            </w:r>
            <w:r w:rsidR="003D4281" w:rsidRPr="003D4281">
              <w:rPr>
                <w:rFonts w:ascii="Book Antiqua" w:hAnsi="Book Antiqua"/>
                <w:b/>
                <w:i/>
                <w:lang w:val="en-GB"/>
              </w:rPr>
              <w:t xml:space="preserve"> </w:t>
            </w:r>
            <w:r w:rsidRPr="00541840">
              <w:rPr>
                <w:rFonts w:ascii="Book Antiqua" w:hAnsi="Book Antiqua"/>
                <w:b/>
                <w:lang w:val="en-GB"/>
              </w:rPr>
              <w:t>=</w:t>
            </w:r>
            <w:r w:rsidR="003D4281"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541840">
              <w:rPr>
                <w:rFonts w:ascii="Book Antiqua" w:hAnsi="Book Antiqua"/>
                <w:b/>
                <w:lang w:val="en-GB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6EBD" w14:textId="77777777" w:rsidR="00400084" w:rsidRPr="00541840" w:rsidRDefault="00E13A10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b/>
                <w:color w:val="000000"/>
                <w:lang w:val="en-GB"/>
              </w:rPr>
              <w:t>Non-</w:t>
            </w:r>
            <w:proofErr w:type="spellStart"/>
            <w:r w:rsidRPr="00541840">
              <w:rPr>
                <w:rFonts w:ascii="Book Antiqua" w:hAnsi="Book Antiqua"/>
                <w:b/>
                <w:color w:val="000000"/>
                <w:lang w:val="en-GB"/>
              </w:rPr>
              <w:t>Exenterative</w:t>
            </w:r>
            <w:proofErr w:type="spellEnd"/>
            <w:r w:rsidRPr="00541840">
              <w:rPr>
                <w:rFonts w:ascii="Book Antiqua" w:hAnsi="Book Antiqua"/>
                <w:b/>
                <w:color w:val="000000"/>
                <w:lang w:val="en-GB"/>
              </w:rPr>
              <w:t xml:space="preserve"> Total </w:t>
            </w:r>
            <w:proofErr w:type="spellStart"/>
            <w:r w:rsidRPr="00541840">
              <w:rPr>
                <w:rFonts w:ascii="Book Antiqua" w:hAnsi="Book Antiqua"/>
                <w:b/>
                <w:color w:val="000000"/>
                <w:lang w:val="en-GB"/>
              </w:rPr>
              <w:t>Mesorectal</w:t>
            </w:r>
            <w:proofErr w:type="spellEnd"/>
            <w:r w:rsidRPr="00541840">
              <w:rPr>
                <w:rFonts w:ascii="Book Antiqua" w:hAnsi="Book Antiqua"/>
                <w:b/>
                <w:color w:val="000000"/>
                <w:lang w:val="en-GB"/>
              </w:rPr>
              <w:t xml:space="preserve"> Excision</w:t>
            </w:r>
          </w:p>
          <w:p w14:paraId="2FD3FAB7" w14:textId="0C961200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color w:val="000000"/>
                <w:lang w:val="en-GB"/>
              </w:rPr>
            </w:pPr>
            <w:r w:rsidRPr="003D4281">
              <w:rPr>
                <w:rFonts w:ascii="Book Antiqua" w:hAnsi="Book Antiqua"/>
                <w:b/>
                <w:i/>
                <w:color w:val="000000"/>
                <w:lang w:val="en-GB"/>
              </w:rPr>
              <w:t>n</w:t>
            </w:r>
            <w:r w:rsidR="003D4281">
              <w:rPr>
                <w:rFonts w:ascii="Book Antiqua" w:hAnsi="Book Antiqua"/>
                <w:b/>
                <w:color w:val="000000"/>
                <w:lang w:val="en-GB"/>
              </w:rPr>
              <w:t xml:space="preserve"> </w:t>
            </w:r>
            <w:r w:rsidRPr="00541840">
              <w:rPr>
                <w:rFonts w:ascii="Book Antiqua" w:hAnsi="Book Antiqua"/>
                <w:b/>
                <w:color w:val="000000"/>
                <w:lang w:val="en-GB"/>
              </w:rPr>
              <w:t>=</w:t>
            </w:r>
            <w:r w:rsidR="003D4281">
              <w:rPr>
                <w:rFonts w:ascii="Book Antiqua" w:hAnsi="Book Antiqua"/>
                <w:b/>
                <w:color w:val="000000"/>
                <w:lang w:val="en-GB"/>
              </w:rPr>
              <w:t xml:space="preserve"> </w:t>
            </w:r>
            <w:r w:rsidRPr="00541840">
              <w:rPr>
                <w:rFonts w:ascii="Book Antiqua" w:hAnsi="Book Antiqua"/>
                <w:b/>
                <w:color w:val="000000"/>
                <w:lang w:val="en-GB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5FED7" w14:textId="19229FCB" w:rsidR="00400084" w:rsidRPr="00541840" w:rsidRDefault="003D4281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3D4281">
              <w:rPr>
                <w:rFonts w:ascii="Book Antiqua" w:hAnsi="Book Antiqua"/>
                <w:b/>
                <w:i/>
                <w:color w:val="000000"/>
                <w:lang w:val="en-GB"/>
              </w:rPr>
              <w:t>P</w:t>
            </w:r>
            <w:r>
              <w:rPr>
                <w:rFonts w:ascii="Book Antiqua" w:hAnsi="Book Antiqua"/>
                <w:b/>
                <w:color w:val="000000"/>
                <w:lang w:val="en-GB"/>
              </w:rPr>
              <w:t xml:space="preserve"> </w:t>
            </w:r>
            <w:r w:rsidR="00400084" w:rsidRPr="00541840">
              <w:rPr>
                <w:rFonts w:ascii="Book Antiqua" w:hAnsi="Book Antiqua"/>
                <w:b/>
                <w:color w:val="000000"/>
                <w:lang w:val="en-GB"/>
              </w:rPr>
              <w:t>value</w:t>
            </w:r>
          </w:p>
        </w:tc>
      </w:tr>
      <w:tr w:rsidR="00400084" w:rsidRPr="003D4281" w14:paraId="172B7EEA" w14:textId="77777777" w:rsidTr="003D4281">
        <w:trPr>
          <w:trHeight w:val="279"/>
        </w:trPr>
        <w:tc>
          <w:tcPr>
            <w:tcW w:w="4435" w:type="dxa"/>
            <w:tcBorders>
              <w:top w:val="single" w:sz="4" w:space="0" w:color="auto"/>
            </w:tcBorders>
            <w:shd w:val="clear" w:color="auto" w:fill="auto"/>
          </w:tcPr>
          <w:p w14:paraId="187B8C95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Male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14:paraId="56CD000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18 (58.1)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14:paraId="118608F9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13 (52)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14:paraId="5E12ED6E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0.208</w:t>
            </w:r>
          </w:p>
        </w:tc>
      </w:tr>
      <w:tr w:rsidR="00400084" w:rsidRPr="003D4281" w14:paraId="602845D3" w14:textId="77777777" w:rsidTr="003D4281">
        <w:trPr>
          <w:trHeight w:val="391"/>
        </w:trPr>
        <w:tc>
          <w:tcPr>
            <w:tcW w:w="4435" w:type="dxa"/>
            <w:shd w:val="clear" w:color="auto" w:fill="auto"/>
          </w:tcPr>
          <w:p w14:paraId="7AB08456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Age at surgery</w:t>
            </w:r>
          </w:p>
        </w:tc>
        <w:tc>
          <w:tcPr>
            <w:tcW w:w="1603" w:type="dxa"/>
            <w:shd w:val="clear" w:color="auto" w:fill="auto"/>
          </w:tcPr>
          <w:p w14:paraId="60D1D352" w14:textId="36C25B4C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63.1 ± 8.6</w:t>
            </w:r>
          </w:p>
        </w:tc>
        <w:tc>
          <w:tcPr>
            <w:tcW w:w="2123" w:type="dxa"/>
            <w:shd w:val="clear" w:color="auto" w:fill="auto"/>
          </w:tcPr>
          <w:p w14:paraId="6CA4E932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62.3 ± 13.7</w:t>
            </w:r>
          </w:p>
        </w:tc>
        <w:tc>
          <w:tcPr>
            <w:tcW w:w="1512" w:type="dxa"/>
            <w:shd w:val="clear" w:color="auto" w:fill="auto"/>
          </w:tcPr>
          <w:p w14:paraId="0D931F66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0.794</w:t>
            </w:r>
          </w:p>
        </w:tc>
      </w:tr>
      <w:tr w:rsidR="00400084" w:rsidRPr="003D4281" w14:paraId="0180C797" w14:textId="77777777" w:rsidTr="003D4281">
        <w:trPr>
          <w:trHeight w:val="391"/>
        </w:trPr>
        <w:tc>
          <w:tcPr>
            <w:tcW w:w="4435" w:type="dxa"/>
            <w:shd w:val="clear" w:color="auto" w:fill="auto"/>
          </w:tcPr>
          <w:p w14:paraId="040B8B38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ASA score</w:t>
            </w:r>
          </w:p>
          <w:p w14:paraId="49E89578" w14:textId="52C9B2D7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I</w:t>
            </w:r>
          </w:p>
          <w:p w14:paraId="7ABB0A49" w14:textId="1EDECE9B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II</w:t>
            </w:r>
          </w:p>
          <w:p w14:paraId="74868FB9" w14:textId="64A8C462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III</w:t>
            </w:r>
          </w:p>
          <w:p w14:paraId="69449A20" w14:textId="3982C6A8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IV</w:t>
            </w:r>
          </w:p>
        </w:tc>
        <w:tc>
          <w:tcPr>
            <w:tcW w:w="1603" w:type="dxa"/>
            <w:shd w:val="clear" w:color="auto" w:fill="auto"/>
          </w:tcPr>
          <w:p w14:paraId="07D9A973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444662DD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(3.8)</w:t>
            </w:r>
          </w:p>
          <w:p w14:paraId="5B4B9A1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11 (42.3)</w:t>
            </w:r>
          </w:p>
          <w:p w14:paraId="7E625996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12 (46.2)</w:t>
            </w:r>
          </w:p>
          <w:p w14:paraId="1E13C069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(7.7)</w:t>
            </w:r>
          </w:p>
        </w:tc>
        <w:tc>
          <w:tcPr>
            <w:tcW w:w="2123" w:type="dxa"/>
            <w:shd w:val="clear" w:color="auto" w:fill="auto"/>
          </w:tcPr>
          <w:p w14:paraId="76C94BCA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</w:p>
          <w:p w14:paraId="236D87CF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 (4)</w:t>
            </w:r>
          </w:p>
          <w:p w14:paraId="3BFFDAC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11 (44)</w:t>
            </w:r>
          </w:p>
          <w:p w14:paraId="6177EDAF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12 (48)</w:t>
            </w:r>
          </w:p>
          <w:p w14:paraId="50E64F08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 (4)</w:t>
            </w:r>
          </w:p>
        </w:tc>
        <w:tc>
          <w:tcPr>
            <w:tcW w:w="1512" w:type="dxa"/>
            <w:shd w:val="clear" w:color="auto" w:fill="auto"/>
          </w:tcPr>
          <w:p w14:paraId="2E72B46F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0.957</w:t>
            </w:r>
          </w:p>
        </w:tc>
      </w:tr>
      <w:tr w:rsidR="00400084" w:rsidRPr="003D4281" w14:paraId="11E8C3B8" w14:textId="77777777" w:rsidTr="003D4281">
        <w:trPr>
          <w:trHeight w:val="376"/>
        </w:trPr>
        <w:tc>
          <w:tcPr>
            <w:tcW w:w="4435" w:type="dxa"/>
            <w:shd w:val="clear" w:color="auto" w:fill="auto"/>
          </w:tcPr>
          <w:p w14:paraId="4475A759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Obstruction</w:t>
            </w:r>
          </w:p>
        </w:tc>
        <w:tc>
          <w:tcPr>
            <w:tcW w:w="1603" w:type="dxa"/>
            <w:shd w:val="clear" w:color="auto" w:fill="auto"/>
          </w:tcPr>
          <w:p w14:paraId="70A1E3B6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(3.8)</w:t>
            </w:r>
          </w:p>
        </w:tc>
        <w:tc>
          <w:tcPr>
            <w:tcW w:w="2123" w:type="dxa"/>
            <w:shd w:val="clear" w:color="auto" w:fill="auto"/>
          </w:tcPr>
          <w:p w14:paraId="0DA9B56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42A0123F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0.322</w:t>
            </w:r>
          </w:p>
        </w:tc>
      </w:tr>
      <w:tr w:rsidR="00400084" w:rsidRPr="003D4281" w14:paraId="0BE02971" w14:textId="77777777" w:rsidTr="003D4281">
        <w:trPr>
          <w:trHeight w:val="391"/>
        </w:trPr>
        <w:tc>
          <w:tcPr>
            <w:tcW w:w="4435" w:type="dxa"/>
            <w:shd w:val="clear" w:color="auto" w:fill="auto"/>
          </w:tcPr>
          <w:p w14:paraId="29A9329A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Neoadjuvant treatment</w:t>
            </w:r>
          </w:p>
        </w:tc>
        <w:tc>
          <w:tcPr>
            <w:tcW w:w="1603" w:type="dxa"/>
            <w:shd w:val="clear" w:color="auto" w:fill="auto"/>
          </w:tcPr>
          <w:p w14:paraId="5B06FFBB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21 (80.8)</w:t>
            </w:r>
          </w:p>
        </w:tc>
        <w:tc>
          <w:tcPr>
            <w:tcW w:w="2123" w:type="dxa"/>
            <w:shd w:val="clear" w:color="auto" w:fill="auto"/>
          </w:tcPr>
          <w:p w14:paraId="368D9535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21 (84)</w:t>
            </w:r>
          </w:p>
        </w:tc>
        <w:tc>
          <w:tcPr>
            <w:tcW w:w="1512" w:type="dxa"/>
            <w:shd w:val="clear" w:color="auto" w:fill="auto"/>
          </w:tcPr>
          <w:p w14:paraId="70A1D7C9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0.762</w:t>
            </w:r>
          </w:p>
        </w:tc>
      </w:tr>
      <w:tr w:rsidR="00400084" w:rsidRPr="003D4281" w14:paraId="3F98041A" w14:textId="77777777" w:rsidTr="003D4281">
        <w:trPr>
          <w:trHeight w:val="470"/>
        </w:trPr>
        <w:tc>
          <w:tcPr>
            <w:tcW w:w="4435" w:type="dxa"/>
            <w:shd w:val="clear" w:color="auto" w:fill="auto"/>
          </w:tcPr>
          <w:p w14:paraId="31A28B6D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Adjuvant treatment</w:t>
            </w:r>
          </w:p>
        </w:tc>
        <w:tc>
          <w:tcPr>
            <w:tcW w:w="1603" w:type="dxa"/>
            <w:shd w:val="clear" w:color="auto" w:fill="auto"/>
          </w:tcPr>
          <w:p w14:paraId="43CB90FD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19 (73.1)</w:t>
            </w:r>
          </w:p>
        </w:tc>
        <w:tc>
          <w:tcPr>
            <w:tcW w:w="2123" w:type="dxa"/>
            <w:shd w:val="clear" w:color="auto" w:fill="auto"/>
          </w:tcPr>
          <w:p w14:paraId="7386232E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21 (84)</w:t>
            </w:r>
          </w:p>
        </w:tc>
        <w:tc>
          <w:tcPr>
            <w:tcW w:w="1512" w:type="dxa"/>
            <w:shd w:val="clear" w:color="auto" w:fill="auto"/>
          </w:tcPr>
          <w:p w14:paraId="7C00A3C7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0.343</w:t>
            </w:r>
          </w:p>
        </w:tc>
      </w:tr>
      <w:tr w:rsidR="00400084" w:rsidRPr="003D4281" w14:paraId="414609AF" w14:textId="77777777" w:rsidTr="003D4281">
        <w:trPr>
          <w:trHeight w:val="391"/>
        </w:trPr>
        <w:tc>
          <w:tcPr>
            <w:tcW w:w="4435" w:type="dxa"/>
            <w:shd w:val="clear" w:color="auto" w:fill="auto"/>
          </w:tcPr>
          <w:p w14:paraId="45E22832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Anastomosis</w:t>
            </w:r>
          </w:p>
        </w:tc>
        <w:tc>
          <w:tcPr>
            <w:tcW w:w="1603" w:type="dxa"/>
            <w:shd w:val="clear" w:color="auto" w:fill="auto"/>
          </w:tcPr>
          <w:p w14:paraId="102CDC56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(3.8)</w:t>
            </w:r>
          </w:p>
        </w:tc>
        <w:tc>
          <w:tcPr>
            <w:tcW w:w="2123" w:type="dxa"/>
            <w:shd w:val="clear" w:color="auto" w:fill="auto"/>
          </w:tcPr>
          <w:p w14:paraId="240D7E60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20 (80)</w:t>
            </w:r>
          </w:p>
        </w:tc>
        <w:tc>
          <w:tcPr>
            <w:tcW w:w="1512" w:type="dxa"/>
            <w:shd w:val="clear" w:color="auto" w:fill="auto"/>
          </w:tcPr>
          <w:p w14:paraId="34B5E604" w14:textId="78445084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&lt;</w:t>
            </w:r>
            <w:r w:rsidR="003D4281" w:rsidRPr="003D4281">
              <w:rPr>
                <w:rFonts w:ascii="Book Antiqua" w:hAnsi="Book Antiqua"/>
                <w:lang w:val="en-GB"/>
              </w:rPr>
              <w:t xml:space="preserve"> </w:t>
            </w:r>
            <w:r w:rsidRPr="003D4281">
              <w:rPr>
                <w:rFonts w:ascii="Book Antiqua" w:hAnsi="Book Antiqua"/>
                <w:lang w:val="en-GB"/>
              </w:rPr>
              <w:t>0.001</w:t>
            </w:r>
            <w:r w:rsidR="005A461F" w:rsidRPr="003D4281">
              <w:rPr>
                <w:rFonts w:ascii="Book Antiqua" w:hAnsi="Book Antiqua"/>
                <w:vertAlign w:val="superscript"/>
                <w:lang w:val="en-GB"/>
              </w:rPr>
              <w:t>a</w:t>
            </w:r>
          </w:p>
        </w:tc>
      </w:tr>
      <w:tr w:rsidR="00400084" w:rsidRPr="003D4281" w14:paraId="7D0E8EE4" w14:textId="77777777" w:rsidTr="003D4281">
        <w:trPr>
          <w:trHeight w:val="391"/>
        </w:trPr>
        <w:tc>
          <w:tcPr>
            <w:tcW w:w="4435" w:type="dxa"/>
            <w:shd w:val="clear" w:color="auto" w:fill="auto"/>
          </w:tcPr>
          <w:p w14:paraId="36EE5D6F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T Stage</w:t>
            </w:r>
          </w:p>
          <w:p w14:paraId="71834383" w14:textId="690BF9D0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pT3a,b</w:t>
            </w:r>
          </w:p>
          <w:p w14:paraId="53C1F0C6" w14:textId="0B7B9827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pT3c,d</w:t>
            </w:r>
          </w:p>
          <w:p w14:paraId="523EC341" w14:textId="1F88BFC0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pT4a</w:t>
            </w:r>
          </w:p>
          <w:p w14:paraId="4CD580F6" w14:textId="5C30E956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pT4b</w:t>
            </w:r>
          </w:p>
          <w:p w14:paraId="35C129DF" w14:textId="5B74781C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3D4281">
              <w:rPr>
                <w:rFonts w:ascii="Book Antiqua" w:hAnsi="Book Antiqua"/>
                <w:lang w:val="en-GB"/>
              </w:rPr>
              <w:t>pTx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14:paraId="4E7014F2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</w:p>
          <w:p w14:paraId="3CE065F3" w14:textId="6BD6D8FC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(3.8)</w:t>
            </w:r>
          </w:p>
          <w:p w14:paraId="07B3F38C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6 (23.1)</w:t>
            </w:r>
          </w:p>
          <w:p w14:paraId="1D92F44A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7 (26.9)</w:t>
            </w:r>
          </w:p>
          <w:p w14:paraId="29B277BA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11 (42.3)</w:t>
            </w:r>
          </w:p>
          <w:p w14:paraId="3EA7E0EE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 (3.8)</w:t>
            </w:r>
          </w:p>
        </w:tc>
        <w:tc>
          <w:tcPr>
            <w:tcW w:w="2123" w:type="dxa"/>
            <w:shd w:val="clear" w:color="auto" w:fill="auto"/>
          </w:tcPr>
          <w:p w14:paraId="496CD37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</w:p>
          <w:p w14:paraId="6EF86CBE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 (4)</w:t>
            </w:r>
          </w:p>
          <w:p w14:paraId="4B7094EE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6 (24)</w:t>
            </w:r>
          </w:p>
          <w:p w14:paraId="390E5B7B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7 (28)</w:t>
            </w:r>
          </w:p>
          <w:p w14:paraId="76D86289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11 (44)</w:t>
            </w:r>
          </w:p>
          <w:p w14:paraId="66490E57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1BB80117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0.913</w:t>
            </w:r>
          </w:p>
        </w:tc>
      </w:tr>
      <w:tr w:rsidR="00400084" w:rsidRPr="003D4281" w14:paraId="5941E456" w14:textId="77777777" w:rsidTr="003D4281">
        <w:trPr>
          <w:trHeight w:val="391"/>
        </w:trPr>
        <w:tc>
          <w:tcPr>
            <w:tcW w:w="4435" w:type="dxa"/>
            <w:shd w:val="clear" w:color="auto" w:fill="auto"/>
          </w:tcPr>
          <w:p w14:paraId="328CC23B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Resection margins involved</w:t>
            </w:r>
          </w:p>
        </w:tc>
        <w:tc>
          <w:tcPr>
            <w:tcW w:w="1603" w:type="dxa"/>
            <w:shd w:val="clear" w:color="auto" w:fill="auto"/>
          </w:tcPr>
          <w:p w14:paraId="5D041F95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5 (19)</w:t>
            </w:r>
          </w:p>
        </w:tc>
        <w:tc>
          <w:tcPr>
            <w:tcW w:w="2123" w:type="dxa"/>
            <w:shd w:val="clear" w:color="auto" w:fill="auto"/>
          </w:tcPr>
          <w:p w14:paraId="023C8248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7 (28)</w:t>
            </w:r>
          </w:p>
        </w:tc>
        <w:tc>
          <w:tcPr>
            <w:tcW w:w="1512" w:type="dxa"/>
            <w:shd w:val="clear" w:color="auto" w:fill="auto"/>
          </w:tcPr>
          <w:p w14:paraId="665EADE4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0.426</w:t>
            </w:r>
          </w:p>
        </w:tc>
      </w:tr>
      <w:tr w:rsidR="00400084" w:rsidRPr="003D4281" w14:paraId="11C94945" w14:textId="77777777" w:rsidTr="003D4281">
        <w:trPr>
          <w:trHeight w:val="311"/>
        </w:trPr>
        <w:tc>
          <w:tcPr>
            <w:tcW w:w="4435" w:type="dxa"/>
            <w:shd w:val="clear" w:color="auto" w:fill="auto"/>
          </w:tcPr>
          <w:p w14:paraId="4FE1A649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Perforation</w:t>
            </w:r>
          </w:p>
        </w:tc>
        <w:tc>
          <w:tcPr>
            <w:tcW w:w="1603" w:type="dxa"/>
            <w:shd w:val="clear" w:color="auto" w:fill="auto"/>
          </w:tcPr>
          <w:p w14:paraId="1EB51FB4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 (7.7)</w:t>
            </w:r>
          </w:p>
        </w:tc>
        <w:tc>
          <w:tcPr>
            <w:tcW w:w="2123" w:type="dxa"/>
            <w:shd w:val="clear" w:color="auto" w:fill="auto"/>
          </w:tcPr>
          <w:p w14:paraId="258E066C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 (16)</w:t>
            </w:r>
          </w:p>
        </w:tc>
        <w:tc>
          <w:tcPr>
            <w:tcW w:w="1512" w:type="dxa"/>
            <w:shd w:val="clear" w:color="auto" w:fill="auto"/>
          </w:tcPr>
          <w:p w14:paraId="54992264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0.357</w:t>
            </w:r>
          </w:p>
        </w:tc>
      </w:tr>
      <w:tr w:rsidR="00400084" w:rsidRPr="003D4281" w14:paraId="7A08AE78" w14:textId="77777777" w:rsidTr="003D4281">
        <w:trPr>
          <w:trHeight w:val="303"/>
        </w:trPr>
        <w:tc>
          <w:tcPr>
            <w:tcW w:w="4435" w:type="dxa"/>
            <w:shd w:val="clear" w:color="auto" w:fill="auto"/>
          </w:tcPr>
          <w:p w14:paraId="720CA7F7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Transfusions</w:t>
            </w:r>
          </w:p>
        </w:tc>
        <w:tc>
          <w:tcPr>
            <w:tcW w:w="1603" w:type="dxa"/>
            <w:shd w:val="clear" w:color="auto" w:fill="auto"/>
          </w:tcPr>
          <w:p w14:paraId="6A94AF0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2.6 ± 2.4</w:t>
            </w:r>
          </w:p>
        </w:tc>
        <w:tc>
          <w:tcPr>
            <w:tcW w:w="2123" w:type="dxa"/>
            <w:shd w:val="clear" w:color="auto" w:fill="auto"/>
          </w:tcPr>
          <w:p w14:paraId="650AB85D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1.12 ± 2.4</w:t>
            </w:r>
          </w:p>
        </w:tc>
        <w:tc>
          <w:tcPr>
            <w:tcW w:w="1512" w:type="dxa"/>
            <w:shd w:val="clear" w:color="auto" w:fill="auto"/>
          </w:tcPr>
          <w:p w14:paraId="674FC36A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0.035</w:t>
            </w:r>
            <w:r w:rsidR="005A461F" w:rsidRPr="003D4281">
              <w:rPr>
                <w:rFonts w:ascii="Book Antiqua" w:hAnsi="Book Antiqua"/>
                <w:vertAlign w:val="superscript"/>
                <w:lang w:val="en-GB"/>
              </w:rPr>
              <w:t>a</w:t>
            </w:r>
          </w:p>
        </w:tc>
      </w:tr>
      <w:tr w:rsidR="00400084" w:rsidRPr="003D4281" w14:paraId="3F236B79" w14:textId="77777777" w:rsidTr="003D4281">
        <w:trPr>
          <w:trHeight w:val="391"/>
        </w:trPr>
        <w:tc>
          <w:tcPr>
            <w:tcW w:w="4435" w:type="dxa"/>
            <w:shd w:val="clear" w:color="auto" w:fill="auto"/>
          </w:tcPr>
          <w:p w14:paraId="3A1A2030" w14:textId="77777777" w:rsidR="00400084" w:rsidRPr="00541840" w:rsidRDefault="00400084" w:rsidP="00086F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Quality of the mesorectum</w:t>
            </w:r>
            <w:r w:rsidR="00720A9B" w:rsidRPr="00541840">
              <w:rPr>
                <w:rFonts w:ascii="Book Antiqua" w:hAnsi="Book Antiqua"/>
                <w:color w:val="000000"/>
                <w:vertAlign w:val="superscript"/>
                <w:lang w:val="en-GB"/>
              </w:rPr>
              <w:t>[20-23]</w:t>
            </w:r>
          </w:p>
          <w:p w14:paraId="1751AF2D" w14:textId="1E30AB48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Good</w:t>
            </w:r>
            <w:r w:rsidR="0072094A" w:rsidRPr="003D4281">
              <w:rPr>
                <w:rFonts w:ascii="Book Antiqua" w:hAnsi="Book Antiqua"/>
                <w:lang w:val="en-GB"/>
              </w:rPr>
              <w:t>/Complete</w:t>
            </w:r>
          </w:p>
          <w:p w14:paraId="33BA0DBE" w14:textId="4C27AC37" w:rsidR="00400084" w:rsidRPr="003D4281" w:rsidRDefault="003D4281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Partially g</w:t>
            </w:r>
            <w:r w:rsidR="00400084" w:rsidRPr="003D4281">
              <w:rPr>
                <w:rFonts w:ascii="Book Antiqua" w:hAnsi="Book Antiqua"/>
                <w:lang w:val="en-GB"/>
              </w:rPr>
              <w:t>ood</w:t>
            </w:r>
            <w:r>
              <w:rPr>
                <w:rFonts w:ascii="Book Antiqua" w:hAnsi="Book Antiqua"/>
                <w:lang w:val="en-GB"/>
              </w:rPr>
              <w:t>/Nearly c</w:t>
            </w:r>
            <w:r w:rsidR="0072094A" w:rsidRPr="003D4281">
              <w:rPr>
                <w:rFonts w:ascii="Book Antiqua" w:hAnsi="Book Antiqua"/>
                <w:lang w:val="en-GB"/>
              </w:rPr>
              <w:t>omplete</w:t>
            </w:r>
          </w:p>
          <w:p w14:paraId="03ADF4F0" w14:textId="2906A9A0" w:rsidR="00400084" w:rsidRPr="003D4281" w:rsidRDefault="00400084" w:rsidP="000F44B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lang w:val="en-GB"/>
              </w:rPr>
              <w:t>Bad</w:t>
            </w:r>
            <w:r w:rsidR="0072094A" w:rsidRPr="003D4281">
              <w:rPr>
                <w:rFonts w:ascii="Book Antiqua" w:hAnsi="Book Antiqua"/>
                <w:lang w:val="en-GB"/>
              </w:rPr>
              <w:t>/Incomplete</w:t>
            </w:r>
          </w:p>
        </w:tc>
        <w:tc>
          <w:tcPr>
            <w:tcW w:w="1603" w:type="dxa"/>
            <w:shd w:val="clear" w:color="auto" w:fill="auto"/>
          </w:tcPr>
          <w:p w14:paraId="439A5688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</w:p>
          <w:p w14:paraId="12F673DA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16 (69.6)</w:t>
            </w:r>
          </w:p>
          <w:p w14:paraId="13C740DF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4 (17.4)</w:t>
            </w:r>
          </w:p>
          <w:p w14:paraId="5E107A36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541840">
              <w:rPr>
                <w:rFonts w:ascii="Book Antiqua" w:hAnsi="Book Antiqua"/>
                <w:lang w:val="en-GB"/>
              </w:rPr>
              <w:t>3 (13)</w:t>
            </w:r>
          </w:p>
        </w:tc>
        <w:tc>
          <w:tcPr>
            <w:tcW w:w="2123" w:type="dxa"/>
            <w:shd w:val="clear" w:color="auto" w:fill="auto"/>
          </w:tcPr>
          <w:p w14:paraId="392D433B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</w:p>
          <w:p w14:paraId="18791191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13 (52)</w:t>
            </w:r>
          </w:p>
          <w:p w14:paraId="77A3A710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8 (32)</w:t>
            </w:r>
          </w:p>
          <w:p w14:paraId="5C4D0447" w14:textId="77777777" w:rsidR="00400084" w:rsidRPr="00541840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color w:val="000000"/>
                <w:lang w:val="en-GB"/>
              </w:rPr>
            </w:pPr>
            <w:r w:rsidRPr="00541840">
              <w:rPr>
                <w:rFonts w:ascii="Book Antiqua" w:hAnsi="Book Antiqua"/>
                <w:color w:val="000000"/>
                <w:lang w:val="en-GB"/>
              </w:rPr>
              <w:t>4 (16)</w:t>
            </w:r>
          </w:p>
        </w:tc>
        <w:tc>
          <w:tcPr>
            <w:tcW w:w="1512" w:type="dxa"/>
            <w:shd w:val="clear" w:color="auto" w:fill="auto"/>
          </w:tcPr>
          <w:p w14:paraId="11A9EE30" w14:textId="77777777" w:rsidR="00400084" w:rsidRPr="003D4281" w:rsidRDefault="00400084" w:rsidP="003D4281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GB"/>
              </w:rPr>
            </w:pPr>
            <w:r w:rsidRPr="003D4281">
              <w:rPr>
                <w:rFonts w:ascii="Book Antiqua" w:hAnsi="Book Antiqua"/>
                <w:color w:val="000000"/>
                <w:lang w:val="en-GB"/>
              </w:rPr>
              <w:t>0.351</w:t>
            </w:r>
          </w:p>
        </w:tc>
      </w:tr>
    </w:tbl>
    <w:p w14:paraId="750AC31C" w14:textId="64A8A3A1" w:rsidR="003D4281" w:rsidRPr="00541840" w:rsidRDefault="003D4281" w:rsidP="003D428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541840">
        <w:rPr>
          <w:rFonts w:ascii="Book Antiqua" w:hAnsi="Book Antiqua"/>
          <w:vertAlign w:val="superscript"/>
          <w:lang w:val="en-GB"/>
        </w:rPr>
        <w:lastRenderedPageBreak/>
        <w:t>a</w:t>
      </w:r>
      <w:r>
        <w:rPr>
          <w:rFonts w:ascii="Book Antiqua" w:hAnsi="Book Antiqua"/>
          <w:i/>
          <w:lang w:val="en-GB"/>
        </w:rPr>
        <w:t>P</w:t>
      </w:r>
      <w:proofErr w:type="spellEnd"/>
      <w:r>
        <w:rPr>
          <w:rFonts w:ascii="Book Antiqua" w:hAnsi="Book Antiqua"/>
          <w:lang w:val="en-GB"/>
        </w:rPr>
        <w:t xml:space="preserve">: </w:t>
      </w:r>
      <w:r w:rsidRPr="00541840">
        <w:rPr>
          <w:rFonts w:ascii="Book Antiqua" w:hAnsi="Book Antiqua"/>
          <w:lang w:val="en-GB"/>
        </w:rPr>
        <w:t>statistically significant</w:t>
      </w:r>
      <w:r>
        <w:rPr>
          <w:rFonts w:ascii="Book Antiqua" w:hAnsi="Book Antiqua"/>
          <w:lang w:val="en-GB"/>
        </w:rPr>
        <w:t xml:space="preserve">. </w:t>
      </w:r>
      <w:r w:rsidRPr="00541840">
        <w:rPr>
          <w:rFonts w:ascii="Book Antiqua" w:hAnsi="Book Antiqua"/>
          <w:lang w:val="en-GB"/>
        </w:rPr>
        <w:t xml:space="preserve">OR: </w:t>
      </w:r>
      <w:r>
        <w:rPr>
          <w:rFonts w:ascii="Book Antiqua" w:hAnsi="Book Antiqua"/>
          <w:lang w:val="en-GB"/>
        </w:rPr>
        <w:t>O</w:t>
      </w:r>
      <w:r w:rsidRPr="00541840">
        <w:rPr>
          <w:rFonts w:ascii="Book Antiqua" w:hAnsi="Book Antiqua"/>
          <w:lang w:val="en-GB"/>
        </w:rPr>
        <w:t>dds ratio; 95%CI: 95% confidence intervals</w:t>
      </w:r>
      <w:r>
        <w:rPr>
          <w:rFonts w:ascii="Book Antiqua" w:hAnsi="Book Antiqua"/>
          <w:lang w:val="en-GB"/>
        </w:rPr>
        <w:t xml:space="preserve">; </w:t>
      </w:r>
      <w:r w:rsidRPr="00541840">
        <w:rPr>
          <w:rFonts w:ascii="Book Antiqua" w:hAnsi="Book Antiqua"/>
          <w:lang w:val="en-GB"/>
        </w:rPr>
        <w:t>ASA: American Society of Anaesthesiologists</w:t>
      </w:r>
      <w:r>
        <w:rPr>
          <w:rFonts w:ascii="Book Antiqua" w:hAnsi="Book Antiqua"/>
          <w:lang w:val="en-GB"/>
        </w:rPr>
        <w:t>.</w:t>
      </w:r>
    </w:p>
    <w:p w14:paraId="04A0EB3C" w14:textId="77777777" w:rsidR="00400084" w:rsidRPr="00541840" w:rsidRDefault="00400084" w:rsidP="00086FF2">
      <w:pPr>
        <w:tabs>
          <w:tab w:val="left" w:pos="1275"/>
        </w:tabs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sectPr w:rsidR="00400084" w:rsidRPr="00541840" w:rsidSect="0063317C">
      <w:headerReference w:type="even" r:id="rId14"/>
      <w:headerReference w:type="default" r:id="rId15"/>
      <w:footerReference w:type="default" r:id="rId16"/>
      <w:endnotePr>
        <w:numFmt w:val="decimal"/>
      </w:endnotePr>
      <w:pgSz w:w="11906" w:h="16838"/>
      <w:pgMar w:top="1417" w:right="1558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49E21" w14:textId="77777777" w:rsidR="004079E2" w:rsidRDefault="004079E2">
      <w:r>
        <w:separator/>
      </w:r>
    </w:p>
  </w:endnote>
  <w:endnote w:type="continuationSeparator" w:id="0">
    <w:p w14:paraId="07A77EC3" w14:textId="77777777" w:rsidR="004079E2" w:rsidRDefault="0040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</w:rPr>
      <w:id w:val="-6048787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01EA6C7" w14:textId="77777777" w:rsidR="00822A5D" w:rsidRDefault="00822A5D">
        <w:pPr>
          <w:pStyle w:val="Footer"/>
          <w:jc w:val="center"/>
        </w:pPr>
        <w:r>
          <w:rPr>
            <w:rFonts w:ascii="Book Antiqua" w:hAnsi="Book Antiqua"/>
            <w:noProof/>
            <w:sz w:val="20"/>
            <w:lang w:val="it-IT"/>
          </w:rPr>
          <w:fldChar w:fldCharType="begin"/>
        </w:r>
        <w:r>
          <w:rPr>
            <w:rFonts w:ascii="Book Antiqua" w:hAnsi="Book Antiqua"/>
            <w:noProof/>
            <w:sz w:val="20"/>
            <w:lang w:val="it-IT"/>
          </w:rPr>
          <w:instrText>PAGE   \* MERGEFORMAT</w:instrText>
        </w:r>
        <w:r>
          <w:rPr>
            <w:rFonts w:ascii="Book Antiqua" w:hAnsi="Book Antiqua"/>
            <w:noProof/>
            <w:sz w:val="20"/>
            <w:lang w:val="it-IT"/>
          </w:rPr>
          <w:fldChar w:fldCharType="separate"/>
        </w:r>
        <w:r w:rsidR="000F44B7">
          <w:rPr>
            <w:rFonts w:ascii="Book Antiqua" w:hAnsi="Book Antiqua"/>
            <w:noProof/>
            <w:sz w:val="20"/>
            <w:lang w:val="it-IT"/>
          </w:rPr>
          <w:t>34</w:t>
        </w:r>
        <w:r>
          <w:rPr>
            <w:rFonts w:ascii="Book Antiqua" w:hAnsi="Book Antiqua"/>
            <w:noProof/>
            <w:sz w:val="20"/>
            <w:lang w:val="it-IT"/>
          </w:rPr>
          <w:fldChar w:fldCharType="end"/>
        </w:r>
      </w:p>
    </w:sdtContent>
  </w:sdt>
  <w:p w14:paraId="62F10897" w14:textId="77777777" w:rsidR="00822A5D" w:rsidRDefault="0082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8807" w14:textId="77777777" w:rsidR="004079E2" w:rsidRDefault="004079E2">
      <w:r>
        <w:separator/>
      </w:r>
    </w:p>
  </w:footnote>
  <w:footnote w:type="continuationSeparator" w:id="0">
    <w:p w14:paraId="6D3C508C" w14:textId="77777777" w:rsidR="004079E2" w:rsidRDefault="0040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F421" w14:textId="77777777" w:rsidR="00822A5D" w:rsidRDefault="00822A5D" w:rsidP="001450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681E3" w14:textId="77777777" w:rsidR="00822A5D" w:rsidRDefault="00822A5D" w:rsidP="00AA6E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8DF9" w14:textId="77777777" w:rsidR="00822A5D" w:rsidRDefault="00822A5D" w:rsidP="00AA6E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428"/>
    <w:multiLevelType w:val="hybridMultilevel"/>
    <w:tmpl w:val="3C5030E8"/>
    <w:lvl w:ilvl="0" w:tplc="5BC62F70">
      <w:start w:val="4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3C41"/>
    <w:multiLevelType w:val="multilevel"/>
    <w:tmpl w:val="F25448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6A78E0"/>
    <w:multiLevelType w:val="hybridMultilevel"/>
    <w:tmpl w:val="C980DF1C"/>
    <w:lvl w:ilvl="0" w:tplc="0BC01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84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6C9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A9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CA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08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EE3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8D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6F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A26CC"/>
    <w:multiLevelType w:val="hybridMultilevel"/>
    <w:tmpl w:val="A9A6F80C"/>
    <w:lvl w:ilvl="0" w:tplc="426EC39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04A15AD"/>
    <w:multiLevelType w:val="hybridMultilevel"/>
    <w:tmpl w:val="64F8182E"/>
    <w:lvl w:ilvl="0" w:tplc="267A5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0C33848"/>
    <w:multiLevelType w:val="hybridMultilevel"/>
    <w:tmpl w:val="D74E6748"/>
    <w:lvl w:ilvl="0" w:tplc="5BC62F70">
      <w:start w:val="413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39B56EF"/>
    <w:multiLevelType w:val="multilevel"/>
    <w:tmpl w:val="B6CAE17E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8B03DD2"/>
    <w:multiLevelType w:val="multilevel"/>
    <w:tmpl w:val="3CC0DF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D1262D8"/>
    <w:multiLevelType w:val="multilevel"/>
    <w:tmpl w:val="FF04C1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1BE1D0A"/>
    <w:multiLevelType w:val="hybridMultilevel"/>
    <w:tmpl w:val="5DD06E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FBF"/>
    <w:multiLevelType w:val="hybridMultilevel"/>
    <w:tmpl w:val="283E40CA"/>
    <w:lvl w:ilvl="0" w:tplc="5BC62F70">
      <w:start w:val="4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3CE4FA8"/>
    <w:multiLevelType w:val="hybridMultilevel"/>
    <w:tmpl w:val="724A22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7AD7"/>
    <w:multiLevelType w:val="hybridMultilevel"/>
    <w:tmpl w:val="64F8182E"/>
    <w:lvl w:ilvl="0" w:tplc="267A5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9E043E7"/>
    <w:multiLevelType w:val="hybridMultilevel"/>
    <w:tmpl w:val="8DF20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4236"/>
    <w:multiLevelType w:val="multilevel"/>
    <w:tmpl w:val="BED461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A963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5E5288"/>
    <w:multiLevelType w:val="hybridMultilevel"/>
    <w:tmpl w:val="A7AE66C2"/>
    <w:lvl w:ilvl="0" w:tplc="3246F4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806D84"/>
    <w:multiLevelType w:val="hybridMultilevel"/>
    <w:tmpl w:val="7B1EBEFA"/>
    <w:lvl w:ilvl="0" w:tplc="5BC62F70">
      <w:start w:val="4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1530E"/>
    <w:multiLevelType w:val="multilevel"/>
    <w:tmpl w:val="B3AA2B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B0562B"/>
    <w:multiLevelType w:val="hybridMultilevel"/>
    <w:tmpl w:val="77FE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759E"/>
    <w:multiLevelType w:val="multilevel"/>
    <w:tmpl w:val="DEB2F2C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D8317D"/>
    <w:multiLevelType w:val="hybridMultilevel"/>
    <w:tmpl w:val="A412E4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C661C"/>
    <w:multiLevelType w:val="hybridMultilevel"/>
    <w:tmpl w:val="3C1EDBAA"/>
    <w:lvl w:ilvl="0" w:tplc="0C0A000F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604134B"/>
    <w:multiLevelType w:val="hybridMultilevel"/>
    <w:tmpl w:val="5F4A0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02F16"/>
    <w:multiLevelType w:val="hybridMultilevel"/>
    <w:tmpl w:val="348EB31E"/>
    <w:lvl w:ilvl="0" w:tplc="5BC62F70">
      <w:start w:val="413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62743E10"/>
    <w:multiLevelType w:val="multilevel"/>
    <w:tmpl w:val="6BA05BA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BF576F9"/>
    <w:multiLevelType w:val="hybridMultilevel"/>
    <w:tmpl w:val="F64A24E4"/>
    <w:lvl w:ilvl="0" w:tplc="A37EAF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67EBB"/>
    <w:multiLevelType w:val="multilevel"/>
    <w:tmpl w:val="575A7B1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FFD1F7C"/>
    <w:multiLevelType w:val="hybridMultilevel"/>
    <w:tmpl w:val="4F34D6D4"/>
    <w:lvl w:ilvl="0" w:tplc="30F0C75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3B33B1"/>
    <w:multiLevelType w:val="hybridMultilevel"/>
    <w:tmpl w:val="46127644"/>
    <w:lvl w:ilvl="0" w:tplc="52B66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582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E54BF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E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2D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57C2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A1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0A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C0C3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A76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BA3B40"/>
    <w:multiLevelType w:val="multilevel"/>
    <w:tmpl w:val="4F34D6D4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BD74F6"/>
    <w:multiLevelType w:val="hybridMultilevel"/>
    <w:tmpl w:val="83F6D290"/>
    <w:lvl w:ilvl="0" w:tplc="040A001B">
      <w:start w:val="1"/>
      <w:numFmt w:val="lowerRoman"/>
      <w:lvlText w:val="%1."/>
      <w:lvlJc w:val="right"/>
      <w:pPr>
        <w:ind w:left="2136" w:hanging="360"/>
      </w:pPr>
    </w:lvl>
    <w:lvl w:ilvl="1" w:tplc="040A0019">
      <w:start w:val="1"/>
      <w:numFmt w:val="lowerLetter"/>
      <w:lvlText w:val="%2."/>
      <w:lvlJc w:val="left"/>
      <w:pPr>
        <w:ind w:left="2856" w:hanging="360"/>
      </w:pPr>
    </w:lvl>
    <w:lvl w:ilvl="2" w:tplc="040A001B">
      <w:start w:val="1"/>
      <w:numFmt w:val="lowerRoman"/>
      <w:lvlText w:val="%3."/>
      <w:lvlJc w:val="right"/>
      <w:pPr>
        <w:ind w:left="3576" w:hanging="180"/>
      </w:pPr>
    </w:lvl>
    <w:lvl w:ilvl="3" w:tplc="040A000F" w:tentative="1">
      <w:start w:val="1"/>
      <w:numFmt w:val="decimal"/>
      <w:lvlText w:val="%4."/>
      <w:lvlJc w:val="left"/>
      <w:pPr>
        <w:ind w:left="4296" w:hanging="360"/>
      </w:pPr>
    </w:lvl>
    <w:lvl w:ilvl="4" w:tplc="040A0019" w:tentative="1">
      <w:start w:val="1"/>
      <w:numFmt w:val="lowerLetter"/>
      <w:lvlText w:val="%5."/>
      <w:lvlJc w:val="left"/>
      <w:pPr>
        <w:ind w:left="5016" w:hanging="360"/>
      </w:pPr>
    </w:lvl>
    <w:lvl w:ilvl="5" w:tplc="040A001B" w:tentative="1">
      <w:start w:val="1"/>
      <w:numFmt w:val="lowerRoman"/>
      <w:lvlText w:val="%6."/>
      <w:lvlJc w:val="right"/>
      <w:pPr>
        <w:ind w:left="5736" w:hanging="180"/>
      </w:pPr>
    </w:lvl>
    <w:lvl w:ilvl="6" w:tplc="040A000F" w:tentative="1">
      <w:start w:val="1"/>
      <w:numFmt w:val="decimal"/>
      <w:lvlText w:val="%7."/>
      <w:lvlJc w:val="left"/>
      <w:pPr>
        <w:ind w:left="6456" w:hanging="360"/>
      </w:pPr>
    </w:lvl>
    <w:lvl w:ilvl="7" w:tplc="040A0019" w:tentative="1">
      <w:start w:val="1"/>
      <w:numFmt w:val="lowerLetter"/>
      <w:lvlText w:val="%8."/>
      <w:lvlJc w:val="left"/>
      <w:pPr>
        <w:ind w:left="7176" w:hanging="360"/>
      </w:pPr>
    </w:lvl>
    <w:lvl w:ilvl="8" w:tplc="0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25"/>
  </w:num>
  <w:num w:numId="5">
    <w:abstractNumId w:val="7"/>
  </w:num>
  <w:num w:numId="6">
    <w:abstractNumId w:val="1"/>
  </w:num>
  <w:num w:numId="7">
    <w:abstractNumId w:val="27"/>
  </w:num>
  <w:num w:numId="8">
    <w:abstractNumId w:val="20"/>
  </w:num>
  <w:num w:numId="9">
    <w:abstractNumId w:val="18"/>
  </w:num>
  <w:num w:numId="10">
    <w:abstractNumId w:val="6"/>
  </w:num>
  <w:num w:numId="11">
    <w:abstractNumId w:val="14"/>
  </w:num>
  <w:num w:numId="12">
    <w:abstractNumId w:val="30"/>
  </w:num>
  <w:num w:numId="13">
    <w:abstractNumId w:val="15"/>
  </w:num>
  <w:num w:numId="14">
    <w:abstractNumId w:val="16"/>
  </w:num>
  <w:num w:numId="15">
    <w:abstractNumId w:val="22"/>
  </w:num>
  <w:num w:numId="16">
    <w:abstractNumId w:val="28"/>
  </w:num>
  <w:num w:numId="17">
    <w:abstractNumId w:val="32"/>
  </w:num>
  <w:num w:numId="18">
    <w:abstractNumId w:val="12"/>
  </w:num>
  <w:num w:numId="19">
    <w:abstractNumId w:val="31"/>
  </w:num>
  <w:num w:numId="20">
    <w:abstractNumId w:val="21"/>
  </w:num>
  <w:num w:numId="21">
    <w:abstractNumId w:val="4"/>
  </w:num>
  <w:num w:numId="22">
    <w:abstractNumId w:val="3"/>
  </w:num>
  <w:num w:numId="23">
    <w:abstractNumId w:val="9"/>
  </w:num>
  <w:num w:numId="24">
    <w:abstractNumId w:val="19"/>
  </w:num>
  <w:num w:numId="25">
    <w:abstractNumId w:val="13"/>
  </w:num>
  <w:num w:numId="26">
    <w:abstractNumId w:val="23"/>
  </w:num>
  <w:num w:numId="27">
    <w:abstractNumId w:val="11"/>
  </w:num>
  <w:num w:numId="28">
    <w:abstractNumId w:val="26"/>
  </w:num>
  <w:num w:numId="29">
    <w:abstractNumId w:val="10"/>
  </w:num>
  <w:num w:numId="30">
    <w:abstractNumId w:val="17"/>
  </w:num>
  <w:num w:numId="31">
    <w:abstractNumId w:val="0"/>
  </w:num>
  <w:num w:numId="32">
    <w:abstractNumId w:val="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awNLMwMjE0sTQ3NjFX0lEKTi0uzszPAykwrAUANDLGlywAAAA="/>
    <w:docVar w:name="MachineID" w:val="204|188|197|190|207|197|201|200|197|200|188|197|204|201|197|200|202|"/>
    <w:docVar w:name="Username" w:val="Quality Control Editor"/>
  </w:docVars>
  <w:rsids>
    <w:rsidRoot w:val="0056368D"/>
    <w:rsid w:val="000020E5"/>
    <w:rsid w:val="00003D18"/>
    <w:rsid w:val="00004D61"/>
    <w:rsid w:val="00004D94"/>
    <w:rsid w:val="00005A8D"/>
    <w:rsid w:val="0000604A"/>
    <w:rsid w:val="00007917"/>
    <w:rsid w:val="00011DA3"/>
    <w:rsid w:val="00013EEE"/>
    <w:rsid w:val="000142C9"/>
    <w:rsid w:val="0001516A"/>
    <w:rsid w:val="0001627D"/>
    <w:rsid w:val="000172AC"/>
    <w:rsid w:val="000177A5"/>
    <w:rsid w:val="0002130C"/>
    <w:rsid w:val="00025BA0"/>
    <w:rsid w:val="000276AB"/>
    <w:rsid w:val="00034282"/>
    <w:rsid w:val="0003447D"/>
    <w:rsid w:val="00034B40"/>
    <w:rsid w:val="000355BD"/>
    <w:rsid w:val="000377A0"/>
    <w:rsid w:val="00037991"/>
    <w:rsid w:val="00041528"/>
    <w:rsid w:val="00041F99"/>
    <w:rsid w:val="000436CE"/>
    <w:rsid w:val="00047D69"/>
    <w:rsid w:val="000526E5"/>
    <w:rsid w:val="00052913"/>
    <w:rsid w:val="00056CD1"/>
    <w:rsid w:val="00057C17"/>
    <w:rsid w:val="00061DA0"/>
    <w:rsid w:val="00061E4D"/>
    <w:rsid w:val="00062903"/>
    <w:rsid w:val="00063E79"/>
    <w:rsid w:val="000653F7"/>
    <w:rsid w:val="00066942"/>
    <w:rsid w:val="00070221"/>
    <w:rsid w:val="000708C2"/>
    <w:rsid w:val="00070A3D"/>
    <w:rsid w:val="000713C6"/>
    <w:rsid w:val="0007143B"/>
    <w:rsid w:val="000715C8"/>
    <w:rsid w:val="00071BC0"/>
    <w:rsid w:val="000725F2"/>
    <w:rsid w:val="00073C92"/>
    <w:rsid w:val="000744EE"/>
    <w:rsid w:val="00074599"/>
    <w:rsid w:val="000755BF"/>
    <w:rsid w:val="00080276"/>
    <w:rsid w:val="00081748"/>
    <w:rsid w:val="0008630F"/>
    <w:rsid w:val="00086FF2"/>
    <w:rsid w:val="000920A4"/>
    <w:rsid w:val="0009256A"/>
    <w:rsid w:val="000930B9"/>
    <w:rsid w:val="00094403"/>
    <w:rsid w:val="0009464C"/>
    <w:rsid w:val="000946C6"/>
    <w:rsid w:val="00094724"/>
    <w:rsid w:val="000950CD"/>
    <w:rsid w:val="00096AA2"/>
    <w:rsid w:val="00097534"/>
    <w:rsid w:val="00097A9E"/>
    <w:rsid w:val="000A2203"/>
    <w:rsid w:val="000A4605"/>
    <w:rsid w:val="000A4AD1"/>
    <w:rsid w:val="000A5982"/>
    <w:rsid w:val="000A6E4F"/>
    <w:rsid w:val="000A6F70"/>
    <w:rsid w:val="000B001A"/>
    <w:rsid w:val="000B038B"/>
    <w:rsid w:val="000B0D1E"/>
    <w:rsid w:val="000B1AEE"/>
    <w:rsid w:val="000B3C55"/>
    <w:rsid w:val="000B422C"/>
    <w:rsid w:val="000B5334"/>
    <w:rsid w:val="000B5B2F"/>
    <w:rsid w:val="000C040C"/>
    <w:rsid w:val="000C2E2D"/>
    <w:rsid w:val="000C40D5"/>
    <w:rsid w:val="000C4DBA"/>
    <w:rsid w:val="000C748E"/>
    <w:rsid w:val="000D1522"/>
    <w:rsid w:val="000D25C6"/>
    <w:rsid w:val="000D2D20"/>
    <w:rsid w:val="000D346D"/>
    <w:rsid w:val="000D37AE"/>
    <w:rsid w:val="000D42B3"/>
    <w:rsid w:val="000D48C4"/>
    <w:rsid w:val="000D58F0"/>
    <w:rsid w:val="000D6759"/>
    <w:rsid w:val="000D74EC"/>
    <w:rsid w:val="000E0DA8"/>
    <w:rsid w:val="000E4421"/>
    <w:rsid w:val="000E712E"/>
    <w:rsid w:val="000E712F"/>
    <w:rsid w:val="000E7E9F"/>
    <w:rsid w:val="000E7FC1"/>
    <w:rsid w:val="000F0376"/>
    <w:rsid w:val="000F04EA"/>
    <w:rsid w:val="000F2424"/>
    <w:rsid w:val="000F29E2"/>
    <w:rsid w:val="000F356E"/>
    <w:rsid w:val="000F44B7"/>
    <w:rsid w:val="000F7221"/>
    <w:rsid w:val="00100361"/>
    <w:rsid w:val="00101E1B"/>
    <w:rsid w:val="00104276"/>
    <w:rsid w:val="00104AAD"/>
    <w:rsid w:val="001067DF"/>
    <w:rsid w:val="0011063A"/>
    <w:rsid w:val="001117FF"/>
    <w:rsid w:val="00113381"/>
    <w:rsid w:val="001156CB"/>
    <w:rsid w:val="0012090A"/>
    <w:rsid w:val="001220AB"/>
    <w:rsid w:val="00124B96"/>
    <w:rsid w:val="0012596A"/>
    <w:rsid w:val="001265BA"/>
    <w:rsid w:val="0012734D"/>
    <w:rsid w:val="00132414"/>
    <w:rsid w:val="00132E07"/>
    <w:rsid w:val="00135B69"/>
    <w:rsid w:val="00137163"/>
    <w:rsid w:val="0013761C"/>
    <w:rsid w:val="001400C6"/>
    <w:rsid w:val="00143478"/>
    <w:rsid w:val="00143C1C"/>
    <w:rsid w:val="001447CF"/>
    <w:rsid w:val="00145028"/>
    <w:rsid w:val="00145D0A"/>
    <w:rsid w:val="00145E67"/>
    <w:rsid w:val="001505EB"/>
    <w:rsid w:val="001512E3"/>
    <w:rsid w:val="00151A2E"/>
    <w:rsid w:val="00151B81"/>
    <w:rsid w:val="00152813"/>
    <w:rsid w:val="001557FA"/>
    <w:rsid w:val="00156569"/>
    <w:rsid w:val="00156684"/>
    <w:rsid w:val="00157043"/>
    <w:rsid w:val="00161A0C"/>
    <w:rsid w:val="001630B4"/>
    <w:rsid w:val="00163C52"/>
    <w:rsid w:val="001713B2"/>
    <w:rsid w:val="0017144E"/>
    <w:rsid w:val="00171AC7"/>
    <w:rsid w:val="001742BA"/>
    <w:rsid w:val="00174494"/>
    <w:rsid w:val="0017509B"/>
    <w:rsid w:val="001761B2"/>
    <w:rsid w:val="001765BC"/>
    <w:rsid w:val="001800E5"/>
    <w:rsid w:val="0018098E"/>
    <w:rsid w:val="001828BF"/>
    <w:rsid w:val="001866B8"/>
    <w:rsid w:val="0019206B"/>
    <w:rsid w:val="00192606"/>
    <w:rsid w:val="00192692"/>
    <w:rsid w:val="00192C46"/>
    <w:rsid w:val="001933F8"/>
    <w:rsid w:val="001946DB"/>
    <w:rsid w:val="0019636A"/>
    <w:rsid w:val="001A0B60"/>
    <w:rsid w:val="001A11C1"/>
    <w:rsid w:val="001A2612"/>
    <w:rsid w:val="001A4E22"/>
    <w:rsid w:val="001A7A4A"/>
    <w:rsid w:val="001B4AA8"/>
    <w:rsid w:val="001B5173"/>
    <w:rsid w:val="001B6EBD"/>
    <w:rsid w:val="001B7083"/>
    <w:rsid w:val="001B77A4"/>
    <w:rsid w:val="001C0ED2"/>
    <w:rsid w:val="001C1B2F"/>
    <w:rsid w:val="001C1E5F"/>
    <w:rsid w:val="001C5D01"/>
    <w:rsid w:val="001D17E5"/>
    <w:rsid w:val="001D2B01"/>
    <w:rsid w:val="001D3402"/>
    <w:rsid w:val="001D7AF5"/>
    <w:rsid w:val="001E1450"/>
    <w:rsid w:val="001E1C8E"/>
    <w:rsid w:val="001E28A8"/>
    <w:rsid w:val="001E6481"/>
    <w:rsid w:val="001F0658"/>
    <w:rsid w:val="001F0B68"/>
    <w:rsid w:val="001F18C3"/>
    <w:rsid w:val="001F22B6"/>
    <w:rsid w:val="001F2B51"/>
    <w:rsid w:val="001F380B"/>
    <w:rsid w:val="001F4683"/>
    <w:rsid w:val="002007A0"/>
    <w:rsid w:val="00200DA7"/>
    <w:rsid w:val="00203815"/>
    <w:rsid w:val="00205F9F"/>
    <w:rsid w:val="0021025B"/>
    <w:rsid w:val="0021062A"/>
    <w:rsid w:val="00211300"/>
    <w:rsid w:val="00213E6B"/>
    <w:rsid w:val="0021488B"/>
    <w:rsid w:val="00216C5E"/>
    <w:rsid w:val="00217C15"/>
    <w:rsid w:val="00221196"/>
    <w:rsid w:val="002234F5"/>
    <w:rsid w:val="00225031"/>
    <w:rsid w:val="00225691"/>
    <w:rsid w:val="0022660E"/>
    <w:rsid w:val="00231C14"/>
    <w:rsid w:val="00233BEF"/>
    <w:rsid w:val="00234E44"/>
    <w:rsid w:val="00234F70"/>
    <w:rsid w:val="00237A9B"/>
    <w:rsid w:val="00242AFB"/>
    <w:rsid w:val="002431EC"/>
    <w:rsid w:val="002446BB"/>
    <w:rsid w:val="0024667E"/>
    <w:rsid w:val="002472CB"/>
    <w:rsid w:val="00250C2E"/>
    <w:rsid w:val="00255212"/>
    <w:rsid w:val="002556B3"/>
    <w:rsid w:val="002578C6"/>
    <w:rsid w:val="0026205A"/>
    <w:rsid w:val="002642EC"/>
    <w:rsid w:val="0027008E"/>
    <w:rsid w:val="00270585"/>
    <w:rsid w:val="00272ACC"/>
    <w:rsid w:val="0027498A"/>
    <w:rsid w:val="002754A3"/>
    <w:rsid w:val="002754A4"/>
    <w:rsid w:val="002757AF"/>
    <w:rsid w:val="00277269"/>
    <w:rsid w:val="0027768C"/>
    <w:rsid w:val="00277F49"/>
    <w:rsid w:val="002810A5"/>
    <w:rsid w:val="00281465"/>
    <w:rsid w:val="00281D68"/>
    <w:rsid w:val="00282BCB"/>
    <w:rsid w:val="00286546"/>
    <w:rsid w:val="00286F55"/>
    <w:rsid w:val="00290085"/>
    <w:rsid w:val="0029169D"/>
    <w:rsid w:val="00293489"/>
    <w:rsid w:val="00293859"/>
    <w:rsid w:val="00295C51"/>
    <w:rsid w:val="00296E35"/>
    <w:rsid w:val="002971B4"/>
    <w:rsid w:val="002A0938"/>
    <w:rsid w:val="002A1ED9"/>
    <w:rsid w:val="002A3C7C"/>
    <w:rsid w:val="002A48A9"/>
    <w:rsid w:val="002A7403"/>
    <w:rsid w:val="002B0B12"/>
    <w:rsid w:val="002B0DEE"/>
    <w:rsid w:val="002B1706"/>
    <w:rsid w:val="002B2E27"/>
    <w:rsid w:val="002B3037"/>
    <w:rsid w:val="002B31BD"/>
    <w:rsid w:val="002B628E"/>
    <w:rsid w:val="002B6922"/>
    <w:rsid w:val="002C2939"/>
    <w:rsid w:val="002C6DDD"/>
    <w:rsid w:val="002D0163"/>
    <w:rsid w:val="002D209F"/>
    <w:rsid w:val="002D7179"/>
    <w:rsid w:val="002E042E"/>
    <w:rsid w:val="002E0FF8"/>
    <w:rsid w:val="002E109F"/>
    <w:rsid w:val="002E1902"/>
    <w:rsid w:val="002E1DD4"/>
    <w:rsid w:val="002E422A"/>
    <w:rsid w:val="002E6B9E"/>
    <w:rsid w:val="002E6E81"/>
    <w:rsid w:val="002F0BE8"/>
    <w:rsid w:val="002F3483"/>
    <w:rsid w:val="002F3FE8"/>
    <w:rsid w:val="002F4896"/>
    <w:rsid w:val="002F7683"/>
    <w:rsid w:val="002F78A8"/>
    <w:rsid w:val="00300ED0"/>
    <w:rsid w:val="00306E45"/>
    <w:rsid w:val="0030709B"/>
    <w:rsid w:val="00311462"/>
    <w:rsid w:val="00314064"/>
    <w:rsid w:val="003148FD"/>
    <w:rsid w:val="00314C4E"/>
    <w:rsid w:val="0031683C"/>
    <w:rsid w:val="00320222"/>
    <w:rsid w:val="00320DE9"/>
    <w:rsid w:val="003213D0"/>
    <w:rsid w:val="003223CB"/>
    <w:rsid w:val="00322C8B"/>
    <w:rsid w:val="003275D7"/>
    <w:rsid w:val="00327B80"/>
    <w:rsid w:val="00327CBB"/>
    <w:rsid w:val="00333C2E"/>
    <w:rsid w:val="003361C1"/>
    <w:rsid w:val="00337213"/>
    <w:rsid w:val="00340D50"/>
    <w:rsid w:val="003411F3"/>
    <w:rsid w:val="00344275"/>
    <w:rsid w:val="0034735E"/>
    <w:rsid w:val="00347A94"/>
    <w:rsid w:val="00350AEA"/>
    <w:rsid w:val="00352259"/>
    <w:rsid w:val="00352AA2"/>
    <w:rsid w:val="00353BB7"/>
    <w:rsid w:val="00354FC7"/>
    <w:rsid w:val="00355389"/>
    <w:rsid w:val="00355594"/>
    <w:rsid w:val="003567CA"/>
    <w:rsid w:val="00357889"/>
    <w:rsid w:val="00364837"/>
    <w:rsid w:val="00366D2B"/>
    <w:rsid w:val="0036783A"/>
    <w:rsid w:val="00367E59"/>
    <w:rsid w:val="00370C55"/>
    <w:rsid w:val="00373845"/>
    <w:rsid w:val="00374B0B"/>
    <w:rsid w:val="0037539A"/>
    <w:rsid w:val="00375929"/>
    <w:rsid w:val="003778D7"/>
    <w:rsid w:val="0037796D"/>
    <w:rsid w:val="00377F9D"/>
    <w:rsid w:val="00381E59"/>
    <w:rsid w:val="00382259"/>
    <w:rsid w:val="00384A10"/>
    <w:rsid w:val="00390401"/>
    <w:rsid w:val="00391D1C"/>
    <w:rsid w:val="00394CA6"/>
    <w:rsid w:val="003A618B"/>
    <w:rsid w:val="003A6997"/>
    <w:rsid w:val="003A6C7E"/>
    <w:rsid w:val="003A79AD"/>
    <w:rsid w:val="003B07BA"/>
    <w:rsid w:val="003B091B"/>
    <w:rsid w:val="003B23BC"/>
    <w:rsid w:val="003B4EAF"/>
    <w:rsid w:val="003B5E0B"/>
    <w:rsid w:val="003B71CA"/>
    <w:rsid w:val="003C0C6B"/>
    <w:rsid w:val="003C1ACD"/>
    <w:rsid w:val="003C21E2"/>
    <w:rsid w:val="003C4103"/>
    <w:rsid w:val="003C47E0"/>
    <w:rsid w:val="003C76D6"/>
    <w:rsid w:val="003C77FA"/>
    <w:rsid w:val="003C7AE3"/>
    <w:rsid w:val="003C7FED"/>
    <w:rsid w:val="003D1320"/>
    <w:rsid w:val="003D1BC9"/>
    <w:rsid w:val="003D2B44"/>
    <w:rsid w:val="003D387D"/>
    <w:rsid w:val="003D3BAE"/>
    <w:rsid w:val="003D4281"/>
    <w:rsid w:val="003D4D6A"/>
    <w:rsid w:val="003D6174"/>
    <w:rsid w:val="003D6C73"/>
    <w:rsid w:val="003E3350"/>
    <w:rsid w:val="003F26ED"/>
    <w:rsid w:val="003F3F63"/>
    <w:rsid w:val="003F4920"/>
    <w:rsid w:val="003F6717"/>
    <w:rsid w:val="003F6B49"/>
    <w:rsid w:val="003F71F7"/>
    <w:rsid w:val="003F734F"/>
    <w:rsid w:val="003F7AD9"/>
    <w:rsid w:val="003F7CBC"/>
    <w:rsid w:val="00400084"/>
    <w:rsid w:val="00401ECB"/>
    <w:rsid w:val="00404135"/>
    <w:rsid w:val="00404A3A"/>
    <w:rsid w:val="00404FB5"/>
    <w:rsid w:val="00405060"/>
    <w:rsid w:val="00406438"/>
    <w:rsid w:val="004079E2"/>
    <w:rsid w:val="0041156F"/>
    <w:rsid w:val="0041207E"/>
    <w:rsid w:val="00412FB6"/>
    <w:rsid w:val="00414047"/>
    <w:rsid w:val="00414582"/>
    <w:rsid w:val="00414704"/>
    <w:rsid w:val="004148E0"/>
    <w:rsid w:val="004153DB"/>
    <w:rsid w:val="00416080"/>
    <w:rsid w:val="004175C4"/>
    <w:rsid w:val="00417A30"/>
    <w:rsid w:val="00421C31"/>
    <w:rsid w:val="00424245"/>
    <w:rsid w:val="00426928"/>
    <w:rsid w:val="00426D25"/>
    <w:rsid w:val="004325C2"/>
    <w:rsid w:val="004342D0"/>
    <w:rsid w:val="00437268"/>
    <w:rsid w:val="00440FCA"/>
    <w:rsid w:val="00442AFA"/>
    <w:rsid w:val="00442B68"/>
    <w:rsid w:val="0044355E"/>
    <w:rsid w:val="00443AE1"/>
    <w:rsid w:val="00443E90"/>
    <w:rsid w:val="004443F5"/>
    <w:rsid w:val="00450ABB"/>
    <w:rsid w:val="00452063"/>
    <w:rsid w:val="00452B20"/>
    <w:rsid w:val="00452E88"/>
    <w:rsid w:val="00452EF0"/>
    <w:rsid w:val="004530D6"/>
    <w:rsid w:val="0045535C"/>
    <w:rsid w:val="00456DA3"/>
    <w:rsid w:val="004572AF"/>
    <w:rsid w:val="00460AD9"/>
    <w:rsid w:val="004623A8"/>
    <w:rsid w:val="004734FA"/>
    <w:rsid w:val="00475029"/>
    <w:rsid w:val="0047576F"/>
    <w:rsid w:val="00477426"/>
    <w:rsid w:val="00481DD3"/>
    <w:rsid w:val="00483CEF"/>
    <w:rsid w:val="00483D90"/>
    <w:rsid w:val="004845F3"/>
    <w:rsid w:val="00484806"/>
    <w:rsid w:val="00484CBB"/>
    <w:rsid w:val="00484ECF"/>
    <w:rsid w:val="00485B76"/>
    <w:rsid w:val="00485CA5"/>
    <w:rsid w:val="004914C7"/>
    <w:rsid w:val="0049155F"/>
    <w:rsid w:val="0049254A"/>
    <w:rsid w:val="004A0878"/>
    <w:rsid w:val="004A0FF9"/>
    <w:rsid w:val="004A105F"/>
    <w:rsid w:val="004A2E48"/>
    <w:rsid w:val="004A4D2F"/>
    <w:rsid w:val="004A62BB"/>
    <w:rsid w:val="004A796E"/>
    <w:rsid w:val="004A7A9C"/>
    <w:rsid w:val="004A7C05"/>
    <w:rsid w:val="004B09AD"/>
    <w:rsid w:val="004B1750"/>
    <w:rsid w:val="004B1A7F"/>
    <w:rsid w:val="004B2939"/>
    <w:rsid w:val="004B48A0"/>
    <w:rsid w:val="004B50D9"/>
    <w:rsid w:val="004B71B6"/>
    <w:rsid w:val="004C17C8"/>
    <w:rsid w:val="004C45D7"/>
    <w:rsid w:val="004C795F"/>
    <w:rsid w:val="004D0921"/>
    <w:rsid w:val="004D1560"/>
    <w:rsid w:val="004D2F71"/>
    <w:rsid w:val="004D4D27"/>
    <w:rsid w:val="004E0C4C"/>
    <w:rsid w:val="004E241D"/>
    <w:rsid w:val="004E4A39"/>
    <w:rsid w:val="004E4C31"/>
    <w:rsid w:val="004E5E0A"/>
    <w:rsid w:val="004E61C1"/>
    <w:rsid w:val="004E7092"/>
    <w:rsid w:val="004E7606"/>
    <w:rsid w:val="004E7B0C"/>
    <w:rsid w:val="004E7FB0"/>
    <w:rsid w:val="004F0A29"/>
    <w:rsid w:val="004F1051"/>
    <w:rsid w:val="004F1A3D"/>
    <w:rsid w:val="004F490D"/>
    <w:rsid w:val="004F63C8"/>
    <w:rsid w:val="004F69D2"/>
    <w:rsid w:val="004F79A7"/>
    <w:rsid w:val="005028AA"/>
    <w:rsid w:val="00503615"/>
    <w:rsid w:val="0050375E"/>
    <w:rsid w:val="00503869"/>
    <w:rsid w:val="00505016"/>
    <w:rsid w:val="005059FB"/>
    <w:rsid w:val="00505DB7"/>
    <w:rsid w:val="005063FD"/>
    <w:rsid w:val="00507914"/>
    <w:rsid w:val="00512800"/>
    <w:rsid w:val="00514F50"/>
    <w:rsid w:val="00515CD7"/>
    <w:rsid w:val="00515F6E"/>
    <w:rsid w:val="005206E4"/>
    <w:rsid w:val="0052212A"/>
    <w:rsid w:val="00522709"/>
    <w:rsid w:val="00524E3C"/>
    <w:rsid w:val="00527185"/>
    <w:rsid w:val="00531A8B"/>
    <w:rsid w:val="005322BE"/>
    <w:rsid w:val="0053363A"/>
    <w:rsid w:val="00533E90"/>
    <w:rsid w:val="005343DC"/>
    <w:rsid w:val="00534873"/>
    <w:rsid w:val="00535391"/>
    <w:rsid w:val="00535F5D"/>
    <w:rsid w:val="00536E53"/>
    <w:rsid w:val="00536FBA"/>
    <w:rsid w:val="0054111F"/>
    <w:rsid w:val="00541840"/>
    <w:rsid w:val="005426D5"/>
    <w:rsid w:val="00542834"/>
    <w:rsid w:val="00544617"/>
    <w:rsid w:val="0054735A"/>
    <w:rsid w:val="00547E83"/>
    <w:rsid w:val="00551A7B"/>
    <w:rsid w:val="00551D84"/>
    <w:rsid w:val="0055224B"/>
    <w:rsid w:val="005523BE"/>
    <w:rsid w:val="0055242C"/>
    <w:rsid w:val="00554247"/>
    <w:rsid w:val="00556D84"/>
    <w:rsid w:val="00560691"/>
    <w:rsid w:val="00560B54"/>
    <w:rsid w:val="00560D96"/>
    <w:rsid w:val="00561905"/>
    <w:rsid w:val="00562254"/>
    <w:rsid w:val="0056291E"/>
    <w:rsid w:val="0056368D"/>
    <w:rsid w:val="005666EB"/>
    <w:rsid w:val="005704E3"/>
    <w:rsid w:val="005714AE"/>
    <w:rsid w:val="005723E0"/>
    <w:rsid w:val="00573F04"/>
    <w:rsid w:val="0057556B"/>
    <w:rsid w:val="005761D8"/>
    <w:rsid w:val="00582F78"/>
    <w:rsid w:val="00584206"/>
    <w:rsid w:val="00584A63"/>
    <w:rsid w:val="00587A7E"/>
    <w:rsid w:val="00591DFA"/>
    <w:rsid w:val="0059256F"/>
    <w:rsid w:val="005968C1"/>
    <w:rsid w:val="005A2504"/>
    <w:rsid w:val="005A41DB"/>
    <w:rsid w:val="005A461F"/>
    <w:rsid w:val="005A60DE"/>
    <w:rsid w:val="005B0077"/>
    <w:rsid w:val="005B0C39"/>
    <w:rsid w:val="005B38A9"/>
    <w:rsid w:val="005B3D88"/>
    <w:rsid w:val="005B40C2"/>
    <w:rsid w:val="005B5E52"/>
    <w:rsid w:val="005C0B7C"/>
    <w:rsid w:val="005C14B1"/>
    <w:rsid w:val="005C2856"/>
    <w:rsid w:val="005C43AA"/>
    <w:rsid w:val="005C55CC"/>
    <w:rsid w:val="005C6305"/>
    <w:rsid w:val="005C6C7B"/>
    <w:rsid w:val="005C765F"/>
    <w:rsid w:val="005D0996"/>
    <w:rsid w:val="005D0B78"/>
    <w:rsid w:val="005D1FB1"/>
    <w:rsid w:val="005D337D"/>
    <w:rsid w:val="005D34CE"/>
    <w:rsid w:val="005D6FF7"/>
    <w:rsid w:val="005E06A6"/>
    <w:rsid w:val="005E0A74"/>
    <w:rsid w:val="005E1004"/>
    <w:rsid w:val="005E5F0D"/>
    <w:rsid w:val="005E6A6B"/>
    <w:rsid w:val="005F0F05"/>
    <w:rsid w:val="005F15E7"/>
    <w:rsid w:val="005F2923"/>
    <w:rsid w:val="005F2CD6"/>
    <w:rsid w:val="005F51D1"/>
    <w:rsid w:val="005F7079"/>
    <w:rsid w:val="00600561"/>
    <w:rsid w:val="006036C4"/>
    <w:rsid w:val="00604147"/>
    <w:rsid w:val="0060460A"/>
    <w:rsid w:val="006047D7"/>
    <w:rsid w:val="00614109"/>
    <w:rsid w:val="00614373"/>
    <w:rsid w:val="00617105"/>
    <w:rsid w:val="00617D9C"/>
    <w:rsid w:val="00620074"/>
    <w:rsid w:val="006206DF"/>
    <w:rsid w:val="00622C95"/>
    <w:rsid w:val="00623C29"/>
    <w:rsid w:val="00624CBD"/>
    <w:rsid w:val="00625346"/>
    <w:rsid w:val="00626489"/>
    <w:rsid w:val="00627896"/>
    <w:rsid w:val="0063125E"/>
    <w:rsid w:val="0063289A"/>
    <w:rsid w:val="00632BB1"/>
    <w:rsid w:val="0063317C"/>
    <w:rsid w:val="006358D5"/>
    <w:rsid w:val="00636516"/>
    <w:rsid w:val="006415EE"/>
    <w:rsid w:val="006450F5"/>
    <w:rsid w:val="00646818"/>
    <w:rsid w:val="00652F57"/>
    <w:rsid w:val="0065503A"/>
    <w:rsid w:val="006558B4"/>
    <w:rsid w:val="00656A68"/>
    <w:rsid w:val="00656A9A"/>
    <w:rsid w:val="00662783"/>
    <w:rsid w:val="006668A1"/>
    <w:rsid w:val="00666B25"/>
    <w:rsid w:val="00670328"/>
    <w:rsid w:val="00672335"/>
    <w:rsid w:val="00676E90"/>
    <w:rsid w:val="00680721"/>
    <w:rsid w:val="006823B1"/>
    <w:rsid w:val="00683C60"/>
    <w:rsid w:val="00690F89"/>
    <w:rsid w:val="00691595"/>
    <w:rsid w:val="0069215D"/>
    <w:rsid w:val="006927BD"/>
    <w:rsid w:val="00694D82"/>
    <w:rsid w:val="00695D68"/>
    <w:rsid w:val="006960FC"/>
    <w:rsid w:val="00696FBD"/>
    <w:rsid w:val="006A11EE"/>
    <w:rsid w:val="006A15B4"/>
    <w:rsid w:val="006A2139"/>
    <w:rsid w:val="006A4336"/>
    <w:rsid w:val="006A5E0D"/>
    <w:rsid w:val="006A6D85"/>
    <w:rsid w:val="006B194D"/>
    <w:rsid w:val="006B4703"/>
    <w:rsid w:val="006B5B4C"/>
    <w:rsid w:val="006B616F"/>
    <w:rsid w:val="006B68DE"/>
    <w:rsid w:val="006B71CF"/>
    <w:rsid w:val="006C054F"/>
    <w:rsid w:val="006C0A94"/>
    <w:rsid w:val="006C0EDA"/>
    <w:rsid w:val="006C2F28"/>
    <w:rsid w:val="006C550E"/>
    <w:rsid w:val="006D1C73"/>
    <w:rsid w:val="006D4CBF"/>
    <w:rsid w:val="006D6BB1"/>
    <w:rsid w:val="006D7CDA"/>
    <w:rsid w:val="006E04A3"/>
    <w:rsid w:val="006E28D6"/>
    <w:rsid w:val="006E33C9"/>
    <w:rsid w:val="006E3962"/>
    <w:rsid w:val="006E4499"/>
    <w:rsid w:val="006E6F57"/>
    <w:rsid w:val="006E772D"/>
    <w:rsid w:val="006F1067"/>
    <w:rsid w:val="006F2F32"/>
    <w:rsid w:val="006F3577"/>
    <w:rsid w:val="006F3761"/>
    <w:rsid w:val="006F4D42"/>
    <w:rsid w:val="006F5053"/>
    <w:rsid w:val="0070295C"/>
    <w:rsid w:val="00703FEE"/>
    <w:rsid w:val="0070682E"/>
    <w:rsid w:val="007107C5"/>
    <w:rsid w:val="00712A93"/>
    <w:rsid w:val="00714E31"/>
    <w:rsid w:val="0071501E"/>
    <w:rsid w:val="00716CE0"/>
    <w:rsid w:val="0071763E"/>
    <w:rsid w:val="007176C9"/>
    <w:rsid w:val="0072094A"/>
    <w:rsid w:val="00720A9B"/>
    <w:rsid w:val="00723999"/>
    <w:rsid w:val="00723D44"/>
    <w:rsid w:val="00723FCB"/>
    <w:rsid w:val="0072469D"/>
    <w:rsid w:val="007253AE"/>
    <w:rsid w:val="007274AE"/>
    <w:rsid w:val="00730B44"/>
    <w:rsid w:val="007316E0"/>
    <w:rsid w:val="00737981"/>
    <w:rsid w:val="00740897"/>
    <w:rsid w:val="0074098D"/>
    <w:rsid w:val="007415C0"/>
    <w:rsid w:val="00743972"/>
    <w:rsid w:val="00744DE9"/>
    <w:rsid w:val="007454F3"/>
    <w:rsid w:val="007462BA"/>
    <w:rsid w:val="00746B7A"/>
    <w:rsid w:val="00747A39"/>
    <w:rsid w:val="00750557"/>
    <w:rsid w:val="007531C1"/>
    <w:rsid w:val="00753844"/>
    <w:rsid w:val="00754A15"/>
    <w:rsid w:val="00757155"/>
    <w:rsid w:val="007615D0"/>
    <w:rsid w:val="007626FE"/>
    <w:rsid w:val="00763526"/>
    <w:rsid w:val="00767E83"/>
    <w:rsid w:val="00767EC1"/>
    <w:rsid w:val="0077057C"/>
    <w:rsid w:val="0077262D"/>
    <w:rsid w:val="00772DE6"/>
    <w:rsid w:val="007750AB"/>
    <w:rsid w:val="00777F05"/>
    <w:rsid w:val="00781717"/>
    <w:rsid w:val="00781A5C"/>
    <w:rsid w:val="007822D0"/>
    <w:rsid w:val="007833C6"/>
    <w:rsid w:val="007844F7"/>
    <w:rsid w:val="007865B7"/>
    <w:rsid w:val="00792C36"/>
    <w:rsid w:val="00794A44"/>
    <w:rsid w:val="00795877"/>
    <w:rsid w:val="007A102E"/>
    <w:rsid w:val="007A256C"/>
    <w:rsid w:val="007A5C1D"/>
    <w:rsid w:val="007A5D73"/>
    <w:rsid w:val="007A7E5E"/>
    <w:rsid w:val="007B1495"/>
    <w:rsid w:val="007B1B8D"/>
    <w:rsid w:val="007B1C93"/>
    <w:rsid w:val="007B3E52"/>
    <w:rsid w:val="007B45CD"/>
    <w:rsid w:val="007B58C9"/>
    <w:rsid w:val="007B609C"/>
    <w:rsid w:val="007C128F"/>
    <w:rsid w:val="007C13F7"/>
    <w:rsid w:val="007C1673"/>
    <w:rsid w:val="007C25CE"/>
    <w:rsid w:val="007C32E2"/>
    <w:rsid w:val="007D0806"/>
    <w:rsid w:val="007D1163"/>
    <w:rsid w:val="007D285A"/>
    <w:rsid w:val="007D29A9"/>
    <w:rsid w:val="007D3ED2"/>
    <w:rsid w:val="007D5368"/>
    <w:rsid w:val="007D55E6"/>
    <w:rsid w:val="007D6504"/>
    <w:rsid w:val="007D78B3"/>
    <w:rsid w:val="007D7B59"/>
    <w:rsid w:val="007E085B"/>
    <w:rsid w:val="007E1675"/>
    <w:rsid w:val="007E1B1A"/>
    <w:rsid w:val="007E1B64"/>
    <w:rsid w:val="007E3709"/>
    <w:rsid w:val="007E41C6"/>
    <w:rsid w:val="007E4CFE"/>
    <w:rsid w:val="007E67F8"/>
    <w:rsid w:val="007F16B7"/>
    <w:rsid w:val="007F5CFE"/>
    <w:rsid w:val="007F69E8"/>
    <w:rsid w:val="00802BF9"/>
    <w:rsid w:val="0080386B"/>
    <w:rsid w:val="00803FCE"/>
    <w:rsid w:val="008047C8"/>
    <w:rsid w:val="00804BC8"/>
    <w:rsid w:val="008050EB"/>
    <w:rsid w:val="00805D55"/>
    <w:rsid w:val="00805E9A"/>
    <w:rsid w:val="00810F56"/>
    <w:rsid w:val="00812F49"/>
    <w:rsid w:val="00813F7A"/>
    <w:rsid w:val="00814332"/>
    <w:rsid w:val="00815989"/>
    <w:rsid w:val="00815DFA"/>
    <w:rsid w:val="00816C82"/>
    <w:rsid w:val="00817273"/>
    <w:rsid w:val="0081772D"/>
    <w:rsid w:val="008217C1"/>
    <w:rsid w:val="008225F0"/>
    <w:rsid w:val="00822A5D"/>
    <w:rsid w:val="008234E1"/>
    <w:rsid w:val="008249F5"/>
    <w:rsid w:val="00825A97"/>
    <w:rsid w:val="008264D2"/>
    <w:rsid w:val="008268FF"/>
    <w:rsid w:val="0082797F"/>
    <w:rsid w:val="00831083"/>
    <w:rsid w:val="00831088"/>
    <w:rsid w:val="008316C7"/>
    <w:rsid w:val="008340A3"/>
    <w:rsid w:val="00837F91"/>
    <w:rsid w:val="008408FA"/>
    <w:rsid w:val="00840E89"/>
    <w:rsid w:val="00840F4B"/>
    <w:rsid w:val="008434FB"/>
    <w:rsid w:val="0084550D"/>
    <w:rsid w:val="0084744A"/>
    <w:rsid w:val="0085141C"/>
    <w:rsid w:val="008517E5"/>
    <w:rsid w:val="00851DE1"/>
    <w:rsid w:val="00851FBE"/>
    <w:rsid w:val="00853111"/>
    <w:rsid w:val="008550DE"/>
    <w:rsid w:val="00856458"/>
    <w:rsid w:val="008575A8"/>
    <w:rsid w:val="0086072E"/>
    <w:rsid w:val="0086160E"/>
    <w:rsid w:val="0086342F"/>
    <w:rsid w:val="0086609A"/>
    <w:rsid w:val="00867DD2"/>
    <w:rsid w:val="0087098D"/>
    <w:rsid w:val="00870BD6"/>
    <w:rsid w:val="00871048"/>
    <w:rsid w:val="00871118"/>
    <w:rsid w:val="00871180"/>
    <w:rsid w:val="0087331D"/>
    <w:rsid w:val="00876471"/>
    <w:rsid w:val="008771CE"/>
    <w:rsid w:val="00877C9A"/>
    <w:rsid w:val="008802AD"/>
    <w:rsid w:val="00880A2E"/>
    <w:rsid w:val="008838DF"/>
    <w:rsid w:val="00885297"/>
    <w:rsid w:val="008855D4"/>
    <w:rsid w:val="00885F3B"/>
    <w:rsid w:val="0088753A"/>
    <w:rsid w:val="00887875"/>
    <w:rsid w:val="00890627"/>
    <w:rsid w:val="00891A25"/>
    <w:rsid w:val="008953A4"/>
    <w:rsid w:val="00895678"/>
    <w:rsid w:val="008964B7"/>
    <w:rsid w:val="00896E9E"/>
    <w:rsid w:val="00897F1C"/>
    <w:rsid w:val="008A4561"/>
    <w:rsid w:val="008A6E70"/>
    <w:rsid w:val="008A751C"/>
    <w:rsid w:val="008A7BF3"/>
    <w:rsid w:val="008B04D9"/>
    <w:rsid w:val="008B083D"/>
    <w:rsid w:val="008B16E5"/>
    <w:rsid w:val="008B2324"/>
    <w:rsid w:val="008B575D"/>
    <w:rsid w:val="008B617D"/>
    <w:rsid w:val="008B6AF0"/>
    <w:rsid w:val="008B7098"/>
    <w:rsid w:val="008C02C9"/>
    <w:rsid w:val="008C04AC"/>
    <w:rsid w:val="008C04FB"/>
    <w:rsid w:val="008C0FA1"/>
    <w:rsid w:val="008C2FCB"/>
    <w:rsid w:val="008C488E"/>
    <w:rsid w:val="008C4D4E"/>
    <w:rsid w:val="008C538E"/>
    <w:rsid w:val="008C6494"/>
    <w:rsid w:val="008D0C02"/>
    <w:rsid w:val="008D3AB2"/>
    <w:rsid w:val="008D5FF2"/>
    <w:rsid w:val="008D66B9"/>
    <w:rsid w:val="008E07E0"/>
    <w:rsid w:val="008E162E"/>
    <w:rsid w:val="008E19D3"/>
    <w:rsid w:val="008E1BAB"/>
    <w:rsid w:val="008E1E79"/>
    <w:rsid w:val="008E3F8A"/>
    <w:rsid w:val="008E495A"/>
    <w:rsid w:val="008F1436"/>
    <w:rsid w:val="008F1986"/>
    <w:rsid w:val="008F41DC"/>
    <w:rsid w:val="008F66D2"/>
    <w:rsid w:val="008F673B"/>
    <w:rsid w:val="0090317A"/>
    <w:rsid w:val="00906107"/>
    <w:rsid w:val="009065EA"/>
    <w:rsid w:val="00912182"/>
    <w:rsid w:val="009121A3"/>
    <w:rsid w:val="009124B7"/>
    <w:rsid w:val="00913BBD"/>
    <w:rsid w:val="0091630B"/>
    <w:rsid w:val="00916DAC"/>
    <w:rsid w:val="00917126"/>
    <w:rsid w:val="009201CE"/>
    <w:rsid w:val="00922191"/>
    <w:rsid w:val="009263E3"/>
    <w:rsid w:val="009270D8"/>
    <w:rsid w:val="00927417"/>
    <w:rsid w:val="00927A9E"/>
    <w:rsid w:val="00934C7F"/>
    <w:rsid w:val="00935983"/>
    <w:rsid w:val="00935D90"/>
    <w:rsid w:val="00937D90"/>
    <w:rsid w:val="00937F8D"/>
    <w:rsid w:val="00940A90"/>
    <w:rsid w:val="00941007"/>
    <w:rsid w:val="009417AB"/>
    <w:rsid w:val="00942878"/>
    <w:rsid w:val="0094381E"/>
    <w:rsid w:val="00944635"/>
    <w:rsid w:val="00946EBA"/>
    <w:rsid w:val="00947034"/>
    <w:rsid w:val="00947458"/>
    <w:rsid w:val="00950449"/>
    <w:rsid w:val="00951B76"/>
    <w:rsid w:val="00952F3E"/>
    <w:rsid w:val="00954D37"/>
    <w:rsid w:val="009558D4"/>
    <w:rsid w:val="00957176"/>
    <w:rsid w:val="00957408"/>
    <w:rsid w:val="009575C5"/>
    <w:rsid w:val="0096059E"/>
    <w:rsid w:val="009610D7"/>
    <w:rsid w:val="009610FA"/>
    <w:rsid w:val="00961F58"/>
    <w:rsid w:val="00963764"/>
    <w:rsid w:val="00965C6F"/>
    <w:rsid w:val="00970012"/>
    <w:rsid w:val="00970384"/>
    <w:rsid w:val="00970408"/>
    <w:rsid w:val="0097240D"/>
    <w:rsid w:val="00974078"/>
    <w:rsid w:val="009752F1"/>
    <w:rsid w:val="00976793"/>
    <w:rsid w:val="00980893"/>
    <w:rsid w:val="00982280"/>
    <w:rsid w:val="009837FB"/>
    <w:rsid w:val="00984403"/>
    <w:rsid w:val="009866C9"/>
    <w:rsid w:val="00986C40"/>
    <w:rsid w:val="00987037"/>
    <w:rsid w:val="00991186"/>
    <w:rsid w:val="00992E09"/>
    <w:rsid w:val="00993923"/>
    <w:rsid w:val="0099469B"/>
    <w:rsid w:val="009955E9"/>
    <w:rsid w:val="00995B4A"/>
    <w:rsid w:val="009970AC"/>
    <w:rsid w:val="009A0E95"/>
    <w:rsid w:val="009A2951"/>
    <w:rsid w:val="009A5EFC"/>
    <w:rsid w:val="009A6A99"/>
    <w:rsid w:val="009B0871"/>
    <w:rsid w:val="009B1203"/>
    <w:rsid w:val="009B4019"/>
    <w:rsid w:val="009B4A26"/>
    <w:rsid w:val="009B4AA0"/>
    <w:rsid w:val="009B56CC"/>
    <w:rsid w:val="009B5D40"/>
    <w:rsid w:val="009B79B0"/>
    <w:rsid w:val="009C3239"/>
    <w:rsid w:val="009C5DD8"/>
    <w:rsid w:val="009C7502"/>
    <w:rsid w:val="009C7D8E"/>
    <w:rsid w:val="009C7EBD"/>
    <w:rsid w:val="009C7FE9"/>
    <w:rsid w:val="009D244F"/>
    <w:rsid w:val="009D3456"/>
    <w:rsid w:val="009D3464"/>
    <w:rsid w:val="009D3FE1"/>
    <w:rsid w:val="009D46FF"/>
    <w:rsid w:val="009D5334"/>
    <w:rsid w:val="009E0A82"/>
    <w:rsid w:val="009E16AC"/>
    <w:rsid w:val="009E35B8"/>
    <w:rsid w:val="009E3D54"/>
    <w:rsid w:val="009E526D"/>
    <w:rsid w:val="009E6D40"/>
    <w:rsid w:val="009F0B24"/>
    <w:rsid w:val="009F16FA"/>
    <w:rsid w:val="009F1714"/>
    <w:rsid w:val="009F2476"/>
    <w:rsid w:val="009F4933"/>
    <w:rsid w:val="00A0048A"/>
    <w:rsid w:val="00A009A0"/>
    <w:rsid w:val="00A01010"/>
    <w:rsid w:val="00A03C98"/>
    <w:rsid w:val="00A048E8"/>
    <w:rsid w:val="00A10DD6"/>
    <w:rsid w:val="00A11BFA"/>
    <w:rsid w:val="00A11DCD"/>
    <w:rsid w:val="00A1345F"/>
    <w:rsid w:val="00A1358B"/>
    <w:rsid w:val="00A13925"/>
    <w:rsid w:val="00A13CCE"/>
    <w:rsid w:val="00A13F21"/>
    <w:rsid w:val="00A15E66"/>
    <w:rsid w:val="00A16CE6"/>
    <w:rsid w:val="00A20449"/>
    <w:rsid w:val="00A20596"/>
    <w:rsid w:val="00A23972"/>
    <w:rsid w:val="00A242EB"/>
    <w:rsid w:val="00A249CA"/>
    <w:rsid w:val="00A24B9E"/>
    <w:rsid w:val="00A24D6D"/>
    <w:rsid w:val="00A25657"/>
    <w:rsid w:val="00A2748B"/>
    <w:rsid w:val="00A30175"/>
    <w:rsid w:val="00A30A00"/>
    <w:rsid w:val="00A311B1"/>
    <w:rsid w:val="00A348D7"/>
    <w:rsid w:val="00A34EBB"/>
    <w:rsid w:val="00A355B4"/>
    <w:rsid w:val="00A36FC0"/>
    <w:rsid w:val="00A403FD"/>
    <w:rsid w:val="00A405FC"/>
    <w:rsid w:val="00A41C3F"/>
    <w:rsid w:val="00A420AB"/>
    <w:rsid w:val="00A420BD"/>
    <w:rsid w:val="00A432B2"/>
    <w:rsid w:val="00A448D3"/>
    <w:rsid w:val="00A456E5"/>
    <w:rsid w:val="00A45E4D"/>
    <w:rsid w:val="00A47E57"/>
    <w:rsid w:val="00A50580"/>
    <w:rsid w:val="00A508C5"/>
    <w:rsid w:val="00A51F66"/>
    <w:rsid w:val="00A57481"/>
    <w:rsid w:val="00A604D9"/>
    <w:rsid w:val="00A62BCC"/>
    <w:rsid w:val="00A63037"/>
    <w:rsid w:val="00A631C8"/>
    <w:rsid w:val="00A6372B"/>
    <w:rsid w:val="00A64374"/>
    <w:rsid w:val="00A6507A"/>
    <w:rsid w:val="00A67D21"/>
    <w:rsid w:val="00A70773"/>
    <w:rsid w:val="00A70D80"/>
    <w:rsid w:val="00A73B58"/>
    <w:rsid w:val="00A80B86"/>
    <w:rsid w:val="00A811FC"/>
    <w:rsid w:val="00A84176"/>
    <w:rsid w:val="00A8593C"/>
    <w:rsid w:val="00A87274"/>
    <w:rsid w:val="00A87FFE"/>
    <w:rsid w:val="00A91056"/>
    <w:rsid w:val="00A912AE"/>
    <w:rsid w:val="00A924C5"/>
    <w:rsid w:val="00A92587"/>
    <w:rsid w:val="00A92A71"/>
    <w:rsid w:val="00A93ECC"/>
    <w:rsid w:val="00AA0B11"/>
    <w:rsid w:val="00AA0EEB"/>
    <w:rsid w:val="00AA4292"/>
    <w:rsid w:val="00AA6AC3"/>
    <w:rsid w:val="00AA6ECB"/>
    <w:rsid w:val="00AA7349"/>
    <w:rsid w:val="00AB03C0"/>
    <w:rsid w:val="00AB0F0D"/>
    <w:rsid w:val="00AB1F13"/>
    <w:rsid w:val="00AB26D2"/>
    <w:rsid w:val="00AB4081"/>
    <w:rsid w:val="00AB4D4B"/>
    <w:rsid w:val="00AB545B"/>
    <w:rsid w:val="00AB7426"/>
    <w:rsid w:val="00AB7A7C"/>
    <w:rsid w:val="00AB7C53"/>
    <w:rsid w:val="00AC0E33"/>
    <w:rsid w:val="00AC1E7B"/>
    <w:rsid w:val="00AC2350"/>
    <w:rsid w:val="00AC616A"/>
    <w:rsid w:val="00AC7FDE"/>
    <w:rsid w:val="00AD0D56"/>
    <w:rsid w:val="00AD243A"/>
    <w:rsid w:val="00AD2C72"/>
    <w:rsid w:val="00AD39A6"/>
    <w:rsid w:val="00AD3D4A"/>
    <w:rsid w:val="00AD54CD"/>
    <w:rsid w:val="00AE0B5D"/>
    <w:rsid w:val="00AE3880"/>
    <w:rsid w:val="00AE45A3"/>
    <w:rsid w:val="00AE5606"/>
    <w:rsid w:val="00AE60C6"/>
    <w:rsid w:val="00AE7B8E"/>
    <w:rsid w:val="00AF1C20"/>
    <w:rsid w:val="00AF2D16"/>
    <w:rsid w:val="00AF4CB3"/>
    <w:rsid w:val="00AF5434"/>
    <w:rsid w:val="00AF6960"/>
    <w:rsid w:val="00B00705"/>
    <w:rsid w:val="00B026CE"/>
    <w:rsid w:val="00B02BD8"/>
    <w:rsid w:val="00B033AB"/>
    <w:rsid w:val="00B03609"/>
    <w:rsid w:val="00B04C3F"/>
    <w:rsid w:val="00B04F56"/>
    <w:rsid w:val="00B10782"/>
    <w:rsid w:val="00B10A50"/>
    <w:rsid w:val="00B1216B"/>
    <w:rsid w:val="00B121E5"/>
    <w:rsid w:val="00B1613A"/>
    <w:rsid w:val="00B17222"/>
    <w:rsid w:val="00B20495"/>
    <w:rsid w:val="00B20650"/>
    <w:rsid w:val="00B22C21"/>
    <w:rsid w:val="00B241D5"/>
    <w:rsid w:val="00B252DB"/>
    <w:rsid w:val="00B27B04"/>
    <w:rsid w:val="00B30DBB"/>
    <w:rsid w:val="00B31C99"/>
    <w:rsid w:val="00B32458"/>
    <w:rsid w:val="00B37C47"/>
    <w:rsid w:val="00B40521"/>
    <w:rsid w:val="00B41431"/>
    <w:rsid w:val="00B4162A"/>
    <w:rsid w:val="00B43B7E"/>
    <w:rsid w:val="00B469D3"/>
    <w:rsid w:val="00B51296"/>
    <w:rsid w:val="00B51BA2"/>
    <w:rsid w:val="00B5289B"/>
    <w:rsid w:val="00B559F2"/>
    <w:rsid w:val="00B56AEB"/>
    <w:rsid w:val="00B57E32"/>
    <w:rsid w:val="00B60B1E"/>
    <w:rsid w:val="00B62DA4"/>
    <w:rsid w:val="00B672C3"/>
    <w:rsid w:val="00B677B1"/>
    <w:rsid w:val="00B71345"/>
    <w:rsid w:val="00B72CC5"/>
    <w:rsid w:val="00B73D4E"/>
    <w:rsid w:val="00B74544"/>
    <w:rsid w:val="00B76AF4"/>
    <w:rsid w:val="00B77C01"/>
    <w:rsid w:val="00B80950"/>
    <w:rsid w:val="00B8262E"/>
    <w:rsid w:val="00B82B38"/>
    <w:rsid w:val="00B845A9"/>
    <w:rsid w:val="00B84D3E"/>
    <w:rsid w:val="00B85B12"/>
    <w:rsid w:val="00B867A9"/>
    <w:rsid w:val="00B872C8"/>
    <w:rsid w:val="00B87DB7"/>
    <w:rsid w:val="00B90978"/>
    <w:rsid w:val="00B92B8A"/>
    <w:rsid w:val="00B96031"/>
    <w:rsid w:val="00B96AF2"/>
    <w:rsid w:val="00BA09D7"/>
    <w:rsid w:val="00BA163F"/>
    <w:rsid w:val="00BA18D2"/>
    <w:rsid w:val="00BA284E"/>
    <w:rsid w:val="00BA3D75"/>
    <w:rsid w:val="00BA55A8"/>
    <w:rsid w:val="00BA646A"/>
    <w:rsid w:val="00BA6D93"/>
    <w:rsid w:val="00BB080E"/>
    <w:rsid w:val="00BB0D6C"/>
    <w:rsid w:val="00BB1949"/>
    <w:rsid w:val="00BB3EBE"/>
    <w:rsid w:val="00BB5E86"/>
    <w:rsid w:val="00BC0E7A"/>
    <w:rsid w:val="00BC550F"/>
    <w:rsid w:val="00BC6058"/>
    <w:rsid w:val="00BC6E70"/>
    <w:rsid w:val="00BC7819"/>
    <w:rsid w:val="00BD025A"/>
    <w:rsid w:val="00BD043E"/>
    <w:rsid w:val="00BD0D80"/>
    <w:rsid w:val="00BD0F3E"/>
    <w:rsid w:val="00BD357D"/>
    <w:rsid w:val="00BD378E"/>
    <w:rsid w:val="00BD7C69"/>
    <w:rsid w:val="00BE13CF"/>
    <w:rsid w:val="00BE3571"/>
    <w:rsid w:val="00BE4217"/>
    <w:rsid w:val="00BE6313"/>
    <w:rsid w:val="00BE6AE6"/>
    <w:rsid w:val="00BF05FB"/>
    <w:rsid w:val="00BF09F6"/>
    <w:rsid w:val="00BF1354"/>
    <w:rsid w:val="00BF16FC"/>
    <w:rsid w:val="00BF21A2"/>
    <w:rsid w:val="00BF288B"/>
    <w:rsid w:val="00BF2C79"/>
    <w:rsid w:val="00BF409E"/>
    <w:rsid w:val="00BF5865"/>
    <w:rsid w:val="00BF5983"/>
    <w:rsid w:val="00BF5D1E"/>
    <w:rsid w:val="00BF6BF7"/>
    <w:rsid w:val="00C00652"/>
    <w:rsid w:val="00C01445"/>
    <w:rsid w:val="00C0324B"/>
    <w:rsid w:val="00C03396"/>
    <w:rsid w:val="00C03CC9"/>
    <w:rsid w:val="00C03CF4"/>
    <w:rsid w:val="00C05E30"/>
    <w:rsid w:val="00C06EAA"/>
    <w:rsid w:val="00C071A2"/>
    <w:rsid w:val="00C11A7A"/>
    <w:rsid w:val="00C17855"/>
    <w:rsid w:val="00C2132E"/>
    <w:rsid w:val="00C22DA8"/>
    <w:rsid w:val="00C24A92"/>
    <w:rsid w:val="00C24FFD"/>
    <w:rsid w:val="00C25FEA"/>
    <w:rsid w:val="00C31B04"/>
    <w:rsid w:val="00C3293C"/>
    <w:rsid w:val="00C34037"/>
    <w:rsid w:val="00C348DC"/>
    <w:rsid w:val="00C34E35"/>
    <w:rsid w:val="00C34E8B"/>
    <w:rsid w:val="00C36F27"/>
    <w:rsid w:val="00C41083"/>
    <w:rsid w:val="00C411A9"/>
    <w:rsid w:val="00C41E93"/>
    <w:rsid w:val="00C44278"/>
    <w:rsid w:val="00C461BF"/>
    <w:rsid w:val="00C4700B"/>
    <w:rsid w:val="00C515CF"/>
    <w:rsid w:val="00C52950"/>
    <w:rsid w:val="00C52CCD"/>
    <w:rsid w:val="00C53CA3"/>
    <w:rsid w:val="00C54073"/>
    <w:rsid w:val="00C543A5"/>
    <w:rsid w:val="00C54B9F"/>
    <w:rsid w:val="00C54BBC"/>
    <w:rsid w:val="00C54C20"/>
    <w:rsid w:val="00C57DAE"/>
    <w:rsid w:val="00C61D8C"/>
    <w:rsid w:val="00C642EE"/>
    <w:rsid w:val="00C64320"/>
    <w:rsid w:val="00C67802"/>
    <w:rsid w:val="00C67B39"/>
    <w:rsid w:val="00C7059A"/>
    <w:rsid w:val="00C70B88"/>
    <w:rsid w:val="00C735DE"/>
    <w:rsid w:val="00C73671"/>
    <w:rsid w:val="00C74ABE"/>
    <w:rsid w:val="00C758CD"/>
    <w:rsid w:val="00C773ED"/>
    <w:rsid w:val="00C779F1"/>
    <w:rsid w:val="00C802FD"/>
    <w:rsid w:val="00C80446"/>
    <w:rsid w:val="00C80851"/>
    <w:rsid w:val="00C83B61"/>
    <w:rsid w:val="00C84F11"/>
    <w:rsid w:val="00C85D8C"/>
    <w:rsid w:val="00C86A36"/>
    <w:rsid w:val="00C90AEF"/>
    <w:rsid w:val="00C9140F"/>
    <w:rsid w:val="00C915F0"/>
    <w:rsid w:val="00C951FA"/>
    <w:rsid w:val="00C96B43"/>
    <w:rsid w:val="00C97735"/>
    <w:rsid w:val="00CA1771"/>
    <w:rsid w:val="00CA21FB"/>
    <w:rsid w:val="00CA2C9C"/>
    <w:rsid w:val="00CA46B2"/>
    <w:rsid w:val="00CA5B8D"/>
    <w:rsid w:val="00CA6336"/>
    <w:rsid w:val="00CA650B"/>
    <w:rsid w:val="00CA7981"/>
    <w:rsid w:val="00CB0FF9"/>
    <w:rsid w:val="00CB1F46"/>
    <w:rsid w:val="00CB4631"/>
    <w:rsid w:val="00CB46AD"/>
    <w:rsid w:val="00CB4E96"/>
    <w:rsid w:val="00CB520D"/>
    <w:rsid w:val="00CB7A8A"/>
    <w:rsid w:val="00CC0553"/>
    <w:rsid w:val="00CC0E69"/>
    <w:rsid w:val="00CC6A0F"/>
    <w:rsid w:val="00CC7FA0"/>
    <w:rsid w:val="00CD5B91"/>
    <w:rsid w:val="00CD5B92"/>
    <w:rsid w:val="00CD6067"/>
    <w:rsid w:val="00CD6F2D"/>
    <w:rsid w:val="00CD7558"/>
    <w:rsid w:val="00CD79D1"/>
    <w:rsid w:val="00CE241D"/>
    <w:rsid w:val="00CE5A55"/>
    <w:rsid w:val="00CE6D87"/>
    <w:rsid w:val="00CF07EF"/>
    <w:rsid w:val="00CF197D"/>
    <w:rsid w:val="00CF1A80"/>
    <w:rsid w:val="00CF5F0A"/>
    <w:rsid w:val="00CF64B6"/>
    <w:rsid w:val="00CF6FCE"/>
    <w:rsid w:val="00D0148F"/>
    <w:rsid w:val="00D0364F"/>
    <w:rsid w:val="00D03AC1"/>
    <w:rsid w:val="00D04177"/>
    <w:rsid w:val="00D054D5"/>
    <w:rsid w:val="00D066A4"/>
    <w:rsid w:val="00D06ADC"/>
    <w:rsid w:val="00D0736E"/>
    <w:rsid w:val="00D1176C"/>
    <w:rsid w:val="00D154A2"/>
    <w:rsid w:val="00D16BBE"/>
    <w:rsid w:val="00D16F51"/>
    <w:rsid w:val="00D2019D"/>
    <w:rsid w:val="00D21A1F"/>
    <w:rsid w:val="00D23E18"/>
    <w:rsid w:val="00D2652A"/>
    <w:rsid w:val="00D2725C"/>
    <w:rsid w:val="00D31FF9"/>
    <w:rsid w:val="00D37640"/>
    <w:rsid w:val="00D42C6C"/>
    <w:rsid w:val="00D43FC2"/>
    <w:rsid w:val="00D45753"/>
    <w:rsid w:val="00D549D3"/>
    <w:rsid w:val="00D54E8F"/>
    <w:rsid w:val="00D55AF9"/>
    <w:rsid w:val="00D5637E"/>
    <w:rsid w:val="00D56DD8"/>
    <w:rsid w:val="00D5756A"/>
    <w:rsid w:val="00D610E5"/>
    <w:rsid w:val="00D62277"/>
    <w:rsid w:val="00D65250"/>
    <w:rsid w:val="00D6559B"/>
    <w:rsid w:val="00D66F83"/>
    <w:rsid w:val="00D67F42"/>
    <w:rsid w:val="00D73750"/>
    <w:rsid w:val="00D738DD"/>
    <w:rsid w:val="00D7447F"/>
    <w:rsid w:val="00D7512A"/>
    <w:rsid w:val="00D755C3"/>
    <w:rsid w:val="00D75E29"/>
    <w:rsid w:val="00D8005E"/>
    <w:rsid w:val="00D82398"/>
    <w:rsid w:val="00D8295F"/>
    <w:rsid w:val="00D83268"/>
    <w:rsid w:val="00D8598F"/>
    <w:rsid w:val="00D86138"/>
    <w:rsid w:val="00D86AC3"/>
    <w:rsid w:val="00D90A9F"/>
    <w:rsid w:val="00D9257C"/>
    <w:rsid w:val="00D92900"/>
    <w:rsid w:val="00D9425E"/>
    <w:rsid w:val="00D948A7"/>
    <w:rsid w:val="00D94D6D"/>
    <w:rsid w:val="00D95DB1"/>
    <w:rsid w:val="00D96B8A"/>
    <w:rsid w:val="00DA0876"/>
    <w:rsid w:val="00DA2859"/>
    <w:rsid w:val="00DA2AB0"/>
    <w:rsid w:val="00DA643C"/>
    <w:rsid w:val="00DA6F01"/>
    <w:rsid w:val="00DB05B6"/>
    <w:rsid w:val="00DB0A42"/>
    <w:rsid w:val="00DB422B"/>
    <w:rsid w:val="00DB4F79"/>
    <w:rsid w:val="00DB5C39"/>
    <w:rsid w:val="00DC027B"/>
    <w:rsid w:val="00DC0E7C"/>
    <w:rsid w:val="00DC3A60"/>
    <w:rsid w:val="00DC587A"/>
    <w:rsid w:val="00DC6D49"/>
    <w:rsid w:val="00DC7266"/>
    <w:rsid w:val="00DD05B7"/>
    <w:rsid w:val="00DD2794"/>
    <w:rsid w:val="00DD2F25"/>
    <w:rsid w:val="00DD3C9B"/>
    <w:rsid w:val="00DD3DB2"/>
    <w:rsid w:val="00DD66E9"/>
    <w:rsid w:val="00DD6BBC"/>
    <w:rsid w:val="00DD7071"/>
    <w:rsid w:val="00DE22F8"/>
    <w:rsid w:val="00DE34A9"/>
    <w:rsid w:val="00DF0278"/>
    <w:rsid w:val="00DF147C"/>
    <w:rsid w:val="00DF2A3F"/>
    <w:rsid w:val="00DF2FBE"/>
    <w:rsid w:val="00DF50BB"/>
    <w:rsid w:val="00DF7E49"/>
    <w:rsid w:val="00E038E6"/>
    <w:rsid w:val="00E04AE7"/>
    <w:rsid w:val="00E05342"/>
    <w:rsid w:val="00E074BD"/>
    <w:rsid w:val="00E10AD4"/>
    <w:rsid w:val="00E10C99"/>
    <w:rsid w:val="00E11A24"/>
    <w:rsid w:val="00E12651"/>
    <w:rsid w:val="00E13039"/>
    <w:rsid w:val="00E13A10"/>
    <w:rsid w:val="00E17B09"/>
    <w:rsid w:val="00E21146"/>
    <w:rsid w:val="00E21FB7"/>
    <w:rsid w:val="00E22586"/>
    <w:rsid w:val="00E249FB"/>
    <w:rsid w:val="00E259A5"/>
    <w:rsid w:val="00E26DE7"/>
    <w:rsid w:val="00E30872"/>
    <w:rsid w:val="00E30996"/>
    <w:rsid w:val="00E31A2E"/>
    <w:rsid w:val="00E364F5"/>
    <w:rsid w:val="00E3791F"/>
    <w:rsid w:val="00E40475"/>
    <w:rsid w:val="00E404FA"/>
    <w:rsid w:val="00E40584"/>
    <w:rsid w:val="00E41E75"/>
    <w:rsid w:val="00E46DD4"/>
    <w:rsid w:val="00E47021"/>
    <w:rsid w:val="00E47537"/>
    <w:rsid w:val="00E508CC"/>
    <w:rsid w:val="00E51B2C"/>
    <w:rsid w:val="00E53EF8"/>
    <w:rsid w:val="00E54D2F"/>
    <w:rsid w:val="00E54EC9"/>
    <w:rsid w:val="00E55A0F"/>
    <w:rsid w:val="00E6042F"/>
    <w:rsid w:val="00E62576"/>
    <w:rsid w:val="00E6754B"/>
    <w:rsid w:val="00E67597"/>
    <w:rsid w:val="00E70178"/>
    <w:rsid w:val="00E74B56"/>
    <w:rsid w:val="00E75285"/>
    <w:rsid w:val="00E75619"/>
    <w:rsid w:val="00E75A69"/>
    <w:rsid w:val="00E7699D"/>
    <w:rsid w:val="00E76FF5"/>
    <w:rsid w:val="00E80C52"/>
    <w:rsid w:val="00E827D0"/>
    <w:rsid w:val="00E857A2"/>
    <w:rsid w:val="00E8644B"/>
    <w:rsid w:val="00E867F1"/>
    <w:rsid w:val="00E870E0"/>
    <w:rsid w:val="00E87D61"/>
    <w:rsid w:val="00E90B23"/>
    <w:rsid w:val="00E9152F"/>
    <w:rsid w:val="00E9441E"/>
    <w:rsid w:val="00E958C6"/>
    <w:rsid w:val="00E96328"/>
    <w:rsid w:val="00E9632F"/>
    <w:rsid w:val="00EA039A"/>
    <w:rsid w:val="00EA2289"/>
    <w:rsid w:val="00EA3DDA"/>
    <w:rsid w:val="00EA50D1"/>
    <w:rsid w:val="00EA5A4C"/>
    <w:rsid w:val="00EA6244"/>
    <w:rsid w:val="00EA6859"/>
    <w:rsid w:val="00EA7A4D"/>
    <w:rsid w:val="00EB0E92"/>
    <w:rsid w:val="00EB2AB0"/>
    <w:rsid w:val="00EB2CA6"/>
    <w:rsid w:val="00EB6736"/>
    <w:rsid w:val="00EB7085"/>
    <w:rsid w:val="00EC0DC6"/>
    <w:rsid w:val="00EC14DC"/>
    <w:rsid w:val="00EC1BAD"/>
    <w:rsid w:val="00EC29B4"/>
    <w:rsid w:val="00EC2F86"/>
    <w:rsid w:val="00EC50F5"/>
    <w:rsid w:val="00EC6BC3"/>
    <w:rsid w:val="00ED20EC"/>
    <w:rsid w:val="00ED2E52"/>
    <w:rsid w:val="00ED4DCD"/>
    <w:rsid w:val="00ED7156"/>
    <w:rsid w:val="00ED7AFD"/>
    <w:rsid w:val="00EE1F43"/>
    <w:rsid w:val="00EE2BC2"/>
    <w:rsid w:val="00EE2D2C"/>
    <w:rsid w:val="00EE3701"/>
    <w:rsid w:val="00EE3E09"/>
    <w:rsid w:val="00EE50B6"/>
    <w:rsid w:val="00EE596A"/>
    <w:rsid w:val="00EE71A7"/>
    <w:rsid w:val="00EE73EC"/>
    <w:rsid w:val="00EF1361"/>
    <w:rsid w:val="00EF1968"/>
    <w:rsid w:val="00EF34C3"/>
    <w:rsid w:val="00EF4280"/>
    <w:rsid w:val="00EF44F3"/>
    <w:rsid w:val="00EF4B5A"/>
    <w:rsid w:val="00EF5CFD"/>
    <w:rsid w:val="00EF6282"/>
    <w:rsid w:val="00EF65D4"/>
    <w:rsid w:val="00EF6755"/>
    <w:rsid w:val="00EF7807"/>
    <w:rsid w:val="00F01D7E"/>
    <w:rsid w:val="00F03616"/>
    <w:rsid w:val="00F04276"/>
    <w:rsid w:val="00F077EF"/>
    <w:rsid w:val="00F12042"/>
    <w:rsid w:val="00F14972"/>
    <w:rsid w:val="00F158E1"/>
    <w:rsid w:val="00F16A3C"/>
    <w:rsid w:val="00F17488"/>
    <w:rsid w:val="00F200D7"/>
    <w:rsid w:val="00F201D8"/>
    <w:rsid w:val="00F20398"/>
    <w:rsid w:val="00F20F5E"/>
    <w:rsid w:val="00F23CAE"/>
    <w:rsid w:val="00F24F5E"/>
    <w:rsid w:val="00F27B57"/>
    <w:rsid w:val="00F30AED"/>
    <w:rsid w:val="00F33763"/>
    <w:rsid w:val="00F34371"/>
    <w:rsid w:val="00F41141"/>
    <w:rsid w:val="00F423ED"/>
    <w:rsid w:val="00F42C78"/>
    <w:rsid w:val="00F44D92"/>
    <w:rsid w:val="00F44F0F"/>
    <w:rsid w:val="00F50475"/>
    <w:rsid w:val="00F50E95"/>
    <w:rsid w:val="00F51210"/>
    <w:rsid w:val="00F520BB"/>
    <w:rsid w:val="00F529C9"/>
    <w:rsid w:val="00F52D6B"/>
    <w:rsid w:val="00F52F26"/>
    <w:rsid w:val="00F54825"/>
    <w:rsid w:val="00F54BCC"/>
    <w:rsid w:val="00F55708"/>
    <w:rsid w:val="00F567D1"/>
    <w:rsid w:val="00F60260"/>
    <w:rsid w:val="00F61428"/>
    <w:rsid w:val="00F614C2"/>
    <w:rsid w:val="00F629AF"/>
    <w:rsid w:val="00F63708"/>
    <w:rsid w:val="00F63CE8"/>
    <w:rsid w:val="00F646DE"/>
    <w:rsid w:val="00F647FF"/>
    <w:rsid w:val="00F66170"/>
    <w:rsid w:val="00F66859"/>
    <w:rsid w:val="00F67424"/>
    <w:rsid w:val="00F6750B"/>
    <w:rsid w:val="00F71107"/>
    <w:rsid w:val="00F716C9"/>
    <w:rsid w:val="00F762D1"/>
    <w:rsid w:val="00F77AD7"/>
    <w:rsid w:val="00F81C39"/>
    <w:rsid w:val="00F81D27"/>
    <w:rsid w:val="00F82A84"/>
    <w:rsid w:val="00F84B68"/>
    <w:rsid w:val="00F84CEE"/>
    <w:rsid w:val="00F856F2"/>
    <w:rsid w:val="00F85E52"/>
    <w:rsid w:val="00F90C9E"/>
    <w:rsid w:val="00F91472"/>
    <w:rsid w:val="00F929E4"/>
    <w:rsid w:val="00F94920"/>
    <w:rsid w:val="00F9793D"/>
    <w:rsid w:val="00FA0115"/>
    <w:rsid w:val="00FA05D5"/>
    <w:rsid w:val="00FA1242"/>
    <w:rsid w:val="00FA5915"/>
    <w:rsid w:val="00FA7432"/>
    <w:rsid w:val="00FA77F0"/>
    <w:rsid w:val="00FB02A9"/>
    <w:rsid w:val="00FB229A"/>
    <w:rsid w:val="00FB33C8"/>
    <w:rsid w:val="00FB5055"/>
    <w:rsid w:val="00FB6D2C"/>
    <w:rsid w:val="00FB716C"/>
    <w:rsid w:val="00FC166C"/>
    <w:rsid w:val="00FC1829"/>
    <w:rsid w:val="00FC419C"/>
    <w:rsid w:val="00FC597B"/>
    <w:rsid w:val="00FC7518"/>
    <w:rsid w:val="00FD31BE"/>
    <w:rsid w:val="00FD32AF"/>
    <w:rsid w:val="00FD3BCB"/>
    <w:rsid w:val="00FD458E"/>
    <w:rsid w:val="00FD69A6"/>
    <w:rsid w:val="00FD7F84"/>
    <w:rsid w:val="00FE6057"/>
    <w:rsid w:val="00FE757B"/>
    <w:rsid w:val="00FF0CA2"/>
    <w:rsid w:val="00FF0FDD"/>
    <w:rsid w:val="00FF1712"/>
    <w:rsid w:val="00FF2092"/>
    <w:rsid w:val="00FF494A"/>
    <w:rsid w:val="00FF57F3"/>
    <w:rsid w:val="00FF58B0"/>
    <w:rsid w:val="00FF6418"/>
    <w:rsid w:val="00FF6BC5"/>
    <w:rsid w:val="00FF6CD9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90AC"/>
  <w15:docId w15:val="{19745ABB-3EE8-4921-8B07-0641D812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05D5"/>
    <w:pPr>
      <w:spacing w:line="360" w:lineRule="auto"/>
      <w:jc w:val="center"/>
    </w:pPr>
    <w:rPr>
      <w:b/>
      <w:u w:val="single"/>
    </w:rPr>
  </w:style>
  <w:style w:type="paragraph" w:styleId="BodyTextIndent">
    <w:name w:val="Body Text Indent"/>
    <w:basedOn w:val="Normal"/>
    <w:rsid w:val="00FA05D5"/>
    <w:pPr>
      <w:spacing w:line="360" w:lineRule="auto"/>
      <w:ind w:left="360" w:firstLine="348"/>
      <w:jc w:val="both"/>
    </w:pPr>
  </w:style>
  <w:style w:type="paragraph" w:styleId="EndnoteText">
    <w:name w:val="endnote text"/>
    <w:basedOn w:val="Normal"/>
    <w:semiHidden/>
    <w:rsid w:val="00FA05D5"/>
    <w:rPr>
      <w:sz w:val="20"/>
    </w:rPr>
  </w:style>
  <w:style w:type="character" w:styleId="EndnoteReference">
    <w:name w:val="endnote reference"/>
    <w:semiHidden/>
    <w:rsid w:val="00FA05D5"/>
    <w:rPr>
      <w:vertAlign w:val="superscript"/>
    </w:rPr>
  </w:style>
  <w:style w:type="paragraph" w:styleId="HTMLPreformatted">
    <w:name w:val="HTML Preformatted"/>
    <w:basedOn w:val="Normal"/>
    <w:rsid w:val="003F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13561"/>
    <w:rPr>
      <w:color w:val="0000FF"/>
      <w:u w:val="single"/>
    </w:rPr>
  </w:style>
  <w:style w:type="paragraph" w:styleId="FootnoteText">
    <w:name w:val="footnote text"/>
    <w:basedOn w:val="Normal"/>
    <w:semiHidden/>
    <w:rsid w:val="00874355"/>
    <w:rPr>
      <w:sz w:val="20"/>
      <w:szCs w:val="20"/>
    </w:rPr>
  </w:style>
  <w:style w:type="character" w:styleId="FootnoteReference">
    <w:name w:val="footnote reference"/>
    <w:semiHidden/>
    <w:rsid w:val="00874355"/>
    <w:rPr>
      <w:vertAlign w:val="superscript"/>
    </w:rPr>
  </w:style>
  <w:style w:type="paragraph" w:styleId="BalloonText">
    <w:name w:val="Balloon Text"/>
    <w:basedOn w:val="Normal"/>
    <w:semiHidden/>
    <w:rsid w:val="00967CB5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883878"/>
  </w:style>
  <w:style w:type="character" w:customStyle="1" w:styleId="issue">
    <w:name w:val="issue"/>
    <w:basedOn w:val="DefaultParagraphFont"/>
    <w:rsid w:val="00883878"/>
  </w:style>
  <w:style w:type="character" w:customStyle="1" w:styleId="pages">
    <w:name w:val="pages"/>
    <w:basedOn w:val="DefaultParagraphFont"/>
    <w:rsid w:val="00883878"/>
  </w:style>
  <w:style w:type="paragraph" w:customStyle="1" w:styleId="NormalJustificado">
    <w:name w:val="Normal + Justificado"/>
    <w:aliases w:val="Izquierda:  0,5 cm,Interlineado:  1,5 líneas"/>
    <w:basedOn w:val="Normal"/>
    <w:rsid w:val="009B54A1"/>
    <w:pPr>
      <w:autoSpaceDE w:val="0"/>
      <w:autoSpaceDN w:val="0"/>
      <w:adjustRightInd w:val="0"/>
      <w:jc w:val="both"/>
    </w:pPr>
    <w:rPr>
      <w:color w:val="000000"/>
    </w:rPr>
  </w:style>
  <w:style w:type="paragraph" w:customStyle="1" w:styleId="ListParagraph1">
    <w:name w:val="List Paragraph1"/>
    <w:basedOn w:val="Normal"/>
    <w:rsid w:val="001C109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CF6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1">
    <w:name w:val="title1"/>
    <w:basedOn w:val="Normal"/>
    <w:rsid w:val="00C457D5"/>
    <w:rPr>
      <w:sz w:val="29"/>
      <w:szCs w:val="29"/>
    </w:rPr>
  </w:style>
  <w:style w:type="paragraph" w:customStyle="1" w:styleId="desc2">
    <w:name w:val="desc2"/>
    <w:basedOn w:val="Normal"/>
    <w:rsid w:val="00C457D5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D1149A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D1149A"/>
  </w:style>
  <w:style w:type="paragraph" w:styleId="Header">
    <w:name w:val="header"/>
    <w:basedOn w:val="Normal"/>
    <w:link w:val="HeaderChar"/>
    <w:uiPriority w:val="99"/>
    <w:unhideWhenUsed/>
    <w:rsid w:val="0020521D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2052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21D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20521D"/>
    <w:rPr>
      <w:sz w:val="24"/>
      <w:szCs w:val="24"/>
    </w:rPr>
  </w:style>
  <w:style w:type="character" w:customStyle="1" w:styleId="apple-style-span">
    <w:name w:val="apple-style-span"/>
    <w:basedOn w:val="DefaultParagraphFont"/>
    <w:rsid w:val="00E74B56"/>
  </w:style>
  <w:style w:type="paragraph" w:customStyle="1" w:styleId="Ttulo1">
    <w:name w:val="Título1"/>
    <w:basedOn w:val="Normal"/>
    <w:rsid w:val="00C735DE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735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735DE"/>
  </w:style>
  <w:style w:type="paragraph" w:customStyle="1" w:styleId="details">
    <w:name w:val="details"/>
    <w:basedOn w:val="Normal"/>
    <w:rsid w:val="00C735DE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AA6ECB"/>
  </w:style>
  <w:style w:type="character" w:styleId="Emphasis">
    <w:name w:val="Emphasis"/>
    <w:uiPriority w:val="20"/>
    <w:qFormat/>
    <w:rsid w:val="00AA6ECB"/>
    <w:rPr>
      <w:i/>
      <w:iCs/>
    </w:rPr>
  </w:style>
  <w:style w:type="character" w:styleId="Strong">
    <w:name w:val="Strong"/>
    <w:qFormat/>
    <w:rsid w:val="00145028"/>
    <w:rPr>
      <w:b/>
      <w:bCs/>
    </w:rPr>
  </w:style>
  <w:style w:type="paragraph" w:customStyle="1" w:styleId="Default">
    <w:name w:val="Default"/>
    <w:rsid w:val="001963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rsid w:val="007705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5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05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1C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44278"/>
    <w:rPr>
      <w:sz w:val="24"/>
      <w:szCs w:val="24"/>
    </w:rPr>
  </w:style>
  <w:style w:type="character" w:customStyle="1" w:styleId="ref-journal">
    <w:name w:val="ref-journal"/>
    <w:basedOn w:val="DefaultParagraphFont"/>
    <w:rsid w:val="00935D90"/>
  </w:style>
  <w:style w:type="character" w:customStyle="1" w:styleId="ref-vol">
    <w:name w:val="ref-vol"/>
    <w:basedOn w:val="DefaultParagraphFont"/>
    <w:rsid w:val="00935D90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960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822D0"/>
    <w:pPr>
      <w:ind w:left="720"/>
      <w:contextualSpacing/>
    </w:pPr>
  </w:style>
  <w:style w:type="paragraph" w:customStyle="1" w:styleId="1">
    <w:name w:val="正文1"/>
    <w:uiPriority w:val="99"/>
    <w:rsid w:val="007462BA"/>
    <w:pPr>
      <w:spacing w:line="276" w:lineRule="auto"/>
    </w:pPr>
    <w:rPr>
      <w:rFonts w:ascii="Arial" w:eastAsia="SimSun" w:hAnsi="Arial" w:cs="Arial"/>
      <w:color w:val="000000"/>
      <w:sz w:val="22"/>
      <w:lang w:val="pl-PL" w:eastAsia="pl-PL"/>
    </w:rPr>
  </w:style>
  <w:style w:type="paragraph" w:customStyle="1" w:styleId="p1">
    <w:name w:val="p1"/>
    <w:basedOn w:val="Normal"/>
    <w:rsid w:val="007462BA"/>
    <w:rPr>
      <w:rFonts w:ascii="Helvetica" w:hAnsi="Helvetica"/>
      <w:sz w:val="18"/>
      <w:szCs w:val="18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4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7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330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490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43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4636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6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267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55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6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2177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255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1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356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767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5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49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3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9822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005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054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82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69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90748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33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1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4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114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9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8984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4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8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23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5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6271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7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075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9615">
                                  <w:marLeft w:val="-12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4620">
                                          <w:marLeft w:val="9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61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90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91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04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797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23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9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8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221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6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30123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43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473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49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6099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9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5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43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6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1490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31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8967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18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8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6313">
                                  <w:marLeft w:val="35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53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85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289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838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04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6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4139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5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irujanos.es/images/stories/recursos/secciones/coloproctologia/2015/proyecto_vikingo/documentos/definiciones_proyecto_vikingo.pdf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eer.cancer.gov/statfacts/html/colore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cd.cdc.gov/USCSDataViz/rdPage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45DD-6243-4250-8384-E69436DB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6962</Words>
  <Characters>39689</Characters>
  <Application>Microsoft Office Word</Application>
  <DocSecurity>0</DocSecurity>
  <Lines>330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PROTOCOLO FAST TRACK</vt:lpstr>
      <vt:lpstr>PROTOCOLO FAST TRACK</vt:lpstr>
    </vt:vector>
  </TitlesOfParts>
  <Company>Hospital La FE</Company>
  <LinksUpToDate>false</LinksUpToDate>
  <CharactersWithSpaces>46558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mailto:frasson.matteo@libero.it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FAST TRACK</dc:title>
  <dc:subject/>
  <dc:creator>Gianluca Pellino</dc:creator>
  <cp:keywords/>
  <dc:description/>
  <cp:lastModifiedBy>Lian-Sheng Ma</cp:lastModifiedBy>
  <cp:revision>2</cp:revision>
  <cp:lastPrinted>2011-12-21T18:41:00Z</cp:lastPrinted>
  <dcterms:created xsi:type="dcterms:W3CDTF">2018-11-16T18:25:00Z</dcterms:created>
  <dcterms:modified xsi:type="dcterms:W3CDTF">2018-11-16T18:25:00Z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Tick">
    <vt:r8>43403.4136111111</vt:r8>
  </property>
  <property fmtid="{D5CDD505-2E9C-101B-9397-08002B2CF9AE}" pid="3" name="UseTimer">
    <vt:bool>false</vt:bool>
  </property>
</Properties>
</file>