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6F00C" w14:textId="77777777" w:rsidR="00342C41" w:rsidRPr="00E10230" w:rsidRDefault="00342C41" w:rsidP="00E10230">
      <w:pPr>
        <w:spacing w:after="0" w:line="360" w:lineRule="auto"/>
        <w:jc w:val="both"/>
        <w:rPr>
          <w:rFonts w:ascii="Book Antiqua" w:hAnsi="Book Antiqua" w:cs="Arial"/>
          <w:b/>
          <w:i/>
          <w:sz w:val="24"/>
          <w:szCs w:val="24"/>
        </w:rPr>
      </w:pPr>
      <w:bookmarkStart w:id="0" w:name="_Hlk508302457"/>
      <w:r w:rsidRPr="00E10230">
        <w:rPr>
          <w:rFonts w:ascii="Book Antiqua" w:hAnsi="Book Antiqua" w:cs="Arial"/>
          <w:b/>
          <w:sz w:val="24"/>
          <w:szCs w:val="24"/>
        </w:rPr>
        <w:t>Name of Journal</w:t>
      </w:r>
      <w:r w:rsidRPr="00E10230">
        <w:rPr>
          <w:rFonts w:ascii="Book Antiqua" w:hAnsi="Book Antiqua" w:cs="Arial"/>
          <w:sz w:val="24"/>
          <w:szCs w:val="24"/>
        </w:rPr>
        <w:t xml:space="preserve">: </w:t>
      </w:r>
      <w:r w:rsidRPr="00E10230">
        <w:rPr>
          <w:rFonts w:ascii="Book Antiqua" w:hAnsi="Book Antiqua" w:cs="Arial"/>
          <w:i/>
          <w:sz w:val="24"/>
          <w:szCs w:val="24"/>
        </w:rPr>
        <w:t>World Journal of Hepatology</w:t>
      </w:r>
    </w:p>
    <w:p w14:paraId="2A13B322" w14:textId="77777777" w:rsidR="00141D23" w:rsidRPr="00E10230" w:rsidRDefault="0065173A" w:rsidP="00E10230">
      <w:pPr>
        <w:spacing w:after="0" w:line="360" w:lineRule="auto"/>
        <w:jc w:val="both"/>
        <w:rPr>
          <w:rFonts w:ascii="Book Antiqua" w:eastAsiaTheme="minorEastAsia" w:hAnsi="Book Antiqua" w:cs="Arial"/>
          <w:b/>
          <w:sz w:val="24"/>
          <w:szCs w:val="24"/>
          <w:lang w:eastAsia="zh-CN"/>
        </w:rPr>
      </w:pPr>
      <w:r w:rsidRPr="00E10230">
        <w:rPr>
          <w:rFonts w:ascii="Book Antiqua" w:hAnsi="Book Antiqua" w:cs="Arial"/>
          <w:b/>
          <w:sz w:val="24"/>
          <w:szCs w:val="24"/>
        </w:rPr>
        <w:t>Manuscript</w:t>
      </w:r>
      <w:r w:rsidRPr="00E10230">
        <w:rPr>
          <w:rFonts w:ascii="Book Antiqua" w:eastAsiaTheme="minorEastAsia" w:hAnsi="Book Antiqua" w:cs="Arial"/>
          <w:b/>
          <w:sz w:val="24"/>
          <w:szCs w:val="24"/>
          <w:lang w:eastAsia="zh-CN"/>
        </w:rPr>
        <w:t xml:space="preserve"> NO: </w:t>
      </w:r>
      <w:r w:rsidRPr="00E10230">
        <w:rPr>
          <w:rFonts w:ascii="Book Antiqua" w:eastAsiaTheme="minorEastAsia" w:hAnsi="Book Antiqua" w:cs="Arial"/>
          <w:sz w:val="24"/>
          <w:szCs w:val="24"/>
          <w:lang w:eastAsia="zh-CN"/>
        </w:rPr>
        <w:t>42713</w:t>
      </w:r>
    </w:p>
    <w:p w14:paraId="1A801F16" w14:textId="27076FB5" w:rsidR="00BF55B0" w:rsidRPr="00E10230" w:rsidRDefault="00342C41"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b/>
          <w:sz w:val="24"/>
          <w:szCs w:val="24"/>
        </w:rPr>
        <w:t>Manuscript Type</w:t>
      </w:r>
      <w:r w:rsidRPr="00E10230">
        <w:rPr>
          <w:rFonts w:ascii="Book Antiqua" w:hAnsi="Book Antiqua" w:cs="Arial"/>
          <w:sz w:val="24"/>
          <w:szCs w:val="24"/>
        </w:rPr>
        <w:t xml:space="preserve">: </w:t>
      </w:r>
      <w:r w:rsidR="00BF55B0" w:rsidRPr="00E10230">
        <w:rPr>
          <w:rFonts w:ascii="Book Antiqua" w:eastAsiaTheme="minorEastAsia" w:hAnsi="Book Antiqua" w:cs="Arial"/>
          <w:sz w:val="24"/>
          <w:szCs w:val="24"/>
          <w:lang w:eastAsia="zh-CN"/>
        </w:rPr>
        <w:t>ORGINAL ARTICLE</w:t>
      </w:r>
    </w:p>
    <w:p w14:paraId="595A43B3" w14:textId="77777777" w:rsidR="00BF55B0" w:rsidRPr="00E10230" w:rsidRDefault="00BF55B0" w:rsidP="00E10230">
      <w:pPr>
        <w:spacing w:after="0" w:line="360" w:lineRule="auto"/>
        <w:jc w:val="both"/>
        <w:rPr>
          <w:rFonts w:ascii="Book Antiqua" w:eastAsiaTheme="minorEastAsia" w:hAnsi="Book Antiqua" w:cs="Arial"/>
          <w:sz w:val="24"/>
          <w:szCs w:val="24"/>
          <w:lang w:eastAsia="zh-CN"/>
        </w:rPr>
      </w:pPr>
    </w:p>
    <w:p w14:paraId="3ADECD16" w14:textId="40355713" w:rsidR="005C394F" w:rsidRPr="005A1552" w:rsidRDefault="00342C41" w:rsidP="00E10230">
      <w:pPr>
        <w:spacing w:after="0" w:line="360" w:lineRule="auto"/>
        <w:jc w:val="both"/>
        <w:rPr>
          <w:rFonts w:ascii="Book Antiqua" w:eastAsiaTheme="minorEastAsia" w:hAnsi="Book Antiqua" w:cs="Arial"/>
          <w:b/>
          <w:i/>
          <w:sz w:val="24"/>
          <w:szCs w:val="24"/>
          <w:lang w:eastAsia="zh-CN"/>
        </w:rPr>
      </w:pPr>
      <w:r w:rsidRPr="005A1552">
        <w:rPr>
          <w:rFonts w:ascii="Book Antiqua" w:hAnsi="Book Antiqua" w:cs="Arial"/>
          <w:b/>
          <w:i/>
          <w:sz w:val="24"/>
          <w:szCs w:val="24"/>
        </w:rPr>
        <w:t>Basic Study</w:t>
      </w:r>
      <w:bookmarkStart w:id="1" w:name="_Hlk526361941"/>
    </w:p>
    <w:p w14:paraId="1A0BCE74" w14:textId="34E5C6A4" w:rsidR="001156B1" w:rsidRPr="00E10230" w:rsidRDefault="00BF55B0" w:rsidP="00E10230">
      <w:pPr>
        <w:spacing w:after="0" w:line="360" w:lineRule="auto"/>
        <w:jc w:val="both"/>
        <w:rPr>
          <w:rFonts w:ascii="Book Antiqua" w:eastAsiaTheme="minorEastAsia" w:hAnsi="Book Antiqua" w:cs="Arial"/>
          <w:b/>
          <w:sz w:val="24"/>
          <w:szCs w:val="24"/>
          <w:lang w:eastAsia="zh-CN"/>
        </w:rPr>
      </w:pPr>
      <w:r w:rsidRPr="00E10230">
        <w:rPr>
          <w:rFonts w:ascii="Book Antiqua" w:hAnsi="Book Antiqua" w:cs="Arial"/>
          <w:b/>
          <w:sz w:val="24"/>
          <w:szCs w:val="24"/>
        </w:rPr>
        <w:t>Temporal trends of cirrhosis associated conditions</w:t>
      </w:r>
    </w:p>
    <w:p w14:paraId="6E026322" w14:textId="77777777" w:rsidR="00BF55B0" w:rsidRPr="00E10230" w:rsidRDefault="00BF55B0" w:rsidP="00E10230">
      <w:pPr>
        <w:spacing w:after="0" w:line="360" w:lineRule="auto"/>
        <w:jc w:val="both"/>
        <w:rPr>
          <w:rFonts w:ascii="Book Antiqua" w:eastAsiaTheme="minorEastAsia" w:hAnsi="Book Antiqua" w:cs="Arial"/>
          <w:b/>
          <w:sz w:val="24"/>
          <w:szCs w:val="24"/>
          <w:lang w:eastAsia="zh-CN"/>
        </w:rPr>
      </w:pPr>
    </w:p>
    <w:bookmarkEnd w:id="1"/>
    <w:p w14:paraId="7F8AFAA4" w14:textId="26D1A570" w:rsidR="005C394F" w:rsidRPr="00E10230" w:rsidRDefault="00BF55B0" w:rsidP="00E10230">
      <w:pPr>
        <w:spacing w:after="0" w:line="360" w:lineRule="auto"/>
        <w:jc w:val="both"/>
        <w:rPr>
          <w:rFonts w:ascii="Book Antiqua" w:eastAsiaTheme="minorEastAsia" w:hAnsi="Book Antiqua" w:cs="Arial"/>
          <w:sz w:val="24"/>
          <w:szCs w:val="24"/>
          <w:lang w:eastAsia="zh-CN"/>
        </w:rPr>
      </w:pPr>
      <w:proofErr w:type="spellStart"/>
      <w:r w:rsidRPr="00E10230">
        <w:rPr>
          <w:rFonts w:ascii="Book Antiqua" w:hAnsi="Book Antiqua" w:cs="Arial"/>
          <w:sz w:val="24"/>
          <w:szCs w:val="24"/>
        </w:rPr>
        <w:t>Sempokuya</w:t>
      </w:r>
      <w:proofErr w:type="spellEnd"/>
      <w:r w:rsidRPr="00E10230">
        <w:rPr>
          <w:rFonts w:ascii="Book Antiqua" w:eastAsiaTheme="minorEastAsia" w:hAnsi="Book Antiqua" w:cs="Arial"/>
          <w:sz w:val="24"/>
          <w:szCs w:val="24"/>
          <w:lang w:eastAsia="zh-CN"/>
        </w:rPr>
        <w:t xml:space="preserve"> T </w:t>
      </w:r>
      <w:r w:rsidRPr="00E10230">
        <w:rPr>
          <w:rFonts w:ascii="Book Antiqua" w:eastAsiaTheme="minorEastAsia" w:hAnsi="Book Antiqua" w:cs="Arial"/>
          <w:i/>
          <w:sz w:val="24"/>
          <w:szCs w:val="24"/>
          <w:lang w:eastAsia="zh-CN"/>
        </w:rPr>
        <w:t>et al</w:t>
      </w:r>
      <w:r w:rsidRPr="00E10230">
        <w:rPr>
          <w:rFonts w:ascii="Book Antiqua" w:eastAsiaTheme="minorEastAsia" w:hAnsi="Book Antiqua" w:cs="Arial"/>
          <w:sz w:val="24"/>
          <w:szCs w:val="24"/>
          <w:lang w:eastAsia="zh-CN"/>
        </w:rPr>
        <w:t>.</w:t>
      </w:r>
      <w:r w:rsidR="00F87273" w:rsidRPr="00E10230">
        <w:rPr>
          <w:rFonts w:ascii="Book Antiqua" w:hAnsi="Book Antiqua" w:cs="Arial"/>
          <w:sz w:val="24"/>
          <w:szCs w:val="24"/>
        </w:rPr>
        <w:t xml:space="preserve"> Trends of </w:t>
      </w:r>
      <w:r w:rsidRPr="00E10230">
        <w:rPr>
          <w:rFonts w:ascii="Book Antiqua" w:hAnsi="Book Antiqua" w:cs="Arial"/>
          <w:sz w:val="24"/>
          <w:szCs w:val="24"/>
        </w:rPr>
        <w:t>cirrhosis associated conditions</w:t>
      </w:r>
    </w:p>
    <w:p w14:paraId="26E8EED3" w14:textId="77777777" w:rsidR="00BF55B0" w:rsidRPr="00E10230" w:rsidRDefault="00BF55B0" w:rsidP="00E10230">
      <w:pPr>
        <w:spacing w:after="0" w:line="360" w:lineRule="auto"/>
        <w:jc w:val="both"/>
        <w:rPr>
          <w:rFonts w:ascii="Book Antiqua" w:eastAsiaTheme="minorEastAsia" w:hAnsi="Book Antiqua" w:cs="Arial"/>
          <w:b/>
          <w:sz w:val="24"/>
          <w:szCs w:val="24"/>
          <w:lang w:eastAsia="zh-CN"/>
        </w:rPr>
      </w:pPr>
    </w:p>
    <w:p w14:paraId="11BE6602" w14:textId="1D2878CC" w:rsidR="00FB1910" w:rsidRPr="00222F37" w:rsidRDefault="00FB1910" w:rsidP="00E10230">
      <w:pPr>
        <w:spacing w:after="0" w:line="360" w:lineRule="auto"/>
        <w:jc w:val="both"/>
        <w:rPr>
          <w:rFonts w:ascii="Book Antiqua" w:hAnsi="Book Antiqua" w:cs="Arial"/>
          <w:sz w:val="24"/>
          <w:szCs w:val="24"/>
        </w:rPr>
      </w:pPr>
      <w:bookmarkStart w:id="2" w:name="_Hlk529180726"/>
      <w:bookmarkEnd w:id="0"/>
      <w:r w:rsidRPr="00222F37">
        <w:rPr>
          <w:rFonts w:ascii="Book Antiqua" w:hAnsi="Book Antiqua" w:cs="Arial"/>
          <w:sz w:val="24"/>
          <w:szCs w:val="24"/>
        </w:rPr>
        <w:t xml:space="preserve">Tomoki </w:t>
      </w:r>
      <w:proofErr w:type="spellStart"/>
      <w:r w:rsidRPr="00222F37">
        <w:rPr>
          <w:rFonts w:ascii="Book Antiqua" w:hAnsi="Book Antiqua" w:cs="Arial"/>
          <w:sz w:val="24"/>
          <w:szCs w:val="24"/>
        </w:rPr>
        <w:t>Sempokuya</w:t>
      </w:r>
      <w:proofErr w:type="spellEnd"/>
      <w:r w:rsidRPr="00222F37">
        <w:rPr>
          <w:rFonts w:ascii="Book Antiqua" w:hAnsi="Book Antiqua" w:cs="Arial"/>
          <w:sz w:val="24"/>
          <w:szCs w:val="24"/>
        </w:rPr>
        <w:t xml:space="preserve">, </w:t>
      </w:r>
      <w:proofErr w:type="spellStart"/>
      <w:r w:rsidRPr="00222F37">
        <w:rPr>
          <w:rFonts w:ascii="Book Antiqua" w:hAnsi="Book Antiqua" w:cs="Arial"/>
          <w:sz w:val="24"/>
          <w:szCs w:val="24"/>
        </w:rPr>
        <w:t>Guangxiang</w:t>
      </w:r>
      <w:proofErr w:type="spellEnd"/>
      <w:r w:rsidRPr="00222F37">
        <w:rPr>
          <w:rFonts w:ascii="Book Antiqua" w:hAnsi="Book Antiqua" w:cs="Arial"/>
          <w:sz w:val="24"/>
          <w:szCs w:val="24"/>
        </w:rPr>
        <w:t xml:space="preserve"> Zhang, Kazuma Nakagawa</w:t>
      </w:r>
    </w:p>
    <w:bookmarkEnd w:id="2"/>
    <w:p w14:paraId="505C1B17" w14:textId="77777777" w:rsidR="00A000CA" w:rsidRPr="00E10230" w:rsidRDefault="00A000CA" w:rsidP="00E10230">
      <w:pPr>
        <w:spacing w:after="0" w:line="360" w:lineRule="auto"/>
        <w:jc w:val="both"/>
        <w:rPr>
          <w:rFonts w:ascii="Book Antiqua" w:hAnsi="Book Antiqua" w:cs="Arial"/>
          <w:b/>
          <w:sz w:val="24"/>
          <w:szCs w:val="24"/>
        </w:rPr>
      </w:pPr>
    </w:p>
    <w:p w14:paraId="78881C51" w14:textId="1E1A850F" w:rsidR="00FB1910" w:rsidRPr="00E10230" w:rsidRDefault="00BF55B0" w:rsidP="00E10230">
      <w:pPr>
        <w:spacing w:after="0" w:line="360" w:lineRule="auto"/>
        <w:jc w:val="both"/>
        <w:rPr>
          <w:rFonts w:ascii="Book Antiqua" w:eastAsiaTheme="minorEastAsia" w:hAnsi="Book Antiqua" w:cs="Arial"/>
          <w:b/>
          <w:sz w:val="24"/>
          <w:szCs w:val="24"/>
          <w:lang w:eastAsia="zh-CN"/>
        </w:rPr>
      </w:pPr>
      <w:r w:rsidRPr="00E10230">
        <w:rPr>
          <w:rFonts w:ascii="Book Antiqua" w:hAnsi="Book Antiqua" w:cs="Arial"/>
          <w:b/>
          <w:sz w:val="24"/>
          <w:szCs w:val="24"/>
        </w:rPr>
        <w:t xml:space="preserve">Tomoki </w:t>
      </w:r>
      <w:proofErr w:type="spellStart"/>
      <w:r w:rsidRPr="00E10230">
        <w:rPr>
          <w:rFonts w:ascii="Book Antiqua" w:hAnsi="Book Antiqua" w:cs="Arial"/>
          <w:b/>
          <w:sz w:val="24"/>
          <w:szCs w:val="24"/>
        </w:rPr>
        <w:t>Sempokuya</w:t>
      </w:r>
      <w:proofErr w:type="spellEnd"/>
      <w:r w:rsidRPr="00E10230">
        <w:rPr>
          <w:rFonts w:ascii="Book Antiqua" w:hAnsi="Book Antiqua" w:cs="Arial"/>
          <w:b/>
          <w:sz w:val="24"/>
          <w:szCs w:val="24"/>
        </w:rPr>
        <w:t xml:space="preserve">, </w:t>
      </w:r>
      <w:proofErr w:type="spellStart"/>
      <w:r w:rsidRPr="00E10230">
        <w:rPr>
          <w:rFonts w:ascii="Book Antiqua" w:hAnsi="Book Antiqua" w:cs="Arial"/>
          <w:b/>
          <w:sz w:val="24"/>
          <w:szCs w:val="24"/>
        </w:rPr>
        <w:t>Guangxiang</w:t>
      </w:r>
      <w:proofErr w:type="spellEnd"/>
      <w:r w:rsidRPr="00E10230">
        <w:rPr>
          <w:rFonts w:ascii="Book Antiqua" w:hAnsi="Book Antiqua" w:cs="Arial"/>
          <w:b/>
          <w:sz w:val="24"/>
          <w:szCs w:val="24"/>
        </w:rPr>
        <w:t xml:space="preserve"> Zhang, Kazuma Nakagawa</w:t>
      </w:r>
      <w:r w:rsidRPr="00E10230">
        <w:rPr>
          <w:rFonts w:ascii="Book Antiqua" w:eastAsiaTheme="minorEastAsia" w:hAnsi="Book Antiqua" w:cs="Arial"/>
          <w:b/>
          <w:sz w:val="24"/>
          <w:szCs w:val="24"/>
          <w:lang w:eastAsia="zh-CN"/>
        </w:rPr>
        <w:t xml:space="preserve">, </w:t>
      </w:r>
      <w:r w:rsidR="00AB0446" w:rsidRPr="00E10230">
        <w:rPr>
          <w:rFonts w:ascii="Book Antiqua" w:hAnsi="Book Antiqua" w:cs="Arial"/>
          <w:sz w:val="24"/>
          <w:szCs w:val="24"/>
        </w:rPr>
        <w:t>Department of Internal Medicine, t</w:t>
      </w:r>
      <w:r w:rsidR="00FB1910" w:rsidRPr="00E10230">
        <w:rPr>
          <w:rFonts w:ascii="Book Antiqua" w:hAnsi="Book Antiqua" w:cs="Arial"/>
          <w:sz w:val="24"/>
          <w:szCs w:val="24"/>
        </w:rPr>
        <w:t>he Queen’s Medical Center, Honolulu, HI</w:t>
      </w:r>
      <w:r w:rsidRPr="00E10230">
        <w:rPr>
          <w:rFonts w:ascii="Book Antiqua" w:eastAsiaTheme="minorEastAsia" w:hAnsi="Book Antiqua" w:cs="Arial"/>
          <w:sz w:val="24"/>
          <w:szCs w:val="24"/>
          <w:lang w:eastAsia="zh-CN"/>
        </w:rPr>
        <w:t xml:space="preserve"> 968132</w:t>
      </w:r>
      <w:r w:rsidR="00BA52BE" w:rsidRPr="00E10230">
        <w:rPr>
          <w:rFonts w:ascii="Book Antiqua" w:hAnsi="Book Antiqua" w:cs="Arial"/>
          <w:sz w:val="24"/>
          <w:szCs w:val="24"/>
        </w:rPr>
        <w:t xml:space="preserve">, </w:t>
      </w:r>
      <w:r w:rsidRPr="00E10230">
        <w:rPr>
          <w:rFonts w:ascii="Book Antiqua" w:eastAsiaTheme="minorEastAsia" w:hAnsi="Book Antiqua" w:cs="Arial"/>
          <w:sz w:val="24"/>
          <w:szCs w:val="24"/>
          <w:lang w:eastAsia="zh-CN"/>
        </w:rPr>
        <w:t>United States</w:t>
      </w:r>
    </w:p>
    <w:p w14:paraId="18B33CE6" w14:textId="77777777" w:rsidR="005C394F" w:rsidRPr="00E10230" w:rsidRDefault="005C394F" w:rsidP="00E10230">
      <w:pPr>
        <w:spacing w:after="0" w:line="360" w:lineRule="auto"/>
        <w:jc w:val="both"/>
        <w:rPr>
          <w:rFonts w:ascii="Book Antiqua" w:hAnsi="Book Antiqua" w:cs="Arial"/>
          <w:b/>
          <w:sz w:val="24"/>
          <w:szCs w:val="24"/>
        </w:rPr>
      </w:pPr>
    </w:p>
    <w:p w14:paraId="2F340591" w14:textId="1D7BBF82" w:rsidR="0054466E" w:rsidRPr="00E10230" w:rsidRDefault="00342C41" w:rsidP="00E10230">
      <w:pPr>
        <w:spacing w:after="0" w:line="360" w:lineRule="auto"/>
        <w:jc w:val="both"/>
        <w:rPr>
          <w:rFonts w:ascii="Book Antiqua" w:hAnsi="Book Antiqua" w:cs="Arial"/>
          <w:sz w:val="24"/>
          <w:szCs w:val="24"/>
        </w:rPr>
      </w:pPr>
      <w:proofErr w:type="spellStart"/>
      <w:r w:rsidRPr="00E10230">
        <w:rPr>
          <w:rFonts w:ascii="Book Antiqua" w:hAnsi="Book Antiqua" w:cs="Arial"/>
          <w:b/>
          <w:sz w:val="24"/>
          <w:szCs w:val="24"/>
        </w:rPr>
        <w:t>ORCID</w:t>
      </w:r>
      <w:proofErr w:type="spellEnd"/>
      <w:r w:rsidRPr="00E10230">
        <w:rPr>
          <w:rFonts w:ascii="Book Antiqua" w:hAnsi="Book Antiqua" w:cs="Arial"/>
          <w:b/>
          <w:sz w:val="24"/>
          <w:szCs w:val="24"/>
        </w:rPr>
        <w:t xml:space="preserve"> number</w:t>
      </w:r>
      <w:r w:rsidRPr="00E10230">
        <w:rPr>
          <w:rFonts w:ascii="Book Antiqua" w:hAnsi="Book Antiqua" w:cs="Arial"/>
          <w:sz w:val="24"/>
          <w:szCs w:val="24"/>
        </w:rPr>
        <w:t xml:space="preserve">: Tomoki </w:t>
      </w:r>
      <w:proofErr w:type="spellStart"/>
      <w:r w:rsidRPr="00E10230">
        <w:rPr>
          <w:rFonts w:ascii="Book Antiqua" w:hAnsi="Book Antiqua" w:cs="Arial"/>
          <w:sz w:val="24"/>
          <w:szCs w:val="24"/>
        </w:rPr>
        <w:t>Sempokuya</w:t>
      </w:r>
      <w:proofErr w:type="spellEnd"/>
      <w:r w:rsidRPr="00E10230">
        <w:rPr>
          <w:rFonts w:ascii="Book Antiqua" w:hAnsi="Book Antiqua" w:cs="Arial"/>
          <w:sz w:val="24"/>
          <w:szCs w:val="24"/>
        </w:rPr>
        <w:t xml:space="preserve"> (0000-0002-7334-3528</w:t>
      </w:r>
      <w:r w:rsidR="00422A61" w:rsidRPr="00E10230">
        <w:rPr>
          <w:rFonts w:ascii="Book Antiqua" w:hAnsi="Book Antiqua" w:cs="Arial"/>
          <w:sz w:val="24"/>
          <w:szCs w:val="24"/>
        </w:rPr>
        <w:t xml:space="preserve">); </w:t>
      </w:r>
      <w:proofErr w:type="spellStart"/>
      <w:r w:rsidR="00422A61" w:rsidRPr="00E10230">
        <w:rPr>
          <w:rFonts w:ascii="Book Antiqua" w:hAnsi="Book Antiqua" w:cs="Arial"/>
          <w:sz w:val="24"/>
          <w:szCs w:val="24"/>
        </w:rPr>
        <w:t>Guangx</w:t>
      </w:r>
      <w:r w:rsidR="00B05716" w:rsidRPr="00E10230">
        <w:rPr>
          <w:rFonts w:ascii="Book Antiqua" w:hAnsi="Book Antiqua" w:cs="Arial"/>
          <w:sz w:val="24"/>
          <w:szCs w:val="24"/>
        </w:rPr>
        <w:t>i</w:t>
      </w:r>
      <w:r w:rsidR="00422A61" w:rsidRPr="00E10230">
        <w:rPr>
          <w:rFonts w:ascii="Book Antiqua" w:hAnsi="Book Antiqua" w:cs="Arial"/>
          <w:sz w:val="24"/>
          <w:szCs w:val="24"/>
        </w:rPr>
        <w:t>ang</w:t>
      </w:r>
      <w:proofErr w:type="spellEnd"/>
      <w:r w:rsidR="00422A61" w:rsidRPr="00E10230">
        <w:rPr>
          <w:rFonts w:ascii="Book Antiqua" w:hAnsi="Book Antiqua" w:cs="Arial"/>
          <w:sz w:val="24"/>
          <w:szCs w:val="24"/>
        </w:rPr>
        <w:t xml:space="preserve"> Zhang (</w:t>
      </w:r>
      <w:r w:rsidR="006D7196" w:rsidRPr="00E10230">
        <w:rPr>
          <w:rFonts w:ascii="Book Antiqua" w:hAnsi="Book Antiqua" w:cs="Arial"/>
          <w:sz w:val="24"/>
          <w:szCs w:val="24"/>
        </w:rPr>
        <w:t>0000-0002-4788-5542</w:t>
      </w:r>
      <w:r w:rsidR="00422A61" w:rsidRPr="00E10230">
        <w:rPr>
          <w:rFonts w:ascii="Book Antiqua" w:hAnsi="Book Antiqua" w:cs="Arial"/>
          <w:sz w:val="24"/>
          <w:szCs w:val="24"/>
        </w:rPr>
        <w:t>)</w:t>
      </w:r>
      <w:r w:rsidR="00BF55B0" w:rsidRPr="00E10230">
        <w:rPr>
          <w:rFonts w:ascii="Book Antiqua" w:eastAsiaTheme="minorEastAsia" w:hAnsi="Book Antiqua" w:cs="Arial"/>
          <w:sz w:val="24"/>
          <w:szCs w:val="24"/>
          <w:lang w:eastAsia="zh-CN"/>
        </w:rPr>
        <w:t>;</w:t>
      </w:r>
      <w:r w:rsidR="00422A61" w:rsidRPr="00E10230">
        <w:rPr>
          <w:rFonts w:ascii="Book Antiqua" w:hAnsi="Book Antiqua" w:cs="Arial"/>
          <w:sz w:val="24"/>
          <w:szCs w:val="24"/>
        </w:rPr>
        <w:t xml:space="preserve"> Kazuma Nakagawa (</w:t>
      </w:r>
      <w:r w:rsidR="006D7196" w:rsidRPr="00E10230">
        <w:rPr>
          <w:rFonts w:ascii="Book Antiqua" w:hAnsi="Book Antiqua" w:cs="Arial"/>
          <w:sz w:val="24"/>
          <w:szCs w:val="24"/>
        </w:rPr>
        <w:t>0000-0002-8744-8531</w:t>
      </w:r>
      <w:r w:rsidR="00422A61" w:rsidRPr="00E10230">
        <w:rPr>
          <w:rFonts w:ascii="Book Antiqua" w:hAnsi="Book Antiqua" w:cs="Arial"/>
          <w:sz w:val="24"/>
          <w:szCs w:val="24"/>
        </w:rPr>
        <w:t>).</w:t>
      </w:r>
    </w:p>
    <w:p w14:paraId="79C6667C" w14:textId="77777777" w:rsidR="005C394F" w:rsidRPr="00E10230" w:rsidRDefault="005C394F" w:rsidP="00E10230">
      <w:pPr>
        <w:spacing w:after="0" w:line="360" w:lineRule="auto"/>
        <w:jc w:val="both"/>
        <w:rPr>
          <w:rFonts w:ascii="Book Antiqua" w:hAnsi="Book Antiqua" w:cs="Arial"/>
          <w:b/>
          <w:sz w:val="24"/>
          <w:szCs w:val="24"/>
        </w:rPr>
      </w:pPr>
    </w:p>
    <w:p w14:paraId="4B56A8F2" w14:textId="10BEE5CD" w:rsidR="00422A61" w:rsidRPr="00E10230" w:rsidRDefault="005A1552" w:rsidP="00E10230">
      <w:pPr>
        <w:spacing w:after="0" w:line="360" w:lineRule="auto"/>
        <w:jc w:val="both"/>
        <w:rPr>
          <w:rFonts w:ascii="Book Antiqua" w:hAnsi="Book Antiqua" w:cs="Arial"/>
          <w:sz w:val="24"/>
          <w:szCs w:val="24"/>
        </w:rPr>
      </w:pPr>
      <w:r w:rsidRPr="009F19CA">
        <w:rPr>
          <w:rFonts w:ascii="Book Antiqua" w:hAnsi="Book Antiqua"/>
          <w:b/>
          <w:color w:val="000000"/>
          <w:sz w:val="24"/>
          <w:szCs w:val="24"/>
          <w:lang w:val="en-GB"/>
        </w:rPr>
        <w:t>Author contributions:</w:t>
      </w:r>
      <w:r w:rsidR="00422A61" w:rsidRPr="00E10230">
        <w:rPr>
          <w:rFonts w:ascii="Book Antiqua" w:hAnsi="Book Antiqua" w:cs="Arial"/>
          <w:sz w:val="24"/>
          <w:szCs w:val="24"/>
        </w:rPr>
        <w:t xml:space="preserve"> Sempokuya T </w:t>
      </w:r>
      <w:r w:rsidR="005C394F" w:rsidRPr="00E10230">
        <w:rPr>
          <w:rFonts w:ascii="Book Antiqua" w:hAnsi="Book Antiqua" w:cs="Arial"/>
          <w:sz w:val="24"/>
          <w:szCs w:val="24"/>
        </w:rPr>
        <w:t xml:space="preserve">conception and designed the study, </w:t>
      </w:r>
      <w:r w:rsidR="00422A61" w:rsidRPr="00E10230">
        <w:rPr>
          <w:rFonts w:ascii="Book Antiqua" w:hAnsi="Book Antiqua" w:cs="Arial"/>
          <w:sz w:val="24"/>
          <w:szCs w:val="24"/>
        </w:rPr>
        <w:t>acquired data, drafted and edited this manuscript, Zhang G performed statistical analysis</w:t>
      </w:r>
      <w:r w:rsidR="005C394F" w:rsidRPr="00E10230">
        <w:rPr>
          <w:rFonts w:ascii="Book Antiqua" w:hAnsi="Book Antiqua" w:cs="Arial"/>
          <w:sz w:val="24"/>
          <w:szCs w:val="24"/>
        </w:rPr>
        <w:t xml:space="preserve"> and interpretation of data</w:t>
      </w:r>
      <w:r w:rsidR="00422A61" w:rsidRPr="00E10230">
        <w:rPr>
          <w:rFonts w:ascii="Book Antiqua" w:hAnsi="Book Antiqua" w:cs="Arial"/>
          <w:sz w:val="24"/>
          <w:szCs w:val="24"/>
        </w:rPr>
        <w:t>, drafted and edited the manuscript and Nakagawa K supervised the study and edited the manuscript.</w:t>
      </w:r>
    </w:p>
    <w:p w14:paraId="7516A526" w14:textId="77777777" w:rsidR="005C394F" w:rsidRPr="00E10230" w:rsidRDefault="005C394F" w:rsidP="00E10230">
      <w:pPr>
        <w:spacing w:after="0" w:line="360" w:lineRule="auto"/>
        <w:jc w:val="both"/>
        <w:rPr>
          <w:rFonts w:ascii="Book Antiqua" w:hAnsi="Book Antiqua" w:cs="Arial"/>
          <w:b/>
          <w:sz w:val="24"/>
          <w:szCs w:val="24"/>
        </w:rPr>
      </w:pPr>
    </w:p>
    <w:p w14:paraId="00CA9633" w14:textId="6939587F" w:rsidR="00422A61" w:rsidRPr="00E10230" w:rsidRDefault="005A1552" w:rsidP="00E10230">
      <w:pPr>
        <w:spacing w:after="0" w:line="360" w:lineRule="auto"/>
        <w:jc w:val="both"/>
        <w:rPr>
          <w:rFonts w:ascii="Book Antiqua" w:hAnsi="Book Antiqua" w:cs="Arial"/>
          <w:sz w:val="24"/>
          <w:szCs w:val="24"/>
        </w:rPr>
      </w:pPr>
      <w:r w:rsidRPr="006B06F1">
        <w:rPr>
          <w:rFonts w:ascii="Book Antiqua" w:hAnsi="Book Antiqua"/>
          <w:b/>
          <w:color w:val="000000"/>
          <w:sz w:val="24"/>
          <w:szCs w:val="24"/>
        </w:rPr>
        <w:t>Institutional review board statement:</w:t>
      </w:r>
      <w:r w:rsidR="00422A61" w:rsidRPr="00E10230">
        <w:rPr>
          <w:rFonts w:ascii="Book Antiqua" w:hAnsi="Book Antiqua" w:cs="Arial"/>
          <w:sz w:val="24"/>
          <w:szCs w:val="24"/>
        </w:rPr>
        <w:t xml:space="preserve"> This study utilized publicly-accessible, de-identified administrative </w:t>
      </w:r>
      <w:r w:rsidRPr="00E10230">
        <w:rPr>
          <w:rFonts w:ascii="Book Antiqua" w:hAnsi="Book Antiqua" w:cs="Arial"/>
          <w:sz w:val="24"/>
          <w:szCs w:val="24"/>
        </w:rPr>
        <w:t>level;</w:t>
      </w:r>
      <w:r w:rsidR="00422A61" w:rsidRPr="00E10230">
        <w:rPr>
          <w:rFonts w:ascii="Book Antiqua" w:hAnsi="Book Antiqua" w:cs="Arial"/>
          <w:sz w:val="24"/>
          <w:szCs w:val="24"/>
        </w:rPr>
        <w:t xml:space="preserve"> aggregate data, rather than patient-specific data, approval from the institutional review board was not required to conduct the study.</w:t>
      </w:r>
    </w:p>
    <w:p w14:paraId="76F0CB83" w14:textId="77777777" w:rsidR="005C394F" w:rsidRPr="005A1552" w:rsidRDefault="005C394F" w:rsidP="00E10230">
      <w:pPr>
        <w:spacing w:after="0" w:line="360" w:lineRule="auto"/>
        <w:jc w:val="both"/>
        <w:rPr>
          <w:rFonts w:ascii="Book Antiqua" w:hAnsi="Book Antiqua" w:cs="Arial"/>
          <w:b/>
          <w:sz w:val="24"/>
          <w:szCs w:val="24"/>
        </w:rPr>
      </w:pPr>
    </w:p>
    <w:p w14:paraId="6A257242" w14:textId="5F5D73F4" w:rsidR="005A1552" w:rsidRDefault="005A1552" w:rsidP="005A1552">
      <w:pPr>
        <w:spacing w:after="0" w:line="360" w:lineRule="auto"/>
        <w:jc w:val="both"/>
        <w:rPr>
          <w:rFonts w:ascii="Book Antiqua" w:eastAsiaTheme="minorEastAsia" w:hAnsi="Book Antiqua" w:cs="Arial"/>
          <w:b/>
          <w:sz w:val="24"/>
          <w:szCs w:val="24"/>
          <w:lang w:eastAsia="zh-CN"/>
        </w:rPr>
      </w:pPr>
      <w:r w:rsidRPr="008743FE">
        <w:rPr>
          <w:rFonts w:ascii="Book Antiqua" w:hAnsi="Book Antiqua"/>
          <w:b/>
          <w:color w:val="000000"/>
          <w:sz w:val="24"/>
          <w:szCs w:val="24"/>
        </w:rPr>
        <w:t>Institutional animal care and use committee statement:</w:t>
      </w:r>
      <w:r w:rsidR="00422A61" w:rsidRPr="00E10230">
        <w:rPr>
          <w:rFonts w:ascii="Book Antiqua" w:hAnsi="Book Antiqua" w:cs="Arial"/>
          <w:b/>
          <w:sz w:val="24"/>
          <w:szCs w:val="24"/>
        </w:rPr>
        <w:t xml:space="preserve"> </w:t>
      </w:r>
      <w:r w:rsidR="00422A61" w:rsidRPr="00E10230">
        <w:rPr>
          <w:rFonts w:ascii="Book Antiqua" w:hAnsi="Book Antiqua" w:cs="Arial"/>
          <w:sz w:val="24"/>
          <w:szCs w:val="24"/>
        </w:rPr>
        <w:t>No animal subjects were utilized in this study, so involvement was not needed.</w:t>
      </w:r>
      <w:r w:rsidRPr="005A1552">
        <w:rPr>
          <w:rFonts w:ascii="Book Antiqua" w:hAnsi="Book Antiqua" w:cs="Arial"/>
          <w:b/>
          <w:sz w:val="24"/>
          <w:szCs w:val="24"/>
        </w:rPr>
        <w:t xml:space="preserve"> </w:t>
      </w:r>
    </w:p>
    <w:p w14:paraId="1F365273" w14:textId="77777777" w:rsidR="005A1552" w:rsidRPr="005A1552" w:rsidRDefault="005A1552" w:rsidP="005A1552">
      <w:pPr>
        <w:spacing w:after="0" w:line="360" w:lineRule="auto"/>
        <w:jc w:val="both"/>
        <w:rPr>
          <w:rFonts w:ascii="Book Antiqua" w:eastAsiaTheme="minorEastAsia" w:hAnsi="Book Antiqua" w:cs="Arial"/>
          <w:b/>
          <w:sz w:val="24"/>
          <w:szCs w:val="24"/>
          <w:lang w:eastAsia="zh-CN"/>
        </w:rPr>
      </w:pPr>
    </w:p>
    <w:p w14:paraId="399D3740" w14:textId="77777777" w:rsidR="005A1552" w:rsidRDefault="005A1552" w:rsidP="005A1552">
      <w:pPr>
        <w:spacing w:after="0" w:line="360" w:lineRule="auto"/>
        <w:jc w:val="both"/>
        <w:rPr>
          <w:rFonts w:ascii="Book Antiqua" w:eastAsiaTheme="minorEastAsia" w:hAnsi="Book Antiqua" w:cs="Arial"/>
          <w:sz w:val="24"/>
          <w:szCs w:val="24"/>
          <w:lang w:eastAsia="zh-CN"/>
        </w:rPr>
      </w:pPr>
      <w:r w:rsidRPr="008743FE">
        <w:rPr>
          <w:rFonts w:ascii="Book Antiqua" w:hAnsi="Book Antiqua"/>
          <w:b/>
          <w:color w:val="000000"/>
          <w:sz w:val="24"/>
          <w:szCs w:val="24"/>
        </w:rPr>
        <w:t>Conflict-of-interest statement:</w:t>
      </w:r>
      <w:r w:rsidRPr="00E10230">
        <w:rPr>
          <w:rFonts w:ascii="Book Antiqua" w:hAnsi="Book Antiqua" w:cs="Arial"/>
          <w:sz w:val="24"/>
          <w:szCs w:val="24"/>
        </w:rPr>
        <w:t xml:space="preserve"> All authors disclose no conflict of interest</w:t>
      </w:r>
      <w:r>
        <w:rPr>
          <w:rFonts w:ascii="Book Antiqua" w:eastAsiaTheme="minorEastAsia" w:hAnsi="Book Antiqua" w:cs="Arial" w:hint="eastAsia"/>
          <w:sz w:val="24"/>
          <w:szCs w:val="24"/>
          <w:lang w:eastAsia="zh-CN"/>
        </w:rPr>
        <w:t>.</w:t>
      </w:r>
    </w:p>
    <w:p w14:paraId="0C546221" w14:textId="77777777" w:rsidR="005A1552" w:rsidRPr="005A1552" w:rsidRDefault="005A1552" w:rsidP="005A1552">
      <w:pPr>
        <w:spacing w:after="0" w:line="360" w:lineRule="auto"/>
        <w:jc w:val="both"/>
        <w:rPr>
          <w:rFonts w:ascii="Book Antiqua" w:eastAsiaTheme="minorEastAsia" w:hAnsi="Book Antiqua" w:cs="Arial"/>
          <w:sz w:val="24"/>
          <w:szCs w:val="24"/>
          <w:lang w:eastAsia="zh-CN"/>
        </w:rPr>
      </w:pPr>
    </w:p>
    <w:p w14:paraId="4354191E" w14:textId="77777777" w:rsidR="005A1552" w:rsidRPr="005A1552" w:rsidRDefault="005A1552" w:rsidP="005A1552">
      <w:pPr>
        <w:adjustRightInd w:val="0"/>
        <w:snapToGrid w:val="0"/>
        <w:spacing w:after="0" w:line="360" w:lineRule="auto"/>
        <w:jc w:val="both"/>
        <w:rPr>
          <w:rFonts w:ascii="Book Antiqua" w:hAnsi="Book Antiqua"/>
          <w:b/>
          <w:color w:val="000000"/>
          <w:sz w:val="24"/>
          <w:szCs w:val="24"/>
        </w:rPr>
      </w:pPr>
      <w:r>
        <w:rPr>
          <w:rFonts w:ascii="Book Antiqua" w:hAnsi="Book Antiqua"/>
          <w:b/>
          <w:color w:val="000000"/>
          <w:sz w:val="24"/>
          <w:szCs w:val="24"/>
        </w:rPr>
        <w:t>Data sharing statement:</w:t>
      </w:r>
      <w:r w:rsidRPr="00E10230">
        <w:rPr>
          <w:rFonts w:ascii="Book Antiqua" w:hAnsi="Book Antiqua" w:cs="Arial"/>
          <w:b/>
          <w:sz w:val="24"/>
          <w:szCs w:val="24"/>
        </w:rPr>
        <w:t xml:space="preserve"> </w:t>
      </w:r>
      <w:r w:rsidRPr="00E10230">
        <w:rPr>
          <w:rFonts w:ascii="Book Antiqua" w:hAnsi="Book Antiqua" w:cs="Arial"/>
          <w:sz w:val="24"/>
          <w:szCs w:val="24"/>
        </w:rPr>
        <w:t xml:space="preserve">No additional data are available. </w:t>
      </w:r>
    </w:p>
    <w:p w14:paraId="68287381" w14:textId="77777777" w:rsidR="005C394F" w:rsidRPr="005A1552" w:rsidRDefault="005C394F" w:rsidP="00E10230">
      <w:pPr>
        <w:spacing w:after="0" w:line="360" w:lineRule="auto"/>
        <w:jc w:val="both"/>
        <w:rPr>
          <w:rFonts w:ascii="Book Antiqua" w:eastAsiaTheme="minorEastAsia" w:hAnsi="Book Antiqua" w:cs="Arial"/>
          <w:b/>
          <w:sz w:val="24"/>
          <w:szCs w:val="24"/>
          <w:lang w:eastAsia="zh-CN"/>
        </w:rPr>
      </w:pPr>
    </w:p>
    <w:p w14:paraId="72E40150" w14:textId="74268ACD" w:rsidR="00252406" w:rsidRPr="005A1552" w:rsidRDefault="005A1552" w:rsidP="005A1552">
      <w:pPr>
        <w:autoSpaceDE w:val="0"/>
        <w:autoSpaceDN w:val="0"/>
        <w:adjustRightInd w:val="0"/>
        <w:spacing w:line="360" w:lineRule="auto"/>
        <w:rPr>
          <w:rFonts w:ascii="Book Antiqua" w:hAnsi="Book Antiqua"/>
          <w:b/>
          <w:color w:val="000000"/>
          <w:sz w:val="24"/>
        </w:rPr>
      </w:pPr>
      <w:r w:rsidRPr="00377D8E">
        <w:rPr>
          <w:rFonts w:ascii="Book Antiqua" w:hAnsi="Book Antiqua"/>
          <w:b/>
          <w:color w:val="000000"/>
          <w:sz w:val="24"/>
        </w:rPr>
        <w:t>ARRIVE guidelines statement:</w:t>
      </w:r>
      <w:r w:rsidR="00C36AD0" w:rsidRPr="00E10230">
        <w:rPr>
          <w:rFonts w:ascii="Book Antiqua" w:hAnsi="Book Antiqua" w:cs="Arial"/>
          <w:sz w:val="24"/>
          <w:szCs w:val="24"/>
        </w:rPr>
        <w:t xml:space="preserve"> </w:t>
      </w:r>
      <w:r w:rsidR="00081DB0" w:rsidRPr="00E10230">
        <w:rPr>
          <w:rFonts w:ascii="Book Antiqua" w:hAnsi="Book Antiqua" w:cs="Arial"/>
          <w:sz w:val="24"/>
          <w:szCs w:val="24"/>
        </w:rPr>
        <w:t>The authors have carefully reviewed the ARRIVE guidelines, and the manuscript was prepared and edited in accordance to the ARRIVE guidelines.</w:t>
      </w:r>
    </w:p>
    <w:p w14:paraId="2FAC9D9B" w14:textId="0C26FEF4" w:rsidR="0061554C" w:rsidRPr="005A1552" w:rsidRDefault="0061554C" w:rsidP="00E10230">
      <w:pPr>
        <w:spacing w:after="0" w:line="360" w:lineRule="auto"/>
        <w:jc w:val="both"/>
        <w:rPr>
          <w:rFonts w:ascii="Book Antiqua" w:eastAsiaTheme="minorEastAsia" w:hAnsi="Book Antiqua" w:cs="Arial"/>
          <w:sz w:val="24"/>
          <w:szCs w:val="24"/>
          <w:lang w:eastAsia="zh-CN"/>
        </w:rPr>
      </w:pPr>
    </w:p>
    <w:p w14:paraId="23778784" w14:textId="77777777" w:rsidR="005A1552" w:rsidRPr="008743FE" w:rsidRDefault="005A1552" w:rsidP="005A1552">
      <w:pPr>
        <w:adjustRightInd w:val="0"/>
        <w:snapToGrid w:val="0"/>
        <w:spacing w:after="0" w:line="360" w:lineRule="auto"/>
        <w:jc w:val="both"/>
        <w:rPr>
          <w:rFonts w:ascii="Book Antiqua" w:hAnsi="Book Antiqua"/>
          <w:color w:val="000000"/>
          <w:sz w:val="24"/>
          <w:szCs w:val="24"/>
        </w:rPr>
      </w:pPr>
      <w:r w:rsidRPr="008743FE">
        <w:rPr>
          <w:rFonts w:ascii="Book Antiqua" w:hAnsi="Book Antiqua"/>
          <w:b/>
          <w:color w:val="000000"/>
          <w:sz w:val="24"/>
          <w:szCs w:val="24"/>
        </w:rPr>
        <w:t>Open-Access:</w:t>
      </w:r>
      <w:r w:rsidRPr="008743FE">
        <w:rPr>
          <w:rFonts w:ascii="Book Antiqua" w:hAnsi="Book Antiqua"/>
          <w:color w:val="00000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96A47A" w14:textId="77777777" w:rsidR="005A1552" w:rsidRPr="008743FE" w:rsidRDefault="005A1552" w:rsidP="005A1552">
      <w:pPr>
        <w:adjustRightInd w:val="0"/>
        <w:snapToGrid w:val="0"/>
        <w:spacing w:after="0" w:line="360" w:lineRule="auto"/>
        <w:jc w:val="both"/>
        <w:rPr>
          <w:rFonts w:ascii="Book Antiqua" w:hAnsi="Book Antiqua"/>
          <w:color w:val="000000"/>
          <w:sz w:val="24"/>
          <w:szCs w:val="24"/>
        </w:rPr>
      </w:pPr>
    </w:p>
    <w:p w14:paraId="1D30A7C7" w14:textId="4764DE32" w:rsidR="005A1552" w:rsidRPr="0080205B" w:rsidRDefault="005A1552" w:rsidP="005A1552">
      <w:pPr>
        <w:pStyle w:val="1"/>
        <w:snapToGrid w:val="0"/>
        <w:spacing w:line="360" w:lineRule="auto"/>
        <w:jc w:val="both"/>
        <w:rPr>
          <w:rFonts w:ascii="Book Antiqua" w:hAnsi="Book Antiqua" w:cs="Times New Roman"/>
          <w:b/>
          <w:bCs/>
          <w:sz w:val="24"/>
          <w:szCs w:val="24"/>
          <w:highlight w:val="white"/>
          <w:lang w:val="en-US" w:eastAsia="zh-CN"/>
        </w:rPr>
      </w:pPr>
      <w:r w:rsidRPr="0080205B">
        <w:rPr>
          <w:rFonts w:ascii="Book Antiqua" w:hAnsi="Book Antiqua" w:cs="Times New Roman"/>
          <w:b/>
          <w:bCs/>
          <w:sz w:val="24"/>
          <w:szCs w:val="24"/>
          <w:highlight w:val="white"/>
          <w:lang w:val="en-US"/>
        </w:rPr>
        <w:t>Manuscript</w:t>
      </w:r>
      <w:r>
        <w:rPr>
          <w:rFonts w:ascii="Book Antiqua" w:hAnsi="Book Antiqua" w:cs="Times New Roman" w:hint="eastAsia"/>
          <w:b/>
          <w:bCs/>
          <w:sz w:val="24"/>
          <w:szCs w:val="24"/>
          <w:highlight w:val="white"/>
          <w:lang w:val="en-US" w:eastAsia="zh-CN"/>
        </w:rPr>
        <w:t xml:space="preserve"> </w:t>
      </w:r>
      <w:r w:rsidRPr="0080205B">
        <w:rPr>
          <w:rFonts w:ascii="Book Antiqua" w:hAnsi="Book Antiqua" w:cs="Times New Roman"/>
          <w:b/>
          <w:bCs/>
          <w:sz w:val="24"/>
          <w:szCs w:val="24"/>
          <w:highlight w:val="white"/>
          <w:lang w:val="en-US"/>
        </w:rPr>
        <w:t>source:</w:t>
      </w:r>
      <w:r w:rsidRPr="0080205B">
        <w:rPr>
          <w:rFonts w:ascii="Book Antiqua" w:hAnsi="Book Antiqua" w:cs="Times New Roman"/>
          <w:b/>
          <w:bCs/>
          <w:sz w:val="24"/>
          <w:szCs w:val="24"/>
          <w:highlight w:val="white"/>
          <w:lang w:val="en-US" w:eastAsia="zh-CN"/>
        </w:rPr>
        <w:t xml:space="preserve"> </w:t>
      </w:r>
      <w:r w:rsidRPr="0080205B">
        <w:rPr>
          <w:rFonts w:ascii="Book Antiqua" w:hAnsi="Book Antiqua" w:cs="Times New Roman"/>
          <w:bCs/>
          <w:sz w:val="24"/>
          <w:szCs w:val="24"/>
          <w:highlight w:val="white"/>
          <w:lang w:val="en-US"/>
        </w:rPr>
        <w:t>Unsolicited</w:t>
      </w:r>
      <w:r>
        <w:rPr>
          <w:rFonts w:ascii="Book Antiqua" w:hAnsi="Book Antiqua" w:cs="Times New Roman" w:hint="eastAsia"/>
          <w:bCs/>
          <w:sz w:val="24"/>
          <w:szCs w:val="24"/>
          <w:highlight w:val="white"/>
          <w:lang w:val="en-US" w:eastAsia="zh-CN"/>
        </w:rPr>
        <w:t xml:space="preserve"> </w:t>
      </w:r>
      <w:r w:rsidRPr="0080205B">
        <w:rPr>
          <w:rFonts w:ascii="Book Antiqua" w:hAnsi="Book Antiqua" w:cs="Times New Roman"/>
          <w:bCs/>
          <w:sz w:val="24"/>
          <w:szCs w:val="24"/>
          <w:highlight w:val="white"/>
          <w:lang w:val="en-US"/>
        </w:rPr>
        <w:t>manuscript</w:t>
      </w:r>
    </w:p>
    <w:p w14:paraId="1F29176B" w14:textId="77777777" w:rsidR="005C394F" w:rsidRPr="005A1552" w:rsidRDefault="005C394F" w:rsidP="00E10230">
      <w:pPr>
        <w:pStyle w:val="Footer"/>
        <w:spacing w:line="360" w:lineRule="auto"/>
        <w:jc w:val="both"/>
        <w:rPr>
          <w:rFonts w:ascii="Book Antiqua" w:hAnsi="Book Antiqua" w:cs="Arial"/>
          <w:b/>
          <w:sz w:val="24"/>
          <w:szCs w:val="24"/>
        </w:rPr>
      </w:pPr>
    </w:p>
    <w:p w14:paraId="30656F59" w14:textId="4D190249" w:rsidR="00422A61" w:rsidRPr="00E10230" w:rsidRDefault="00422A61" w:rsidP="00E10230">
      <w:pPr>
        <w:pStyle w:val="Footer"/>
        <w:spacing w:line="360" w:lineRule="auto"/>
        <w:jc w:val="both"/>
        <w:rPr>
          <w:rStyle w:val="Hyperlink"/>
          <w:rFonts w:ascii="Book Antiqua" w:eastAsiaTheme="minorEastAsia" w:hAnsi="Book Antiqua" w:cs="Arial"/>
          <w:color w:val="auto"/>
          <w:sz w:val="24"/>
          <w:szCs w:val="24"/>
          <w:u w:val="none"/>
          <w:lang w:eastAsia="zh-CN"/>
        </w:rPr>
      </w:pPr>
      <w:r w:rsidRPr="00E10230">
        <w:rPr>
          <w:rFonts w:ascii="Book Antiqua" w:hAnsi="Book Antiqua" w:cs="Arial"/>
          <w:b/>
          <w:sz w:val="24"/>
          <w:szCs w:val="24"/>
        </w:rPr>
        <w:t>Correspond</w:t>
      </w:r>
      <w:r w:rsidR="00BF55B0" w:rsidRPr="00E10230">
        <w:rPr>
          <w:rFonts w:ascii="Book Antiqua" w:eastAsiaTheme="minorEastAsia" w:hAnsi="Book Antiqua" w:cs="Arial"/>
          <w:b/>
          <w:sz w:val="24"/>
          <w:szCs w:val="24"/>
          <w:lang w:eastAsia="zh-CN"/>
        </w:rPr>
        <w:t>ing author</w:t>
      </w:r>
      <w:r w:rsidRPr="00E10230">
        <w:rPr>
          <w:rFonts w:ascii="Book Antiqua" w:hAnsi="Book Antiqua" w:cs="Arial"/>
          <w:sz w:val="24"/>
          <w:szCs w:val="24"/>
        </w:rPr>
        <w:t>:</w:t>
      </w:r>
      <w:r w:rsidR="00C36AD0" w:rsidRPr="00E10230">
        <w:rPr>
          <w:rFonts w:ascii="Book Antiqua" w:hAnsi="Book Antiqua" w:cs="Arial"/>
          <w:sz w:val="24"/>
          <w:szCs w:val="24"/>
        </w:rPr>
        <w:t xml:space="preserve"> </w:t>
      </w:r>
      <w:r w:rsidRPr="00E10230">
        <w:rPr>
          <w:rFonts w:ascii="Book Antiqua" w:hAnsi="Book Antiqua" w:cs="Arial"/>
          <w:b/>
          <w:sz w:val="24"/>
          <w:szCs w:val="24"/>
        </w:rPr>
        <w:t xml:space="preserve">Tomoki </w:t>
      </w:r>
      <w:proofErr w:type="spellStart"/>
      <w:r w:rsidRPr="00E10230">
        <w:rPr>
          <w:rFonts w:ascii="Book Antiqua" w:hAnsi="Book Antiqua" w:cs="Arial"/>
          <w:b/>
          <w:sz w:val="24"/>
          <w:szCs w:val="24"/>
        </w:rPr>
        <w:t>Sempokuya</w:t>
      </w:r>
      <w:proofErr w:type="spellEnd"/>
      <w:r w:rsidRPr="00E10230">
        <w:rPr>
          <w:rFonts w:ascii="Book Antiqua" w:hAnsi="Book Antiqua" w:cs="Arial"/>
          <w:b/>
          <w:sz w:val="24"/>
          <w:szCs w:val="24"/>
        </w:rPr>
        <w:t xml:space="preserve">, </w:t>
      </w:r>
      <w:r w:rsidR="00737D14" w:rsidRPr="00737D14">
        <w:rPr>
          <w:rFonts w:ascii="Book Antiqua" w:hAnsi="Book Antiqua" w:cs="Arial"/>
          <w:b/>
          <w:sz w:val="24"/>
          <w:szCs w:val="24"/>
        </w:rPr>
        <w:t>MD, Doctor,</w:t>
      </w:r>
      <w:r w:rsidRPr="00E10230">
        <w:rPr>
          <w:rFonts w:ascii="Book Antiqua" w:hAnsi="Book Antiqua" w:cs="Arial"/>
          <w:b/>
          <w:sz w:val="24"/>
          <w:szCs w:val="24"/>
        </w:rPr>
        <w:t xml:space="preserve"> </w:t>
      </w:r>
      <w:r w:rsidR="001B6BC1" w:rsidRPr="00E10230">
        <w:rPr>
          <w:rFonts w:ascii="Book Antiqua" w:hAnsi="Book Antiqua" w:cs="Arial"/>
          <w:sz w:val="24"/>
          <w:szCs w:val="24"/>
        </w:rPr>
        <w:t>Department of Internal Medicine, the Queen’s Medical Center</w:t>
      </w:r>
      <w:r w:rsidR="00C36AD0" w:rsidRPr="00E10230">
        <w:rPr>
          <w:rFonts w:ascii="Book Antiqua" w:hAnsi="Book Antiqua" w:cs="Arial"/>
          <w:sz w:val="24"/>
          <w:szCs w:val="24"/>
        </w:rPr>
        <w:t xml:space="preserve">, </w:t>
      </w:r>
      <w:r w:rsidR="004C7BC9" w:rsidRPr="004C7BC9">
        <w:rPr>
          <w:rFonts w:ascii="Book Antiqua" w:hAnsi="Book Antiqua" w:cs="Arial"/>
          <w:sz w:val="24"/>
          <w:szCs w:val="24"/>
        </w:rPr>
        <w:t xml:space="preserve">1356 </w:t>
      </w:r>
      <w:proofErr w:type="spellStart"/>
      <w:r w:rsidR="004C7BC9" w:rsidRPr="004C7BC9">
        <w:rPr>
          <w:rFonts w:ascii="Book Antiqua" w:hAnsi="Book Antiqua" w:cs="Arial"/>
          <w:sz w:val="24"/>
          <w:szCs w:val="24"/>
        </w:rPr>
        <w:t>Lusitana</w:t>
      </w:r>
      <w:proofErr w:type="spellEnd"/>
      <w:r w:rsidR="004C7BC9" w:rsidRPr="004C7BC9">
        <w:rPr>
          <w:rFonts w:ascii="Book Antiqua" w:hAnsi="Book Antiqua" w:cs="Arial"/>
          <w:sz w:val="24"/>
          <w:szCs w:val="24"/>
        </w:rPr>
        <w:t xml:space="preserve"> Street, 7th Floor</w:t>
      </w:r>
      <w:r w:rsidRPr="00E10230">
        <w:rPr>
          <w:rFonts w:ascii="Book Antiqua" w:hAnsi="Book Antiqua" w:cs="Arial"/>
          <w:sz w:val="24"/>
          <w:szCs w:val="24"/>
        </w:rPr>
        <w:t>, 702, Honolulu, H</w:t>
      </w:r>
      <w:r w:rsidR="00BF55B0" w:rsidRPr="00E10230">
        <w:rPr>
          <w:rFonts w:ascii="Book Antiqua" w:eastAsiaTheme="minorEastAsia" w:hAnsi="Book Antiqua" w:cs="Arial"/>
          <w:sz w:val="24"/>
          <w:szCs w:val="24"/>
          <w:lang w:eastAsia="zh-CN"/>
        </w:rPr>
        <w:t>I 96813</w:t>
      </w:r>
      <w:r w:rsidRPr="00E10230">
        <w:rPr>
          <w:rFonts w:ascii="Book Antiqua" w:hAnsi="Book Antiqua" w:cs="Arial"/>
          <w:sz w:val="24"/>
          <w:szCs w:val="24"/>
        </w:rPr>
        <w:t xml:space="preserve">, </w:t>
      </w:r>
      <w:r w:rsidR="00BF55B0" w:rsidRPr="00E10230">
        <w:rPr>
          <w:rFonts w:ascii="Book Antiqua" w:eastAsiaTheme="minorEastAsia" w:hAnsi="Book Antiqua" w:cs="Arial"/>
          <w:sz w:val="24"/>
          <w:szCs w:val="24"/>
          <w:lang w:eastAsia="zh-CN"/>
        </w:rPr>
        <w:t xml:space="preserve">United States. </w:t>
      </w:r>
      <w:hyperlink r:id="rId8" w:history="1">
        <w:r w:rsidRPr="00490603">
          <w:rPr>
            <w:rStyle w:val="Hyperlink"/>
            <w:rFonts w:ascii="Book Antiqua" w:hAnsi="Book Antiqua" w:cs="Arial"/>
            <w:color w:val="auto"/>
            <w:sz w:val="24"/>
            <w:szCs w:val="24"/>
            <w:u w:val="none"/>
          </w:rPr>
          <w:t>tsempoku@hawaii.edu</w:t>
        </w:r>
      </w:hyperlink>
    </w:p>
    <w:p w14:paraId="3E6D7622" w14:textId="03AB6EE0" w:rsidR="006C4A72" w:rsidRPr="00E10230" w:rsidRDefault="0065173A" w:rsidP="00E10230">
      <w:pPr>
        <w:pStyle w:val="Footer"/>
        <w:spacing w:line="360" w:lineRule="auto"/>
        <w:jc w:val="both"/>
        <w:rPr>
          <w:rFonts w:ascii="Book Antiqua" w:eastAsiaTheme="minorEastAsia" w:hAnsi="Book Antiqua" w:cs="Arial"/>
          <w:sz w:val="24"/>
          <w:szCs w:val="24"/>
          <w:lang w:eastAsia="zh-CN"/>
        </w:rPr>
      </w:pPr>
      <w:r w:rsidRPr="00E10230">
        <w:rPr>
          <w:rFonts w:ascii="Book Antiqua" w:eastAsiaTheme="minorEastAsia" w:hAnsi="Book Antiqua" w:cs="Arial"/>
          <w:b/>
          <w:sz w:val="24"/>
          <w:szCs w:val="24"/>
          <w:lang w:eastAsia="zh-CN"/>
        </w:rPr>
        <w:t>Telephone:</w:t>
      </w:r>
      <w:r w:rsidR="0044415C" w:rsidRPr="00E10230">
        <w:rPr>
          <w:rFonts w:ascii="Book Antiqua" w:eastAsiaTheme="minorEastAsia" w:hAnsi="Book Antiqua" w:cs="Arial"/>
          <w:sz w:val="24"/>
          <w:szCs w:val="24"/>
          <w:lang w:eastAsia="zh-CN"/>
        </w:rPr>
        <w:t xml:space="preserve"> </w:t>
      </w:r>
      <w:r w:rsidR="00BF55B0" w:rsidRPr="00E10230">
        <w:rPr>
          <w:rFonts w:ascii="Book Antiqua" w:eastAsiaTheme="minorEastAsia" w:hAnsi="Book Antiqua" w:cs="Arial"/>
          <w:sz w:val="24"/>
          <w:szCs w:val="24"/>
          <w:lang w:eastAsia="zh-CN"/>
        </w:rPr>
        <w:t>+1-</w:t>
      </w:r>
      <w:r w:rsidR="0044415C" w:rsidRPr="00E10230">
        <w:rPr>
          <w:rFonts w:ascii="Book Antiqua" w:eastAsiaTheme="minorEastAsia" w:hAnsi="Book Antiqua" w:cs="Arial"/>
          <w:sz w:val="24"/>
          <w:szCs w:val="24"/>
          <w:lang w:eastAsia="zh-CN"/>
        </w:rPr>
        <w:t>808</w:t>
      </w:r>
      <w:r w:rsidR="006137FE" w:rsidRPr="00E10230">
        <w:rPr>
          <w:rFonts w:ascii="Book Antiqua" w:eastAsiaTheme="minorEastAsia" w:hAnsi="Book Antiqua" w:cs="Arial"/>
          <w:sz w:val="24"/>
          <w:szCs w:val="24"/>
          <w:lang w:eastAsia="zh-CN"/>
        </w:rPr>
        <w:t>-</w:t>
      </w:r>
      <w:r w:rsidR="00BF55B0" w:rsidRPr="00E10230">
        <w:rPr>
          <w:rFonts w:ascii="Book Antiqua" w:eastAsiaTheme="minorEastAsia" w:hAnsi="Book Antiqua" w:cs="Arial"/>
          <w:sz w:val="24"/>
          <w:szCs w:val="24"/>
          <w:lang w:eastAsia="zh-CN"/>
        </w:rPr>
        <w:t>586</w:t>
      </w:r>
      <w:r w:rsidR="0044415C" w:rsidRPr="00E10230">
        <w:rPr>
          <w:rFonts w:ascii="Book Antiqua" w:eastAsiaTheme="minorEastAsia" w:hAnsi="Book Antiqua" w:cs="Arial"/>
          <w:sz w:val="24"/>
          <w:szCs w:val="24"/>
          <w:lang w:eastAsia="zh-CN"/>
        </w:rPr>
        <w:t>2910</w:t>
      </w:r>
    </w:p>
    <w:p w14:paraId="0859D72A" w14:textId="522C9121" w:rsidR="0065173A" w:rsidRPr="00E10230" w:rsidRDefault="0065173A" w:rsidP="00E10230">
      <w:pPr>
        <w:pStyle w:val="Footer"/>
        <w:spacing w:line="360" w:lineRule="auto"/>
        <w:jc w:val="both"/>
        <w:rPr>
          <w:rFonts w:ascii="Book Antiqua" w:eastAsiaTheme="minorEastAsia" w:hAnsi="Book Antiqua" w:cs="Arial"/>
          <w:sz w:val="24"/>
          <w:szCs w:val="24"/>
          <w:lang w:eastAsia="zh-CN"/>
        </w:rPr>
      </w:pPr>
      <w:r w:rsidRPr="00E10230">
        <w:rPr>
          <w:rFonts w:ascii="Book Antiqua" w:eastAsiaTheme="minorEastAsia" w:hAnsi="Book Antiqua" w:cs="Arial"/>
          <w:b/>
          <w:sz w:val="24"/>
          <w:szCs w:val="24"/>
          <w:lang w:eastAsia="zh-CN"/>
        </w:rPr>
        <w:t>Fax:</w:t>
      </w:r>
      <w:r w:rsidR="0044415C" w:rsidRPr="00E10230">
        <w:rPr>
          <w:rFonts w:ascii="Book Antiqua" w:eastAsiaTheme="minorEastAsia" w:hAnsi="Book Antiqua" w:cs="Arial"/>
          <w:sz w:val="24"/>
          <w:szCs w:val="24"/>
          <w:lang w:eastAsia="zh-CN"/>
        </w:rPr>
        <w:t xml:space="preserve"> </w:t>
      </w:r>
      <w:r w:rsidR="00BF55B0" w:rsidRPr="00E10230">
        <w:rPr>
          <w:rFonts w:ascii="Book Antiqua" w:eastAsiaTheme="minorEastAsia" w:hAnsi="Book Antiqua" w:cs="Arial"/>
          <w:sz w:val="24"/>
          <w:szCs w:val="24"/>
          <w:lang w:eastAsia="zh-CN"/>
        </w:rPr>
        <w:t>+1-</w:t>
      </w:r>
      <w:r w:rsidR="0044415C" w:rsidRPr="00E10230">
        <w:rPr>
          <w:rFonts w:ascii="Book Antiqua" w:eastAsiaTheme="minorEastAsia" w:hAnsi="Book Antiqua" w:cs="Arial"/>
          <w:sz w:val="24"/>
          <w:szCs w:val="24"/>
          <w:lang w:eastAsia="zh-CN"/>
        </w:rPr>
        <w:t>808-5867486</w:t>
      </w:r>
      <w:bookmarkStart w:id="3" w:name="_GoBack"/>
      <w:bookmarkEnd w:id="3"/>
    </w:p>
    <w:p w14:paraId="79A00D71" w14:textId="77777777" w:rsidR="006C4A72" w:rsidRPr="00E10230" w:rsidRDefault="006C4A72" w:rsidP="00E10230">
      <w:pPr>
        <w:pStyle w:val="Footer"/>
        <w:spacing w:line="360" w:lineRule="auto"/>
        <w:jc w:val="both"/>
        <w:rPr>
          <w:rFonts w:ascii="Book Antiqua" w:hAnsi="Book Antiqua" w:cs="Arial"/>
          <w:sz w:val="24"/>
          <w:szCs w:val="24"/>
        </w:rPr>
      </w:pPr>
    </w:p>
    <w:p w14:paraId="397B7FEC" w14:textId="39030F88" w:rsidR="00CE1E8E" w:rsidRPr="00CE1E8E" w:rsidRDefault="00CE1E8E" w:rsidP="00CE1E8E">
      <w:pPr>
        <w:adjustRightInd w:val="0"/>
        <w:snapToGrid w:val="0"/>
        <w:spacing w:after="0" w:line="360" w:lineRule="auto"/>
        <w:jc w:val="both"/>
        <w:rPr>
          <w:rFonts w:ascii="Book Antiqua" w:eastAsiaTheme="minorEastAsia" w:hAnsi="Book Antiqua"/>
          <w:color w:val="000000"/>
          <w:sz w:val="24"/>
          <w:szCs w:val="24"/>
          <w:lang w:eastAsia="zh-CN"/>
        </w:rPr>
      </w:pPr>
      <w:r w:rsidRPr="008743FE">
        <w:rPr>
          <w:rFonts w:ascii="Book Antiqua" w:hAnsi="Book Antiqua"/>
          <w:b/>
          <w:color w:val="000000"/>
          <w:sz w:val="24"/>
          <w:szCs w:val="24"/>
        </w:rPr>
        <w:t>Received:</w:t>
      </w:r>
      <w:r w:rsidRPr="008743FE">
        <w:rPr>
          <w:rFonts w:ascii="Book Antiqua" w:hAnsi="Book Antiqua"/>
          <w:color w:val="000000"/>
          <w:sz w:val="24"/>
          <w:szCs w:val="24"/>
        </w:rPr>
        <w:t xml:space="preserve"> </w:t>
      </w:r>
      <w:r>
        <w:rPr>
          <w:rFonts w:ascii="Book Antiqua" w:eastAsiaTheme="minorEastAsia" w:hAnsi="Book Antiqua" w:hint="eastAsia"/>
          <w:color w:val="000000"/>
          <w:sz w:val="24"/>
          <w:szCs w:val="24"/>
          <w:lang w:eastAsia="zh-CN"/>
        </w:rPr>
        <w:t>October</w:t>
      </w:r>
      <w:r w:rsidRPr="008743FE">
        <w:rPr>
          <w:rFonts w:ascii="Book Antiqua" w:hAnsi="Book Antiqua"/>
          <w:color w:val="000000"/>
          <w:sz w:val="24"/>
          <w:szCs w:val="24"/>
        </w:rPr>
        <w:t xml:space="preserve"> </w:t>
      </w:r>
      <w:r>
        <w:rPr>
          <w:rFonts w:ascii="Book Antiqua" w:eastAsiaTheme="minorEastAsia" w:hAnsi="Book Antiqua" w:hint="eastAsia"/>
          <w:color w:val="000000"/>
          <w:sz w:val="24"/>
          <w:szCs w:val="24"/>
          <w:lang w:eastAsia="zh-CN"/>
        </w:rPr>
        <w:t>1</w:t>
      </w:r>
      <w:r>
        <w:rPr>
          <w:rFonts w:ascii="Book Antiqua" w:hAnsi="Book Antiqua"/>
          <w:color w:val="000000"/>
          <w:sz w:val="24"/>
          <w:szCs w:val="24"/>
        </w:rPr>
        <w:t>2, 201</w:t>
      </w:r>
      <w:r>
        <w:rPr>
          <w:rFonts w:ascii="Book Antiqua" w:eastAsiaTheme="minorEastAsia" w:hAnsi="Book Antiqua" w:hint="eastAsia"/>
          <w:color w:val="000000"/>
          <w:sz w:val="24"/>
          <w:szCs w:val="24"/>
          <w:lang w:eastAsia="zh-CN"/>
        </w:rPr>
        <w:t>8</w:t>
      </w:r>
    </w:p>
    <w:p w14:paraId="51E74452" w14:textId="7CBC1BE4" w:rsidR="00CE1E8E" w:rsidRPr="00CE1E8E" w:rsidRDefault="00CE1E8E" w:rsidP="00CE1E8E">
      <w:pPr>
        <w:adjustRightInd w:val="0"/>
        <w:snapToGrid w:val="0"/>
        <w:spacing w:after="0" w:line="360" w:lineRule="auto"/>
        <w:jc w:val="both"/>
        <w:rPr>
          <w:rFonts w:ascii="Book Antiqua" w:eastAsiaTheme="minorEastAsia" w:hAnsi="Book Antiqua"/>
          <w:color w:val="000000"/>
          <w:sz w:val="24"/>
          <w:szCs w:val="24"/>
          <w:lang w:eastAsia="zh-CN"/>
        </w:rPr>
      </w:pPr>
      <w:r w:rsidRPr="008743FE">
        <w:rPr>
          <w:rFonts w:ascii="Book Antiqua" w:hAnsi="Book Antiqua"/>
          <w:b/>
          <w:color w:val="000000"/>
          <w:sz w:val="24"/>
          <w:szCs w:val="24"/>
        </w:rPr>
        <w:t>Peer-review started:</w:t>
      </w:r>
      <w:r w:rsidRPr="008743FE">
        <w:rPr>
          <w:rFonts w:ascii="Book Antiqua" w:hAnsi="Book Antiqua"/>
          <w:color w:val="000000"/>
          <w:sz w:val="24"/>
          <w:szCs w:val="24"/>
        </w:rPr>
        <w:t xml:space="preserve"> </w:t>
      </w:r>
      <w:r>
        <w:rPr>
          <w:rFonts w:ascii="Book Antiqua" w:eastAsiaTheme="minorEastAsia" w:hAnsi="Book Antiqua" w:hint="eastAsia"/>
          <w:color w:val="000000"/>
          <w:sz w:val="24"/>
          <w:szCs w:val="24"/>
          <w:lang w:eastAsia="zh-CN"/>
        </w:rPr>
        <w:t>October</w:t>
      </w:r>
      <w:r w:rsidRPr="008743FE">
        <w:rPr>
          <w:rFonts w:ascii="Book Antiqua" w:hAnsi="Book Antiqua"/>
          <w:color w:val="000000"/>
          <w:sz w:val="24"/>
          <w:szCs w:val="24"/>
        </w:rPr>
        <w:t xml:space="preserve"> </w:t>
      </w:r>
      <w:r>
        <w:rPr>
          <w:rFonts w:ascii="Book Antiqua" w:eastAsiaTheme="minorEastAsia" w:hAnsi="Book Antiqua" w:hint="eastAsia"/>
          <w:color w:val="000000"/>
          <w:sz w:val="24"/>
          <w:szCs w:val="24"/>
          <w:lang w:eastAsia="zh-CN"/>
        </w:rPr>
        <w:t>15</w:t>
      </w:r>
      <w:r>
        <w:rPr>
          <w:rFonts w:ascii="Book Antiqua" w:hAnsi="Book Antiqua"/>
          <w:color w:val="000000"/>
          <w:sz w:val="24"/>
          <w:szCs w:val="24"/>
        </w:rPr>
        <w:t>, 201</w:t>
      </w:r>
      <w:r>
        <w:rPr>
          <w:rFonts w:ascii="Book Antiqua" w:eastAsiaTheme="minorEastAsia" w:hAnsi="Book Antiqua" w:hint="eastAsia"/>
          <w:color w:val="000000"/>
          <w:sz w:val="24"/>
          <w:szCs w:val="24"/>
          <w:lang w:eastAsia="zh-CN"/>
        </w:rPr>
        <w:t>8</w:t>
      </w:r>
    </w:p>
    <w:p w14:paraId="3034D17C" w14:textId="53D766EB" w:rsidR="00CE1E8E" w:rsidRPr="00CE1E8E" w:rsidRDefault="00CE1E8E" w:rsidP="00CE1E8E">
      <w:pPr>
        <w:adjustRightInd w:val="0"/>
        <w:snapToGrid w:val="0"/>
        <w:spacing w:after="0" w:line="360" w:lineRule="auto"/>
        <w:jc w:val="both"/>
        <w:rPr>
          <w:rFonts w:ascii="Book Antiqua" w:eastAsiaTheme="minorEastAsia" w:hAnsi="Book Antiqua"/>
          <w:color w:val="000000"/>
          <w:sz w:val="24"/>
          <w:szCs w:val="24"/>
          <w:lang w:eastAsia="zh-CN"/>
        </w:rPr>
      </w:pPr>
      <w:r w:rsidRPr="008743FE">
        <w:rPr>
          <w:rFonts w:ascii="Book Antiqua" w:hAnsi="Book Antiqua"/>
          <w:b/>
          <w:color w:val="000000"/>
          <w:sz w:val="24"/>
          <w:szCs w:val="24"/>
        </w:rPr>
        <w:t>First decision:</w:t>
      </w:r>
      <w:r w:rsidRPr="008743FE">
        <w:rPr>
          <w:rFonts w:ascii="Book Antiqua" w:hAnsi="Book Antiqua"/>
          <w:color w:val="000000"/>
          <w:sz w:val="24"/>
          <w:szCs w:val="24"/>
        </w:rPr>
        <w:t xml:space="preserve"> </w:t>
      </w:r>
      <w:r>
        <w:rPr>
          <w:rFonts w:ascii="Book Antiqua" w:eastAsiaTheme="minorEastAsia" w:hAnsi="Book Antiqua" w:hint="eastAsia"/>
          <w:color w:val="000000"/>
          <w:sz w:val="24"/>
          <w:szCs w:val="24"/>
          <w:lang w:eastAsia="zh-CN"/>
        </w:rPr>
        <w:t>November</w:t>
      </w:r>
      <w:r>
        <w:rPr>
          <w:rFonts w:ascii="Book Antiqua" w:hAnsi="Book Antiqua"/>
          <w:color w:val="000000"/>
          <w:sz w:val="24"/>
          <w:szCs w:val="24"/>
        </w:rPr>
        <w:t xml:space="preserve"> 1, 201</w:t>
      </w:r>
      <w:r>
        <w:rPr>
          <w:rFonts w:ascii="Book Antiqua" w:eastAsiaTheme="minorEastAsia" w:hAnsi="Book Antiqua" w:hint="eastAsia"/>
          <w:color w:val="000000"/>
          <w:sz w:val="24"/>
          <w:szCs w:val="24"/>
          <w:lang w:eastAsia="zh-CN"/>
        </w:rPr>
        <w:t>8</w:t>
      </w:r>
    </w:p>
    <w:p w14:paraId="755557C3" w14:textId="7FE907CE" w:rsidR="00CE1E8E" w:rsidRPr="008743FE" w:rsidRDefault="00CE1E8E" w:rsidP="00CE1E8E">
      <w:pPr>
        <w:adjustRightInd w:val="0"/>
        <w:snapToGrid w:val="0"/>
        <w:spacing w:after="0" w:line="360" w:lineRule="auto"/>
        <w:jc w:val="both"/>
        <w:rPr>
          <w:rFonts w:ascii="Book Antiqua" w:hAnsi="Book Antiqua"/>
          <w:color w:val="000000"/>
          <w:sz w:val="24"/>
          <w:szCs w:val="24"/>
        </w:rPr>
      </w:pPr>
      <w:r w:rsidRPr="008743FE">
        <w:rPr>
          <w:rFonts w:ascii="Book Antiqua" w:hAnsi="Book Antiqua"/>
          <w:b/>
          <w:color w:val="000000"/>
          <w:sz w:val="24"/>
          <w:szCs w:val="24"/>
        </w:rPr>
        <w:t>Revised:</w:t>
      </w:r>
      <w:r w:rsidRPr="008743FE">
        <w:rPr>
          <w:rFonts w:ascii="Book Antiqua" w:hAnsi="Book Antiqua"/>
          <w:color w:val="000000"/>
          <w:sz w:val="24"/>
          <w:szCs w:val="24"/>
        </w:rPr>
        <w:t xml:space="preserve"> </w:t>
      </w:r>
      <w:r>
        <w:rPr>
          <w:rFonts w:ascii="Book Antiqua" w:eastAsiaTheme="minorEastAsia" w:hAnsi="Book Antiqua" w:hint="eastAsia"/>
          <w:color w:val="000000"/>
          <w:sz w:val="24"/>
          <w:szCs w:val="24"/>
          <w:lang w:eastAsia="zh-CN"/>
        </w:rPr>
        <w:t>December</w:t>
      </w:r>
      <w:r>
        <w:rPr>
          <w:rFonts w:ascii="Book Antiqua" w:hAnsi="Book Antiqua"/>
          <w:color w:val="000000"/>
          <w:sz w:val="24"/>
          <w:szCs w:val="24"/>
        </w:rPr>
        <w:t xml:space="preserve"> 2</w:t>
      </w:r>
      <w:r>
        <w:rPr>
          <w:rFonts w:ascii="Book Antiqua" w:eastAsiaTheme="minorEastAsia" w:hAnsi="Book Antiqua" w:hint="eastAsia"/>
          <w:color w:val="000000"/>
          <w:sz w:val="24"/>
          <w:szCs w:val="24"/>
          <w:lang w:eastAsia="zh-CN"/>
        </w:rPr>
        <w:t>9</w:t>
      </w:r>
      <w:r w:rsidRPr="008743FE">
        <w:rPr>
          <w:rFonts w:ascii="Book Antiqua" w:hAnsi="Book Antiqua"/>
          <w:color w:val="000000"/>
          <w:sz w:val="24"/>
          <w:szCs w:val="24"/>
        </w:rPr>
        <w:t>, 2015</w:t>
      </w:r>
    </w:p>
    <w:p w14:paraId="6614CC3F" w14:textId="5D445EB4" w:rsidR="00CE1E8E" w:rsidRPr="008743FE" w:rsidRDefault="00CE1E8E" w:rsidP="00CE1E8E">
      <w:pPr>
        <w:adjustRightInd w:val="0"/>
        <w:snapToGrid w:val="0"/>
        <w:spacing w:after="0" w:line="360" w:lineRule="auto"/>
        <w:jc w:val="both"/>
        <w:rPr>
          <w:rFonts w:ascii="Book Antiqua" w:hAnsi="Book Antiqua"/>
          <w:color w:val="000000"/>
          <w:sz w:val="24"/>
          <w:szCs w:val="24"/>
        </w:rPr>
      </w:pPr>
      <w:r w:rsidRPr="008743FE">
        <w:rPr>
          <w:rFonts w:ascii="Book Antiqua" w:hAnsi="Book Antiqua"/>
          <w:b/>
          <w:color w:val="000000"/>
          <w:sz w:val="24"/>
          <w:szCs w:val="24"/>
        </w:rPr>
        <w:t>Accepted:</w:t>
      </w:r>
      <w:r w:rsidRPr="008743FE">
        <w:rPr>
          <w:rFonts w:ascii="Book Antiqua" w:hAnsi="Book Antiqua"/>
          <w:color w:val="000000"/>
          <w:sz w:val="24"/>
          <w:szCs w:val="24"/>
        </w:rPr>
        <w:t xml:space="preserve"> </w:t>
      </w:r>
      <w:r w:rsidR="00490603">
        <w:rPr>
          <w:rFonts w:ascii="Book Antiqua" w:hAnsi="Book Antiqua"/>
          <w:color w:val="000000"/>
          <w:sz w:val="24"/>
          <w:szCs w:val="24"/>
        </w:rPr>
        <w:t>January 9, 2019</w:t>
      </w:r>
    </w:p>
    <w:p w14:paraId="46EC8931" w14:textId="77777777" w:rsidR="00CE1E8E" w:rsidRPr="008743FE" w:rsidRDefault="00CE1E8E" w:rsidP="00CE1E8E">
      <w:pPr>
        <w:adjustRightInd w:val="0"/>
        <w:snapToGrid w:val="0"/>
        <w:spacing w:after="0" w:line="360" w:lineRule="auto"/>
        <w:jc w:val="both"/>
        <w:rPr>
          <w:rFonts w:ascii="Book Antiqua" w:hAnsi="Book Antiqua"/>
          <w:b/>
          <w:color w:val="000000"/>
          <w:sz w:val="24"/>
          <w:szCs w:val="24"/>
        </w:rPr>
      </w:pPr>
      <w:r w:rsidRPr="008743FE">
        <w:rPr>
          <w:rFonts w:ascii="Book Antiqua" w:hAnsi="Book Antiqua"/>
          <w:b/>
          <w:color w:val="000000"/>
          <w:sz w:val="24"/>
          <w:szCs w:val="24"/>
        </w:rPr>
        <w:t>Article in press:</w:t>
      </w:r>
    </w:p>
    <w:p w14:paraId="41B0B791" w14:textId="7A94CC9D" w:rsidR="00422A61" w:rsidRPr="00CE1E8E" w:rsidRDefault="00CE1E8E" w:rsidP="00CE1E8E">
      <w:pPr>
        <w:adjustRightInd w:val="0"/>
        <w:snapToGrid w:val="0"/>
        <w:spacing w:after="0" w:line="360" w:lineRule="auto"/>
        <w:jc w:val="both"/>
        <w:rPr>
          <w:rFonts w:ascii="Book Antiqua" w:eastAsiaTheme="minorEastAsia" w:hAnsi="Book Antiqua"/>
          <w:b/>
          <w:color w:val="000000"/>
          <w:sz w:val="24"/>
          <w:szCs w:val="24"/>
          <w:lang w:eastAsia="zh-CN"/>
        </w:rPr>
      </w:pPr>
      <w:r w:rsidRPr="008743FE">
        <w:rPr>
          <w:rFonts w:ascii="Book Antiqua" w:hAnsi="Book Antiqua"/>
          <w:b/>
          <w:color w:val="000000"/>
          <w:sz w:val="24"/>
          <w:szCs w:val="24"/>
        </w:rPr>
        <w:lastRenderedPageBreak/>
        <w:t>Published online:</w:t>
      </w:r>
    </w:p>
    <w:p w14:paraId="337EFAC3" w14:textId="77777777" w:rsidR="00FB1910" w:rsidRPr="00E10230" w:rsidRDefault="00FC7D4A" w:rsidP="00E10230">
      <w:pPr>
        <w:spacing w:after="0" w:line="360" w:lineRule="auto"/>
        <w:jc w:val="both"/>
        <w:rPr>
          <w:rFonts w:ascii="Book Antiqua" w:eastAsiaTheme="minorEastAsia" w:hAnsi="Book Antiqua" w:cs="Arial"/>
          <w:b/>
          <w:sz w:val="24"/>
          <w:szCs w:val="24"/>
          <w:lang w:eastAsia="zh-CN"/>
        </w:rPr>
      </w:pPr>
      <w:r w:rsidRPr="00E10230">
        <w:rPr>
          <w:rFonts w:ascii="Book Antiqua" w:hAnsi="Book Antiqua" w:cs="Arial"/>
          <w:b/>
          <w:sz w:val="24"/>
          <w:szCs w:val="24"/>
        </w:rPr>
        <w:br w:type="page"/>
      </w:r>
      <w:r w:rsidR="008B68C8" w:rsidRPr="00E10230">
        <w:rPr>
          <w:rFonts w:ascii="Book Antiqua" w:hAnsi="Book Antiqua" w:cs="Arial"/>
          <w:b/>
          <w:sz w:val="24"/>
          <w:szCs w:val="24"/>
        </w:rPr>
        <w:lastRenderedPageBreak/>
        <w:t>Abstract</w:t>
      </w:r>
    </w:p>
    <w:p w14:paraId="12C88FD5" w14:textId="1F0CEBC3" w:rsidR="00BF55B0" w:rsidRPr="00E10230" w:rsidRDefault="00BF55B0" w:rsidP="00E10230">
      <w:pPr>
        <w:spacing w:after="0" w:line="360" w:lineRule="auto"/>
        <w:jc w:val="both"/>
        <w:rPr>
          <w:rFonts w:ascii="Book Antiqua" w:eastAsiaTheme="minorEastAsia" w:hAnsi="Book Antiqua" w:cs="Arial"/>
          <w:b/>
          <w:i/>
          <w:sz w:val="24"/>
          <w:szCs w:val="24"/>
          <w:lang w:eastAsia="zh-CN"/>
        </w:rPr>
      </w:pPr>
      <w:r w:rsidRPr="00E10230">
        <w:rPr>
          <w:rFonts w:ascii="Book Antiqua" w:eastAsiaTheme="minorEastAsia" w:hAnsi="Book Antiqua" w:cs="Arial"/>
          <w:b/>
          <w:i/>
          <w:sz w:val="24"/>
          <w:szCs w:val="24"/>
          <w:lang w:eastAsia="zh-CN"/>
        </w:rPr>
        <w:t>BACKGROUND</w:t>
      </w:r>
    </w:p>
    <w:p w14:paraId="3342A6FC" w14:textId="71BC047D" w:rsidR="00BF55B0" w:rsidRPr="00E10230" w:rsidRDefault="00BF55B0"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Chronic liver disease and cirrhosis is the 12</w:t>
      </w:r>
      <w:r w:rsidRPr="00E10230">
        <w:rPr>
          <w:rFonts w:ascii="Book Antiqua" w:hAnsi="Book Antiqua" w:cs="Arial"/>
          <w:sz w:val="24"/>
          <w:szCs w:val="24"/>
          <w:vertAlign w:val="superscript"/>
        </w:rPr>
        <w:t>th</w:t>
      </w:r>
      <w:r w:rsidRPr="00E10230">
        <w:rPr>
          <w:rFonts w:ascii="Book Antiqua" w:hAnsi="Book Antiqua" w:cs="Arial"/>
          <w:sz w:val="24"/>
          <w:szCs w:val="24"/>
        </w:rPr>
        <w:t xml:space="preserve"> leading cause of death in the </w:t>
      </w:r>
      <w:r w:rsidRPr="00E10230">
        <w:rPr>
          <w:rFonts w:ascii="Book Antiqua" w:eastAsiaTheme="minorEastAsia" w:hAnsi="Book Antiqua" w:cs="Arial"/>
          <w:sz w:val="24"/>
          <w:szCs w:val="24"/>
          <w:lang w:eastAsia="zh-CN"/>
        </w:rPr>
        <w:t>United States.</w:t>
      </w:r>
      <w:r w:rsidRPr="00E10230">
        <w:rPr>
          <w:rFonts w:ascii="Book Antiqua" w:hAnsi="Book Antiqua" w:cs="Arial"/>
          <w:sz w:val="24"/>
          <w:szCs w:val="24"/>
        </w:rPr>
        <w:t xml:space="preserve"> Patients with decompensated-cirrhosis, especially with hepatic encephalopathy/coma</w:t>
      </w:r>
      <w:r w:rsidRPr="00E10230">
        <w:rPr>
          <w:rFonts w:ascii="Book Antiqua" w:eastAsiaTheme="minorEastAsia" w:hAnsi="Book Antiqua" w:cs="Arial"/>
          <w:sz w:val="24"/>
          <w:szCs w:val="24"/>
          <w:lang w:eastAsia="zh-CN"/>
        </w:rPr>
        <w:t xml:space="preserve"> (HC)</w:t>
      </w:r>
      <w:r w:rsidRPr="00E10230">
        <w:rPr>
          <w:rFonts w:ascii="Book Antiqua" w:hAnsi="Book Antiqua" w:cs="Arial"/>
          <w:sz w:val="24"/>
          <w:szCs w:val="24"/>
        </w:rPr>
        <w:t xml:space="preserve">, have a higher rate of early readmission and contribute to higher healthcare cost. </w:t>
      </w:r>
    </w:p>
    <w:p w14:paraId="5B2D00A3" w14:textId="77777777" w:rsidR="00BF55B0" w:rsidRPr="00E10230" w:rsidRDefault="00BF55B0" w:rsidP="00E10230">
      <w:pPr>
        <w:spacing w:after="0" w:line="360" w:lineRule="auto"/>
        <w:jc w:val="both"/>
        <w:rPr>
          <w:rFonts w:ascii="Book Antiqua" w:eastAsiaTheme="minorEastAsia" w:hAnsi="Book Antiqua" w:cs="Arial"/>
          <w:b/>
          <w:sz w:val="24"/>
          <w:szCs w:val="24"/>
          <w:lang w:eastAsia="zh-CN"/>
        </w:rPr>
      </w:pPr>
    </w:p>
    <w:p w14:paraId="2966D073" w14:textId="77777777" w:rsidR="00130C64" w:rsidRPr="00E10230" w:rsidRDefault="00130C64"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AIM</w:t>
      </w:r>
    </w:p>
    <w:p w14:paraId="68579BCC" w14:textId="562D29F9" w:rsidR="00130C64" w:rsidRPr="00E10230" w:rsidRDefault="00130C64"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T</w:t>
      </w:r>
      <w:r w:rsidR="00BD3795" w:rsidRPr="00E10230">
        <w:rPr>
          <w:rFonts w:ascii="Book Antiqua" w:hAnsi="Book Antiqua" w:cs="Arial"/>
          <w:sz w:val="24"/>
          <w:szCs w:val="24"/>
        </w:rPr>
        <w:t xml:space="preserve">o evaluate the national </w:t>
      </w:r>
      <w:r w:rsidR="00850803" w:rsidRPr="00E10230">
        <w:rPr>
          <w:rFonts w:ascii="Book Antiqua" w:hAnsi="Book Antiqua" w:cs="Arial"/>
          <w:sz w:val="24"/>
          <w:szCs w:val="24"/>
        </w:rPr>
        <w:t xml:space="preserve">inpatient </w:t>
      </w:r>
      <w:r w:rsidR="00BD3795" w:rsidRPr="00E10230">
        <w:rPr>
          <w:rFonts w:ascii="Book Antiqua" w:hAnsi="Book Antiqua" w:cs="Arial"/>
          <w:sz w:val="24"/>
          <w:szCs w:val="24"/>
        </w:rPr>
        <w:t xml:space="preserve">trends of </w:t>
      </w:r>
      <w:r w:rsidR="005D7263" w:rsidRPr="00E10230">
        <w:rPr>
          <w:rFonts w:ascii="Book Antiqua" w:hAnsi="Book Antiqua" w:cs="Arial"/>
          <w:sz w:val="24"/>
          <w:szCs w:val="24"/>
        </w:rPr>
        <w:t>discharges</w:t>
      </w:r>
      <w:r w:rsidR="0001520C" w:rsidRPr="00E10230">
        <w:rPr>
          <w:rFonts w:ascii="Book Antiqua" w:hAnsi="Book Antiqua" w:cs="Arial"/>
          <w:sz w:val="24"/>
          <w:szCs w:val="24"/>
        </w:rPr>
        <w:t xml:space="preserve">, </w:t>
      </w:r>
      <w:r w:rsidR="00BD3795" w:rsidRPr="00E10230">
        <w:rPr>
          <w:rFonts w:ascii="Book Antiqua" w:hAnsi="Book Antiqua" w:cs="Arial"/>
          <w:sz w:val="24"/>
          <w:szCs w:val="24"/>
        </w:rPr>
        <w:t>mortalities</w:t>
      </w:r>
      <w:r w:rsidR="00850803" w:rsidRPr="00E10230">
        <w:rPr>
          <w:rFonts w:ascii="Book Antiqua" w:hAnsi="Book Antiqua" w:cs="Arial"/>
          <w:sz w:val="24"/>
          <w:szCs w:val="24"/>
        </w:rPr>
        <w:t xml:space="preserve"> </w:t>
      </w:r>
      <w:r w:rsidR="0001520C" w:rsidRPr="00E10230">
        <w:rPr>
          <w:rFonts w:ascii="Book Antiqua" w:hAnsi="Book Antiqua" w:cs="Arial"/>
          <w:sz w:val="24"/>
          <w:szCs w:val="24"/>
        </w:rPr>
        <w:t>and financial impact</w:t>
      </w:r>
      <w:r w:rsidR="009D430B" w:rsidRPr="00E10230">
        <w:rPr>
          <w:rFonts w:ascii="Book Antiqua" w:hAnsi="Book Antiqua" w:cs="Arial"/>
          <w:sz w:val="24"/>
          <w:szCs w:val="24"/>
        </w:rPr>
        <w:t>s</w:t>
      </w:r>
      <w:r w:rsidR="0001520C" w:rsidRPr="00E10230">
        <w:rPr>
          <w:rFonts w:ascii="Book Antiqua" w:hAnsi="Book Antiqua" w:cs="Arial"/>
          <w:sz w:val="24"/>
          <w:szCs w:val="24"/>
        </w:rPr>
        <w:t xml:space="preserve"> </w:t>
      </w:r>
      <w:r w:rsidR="00BD3795" w:rsidRPr="00E10230">
        <w:rPr>
          <w:rFonts w:ascii="Book Antiqua" w:hAnsi="Book Antiqua" w:cs="Arial"/>
          <w:sz w:val="24"/>
          <w:szCs w:val="24"/>
        </w:rPr>
        <w:t xml:space="preserve">associated with four common </w:t>
      </w:r>
      <w:r w:rsidR="00891D84" w:rsidRPr="00E10230">
        <w:rPr>
          <w:rFonts w:ascii="Book Antiqua" w:hAnsi="Book Antiqua" w:cs="Arial"/>
          <w:sz w:val="24"/>
          <w:szCs w:val="24"/>
        </w:rPr>
        <w:t xml:space="preserve">conditions </w:t>
      </w:r>
      <w:r w:rsidR="00BD3795" w:rsidRPr="00E10230">
        <w:rPr>
          <w:rFonts w:ascii="Book Antiqua" w:hAnsi="Book Antiqua" w:cs="Arial"/>
          <w:sz w:val="24"/>
          <w:szCs w:val="24"/>
        </w:rPr>
        <w:t>of cirrhosis</w:t>
      </w:r>
      <w:r w:rsidR="004B5FFD" w:rsidRPr="00E10230">
        <w:rPr>
          <w:rFonts w:ascii="Book Antiqua" w:hAnsi="Book Antiqua" w:cs="Arial"/>
          <w:sz w:val="24"/>
          <w:szCs w:val="24"/>
        </w:rPr>
        <w:t>.</w:t>
      </w:r>
    </w:p>
    <w:p w14:paraId="4DBD65FD" w14:textId="77777777" w:rsidR="00BF55B0" w:rsidRPr="00E10230" w:rsidRDefault="00BF55B0" w:rsidP="00E10230">
      <w:pPr>
        <w:spacing w:after="0" w:line="360" w:lineRule="auto"/>
        <w:jc w:val="both"/>
        <w:rPr>
          <w:rFonts w:ascii="Book Antiqua" w:eastAsiaTheme="minorEastAsia" w:hAnsi="Book Antiqua" w:cs="Arial"/>
          <w:sz w:val="24"/>
          <w:szCs w:val="24"/>
          <w:lang w:eastAsia="zh-CN"/>
        </w:rPr>
      </w:pPr>
    </w:p>
    <w:p w14:paraId="0400E104" w14:textId="77777777" w:rsidR="004B5FFD" w:rsidRPr="00E10230" w:rsidRDefault="004B5FFD" w:rsidP="00E10230">
      <w:pPr>
        <w:spacing w:after="0" w:line="360" w:lineRule="auto"/>
        <w:jc w:val="both"/>
        <w:rPr>
          <w:rFonts w:ascii="Book Antiqua" w:hAnsi="Book Antiqua" w:cs="Arial"/>
          <w:i/>
          <w:sz w:val="24"/>
          <w:szCs w:val="24"/>
        </w:rPr>
      </w:pPr>
      <w:r w:rsidRPr="00E10230">
        <w:rPr>
          <w:rFonts w:ascii="Book Antiqua" w:hAnsi="Book Antiqua" w:cs="Arial"/>
          <w:b/>
          <w:i/>
          <w:sz w:val="24"/>
          <w:szCs w:val="24"/>
        </w:rPr>
        <w:t>METHODS</w:t>
      </w:r>
    </w:p>
    <w:p w14:paraId="30C50C41" w14:textId="57AA81F6" w:rsidR="00130C64" w:rsidRPr="00E10230" w:rsidRDefault="004B5FFD"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 xml:space="preserve">The publicly available Healthcare Cost and Utilization Project </w:t>
      </w:r>
      <w:r w:rsidR="00BF55B0" w:rsidRPr="00E10230">
        <w:rPr>
          <w:rFonts w:ascii="Book Antiqua" w:hAnsi="Book Antiqua" w:cs="Arial"/>
          <w:sz w:val="24"/>
          <w:szCs w:val="24"/>
        </w:rPr>
        <w:t>National Inpatient Sample</w:t>
      </w:r>
      <w:r w:rsidRPr="00E10230">
        <w:rPr>
          <w:rFonts w:ascii="Book Antiqua" w:hAnsi="Book Antiqua" w:cs="Arial"/>
          <w:sz w:val="24"/>
          <w:szCs w:val="24"/>
        </w:rPr>
        <w:t xml:space="preserve"> database was utilized to examine the temporal trends of total number of discharges, mortalities and inpatient costs related to hospitalization with a primary diagnosis of </w:t>
      </w:r>
      <w:r w:rsidR="00BF55B0" w:rsidRPr="00E10230">
        <w:rPr>
          <w:rFonts w:ascii="Book Antiqua" w:hAnsi="Book Antiqua" w:cs="Arial"/>
          <w:sz w:val="24"/>
          <w:szCs w:val="24"/>
        </w:rPr>
        <w:t>HC</w:t>
      </w:r>
      <w:r w:rsidRPr="00E10230">
        <w:rPr>
          <w:rFonts w:ascii="Book Antiqua" w:hAnsi="Book Antiqua" w:cs="Arial"/>
          <w:sz w:val="24"/>
          <w:szCs w:val="24"/>
        </w:rPr>
        <w:t xml:space="preserve">, </w:t>
      </w:r>
      <w:proofErr w:type="spellStart"/>
      <w:r w:rsidRPr="00E10230">
        <w:rPr>
          <w:rFonts w:ascii="Book Antiqua" w:hAnsi="Book Antiqua" w:cs="Arial"/>
          <w:sz w:val="24"/>
          <w:szCs w:val="24"/>
        </w:rPr>
        <w:t>transjugular</w:t>
      </w:r>
      <w:proofErr w:type="spellEnd"/>
      <w:r w:rsidRPr="00E10230">
        <w:rPr>
          <w:rFonts w:ascii="Book Antiqua" w:hAnsi="Book Antiqua" w:cs="Arial"/>
          <w:sz w:val="24"/>
          <w:szCs w:val="24"/>
        </w:rPr>
        <w:t xml:space="preserve"> intrahepatic portosystemic shunt (TIPS), esophageal varices with bleeding (EV) and spontaneous bacterial peritonitis (SBP) from 2005 to 2014. The ten-year temporal trends were assessed using simple linear regressions and multiple regression analysis.</w:t>
      </w:r>
      <w:r w:rsidR="008C5BC9" w:rsidRPr="00E10230">
        <w:rPr>
          <w:rFonts w:ascii="Book Antiqua" w:hAnsi="Book Antiqua" w:cs="Arial"/>
          <w:sz w:val="24"/>
          <w:szCs w:val="24"/>
        </w:rPr>
        <w:t xml:space="preserve"> </w:t>
      </w:r>
      <w:r w:rsidR="006D7196" w:rsidRPr="00E10230">
        <w:rPr>
          <w:rFonts w:ascii="Book Antiqua" w:hAnsi="Book Antiqua" w:cs="Arial"/>
          <w:sz w:val="24"/>
          <w:szCs w:val="24"/>
        </w:rPr>
        <w:t>Two-sided</w:t>
      </w:r>
      <w:r w:rsidR="008C5BC9" w:rsidRPr="00E10230">
        <w:rPr>
          <w:rFonts w:ascii="Book Antiqua" w:hAnsi="Book Antiqua" w:cs="Arial"/>
          <w:sz w:val="24"/>
          <w:szCs w:val="24"/>
        </w:rPr>
        <w:t xml:space="preserve"> </w:t>
      </w:r>
      <w:r w:rsidR="00DE7E7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8C5BC9" w:rsidRPr="00E10230">
        <w:rPr>
          <w:rFonts w:ascii="Book Antiqua" w:hAnsi="Book Antiqua" w:cs="Arial"/>
          <w:sz w:val="24"/>
          <w:szCs w:val="24"/>
        </w:rPr>
        <w:t>&lt;</w:t>
      </w:r>
      <w:r w:rsidR="004C7441" w:rsidRPr="00E10230">
        <w:rPr>
          <w:rFonts w:ascii="Book Antiqua" w:eastAsiaTheme="minorEastAsia" w:hAnsi="Book Antiqua" w:cs="Arial"/>
          <w:sz w:val="24"/>
          <w:szCs w:val="24"/>
          <w:lang w:eastAsia="zh-CN"/>
        </w:rPr>
        <w:t xml:space="preserve"> </w:t>
      </w:r>
      <w:r w:rsidR="008C5BC9" w:rsidRPr="00E10230">
        <w:rPr>
          <w:rFonts w:ascii="Book Antiqua" w:hAnsi="Book Antiqua" w:cs="Arial"/>
          <w:sz w:val="24"/>
          <w:szCs w:val="24"/>
        </w:rPr>
        <w:t>0.05 was considered statistically significant.</w:t>
      </w:r>
    </w:p>
    <w:p w14:paraId="75FE860E" w14:textId="77777777" w:rsidR="00BF55B0" w:rsidRPr="00E10230" w:rsidRDefault="00BF55B0" w:rsidP="00E10230">
      <w:pPr>
        <w:spacing w:after="0" w:line="360" w:lineRule="auto"/>
        <w:jc w:val="both"/>
        <w:rPr>
          <w:rFonts w:ascii="Book Antiqua" w:eastAsiaTheme="minorEastAsia" w:hAnsi="Book Antiqua" w:cs="Arial"/>
          <w:sz w:val="24"/>
          <w:szCs w:val="24"/>
          <w:lang w:eastAsia="zh-CN"/>
        </w:rPr>
      </w:pPr>
    </w:p>
    <w:p w14:paraId="1273DD20" w14:textId="77777777" w:rsidR="00DE7E75" w:rsidRPr="00E10230" w:rsidRDefault="00DE7E75" w:rsidP="00E10230">
      <w:pPr>
        <w:spacing w:after="0" w:line="360" w:lineRule="auto"/>
        <w:jc w:val="both"/>
        <w:rPr>
          <w:rFonts w:ascii="Book Antiqua" w:hAnsi="Book Antiqua" w:cs="Arial"/>
          <w:i/>
          <w:sz w:val="24"/>
          <w:szCs w:val="24"/>
        </w:rPr>
      </w:pPr>
      <w:bookmarkStart w:id="4" w:name="_Hlk529182602"/>
      <w:r w:rsidRPr="00E10230">
        <w:rPr>
          <w:rFonts w:ascii="Book Antiqua" w:hAnsi="Book Antiqua" w:cs="Arial"/>
          <w:b/>
          <w:i/>
          <w:sz w:val="24"/>
          <w:szCs w:val="24"/>
        </w:rPr>
        <w:t>RESULTS</w:t>
      </w:r>
    </w:p>
    <w:p w14:paraId="01F6E15B" w14:textId="4C11660F" w:rsidR="00B03BE2" w:rsidRPr="00E10230" w:rsidRDefault="00BD3795"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 xml:space="preserve">From 2005 to 2014, the total number of discharges </w:t>
      </w:r>
      <w:r w:rsidR="0007514D" w:rsidRPr="00E10230">
        <w:rPr>
          <w:rFonts w:ascii="Book Antiqua" w:hAnsi="Book Antiqua" w:cs="Arial"/>
          <w:sz w:val="24"/>
          <w:szCs w:val="24"/>
        </w:rPr>
        <w:t xml:space="preserve">with </w:t>
      </w:r>
      <w:r w:rsidRPr="00E10230">
        <w:rPr>
          <w:rFonts w:ascii="Book Antiqua" w:hAnsi="Book Antiqua" w:cs="Arial"/>
          <w:sz w:val="24"/>
          <w:szCs w:val="24"/>
        </w:rPr>
        <w:t>cirrhosis</w:t>
      </w:r>
      <w:r w:rsidR="0007514D" w:rsidRPr="00E10230">
        <w:rPr>
          <w:rFonts w:ascii="Book Antiqua" w:hAnsi="Book Antiqua" w:cs="Arial"/>
          <w:sz w:val="24"/>
          <w:szCs w:val="24"/>
        </w:rPr>
        <w:t>-associated</w:t>
      </w:r>
      <w:r w:rsidRPr="00E10230">
        <w:rPr>
          <w:rFonts w:ascii="Book Antiqua" w:hAnsi="Book Antiqua" w:cs="Arial"/>
          <w:sz w:val="24"/>
          <w:szCs w:val="24"/>
        </w:rPr>
        <w:t xml:space="preserve"> </w:t>
      </w:r>
      <w:r w:rsidR="0007514D" w:rsidRPr="00E10230">
        <w:rPr>
          <w:rFonts w:ascii="Book Antiqua" w:hAnsi="Book Antiqua" w:cs="Arial"/>
          <w:sz w:val="24"/>
          <w:szCs w:val="24"/>
        </w:rPr>
        <w:t xml:space="preserve">complications </w:t>
      </w:r>
      <w:r w:rsidRPr="00E10230">
        <w:rPr>
          <w:rFonts w:ascii="Book Antiqua" w:hAnsi="Book Antiqua" w:cs="Arial"/>
          <w:sz w:val="24"/>
          <w:szCs w:val="24"/>
        </w:rPr>
        <w:t>trend</w:t>
      </w:r>
      <w:r w:rsidR="0007514D" w:rsidRPr="00E10230">
        <w:rPr>
          <w:rFonts w:ascii="Book Antiqua" w:hAnsi="Book Antiqua" w:cs="Arial"/>
          <w:sz w:val="24"/>
          <w:szCs w:val="24"/>
        </w:rPr>
        <w:t>ed</w:t>
      </w:r>
      <w:r w:rsidRPr="00E10230">
        <w:rPr>
          <w:rFonts w:ascii="Book Antiqua" w:hAnsi="Book Antiqua" w:cs="Arial"/>
          <w:sz w:val="24"/>
          <w:szCs w:val="24"/>
        </w:rPr>
        <w:t xml:space="preserve"> up</w:t>
      </w:r>
      <w:r w:rsidR="005D7263" w:rsidRPr="00E10230">
        <w:rPr>
          <w:rFonts w:ascii="Book Antiqua" w:hAnsi="Book Antiqua" w:cs="Arial"/>
          <w:sz w:val="24"/>
          <w:szCs w:val="24"/>
        </w:rPr>
        <w:t xml:space="preserve"> for HC, SBP and EV</w:t>
      </w:r>
      <w:r w:rsidRPr="00E10230">
        <w:rPr>
          <w:rFonts w:ascii="Book Antiqua" w:hAnsi="Book Antiqua" w:cs="Arial"/>
          <w:sz w:val="24"/>
          <w:szCs w:val="24"/>
        </w:rPr>
        <w:t xml:space="preserve"> (HC by </w:t>
      </w:r>
      <w:r w:rsidR="00D4373F" w:rsidRPr="00E10230">
        <w:rPr>
          <w:rFonts w:ascii="Book Antiqua" w:hAnsi="Book Antiqua" w:cs="Arial"/>
          <w:sz w:val="24"/>
          <w:szCs w:val="24"/>
        </w:rPr>
        <w:t>7</w:t>
      </w:r>
      <w:r w:rsidRPr="00E10230">
        <w:rPr>
          <w:rFonts w:ascii="Book Antiqua" w:hAnsi="Book Antiqua" w:cs="Arial"/>
          <w:sz w:val="24"/>
          <w:szCs w:val="24"/>
        </w:rPr>
        <w:t xml:space="preserve">0% increase, </w:t>
      </w:r>
      <w:r w:rsidR="003559C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4C7441"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0.0001; SBP by 819% increase, </w:t>
      </w:r>
      <w:r w:rsidR="003559C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0.0002; EV by 9% increase, </w:t>
      </w:r>
      <w:r w:rsidR="003559C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0.016)</w:t>
      </w:r>
      <w:r w:rsidR="003C1D75" w:rsidRPr="00E10230">
        <w:rPr>
          <w:rFonts w:ascii="Book Antiqua" w:hAnsi="Book Antiqua" w:cs="Arial"/>
          <w:sz w:val="24"/>
          <w:szCs w:val="24"/>
        </w:rPr>
        <w:t>,</w:t>
      </w:r>
      <w:r w:rsidR="00283E17" w:rsidRPr="00E10230">
        <w:rPr>
          <w:rFonts w:ascii="Book Antiqua" w:hAnsi="Book Antiqua" w:cs="Arial"/>
          <w:sz w:val="24"/>
          <w:szCs w:val="24"/>
        </w:rPr>
        <w:t xml:space="preserve"> </w:t>
      </w:r>
      <w:r w:rsidR="005D7263" w:rsidRPr="00E10230">
        <w:rPr>
          <w:rFonts w:ascii="Book Antiqua" w:hAnsi="Book Antiqua" w:cs="Arial"/>
          <w:sz w:val="24"/>
          <w:szCs w:val="24"/>
        </w:rPr>
        <w:t>but not</w:t>
      </w:r>
      <w:r w:rsidR="00283E17" w:rsidRPr="00E10230">
        <w:rPr>
          <w:rFonts w:ascii="Book Antiqua" w:hAnsi="Book Antiqua" w:cs="Arial"/>
          <w:sz w:val="24"/>
          <w:szCs w:val="24"/>
        </w:rPr>
        <w:t xml:space="preserve"> </w:t>
      </w:r>
      <w:r w:rsidR="00481017" w:rsidRPr="00E10230">
        <w:rPr>
          <w:rFonts w:ascii="Book Antiqua" w:hAnsi="Book Antiqua" w:cs="Arial"/>
          <w:sz w:val="24"/>
          <w:szCs w:val="24"/>
        </w:rPr>
        <w:t xml:space="preserve">for </w:t>
      </w:r>
      <w:r w:rsidR="00283E17" w:rsidRPr="00E10230">
        <w:rPr>
          <w:rFonts w:ascii="Book Antiqua" w:hAnsi="Book Antiqua" w:cs="Arial"/>
          <w:sz w:val="24"/>
          <w:szCs w:val="24"/>
        </w:rPr>
        <w:t>TIPS</w:t>
      </w:r>
      <w:r w:rsidR="005D7263" w:rsidRPr="00E10230">
        <w:rPr>
          <w:rFonts w:ascii="Book Antiqua" w:hAnsi="Book Antiqua" w:cs="Arial"/>
          <w:sz w:val="24"/>
          <w:szCs w:val="24"/>
        </w:rPr>
        <w:t xml:space="preserve"> (</w:t>
      </w:r>
      <w:r w:rsidR="003559C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3C1D75"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003C1D75" w:rsidRPr="00E10230">
        <w:rPr>
          <w:rFonts w:ascii="Book Antiqua" w:hAnsi="Book Antiqua" w:cs="Arial"/>
          <w:sz w:val="24"/>
          <w:szCs w:val="24"/>
        </w:rPr>
        <w:t>0.90</w:t>
      </w:r>
      <w:r w:rsidR="005D7263" w:rsidRPr="00E10230">
        <w:rPr>
          <w:rFonts w:ascii="Book Antiqua" w:hAnsi="Book Antiqua" w:cs="Arial"/>
          <w:sz w:val="24"/>
          <w:szCs w:val="24"/>
        </w:rPr>
        <w:t>)</w:t>
      </w:r>
      <w:r w:rsidRPr="00E10230">
        <w:rPr>
          <w:rFonts w:ascii="Book Antiqua" w:hAnsi="Book Antiqua" w:cs="Arial"/>
          <w:sz w:val="24"/>
          <w:szCs w:val="24"/>
        </w:rPr>
        <w:t xml:space="preserve">. </w:t>
      </w:r>
      <w:r w:rsidR="002208F2" w:rsidRPr="00E10230">
        <w:rPr>
          <w:rFonts w:ascii="Book Antiqua" w:hAnsi="Book Antiqua" w:cs="Arial"/>
          <w:sz w:val="24"/>
          <w:szCs w:val="24"/>
        </w:rPr>
        <w:t xml:space="preserve">HC related to </w:t>
      </w:r>
      <w:r w:rsidR="00B03BE2" w:rsidRPr="00E10230">
        <w:rPr>
          <w:rFonts w:ascii="Book Antiqua" w:hAnsi="Book Antiqua" w:cs="Arial"/>
          <w:sz w:val="24"/>
          <w:szCs w:val="24"/>
        </w:rPr>
        <w:t>viral hepatitis showed faster increase by 357% (</w:t>
      </w:r>
      <w:r w:rsidR="00B03BE2"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B03BE2" w:rsidRPr="00E10230">
        <w:rPr>
          <w:rFonts w:ascii="Book Antiqua" w:hAnsi="Book Antiqua" w:cs="Arial"/>
          <w:sz w:val="24"/>
          <w:szCs w:val="24"/>
        </w:rPr>
        <w:t>&lt;</w:t>
      </w:r>
      <w:r w:rsidR="004C7441" w:rsidRPr="00E10230">
        <w:rPr>
          <w:rFonts w:ascii="Book Antiqua" w:eastAsiaTheme="minorEastAsia" w:hAnsi="Book Antiqua" w:cs="Arial"/>
          <w:sz w:val="24"/>
          <w:szCs w:val="24"/>
          <w:lang w:eastAsia="zh-CN"/>
        </w:rPr>
        <w:t xml:space="preserve"> </w:t>
      </w:r>
      <w:r w:rsidR="00B03BE2" w:rsidRPr="00E10230">
        <w:rPr>
          <w:rFonts w:ascii="Book Antiqua" w:hAnsi="Book Antiqua" w:cs="Arial"/>
          <w:sz w:val="24"/>
          <w:szCs w:val="24"/>
        </w:rPr>
        <w:t>0.0001) in comparison to HC not related to viral hepatitis by 33 % (</w:t>
      </w:r>
      <w:r w:rsidR="00B03BE2"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B03BE2"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00B03BE2" w:rsidRPr="00E10230">
        <w:rPr>
          <w:rFonts w:ascii="Book Antiqua" w:hAnsi="Book Antiqua" w:cs="Arial"/>
          <w:sz w:val="24"/>
          <w:szCs w:val="24"/>
        </w:rPr>
        <w:t xml:space="preserve">0.0006). </w:t>
      </w:r>
      <w:r w:rsidRPr="00E10230">
        <w:rPr>
          <w:rFonts w:ascii="Book Antiqua" w:hAnsi="Book Antiqua" w:cs="Arial"/>
          <w:sz w:val="24"/>
          <w:szCs w:val="24"/>
        </w:rPr>
        <w:t>Overall, in-hospital mortality rates for each condition decreased from 2005 to 2014 (HC by 29% reduction</w:t>
      </w:r>
      <w:r w:rsidR="009D430B" w:rsidRPr="00E10230">
        <w:rPr>
          <w:rFonts w:ascii="Book Antiqua" w:hAnsi="Book Antiqua" w:cs="Arial"/>
          <w:sz w:val="24"/>
          <w:szCs w:val="24"/>
        </w:rPr>
        <w:t xml:space="preserve">, </w:t>
      </w:r>
      <w:r w:rsidR="003559C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9D430B"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009D430B" w:rsidRPr="00E10230">
        <w:rPr>
          <w:rFonts w:ascii="Book Antiqua" w:hAnsi="Book Antiqua" w:cs="Arial"/>
          <w:sz w:val="24"/>
          <w:szCs w:val="24"/>
        </w:rPr>
        <w:t>0.0024</w:t>
      </w:r>
      <w:r w:rsidRPr="00E10230">
        <w:rPr>
          <w:rFonts w:ascii="Book Antiqua" w:hAnsi="Book Antiqua" w:cs="Arial"/>
          <w:sz w:val="24"/>
          <w:szCs w:val="24"/>
        </w:rPr>
        <w:t>; SBP by 26% reduction</w:t>
      </w:r>
      <w:r w:rsidR="007C0134" w:rsidRPr="00E10230">
        <w:rPr>
          <w:rFonts w:ascii="Book Antiqua" w:hAnsi="Book Antiqua" w:cs="Arial"/>
          <w:sz w:val="24"/>
          <w:szCs w:val="24"/>
        </w:rPr>
        <w:t xml:space="preserve">, </w:t>
      </w:r>
      <w:r w:rsidR="00DE7E7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7C0134"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007C0134" w:rsidRPr="00E10230">
        <w:rPr>
          <w:rFonts w:ascii="Book Antiqua" w:hAnsi="Book Antiqua" w:cs="Arial"/>
          <w:sz w:val="24"/>
          <w:szCs w:val="24"/>
        </w:rPr>
        <w:t>0.0038</w:t>
      </w:r>
      <w:r w:rsidRPr="00E10230">
        <w:rPr>
          <w:rFonts w:ascii="Book Antiqua" w:hAnsi="Book Antiqua" w:cs="Arial"/>
          <w:sz w:val="24"/>
          <w:szCs w:val="24"/>
        </w:rPr>
        <w:t xml:space="preserve">; </w:t>
      </w:r>
      <w:r w:rsidR="00B950D9" w:rsidRPr="00E10230">
        <w:rPr>
          <w:rFonts w:ascii="Book Antiqua" w:hAnsi="Book Antiqua" w:cs="Arial"/>
          <w:sz w:val="24"/>
          <w:szCs w:val="24"/>
        </w:rPr>
        <w:t>TIPS</w:t>
      </w:r>
      <w:r w:rsidR="00283E17" w:rsidRPr="00E10230">
        <w:rPr>
          <w:rFonts w:ascii="Book Antiqua" w:hAnsi="Book Antiqua" w:cs="Arial"/>
          <w:sz w:val="24"/>
          <w:szCs w:val="24"/>
        </w:rPr>
        <w:t xml:space="preserve"> by 32% reduction</w:t>
      </w:r>
      <w:r w:rsidR="007C0134" w:rsidRPr="00E10230">
        <w:rPr>
          <w:rFonts w:ascii="Book Antiqua" w:hAnsi="Book Antiqua" w:cs="Arial"/>
          <w:sz w:val="24"/>
          <w:szCs w:val="24"/>
        </w:rPr>
        <w:t xml:space="preserve">, </w:t>
      </w:r>
      <w:r w:rsidR="00DE7E7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7C0134"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007C0134" w:rsidRPr="00E10230">
        <w:rPr>
          <w:rFonts w:ascii="Book Antiqua" w:hAnsi="Book Antiqua" w:cs="Arial"/>
          <w:sz w:val="24"/>
          <w:szCs w:val="24"/>
        </w:rPr>
        <w:t>0.021</w:t>
      </w:r>
      <w:r w:rsidR="00413A14" w:rsidRPr="00E10230">
        <w:rPr>
          <w:rFonts w:ascii="Book Antiqua" w:hAnsi="Book Antiqua" w:cs="Arial"/>
          <w:sz w:val="24"/>
          <w:szCs w:val="24"/>
        </w:rPr>
        <w:t>)</w:t>
      </w:r>
      <w:r w:rsidRPr="00E10230">
        <w:rPr>
          <w:rFonts w:ascii="Book Antiqua" w:hAnsi="Book Antiqua" w:cs="Arial"/>
          <w:sz w:val="24"/>
          <w:szCs w:val="24"/>
        </w:rPr>
        <w:t xml:space="preserve"> except for EV (</w:t>
      </w:r>
      <w:r w:rsidR="003559C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0.3</w:t>
      </w:r>
      <w:r w:rsidR="00A153C4" w:rsidRPr="00E10230">
        <w:rPr>
          <w:rFonts w:ascii="Book Antiqua" w:hAnsi="Book Antiqua" w:cs="Arial"/>
          <w:sz w:val="24"/>
          <w:szCs w:val="24"/>
        </w:rPr>
        <w:t>4</w:t>
      </w:r>
      <w:r w:rsidRPr="00E10230">
        <w:rPr>
          <w:rFonts w:ascii="Book Antiqua" w:hAnsi="Book Antiqua" w:cs="Arial"/>
          <w:sz w:val="24"/>
          <w:szCs w:val="24"/>
        </w:rPr>
        <w:t xml:space="preserve">). </w:t>
      </w:r>
      <w:r w:rsidR="00C20F84" w:rsidRPr="00E10230">
        <w:rPr>
          <w:rFonts w:ascii="Book Antiqua" w:hAnsi="Book Antiqua" w:cs="Arial"/>
          <w:sz w:val="24"/>
          <w:szCs w:val="24"/>
        </w:rPr>
        <w:t xml:space="preserve">After adjustment for inflation, aggregate cost of hospitalization for EV, HC, and SBP </w:t>
      </w:r>
      <w:r w:rsidR="00016FA5" w:rsidRPr="00E10230">
        <w:rPr>
          <w:rFonts w:ascii="Book Antiqua" w:hAnsi="Book Antiqua" w:cs="Arial"/>
          <w:sz w:val="24"/>
          <w:szCs w:val="24"/>
        </w:rPr>
        <w:t xml:space="preserve">significantly </w:t>
      </w:r>
      <w:r w:rsidR="00C20F84" w:rsidRPr="00E10230">
        <w:rPr>
          <w:rFonts w:ascii="Book Antiqua" w:hAnsi="Book Antiqua" w:cs="Arial"/>
          <w:sz w:val="24"/>
          <w:szCs w:val="24"/>
        </w:rPr>
        <w:t xml:space="preserve">increased by 20%, 86%, and 980%, respectively, from 2005 to 2014 (all </w:t>
      </w:r>
      <w:r w:rsidR="00DE7E7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C20F84" w:rsidRPr="00E10230">
        <w:rPr>
          <w:rFonts w:ascii="Book Antiqua" w:hAnsi="Book Antiqua" w:cs="Arial"/>
          <w:sz w:val="24"/>
          <w:szCs w:val="24"/>
        </w:rPr>
        <w:t>&lt;</w:t>
      </w:r>
      <w:r w:rsidR="004C7441" w:rsidRPr="00E10230">
        <w:rPr>
          <w:rFonts w:ascii="Book Antiqua" w:eastAsiaTheme="minorEastAsia" w:hAnsi="Book Antiqua" w:cs="Arial"/>
          <w:sz w:val="24"/>
          <w:szCs w:val="24"/>
          <w:lang w:eastAsia="zh-CN"/>
        </w:rPr>
        <w:t xml:space="preserve"> </w:t>
      </w:r>
      <w:r w:rsidR="00C20F84" w:rsidRPr="00E10230">
        <w:rPr>
          <w:rFonts w:ascii="Book Antiqua" w:hAnsi="Book Antiqua" w:cs="Arial"/>
          <w:sz w:val="24"/>
          <w:szCs w:val="24"/>
        </w:rPr>
        <w:t xml:space="preserve">0.02), </w:t>
      </w:r>
      <w:r w:rsidR="008E2914" w:rsidRPr="00E10230">
        <w:rPr>
          <w:rFonts w:ascii="Book Antiqua" w:hAnsi="Book Antiqua" w:cs="Arial"/>
          <w:sz w:val="24"/>
          <w:szCs w:val="24"/>
        </w:rPr>
        <w:t xml:space="preserve">while </w:t>
      </w:r>
      <w:r w:rsidR="00C20F84" w:rsidRPr="00E10230">
        <w:rPr>
          <w:rFonts w:ascii="Book Antiqua" w:hAnsi="Book Antiqua" w:cs="Arial"/>
          <w:sz w:val="24"/>
          <w:szCs w:val="24"/>
        </w:rPr>
        <w:t xml:space="preserve">TIPS </w:t>
      </w:r>
      <w:r w:rsidR="00E239A2" w:rsidRPr="00E10230">
        <w:rPr>
          <w:rFonts w:ascii="Book Antiqua" w:hAnsi="Book Antiqua" w:cs="Arial"/>
          <w:sz w:val="24"/>
          <w:szCs w:val="24"/>
        </w:rPr>
        <w:t xml:space="preserve">had </w:t>
      </w:r>
      <w:r w:rsidR="00DE7E75" w:rsidRPr="00E10230">
        <w:rPr>
          <w:rFonts w:ascii="Book Antiqua" w:hAnsi="Book Antiqua" w:cs="Arial"/>
          <w:sz w:val="24"/>
          <w:szCs w:val="24"/>
        </w:rPr>
        <w:t>trend toward</w:t>
      </w:r>
      <w:r w:rsidR="00E239A2" w:rsidRPr="00E10230">
        <w:rPr>
          <w:rFonts w:ascii="Book Antiqua" w:hAnsi="Book Antiqua" w:cs="Arial"/>
          <w:sz w:val="24"/>
          <w:szCs w:val="24"/>
        </w:rPr>
        <w:t xml:space="preserve"> </w:t>
      </w:r>
      <w:r w:rsidR="00C20F84" w:rsidRPr="00E10230">
        <w:rPr>
          <w:rFonts w:ascii="Book Antiqua" w:hAnsi="Book Antiqua" w:cs="Arial"/>
          <w:sz w:val="24"/>
          <w:szCs w:val="24"/>
        </w:rPr>
        <w:t>decreas</w:t>
      </w:r>
      <w:r w:rsidR="00DE7E75" w:rsidRPr="00E10230">
        <w:rPr>
          <w:rFonts w:ascii="Book Antiqua" w:hAnsi="Book Antiqua" w:cs="Arial"/>
          <w:sz w:val="24"/>
          <w:szCs w:val="24"/>
        </w:rPr>
        <w:t>ing cost</w:t>
      </w:r>
      <w:r w:rsidR="00E239A2" w:rsidRPr="00E10230">
        <w:rPr>
          <w:rFonts w:ascii="Book Antiqua" w:hAnsi="Book Antiqua" w:cs="Arial"/>
          <w:sz w:val="24"/>
          <w:szCs w:val="24"/>
        </w:rPr>
        <w:t xml:space="preserve"> </w:t>
      </w:r>
      <w:r w:rsidR="00C20F84" w:rsidRPr="00E10230">
        <w:rPr>
          <w:rFonts w:ascii="Book Antiqua" w:hAnsi="Book Antiqua" w:cs="Arial"/>
          <w:sz w:val="24"/>
          <w:szCs w:val="24"/>
        </w:rPr>
        <w:t>by 3% (</w:t>
      </w:r>
      <w:r w:rsidR="00DE7E7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C20F84"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00C20F84" w:rsidRPr="00E10230">
        <w:rPr>
          <w:rFonts w:ascii="Book Antiqua" w:hAnsi="Book Antiqua" w:cs="Arial"/>
          <w:sz w:val="24"/>
          <w:szCs w:val="24"/>
        </w:rPr>
        <w:t>0.95).</w:t>
      </w:r>
    </w:p>
    <w:p w14:paraId="4069BD8C" w14:textId="77777777" w:rsidR="00BF55B0" w:rsidRPr="00E10230" w:rsidRDefault="00BF55B0" w:rsidP="00E10230">
      <w:pPr>
        <w:spacing w:after="0" w:line="360" w:lineRule="auto"/>
        <w:jc w:val="both"/>
        <w:rPr>
          <w:rFonts w:ascii="Book Antiqua" w:eastAsiaTheme="minorEastAsia" w:hAnsi="Book Antiqua" w:cs="Arial"/>
          <w:sz w:val="24"/>
          <w:szCs w:val="24"/>
          <w:lang w:eastAsia="zh-CN"/>
        </w:rPr>
      </w:pPr>
    </w:p>
    <w:p w14:paraId="77301388" w14:textId="77777777" w:rsidR="00DE7E75" w:rsidRPr="00E10230" w:rsidRDefault="00DE7E75" w:rsidP="00E10230">
      <w:pPr>
        <w:spacing w:after="0" w:line="360" w:lineRule="auto"/>
        <w:jc w:val="both"/>
        <w:rPr>
          <w:rFonts w:ascii="Book Antiqua" w:hAnsi="Book Antiqua" w:cs="Arial"/>
          <w:sz w:val="24"/>
          <w:szCs w:val="24"/>
        </w:rPr>
      </w:pPr>
      <w:r w:rsidRPr="00E10230">
        <w:rPr>
          <w:rFonts w:ascii="Book Antiqua" w:hAnsi="Book Antiqua" w:cs="Arial"/>
          <w:b/>
          <w:i/>
          <w:sz w:val="24"/>
          <w:szCs w:val="24"/>
        </w:rPr>
        <w:t>CONCLUSION</w:t>
      </w:r>
    </w:p>
    <w:p w14:paraId="37739F94" w14:textId="5485A3CD" w:rsidR="00BF55B0" w:rsidRPr="00E10230" w:rsidRDefault="00C13F69"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T</w:t>
      </w:r>
      <w:r w:rsidR="003A458D" w:rsidRPr="00E10230">
        <w:rPr>
          <w:rFonts w:ascii="Book Antiqua" w:hAnsi="Book Antiqua" w:cs="Arial"/>
          <w:sz w:val="24"/>
          <w:szCs w:val="24"/>
        </w:rPr>
        <w:t>he</w:t>
      </w:r>
      <w:r w:rsidR="0045564B" w:rsidRPr="00E10230">
        <w:rPr>
          <w:rFonts w:ascii="Book Antiqua" w:hAnsi="Book Antiqua" w:cs="Arial"/>
          <w:sz w:val="24"/>
          <w:szCs w:val="24"/>
        </w:rPr>
        <w:t xml:space="preserve"> number of </w:t>
      </w:r>
      <w:r w:rsidR="003A458D" w:rsidRPr="00E10230">
        <w:rPr>
          <w:rFonts w:ascii="Book Antiqua" w:hAnsi="Book Antiqua" w:cs="Arial"/>
          <w:sz w:val="24"/>
          <w:szCs w:val="24"/>
        </w:rPr>
        <w:t>hospitalizations</w:t>
      </w:r>
      <w:r w:rsidR="0045564B" w:rsidRPr="00E10230">
        <w:rPr>
          <w:rFonts w:ascii="Book Antiqua" w:hAnsi="Book Antiqua" w:cs="Arial"/>
          <w:sz w:val="24"/>
          <w:szCs w:val="24"/>
        </w:rPr>
        <w:t xml:space="preserve"> </w:t>
      </w:r>
      <w:r w:rsidR="00C20F84" w:rsidRPr="00E10230">
        <w:rPr>
          <w:rFonts w:ascii="Book Antiqua" w:hAnsi="Book Antiqua" w:cs="Arial"/>
          <w:sz w:val="24"/>
          <w:szCs w:val="24"/>
        </w:rPr>
        <w:t>and cost</w:t>
      </w:r>
      <w:r w:rsidR="007C0134" w:rsidRPr="00E10230">
        <w:rPr>
          <w:rFonts w:ascii="Book Antiqua" w:hAnsi="Book Antiqua" w:cs="Arial"/>
          <w:sz w:val="24"/>
          <w:szCs w:val="24"/>
        </w:rPr>
        <w:t>s</w:t>
      </w:r>
      <w:r w:rsidR="00C20F84" w:rsidRPr="00E10230">
        <w:rPr>
          <w:rFonts w:ascii="Book Antiqua" w:hAnsi="Book Antiqua" w:cs="Arial"/>
          <w:sz w:val="24"/>
          <w:szCs w:val="24"/>
        </w:rPr>
        <w:t xml:space="preserve"> </w:t>
      </w:r>
      <w:r w:rsidR="0045564B" w:rsidRPr="00E10230">
        <w:rPr>
          <w:rFonts w:ascii="Book Antiqua" w:hAnsi="Book Antiqua" w:cs="Arial"/>
          <w:sz w:val="24"/>
          <w:szCs w:val="24"/>
        </w:rPr>
        <w:t>for</w:t>
      </w:r>
      <w:r w:rsidR="003A458D" w:rsidRPr="00E10230">
        <w:rPr>
          <w:rFonts w:ascii="Book Antiqua" w:hAnsi="Book Antiqua" w:cs="Arial"/>
          <w:sz w:val="24"/>
          <w:szCs w:val="24"/>
        </w:rPr>
        <w:t xml:space="preserve"> </w:t>
      </w:r>
      <w:r w:rsidR="00C20F84" w:rsidRPr="00E10230">
        <w:rPr>
          <w:rFonts w:ascii="Book Antiqua" w:hAnsi="Book Antiqua" w:cs="Arial"/>
          <w:sz w:val="24"/>
          <w:szCs w:val="24"/>
        </w:rPr>
        <w:t xml:space="preserve">some of the </w:t>
      </w:r>
      <w:r w:rsidR="003A458D" w:rsidRPr="00E10230">
        <w:rPr>
          <w:rFonts w:ascii="Book Antiqua" w:hAnsi="Book Antiqua" w:cs="Arial"/>
          <w:sz w:val="24"/>
          <w:szCs w:val="24"/>
        </w:rPr>
        <w:t xml:space="preserve">cirrhosis-associated </w:t>
      </w:r>
      <w:r w:rsidR="00891D84" w:rsidRPr="00E10230">
        <w:rPr>
          <w:rFonts w:ascii="Book Antiqua" w:hAnsi="Book Antiqua" w:cs="Arial"/>
          <w:sz w:val="24"/>
          <w:szCs w:val="24"/>
        </w:rPr>
        <w:t xml:space="preserve">conditions </w:t>
      </w:r>
      <w:r w:rsidR="003A458D" w:rsidRPr="00E10230">
        <w:rPr>
          <w:rFonts w:ascii="Book Antiqua" w:hAnsi="Book Antiqua" w:cs="Arial"/>
          <w:sz w:val="24"/>
          <w:szCs w:val="24"/>
        </w:rPr>
        <w:t>increased. However,</w:t>
      </w:r>
      <w:r w:rsidR="0045564B" w:rsidRPr="00E10230">
        <w:rPr>
          <w:rFonts w:ascii="Book Antiqua" w:hAnsi="Book Antiqua" w:cs="Arial"/>
          <w:sz w:val="24"/>
          <w:szCs w:val="24"/>
        </w:rPr>
        <w:t xml:space="preserve"> t</w:t>
      </w:r>
      <w:r w:rsidR="00BD3795" w:rsidRPr="00E10230">
        <w:rPr>
          <w:rFonts w:ascii="Book Antiqua" w:hAnsi="Book Antiqua" w:cs="Arial"/>
          <w:sz w:val="24"/>
          <w:szCs w:val="24"/>
        </w:rPr>
        <w:t>he</w:t>
      </w:r>
      <w:r w:rsidR="003A458D" w:rsidRPr="00E10230">
        <w:rPr>
          <w:rFonts w:ascii="Book Antiqua" w:hAnsi="Book Antiqua" w:cs="Arial"/>
          <w:sz w:val="24"/>
          <w:szCs w:val="24"/>
        </w:rPr>
        <w:t xml:space="preserve"> inpatient</w:t>
      </w:r>
      <w:r w:rsidR="00BD3795" w:rsidRPr="00E10230">
        <w:rPr>
          <w:rFonts w:ascii="Book Antiqua" w:hAnsi="Book Antiqua" w:cs="Arial"/>
          <w:sz w:val="24"/>
          <w:szCs w:val="24"/>
        </w:rPr>
        <w:t xml:space="preserve"> mortality rates for </w:t>
      </w:r>
      <w:r w:rsidR="00C20F84" w:rsidRPr="00E10230">
        <w:rPr>
          <w:rFonts w:ascii="Book Antiqua" w:hAnsi="Book Antiqua" w:cs="Arial"/>
          <w:sz w:val="24"/>
          <w:szCs w:val="24"/>
        </w:rPr>
        <w:t xml:space="preserve">most of </w:t>
      </w:r>
      <w:r w:rsidR="0045564B" w:rsidRPr="00E10230">
        <w:rPr>
          <w:rFonts w:ascii="Book Antiqua" w:hAnsi="Book Antiqua" w:cs="Arial"/>
          <w:sz w:val="24"/>
          <w:szCs w:val="24"/>
        </w:rPr>
        <w:t xml:space="preserve">these conditions </w:t>
      </w:r>
      <w:r w:rsidR="00BD3795" w:rsidRPr="00E10230">
        <w:rPr>
          <w:rFonts w:ascii="Book Antiqua" w:hAnsi="Book Antiqua" w:cs="Arial"/>
          <w:sz w:val="24"/>
          <w:szCs w:val="24"/>
        </w:rPr>
        <w:t>decreased.</w:t>
      </w:r>
      <w:bookmarkStart w:id="5" w:name="_Hlk501283949"/>
      <w:bookmarkEnd w:id="4"/>
    </w:p>
    <w:p w14:paraId="25E9DFDE" w14:textId="77777777" w:rsidR="00BF55B0" w:rsidRPr="00E10230" w:rsidRDefault="00BF55B0" w:rsidP="00E10230">
      <w:pPr>
        <w:spacing w:after="0" w:line="360" w:lineRule="auto"/>
        <w:jc w:val="both"/>
        <w:rPr>
          <w:rFonts w:ascii="Book Antiqua" w:eastAsiaTheme="minorEastAsia" w:hAnsi="Book Antiqua" w:cs="Arial"/>
          <w:sz w:val="24"/>
          <w:szCs w:val="24"/>
          <w:lang w:eastAsia="zh-CN"/>
        </w:rPr>
      </w:pPr>
    </w:p>
    <w:p w14:paraId="0A6A4073" w14:textId="7A14410E" w:rsidR="006C4A72" w:rsidRPr="00E10230" w:rsidRDefault="00222F37" w:rsidP="00E10230">
      <w:pPr>
        <w:spacing w:after="0" w:line="360" w:lineRule="auto"/>
        <w:jc w:val="both"/>
        <w:rPr>
          <w:rFonts w:ascii="Book Antiqua" w:hAnsi="Book Antiqua" w:cs="Arial"/>
          <w:sz w:val="24"/>
          <w:szCs w:val="24"/>
        </w:rPr>
      </w:pPr>
      <w:r w:rsidRPr="009F19CA">
        <w:rPr>
          <w:rFonts w:ascii="Book Antiqua" w:hAnsi="Book Antiqua"/>
          <w:b/>
          <w:color w:val="000000"/>
          <w:sz w:val="24"/>
          <w:szCs w:val="24"/>
        </w:rPr>
        <w:t>Key</w:t>
      </w:r>
      <w:r w:rsidRPr="009F19CA">
        <w:rPr>
          <w:rFonts w:ascii="Book Antiqua" w:hAnsi="Book Antiqua"/>
          <w:b/>
          <w:color w:val="000000"/>
          <w:sz w:val="24"/>
          <w:szCs w:val="24"/>
          <w:lang w:eastAsia="zh-CN"/>
        </w:rPr>
        <w:t xml:space="preserve"> </w:t>
      </w:r>
      <w:r w:rsidRPr="009F19CA">
        <w:rPr>
          <w:rFonts w:ascii="Book Antiqua" w:hAnsi="Book Antiqua"/>
          <w:b/>
          <w:color w:val="000000"/>
          <w:sz w:val="24"/>
          <w:szCs w:val="24"/>
        </w:rPr>
        <w:t>words:</w:t>
      </w:r>
      <w:r w:rsidR="006C4A72" w:rsidRPr="00E10230">
        <w:rPr>
          <w:rFonts w:ascii="Book Antiqua" w:hAnsi="Book Antiqua" w:cs="Arial"/>
          <w:sz w:val="24"/>
          <w:szCs w:val="24"/>
        </w:rPr>
        <w:t xml:space="preserve"> </w:t>
      </w:r>
      <w:r w:rsidR="00C73A94" w:rsidRPr="00E10230">
        <w:rPr>
          <w:rFonts w:ascii="Book Antiqua" w:hAnsi="Book Antiqua" w:cs="Arial"/>
          <w:sz w:val="24"/>
          <w:szCs w:val="24"/>
        </w:rPr>
        <w:t>Cirrhosis; H</w:t>
      </w:r>
      <w:r w:rsidR="006C4A72" w:rsidRPr="00E10230">
        <w:rPr>
          <w:rFonts w:ascii="Book Antiqua" w:hAnsi="Book Antiqua" w:cs="Arial"/>
          <w:sz w:val="24"/>
          <w:szCs w:val="24"/>
        </w:rPr>
        <w:t>epatic encephalopathy</w:t>
      </w:r>
      <w:r w:rsidR="00C73A94" w:rsidRPr="00E10230">
        <w:rPr>
          <w:rFonts w:ascii="Book Antiqua" w:hAnsi="Book Antiqua" w:cs="Arial"/>
          <w:sz w:val="24"/>
          <w:szCs w:val="24"/>
        </w:rPr>
        <w:t>;</w:t>
      </w:r>
      <w:r w:rsidR="006C4A72" w:rsidRPr="00E10230">
        <w:rPr>
          <w:rFonts w:ascii="Book Antiqua" w:hAnsi="Book Antiqua" w:cs="Arial"/>
          <w:sz w:val="24"/>
          <w:szCs w:val="24"/>
        </w:rPr>
        <w:t xml:space="preserve"> </w:t>
      </w:r>
      <w:r w:rsidR="00C73A94" w:rsidRPr="00E10230">
        <w:rPr>
          <w:rFonts w:ascii="Book Antiqua" w:hAnsi="Book Antiqua" w:cs="Arial"/>
          <w:sz w:val="24"/>
          <w:szCs w:val="24"/>
        </w:rPr>
        <w:t>S</w:t>
      </w:r>
      <w:r w:rsidR="006C4A72" w:rsidRPr="00E10230">
        <w:rPr>
          <w:rFonts w:ascii="Book Antiqua" w:hAnsi="Book Antiqua" w:cs="Arial"/>
          <w:sz w:val="24"/>
          <w:szCs w:val="24"/>
        </w:rPr>
        <w:t>pontaneous bacterial peritonitis</w:t>
      </w:r>
      <w:r w:rsidR="00C73A94" w:rsidRPr="00E10230">
        <w:rPr>
          <w:rFonts w:ascii="Book Antiqua" w:hAnsi="Book Antiqua" w:cs="Arial"/>
          <w:sz w:val="24"/>
          <w:szCs w:val="24"/>
        </w:rPr>
        <w:t>;</w:t>
      </w:r>
      <w:r w:rsidR="006C4A72" w:rsidRPr="00E10230">
        <w:rPr>
          <w:rFonts w:ascii="Book Antiqua" w:hAnsi="Book Antiqua" w:cs="Arial"/>
          <w:sz w:val="24"/>
          <w:szCs w:val="24"/>
        </w:rPr>
        <w:t xml:space="preserve"> </w:t>
      </w:r>
      <w:r w:rsidR="00C73A94" w:rsidRPr="00E10230">
        <w:rPr>
          <w:rFonts w:ascii="Book Antiqua" w:hAnsi="Book Antiqua" w:cs="Arial"/>
          <w:sz w:val="24"/>
          <w:szCs w:val="24"/>
        </w:rPr>
        <w:t>E</w:t>
      </w:r>
      <w:r w:rsidR="006C4A72" w:rsidRPr="00E10230">
        <w:rPr>
          <w:rFonts w:ascii="Book Antiqua" w:hAnsi="Book Antiqua" w:cs="Arial"/>
          <w:sz w:val="24"/>
          <w:szCs w:val="24"/>
        </w:rPr>
        <w:t>sophageal varices</w:t>
      </w:r>
      <w:r w:rsidR="00C73A94" w:rsidRPr="00E10230">
        <w:rPr>
          <w:rFonts w:ascii="Book Antiqua" w:hAnsi="Book Antiqua" w:cs="Arial"/>
          <w:sz w:val="24"/>
          <w:szCs w:val="24"/>
        </w:rPr>
        <w:t xml:space="preserve">; </w:t>
      </w:r>
      <w:proofErr w:type="spellStart"/>
      <w:r w:rsidR="00C73A94" w:rsidRPr="00E10230">
        <w:rPr>
          <w:rFonts w:ascii="Book Antiqua" w:hAnsi="Book Antiqua" w:cs="Arial"/>
          <w:sz w:val="24"/>
          <w:szCs w:val="24"/>
        </w:rPr>
        <w:t>T</w:t>
      </w:r>
      <w:r w:rsidR="006C4A72" w:rsidRPr="00E10230">
        <w:rPr>
          <w:rFonts w:ascii="Book Antiqua" w:hAnsi="Book Antiqua" w:cs="Arial"/>
          <w:sz w:val="24"/>
          <w:szCs w:val="24"/>
        </w:rPr>
        <w:t>ransjugular</w:t>
      </w:r>
      <w:proofErr w:type="spellEnd"/>
      <w:r w:rsidR="006C4A72" w:rsidRPr="00E10230">
        <w:rPr>
          <w:rFonts w:ascii="Book Antiqua" w:hAnsi="Book Antiqua" w:cs="Arial"/>
          <w:sz w:val="24"/>
          <w:szCs w:val="24"/>
        </w:rPr>
        <w:t xml:space="preserve"> intrahepatic portosystemic shunt</w:t>
      </w:r>
    </w:p>
    <w:p w14:paraId="2C044DDF" w14:textId="1EF4AC4F" w:rsidR="0061554C" w:rsidRPr="00E10230" w:rsidRDefault="0061554C" w:rsidP="00E10230">
      <w:pPr>
        <w:spacing w:after="0" w:line="360" w:lineRule="auto"/>
        <w:jc w:val="both"/>
        <w:rPr>
          <w:rFonts w:ascii="Book Antiqua" w:hAnsi="Book Antiqua" w:cs="Arial"/>
          <w:sz w:val="24"/>
          <w:szCs w:val="24"/>
        </w:rPr>
      </w:pPr>
    </w:p>
    <w:p w14:paraId="239AF849" w14:textId="2AEFCE4D" w:rsidR="00222F37" w:rsidRPr="009F19CA" w:rsidRDefault="00222F37" w:rsidP="00222F37">
      <w:pPr>
        <w:widowControl w:val="0"/>
        <w:adjustRightInd w:val="0"/>
        <w:snapToGrid w:val="0"/>
        <w:spacing w:after="0" w:line="360" w:lineRule="auto"/>
        <w:jc w:val="both"/>
        <w:rPr>
          <w:rFonts w:ascii="Book Antiqua" w:hAnsi="Book Antiqua" w:cs="Tahoma"/>
          <w:color w:val="000000"/>
          <w:kern w:val="2"/>
          <w:sz w:val="24"/>
          <w:szCs w:val="24"/>
          <w:lang w:eastAsia="zh-CN"/>
        </w:rPr>
      </w:pPr>
      <w:bookmarkStart w:id="6" w:name="OLE_LINK148"/>
      <w:bookmarkStart w:id="7" w:name="OLE_LINK149"/>
      <w:bookmarkStart w:id="8" w:name="OLE_LINK200"/>
      <w:bookmarkStart w:id="9" w:name="OLE_LINK288"/>
      <w:bookmarkStart w:id="10" w:name="OLE_LINK1864"/>
      <w:bookmarkStart w:id="11" w:name="OLE_LINK16"/>
      <w:bookmarkStart w:id="12" w:name="OLE_LINK382"/>
      <w:bookmarkStart w:id="13" w:name="OLE_LINK306"/>
      <w:bookmarkStart w:id="14" w:name="OLE_LINK569"/>
      <w:bookmarkStart w:id="15" w:name="OLE_LINK682"/>
      <w:r w:rsidRPr="009F19CA">
        <w:rPr>
          <w:rFonts w:ascii="Book Antiqua" w:hAnsi="Book Antiqua" w:cs="Tahoma"/>
          <w:b/>
          <w:color w:val="000000"/>
          <w:kern w:val="2"/>
          <w:sz w:val="24"/>
          <w:szCs w:val="24"/>
        </w:rPr>
        <w:t>© The Author(s) 201</w:t>
      </w:r>
      <w:r>
        <w:rPr>
          <w:rFonts w:ascii="Book Antiqua" w:eastAsiaTheme="minorEastAsia" w:hAnsi="Book Antiqua" w:cs="Tahoma" w:hint="eastAsia"/>
          <w:b/>
          <w:color w:val="000000"/>
          <w:kern w:val="2"/>
          <w:sz w:val="24"/>
          <w:szCs w:val="24"/>
          <w:lang w:eastAsia="zh-CN"/>
        </w:rPr>
        <w:t>9</w:t>
      </w:r>
      <w:r w:rsidRPr="009F19CA">
        <w:rPr>
          <w:rFonts w:ascii="Book Antiqua" w:hAnsi="Book Antiqua" w:cs="Tahoma"/>
          <w:b/>
          <w:color w:val="000000"/>
          <w:kern w:val="2"/>
          <w:sz w:val="24"/>
          <w:szCs w:val="24"/>
        </w:rPr>
        <w:t>.</w:t>
      </w:r>
      <w:r w:rsidRPr="009F19CA">
        <w:rPr>
          <w:rFonts w:ascii="Book Antiqua" w:hAnsi="Book Antiqua" w:cs="Tahoma"/>
          <w:color w:val="000000"/>
          <w:kern w:val="2"/>
          <w:sz w:val="24"/>
          <w:szCs w:val="24"/>
        </w:rPr>
        <w:t xml:space="preserve"> Published by </w:t>
      </w:r>
      <w:proofErr w:type="spellStart"/>
      <w:r w:rsidRPr="009F19CA">
        <w:rPr>
          <w:rFonts w:ascii="Book Antiqua" w:hAnsi="Book Antiqua" w:cs="Tahoma"/>
          <w:color w:val="000000"/>
          <w:kern w:val="2"/>
          <w:sz w:val="24"/>
          <w:szCs w:val="24"/>
        </w:rPr>
        <w:t>Baishideng</w:t>
      </w:r>
      <w:proofErr w:type="spellEnd"/>
      <w:r w:rsidRPr="009F19CA">
        <w:rPr>
          <w:rFonts w:ascii="Book Antiqua" w:hAnsi="Book Antiqua" w:cs="Tahoma"/>
          <w:color w:val="000000"/>
          <w:kern w:val="2"/>
          <w:sz w:val="24"/>
          <w:szCs w:val="24"/>
        </w:rPr>
        <w:t xml:space="preserve"> Publishing Group Inc. All rights reserved.</w:t>
      </w:r>
      <w:bookmarkEnd w:id="6"/>
      <w:bookmarkEnd w:id="7"/>
      <w:bookmarkEnd w:id="8"/>
      <w:bookmarkEnd w:id="9"/>
      <w:bookmarkEnd w:id="10"/>
      <w:bookmarkEnd w:id="11"/>
      <w:bookmarkEnd w:id="12"/>
      <w:bookmarkEnd w:id="13"/>
      <w:bookmarkEnd w:id="14"/>
      <w:bookmarkEnd w:id="15"/>
    </w:p>
    <w:p w14:paraId="0B33DDCB" w14:textId="77777777" w:rsidR="00222F37" w:rsidRPr="009F19CA" w:rsidRDefault="00222F37" w:rsidP="00222F37">
      <w:pPr>
        <w:widowControl w:val="0"/>
        <w:adjustRightInd w:val="0"/>
        <w:snapToGrid w:val="0"/>
        <w:spacing w:after="0" w:line="360" w:lineRule="auto"/>
        <w:jc w:val="both"/>
        <w:rPr>
          <w:rFonts w:ascii="Book Antiqua" w:hAnsi="Book Antiqua"/>
          <w:b/>
          <w:color w:val="000000"/>
          <w:kern w:val="2"/>
          <w:sz w:val="24"/>
          <w:szCs w:val="24"/>
          <w:lang w:eastAsia="zh-CN"/>
        </w:rPr>
      </w:pPr>
    </w:p>
    <w:p w14:paraId="42C0FD72" w14:textId="578BF7C7" w:rsidR="006C4A72" w:rsidRPr="00E10230" w:rsidRDefault="00222F37" w:rsidP="00222F37">
      <w:pPr>
        <w:spacing w:after="0" w:line="360" w:lineRule="auto"/>
        <w:jc w:val="both"/>
        <w:rPr>
          <w:rFonts w:ascii="Book Antiqua" w:hAnsi="Book Antiqua" w:cs="Arial"/>
          <w:sz w:val="24"/>
          <w:szCs w:val="24"/>
        </w:rPr>
      </w:pPr>
      <w:r w:rsidRPr="009F19CA">
        <w:rPr>
          <w:rFonts w:ascii="Book Antiqua" w:hAnsi="Book Antiqua"/>
          <w:b/>
          <w:color w:val="000000"/>
          <w:sz w:val="24"/>
          <w:szCs w:val="24"/>
        </w:rPr>
        <w:t>Core tip:</w:t>
      </w:r>
      <w:r>
        <w:rPr>
          <w:rFonts w:ascii="Book Antiqua" w:eastAsiaTheme="minorEastAsia" w:hAnsi="Book Antiqua" w:hint="eastAsia"/>
          <w:b/>
          <w:color w:val="000000"/>
          <w:sz w:val="24"/>
          <w:szCs w:val="24"/>
          <w:lang w:eastAsia="zh-CN"/>
        </w:rPr>
        <w:t xml:space="preserve"> </w:t>
      </w:r>
      <w:r w:rsidR="002D575F" w:rsidRPr="00E10230">
        <w:rPr>
          <w:rFonts w:ascii="Book Antiqua" w:hAnsi="Book Antiqua" w:cs="Arial"/>
          <w:sz w:val="24"/>
          <w:szCs w:val="24"/>
        </w:rPr>
        <w:t>Understanding r</w:t>
      </w:r>
      <w:r w:rsidR="008F0651" w:rsidRPr="00E10230">
        <w:rPr>
          <w:rFonts w:ascii="Book Antiqua" w:hAnsi="Book Antiqua" w:cs="Arial"/>
          <w:sz w:val="24"/>
          <w:szCs w:val="24"/>
        </w:rPr>
        <w:t xml:space="preserve">ecent </w:t>
      </w:r>
      <w:r w:rsidR="002D575F" w:rsidRPr="00E10230">
        <w:rPr>
          <w:rFonts w:ascii="Book Antiqua" w:hAnsi="Book Antiqua" w:cs="Arial"/>
          <w:sz w:val="24"/>
          <w:szCs w:val="24"/>
        </w:rPr>
        <w:t xml:space="preserve">temporal trends of cirrhosis-associated </w:t>
      </w:r>
      <w:r w:rsidR="00891D84" w:rsidRPr="00E10230">
        <w:rPr>
          <w:rFonts w:ascii="Book Antiqua" w:hAnsi="Book Antiqua" w:cs="Arial"/>
          <w:sz w:val="24"/>
          <w:szCs w:val="24"/>
        </w:rPr>
        <w:t xml:space="preserve">conditions </w:t>
      </w:r>
      <w:r w:rsidR="002D575F" w:rsidRPr="00E10230">
        <w:rPr>
          <w:rFonts w:ascii="Book Antiqua" w:hAnsi="Book Antiqua" w:cs="Arial"/>
          <w:sz w:val="24"/>
          <w:szCs w:val="24"/>
        </w:rPr>
        <w:t xml:space="preserve">is an important aspect of developing strategies to reduce health care cost. Our study showed increasing trends of hospital discharges related to cirrhosis-associated </w:t>
      </w:r>
      <w:r w:rsidR="00891D84" w:rsidRPr="00E10230">
        <w:rPr>
          <w:rFonts w:ascii="Book Antiqua" w:hAnsi="Book Antiqua" w:cs="Arial"/>
          <w:sz w:val="24"/>
          <w:szCs w:val="24"/>
        </w:rPr>
        <w:t xml:space="preserve">conditions </w:t>
      </w:r>
      <w:r w:rsidR="002D575F" w:rsidRPr="00E10230">
        <w:rPr>
          <w:rFonts w:ascii="Book Antiqua" w:hAnsi="Book Antiqua" w:cs="Arial"/>
          <w:sz w:val="24"/>
          <w:szCs w:val="24"/>
        </w:rPr>
        <w:t>despite the decreasing trends for total hospital discharges across the nation. Importantly, hepatic coma associated with viral hepatitis showed rapid increase in discharge volume</w:t>
      </w:r>
      <w:r w:rsidR="00CB0CD2" w:rsidRPr="00E10230">
        <w:rPr>
          <w:rFonts w:ascii="Book Antiqua" w:hAnsi="Book Antiqua" w:cs="Arial"/>
          <w:sz w:val="24"/>
          <w:szCs w:val="24"/>
        </w:rPr>
        <w:t xml:space="preserve"> in comparison to hepatic coma not associated with viral hepatitis</w:t>
      </w:r>
      <w:r w:rsidR="002D575F" w:rsidRPr="00E10230">
        <w:rPr>
          <w:rFonts w:ascii="Book Antiqua" w:hAnsi="Book Antiqua" w:cs="Arial"/>
          <w:sz w:val="24"/>
          <w:szCs w:val="24"/>
        </w:rPr>
        <w:t>.</w:t>
      </w:r>
      <w:r w:rsidR="00CB0CD2" w:rsidRPr="00E10230">
        <w:rPr>
          <w:rFonts w:ascii="Book Antiqua" w:hAnsi="Book Antiqua" w:cs="Arial"/>
          <w:sz w:val="24"/>
          <w:szCs w:val="24"/>
        </w:rPr>
        <w:t xml:space="preserve"> After adjusting for inflation, cirrhosis associated </w:t>
      </w:r>
      <w:r w:rsidR="00891D84" w:rsidRPr="00E10230">
        <w:rPr>
          <w:rFonts w:ascii="Book Antiqua" w:hAnsi="Book Antiqua" w:cs="Arial"/>
          <w:sz w:val="24"/>
          <w:szCs w:val="24"/>
        </w:rPr>
        <w:t xml:space="preserve">conditions </w:t>
      </w:r>
      <w:r w:rsidR="00CB0CD2" w:rsidRPr="00E10230">
        <w:rPr>
          <w:rFonts w:ascii="Book Antiqua" w:hAnsi="Book Antiqua" w:cs="Arial"/>
          <w:sz w:val="24"/>
          <w:szCs w:val="24"/>
        </w:rPr>
        <w:t>showed disproportionately greater increase in aggregate cost compare to national trends. This suggests</w:t>
      </w:r>
      <w:r w:rsidR="002D575F" w:rsidRPr="00E10230">
        <w:rPr>
          <w:rFonts w:ascii="Book Antiqua" w:hAnsi="Book Antiqua" w:cs="Arial"/>
          <w:sz w:val="24"/>
          <w:szCs w:val="24"/>
        </w:rPr>
        <w:t xml:space="preserve"> </w:t>
      </w:r>
      <w:r w:rsidR="00CB0CD2" w:rsidRPr="00E10230">
        <w:rPr>
          <w:rFonts w:ascii="Book Antiqua" w:hAnsi="Book Antiqua" w:cs="Arial"/>
          <w:sz w:val="24"/>
          <w:szCs w:val="24"/>
        </w:rPr>
        <w:t>that prevention of hospitalizations secondary to cirrhosis-associated conditions likely reduces overall health care cost.</w:t>
      </w:r>
    </w:p>
    <w:p w14:paraId="00C7C6E0" w14:textId="77777777" w:rsidR="006C4A72" w:rsidRPr="00E10230" w:rsidRDefault="006C4A72" w:rsidP="00E10230">
      <w:pPr>
        <w:spacing w:after="0" w:line="360" w:lineRule="auto"/>
        <w:jc w:val="both"/>
        <w:rPr>
          <w:rFonts w:ascii="Book Antiqua" w:hAnsi="Book Antiqua" w:cs="Arial"/>
          <w:sz w:val="24"/>
          <w:szCs w:val="24"/>
        </w:rPr>
      </w:pPr>
    </w:p>
    <w:p w14:paraId="0B25254B" w14:textId="695032FC" w:rsidR="006C4A72" w:rsidRPr="00222F37" w:rsidRDefault="00222F37" w:rsidP="00E10230">
      <w:pPr>
        <w:spacing w:after="0" w:line="360" w:lineRule="auto"/>
        <w:jc w:val="both"/>
        <w:rPr>
          <w:rFonts w:ascii="Book Antiqua" w:eastAsia="SimSun" w:hAnsi="Book Antiqua"/>
          <w:sz w:val="24"/>
          <w:szCs w:val="24"/>
          <w:lang w:eastAsia="zh-CN"/>
        </w:rPr>
      </w:pPr>
      <w:proofErr w:type="spellStart"/>
      <w:r w:rsidRPr="00222F37">
        <w:rPr>
          <w:rFonts w:ascii="Book Antiqua" w:hAnsi="Book Antiqua" w:cs="Arial"/>
          <w:sz w:val="24"/>
          <w:szCs w:val="24"/>
        </w:rPr>
        <w:t>Sempokuya</w:t>
      </w:r>
      <w:proofErr w:type="spellEnd"/>
      <w:r>
        <w:rPr>
          <w:rFonts w:ascii="Book Antiqua" w:eastAsiaTheme="minorEastAsia" w:hAnsi="Book Antiqua" w:cs="Arial" w:hint="eastAsia"/>
          <w:sz w:val="24"/>
          <w:szCs w:val="24"/>
          <w:lang w:eastAsia="zh-CN"/>
        </w:rPr>
        <w:t xml:space="preserve"> T</w:t>
      </w:r>
      <w:r w:rsidRPr="00222F37">
        <w:rPr>
          <w:rFonts w:ascii="Book Antiqua" w:hAnsi="Book Antiqua" w:cs="Arial"/>
          <w:sz w:val="24"/>
          <w:szCs w:val="24"/>
        </w:rPr>
        <w:t>, Zhang</w:t>
      </w:r>
      <w:r>
        <w:rPr>
          <w:rFonts w:ascii="Book Antiqua" w:eastAsiaTheme="minorEastAsia" w:hAnsi="Book Antiqua" w:cs="Arial" w:hint="eastAsia"/>
          <w:sz w:val="24"/>
          <w:szCs w:val="24"/>
          <w:lang w:eastAsia="zh-CN"/>
        </w:rPr>
        <w:t xml:space="preserve"> G</w:t>
      </w:r>
      <w:r w:rsidRPr="00222F37">
        <w:rPr>
          <w:rFonts w:ascii="Book Antiqua" w:hAnsi="Book Antiqua" w:cs="Arial"/>
          <w:sz w:val="24"/>
          <w:szCs w:val="24"/>
        </w:rPr>
        <w:t>, Nakagawa</w:t>
      </w:r>
      <w:r>
        <w:rPr>
          <w:rFonts w:ascii="Book Antiqua" w:eastAsiaTheme="minorEastAsia" w:hAnsi="Book Antiqua" w:cs="Arial" w:hint="eastAsia"/>
          <w:sz w:val="24"/>
          <w:szCs w:val="24"/>
          <w:lang w:eastAsia="zh-CN"/>
        </w:rPr>
        <w:t xml:space="preserve"> K. </w:t>
      </w:r>
      <w:r w:rsidRPr="00222F37">
        <w:rPr>
          <w:rFonts w:ascii="Book Antiqua" w:hAnsi="Book Antiqua" w:cs="Arial"/>
          <w:sz w:val="24"/>
          <w:szCs w:val="24"/>
        </w:rPr>
        <w:t>Temporal trends of cirrhosis associated conditions</w:t>
      </w:r>
      <w:r w:rsidRPr="00222F37">
        <w:rPr>
          <w:rFonts w:ascii="Book Antiqua" w:eastAsiaTheme="minorEastAsia" w:hAnsi="Book Antiqua" w:cs="Arial" w:hint="eastAsia"/>
          <w:sz w:val="24"/>
          <w:szCs w:val="24"/>
          <w:lang w:eastAsia="zh-CN"/>
        </w:rPr>
        <w:t xml:space="preserve">. </w:t>
      </w:r>
      <w:r w:rsidRPr="00FD22BB">
        <w:rPr>
          <w:rFonts w:ascii="Book Antiqua" w:hAnsi="Book Antiqua"/>
          <w:i/>
          <w:sz w:val="24"/>
          <w:szCs w:val="24"/>
          <w:lang w:eastAsia="zh-CN"/>
        </w:rPr>
        <w:t xml:space="preserve">World J </w:t>
      </w:r>
      <w:proofErr w:type="spellStart"/>
      <w:r w:rsidRPr="00FD22BB">
        <w:rPr>
          <w:rFonts w:ascii="Book Antiqua" w:hAnsi="Book Antiqua"/>
          <w:i/>
          <w:sz w:val="24"/>
          <w:szCs w:val="24"/>
          <w:lang w:eastAsia="zh-CN"/>
        </w:rPr>
        <w:t>Hepatol</w:t>
      </w:r>
      <w:proofErr w:type="spellEnd"/>
      <w:r w:rsidRPr="00FD22BB">
        <w:rPr>
          <w:rFonts w:ascii="Book Antiqua" w:hAnsi="Book Antiqua"/>
          <w:sz w:val="24"/>
          <w:szCs w:val="24"/>
          <w:lang w:eastAsia="zh-CN"/>
        </w:rPr>
        <w:t xml:space="preserve"> </w:t>
      </w:r>
      <w:r w:rsidRPr="00FD22BB">
        <w:rPr>
          <w:rFonts w:ascii="Book Antiqua" w:hAnsi="Book Antiqua" w:cs="Book Antiqua"/>
          <w:sz w:val="24"/>
          <w:szCs w:val="24"/>
        </w:rPr>
        <w:t>201</w:t>
      </w:r>
      <w:r w:rsidRPr="00FD22BB">
        <w:rPr>
          <w:rFonts w:ascii="Book Antiqua" w:eastAsia="SimSun" w:hAnsi="Book Antiqua" w:cs="Book Antiqua"/>
          <w:sz w:val="24"/>
          <w:szCs w:val="24"/>
          <w:lang w:eastAsia="zh-CN"/>
        </w:rPr>
        <w:t>9</w:t>
      </w:r>
      <w:r w:rsidRPr="00FD22BB">
        <w:rPr>
          <w:rFonts w:ascii="Book Antiqua" w:hAnsi="Book Antiqua" w:cs="Book Antiqua"/>
          <w:sz w:val="24"/>
          <w:szCs w:val="24"/>
        </w:rPr>
        <w:t>; In press</w:t>
      </w:r>
    </w:p>
    <w:p w14:paraId="2B145E47" w14:textId="77777777" w:rsidR="00704241" w:rsidRPr="00E10230" w:rsidRDefault="006C4A72" w:rsidP="00E10230">
      <w:pPr>
        <w:spacing w:after="0" w:line="360" w:lineRule="auto"/>
        <w:jc w:val="both"/>
        <w:rPr>
          <w:rFonts w:ascii="Book Antiqua" w:hAnsi="Book Antiqua" w:cs="Arial"/>
          <w:b/>
          <w:sz w:val="24"/>
          <w:szCs w:val="24"/>
        </w:rPr>
      </w:pPr>
      <w:r w:rsidRPr="00E10230">
        <w:rPr>
          <w:rFonts w:ascii="Book Antiqua" w:hAnsi="Book Antiqua" w:cs="Arial"/>
          <w:b/>
          <w:sz w:val="24"/>
          <w:szCs w:val="24"/>
        </w:rPr>
        <w:br w:type="page"/>
      </w:r>
      <w:r w:rsidR="00704241" w:rsidRPr="00E10230">
        <w:rPr>
          <w:rFonts w:ascii="Book Antiqua" w:hAnsi="Book Antiqua" w:cs="Arial"/>
          <w:b/>
          <w:sz w:val="24"/>
          <w:szCs w:val="24"/>
        </w:rPr>
        <w:lastRenderedPageBreak/>
        <w:t>I</w:t>
      </w:r>
      <w:r w:rsidR="00C36AD0" w:rsidRPr="00E10230">
        <w:rPr>
          <w:rFonts w:ascii="Book Antiqua" w:hAnsi="Book Antiqua" w:cs="Arial"/>
          <w:b/>
          <w:sz w:val="24"/>
          <w:szCs w:val="24"/>
        </w:rPr>
        <w:t>NTRODUCTION</w:t>
      </w:r>
    </w:p>
    <w:p w14:paraId="47719954" w14:textId="77777777" w:rsidR="008B3452" w:rsidRPr="00E10230" w:rsidRDefault="00FC402C"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Background</w:t>
      </w:r>
    </w:p>
    <w:p w14:paraId="6C14114E" w14:textId="5DD0F9EF" w:rsidR="00704241" w:rsidRPr="00E10230" w:rsidRDefault="00704241" w:rsidP="00E10230">
      <w:pPr>
        <w:spacing w:after="0" w:line="360" w:lineRule="auto"/>
        <w:jc w:val="both"/>
        <w:rPr>
          <w:rFonts w:ascii="Book Antiqua" w:hAnsi="Book Antiqua" w:cs="Arial"/>
          <w:sz w:val="24"/>
          <w:szCs w:val="24"/>
        </w:rPr>
      </w:pPr>
      <w:r w:rsidRPr="00E10230">
        <w:rPr>
          <w:rFonts w:ascii="Book Antiqua" w:hAnsi="Book Antiqua" w:cs="Arial"/>
          <w:sz w:val="24"/>
          <w:szCs w:val="24"/>
        </w:rPr>
        <w:t>Chronic liver disease and cirrhosis is the 12</w:t>
      </w:r>
      <w:r w:rsidRPr="00E10230">
        <w:rPr>
          <w:rFonts w:ascii="Book Antiqua" w:hAnsi="Book Antiqua" w:cs="Arial"/>
          <w:sz w:val="24"/>
          <w:szCs w:val="24"/>
          <w:vertAlign w:val="superscript"/>
        </w:rPr>
        <w:t>th</w:t>
      </w:r>
      <w:r w:rsidRPr="00E10230">
        <w:rPr>
          <w:rFonts w:ascii="Book Antiqua" w:hAnsi="Book Antiqua" w:cs="Arial"/>
          <w:sz w:val="24"/>
          <w:szCs w:val="24"/>
        </w:rPr>
        <w:t xml:space="preserve"> leading cause of death in the </w:t>
      </w:r>
      <w:r w:rsidR="004C7441" w:rsidRPr="00E10230">
        <w:rPr>
          <w:rFonts w:ascii="Book Antiqua" w:eastAsiaTheme="minorEastAsia" w:hAnsi="Book Antiqua" w:cs="Arial"/>
          <w:sz w:val="24"/>
          <w:szCs w:val="24"/>
          <w:lang w:eastAsia="zh-CN"/>
        </w:rPr>
        <w:t>United States</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{"citationItems":[{"id":"ITEM-1","itemData":{"DOI":"May 8, 2013","ISBN":"1551-8922 (Print)\\n1551-8922 (Linking)","ISSN":"1551-8922","PMID":"27378572","abstract":"Objectives-This report presents final 2014 data on U.S. deaths, death rates, life expectancy, infant mortality, and trends, by selected characteristics such as age, sex, Hispanic origin, race, state of residence, and cause of death.","author":[{"dropping-particle":"","family":"Kochanek","given":"Kenneth D","non-dropping-particle":"","parse-names":false,"suffix":""},{"dropping-particle":"","family":"Murphy","given":"Sherry L","non-dropping-particle":"","parse-names":false,"suffix":""},{"dropping-particle":"","family":"Xu","given":"Jiaquan","non-dropping-particle":"","parse-names":false,"suffix":""},{"dropping-particle":"","family":"Tejada-Vera","given":"Betzaida","non-dropping-particle":"","parse-names":false,"suffix":""}],"container-title":"National vital statistics reports : from the Centers for Disease Control and Prevention, National Center for Health Statistics, National Vital Statistics System","id":"ITEM-1","issue":"4","issued":{"date-parts":[["2016","6"]]},"page":"1-122","title":"Deaths: Final Data for 2014.","type":"article-journal","volume":"65"},"uris":["http://www.mendeley.com/documents/?uuid=d3a4f3c2-9afc-49f9-8468-cf9f1246d765"]}],"mendeley":{"formattedCitation":"&lt;sup&gt;[1]&lt;/sup&gt;","plainTextFormattedCitation":"[1]","previouslyFormattedCitation":"&lt;sup&gt;[1]&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[1]</w:t>
      </w:r>
      <w:r w:rsidR="004C7441" w:rsidRPr="00E10230">
        <w:rPr>
          <w:rFonts w:ascii="Book Antiqua" w:hAnsi="Book Antiqua" w:cs="Arial"/>
          <w:sz w:val="24"/>
          <w:szCs w:val="24"/>
        </w:rPr>
        <w:fldChar w:fldCharType="end"/>
      </w:r>
      <w:r w:rsidRPr="00E10230">
        <w:rPr>
          <w:rFonts w:ascii="Book Antiqua" w:hAnsi="Book Antiqua" w:cs="Arial"/>
          <w:sz w:val="24"/>
          <w:szCs w:val="24"/>
        </w:rPr>
        <w:t>. Cirrhosis is associated with multiple life-threatening complications such as intraabdominal infections, hepatic encephalopathy/coma</w:t>
      </w:r>
      <w:r w:rsidR="00BF55B0" w:rsidRPr="00E10230">
        <w:rPr>
          <w:rFonts w:ascii="Book Antiqua" w:eastAsiaTheme="minorEastAsia" w:hAnsi="Book Antiqua" w:cs="Arial"/>
          <w:sz w:val="24"/>
          <w:szCs w:val="24"/>
          <w:lang w:eastAsia="zh-CN"/>
        </w:rPr>
        <w:t xml:space="preserve"> (HC)</w:t>
      </w:r>
      <w:r w:rsidRPr="00E10230">
        <w:rPr>
          <w:rFonts w:ascii="Book Antiqua" w:hAnsi="Book Antiqua" w:cs="Arial"/>
          <w:sz w:val="24"/>
          <w:szCs w:val="24"/>
        </w:rPr>
        <w:t>, portal hypertension, esophageal varices and hepatocellular carcinoma. These complications are suggestive of decompensated-cirrhosis and are indicative of worse prognosis among patients with cirrhosis</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{"citationItems":[{"id":"ITEM-1","itemData":{"DOI":"10.1111/j.1478-3231.2012.02830.x","ISSN":"1478-3231","PMID":"22679906","abstract":"BACKGROUND/AIMS Patients with cirrhosis are classified in a compensated and a decompensated stage. Portal hypertension is responsible for most of the complications of cirrhosis that mark the transition from compensated to decompensated cirrhosis. The objectives of this study were (a) to analyse survival of the different stages and substages of cirrhosis and (b) to examine the prognostic value of the hepatic venous pressure gradient (HVPG) at each of the stages. METHODS A total of 729 patients with suspected cirrhosis underwent routine measurement of portal pressure and systemic haemodynamics between 11/1995 and 12/2004. The primary end-point of the study was death, collected until November 30th, 2006. Multivariable analysis was performed using two models to determine predictors of death at each stage. RESULTS A total of 443 patients were included in the study. The 1-year mortality was 5.4% in compensated and 20.2% in decompensated patients. Compensated patients in stage 1 (no varices) had a longer survival than stage 2 patients (varices present) (P = 0.015). In decompensated patients, survival was not different between stage 3 (ascites, with or without varices) and stage 4 (variceal haemorrhage, with or without ascites). Age and HVPG (cut-off 10 mmHg) were independent predictors of death in compensated patients, whereas MELD was in decompensated patients. CONCLUSION Survival rates and predictors of death are different between patients with compensated and decompensated cirrhosis. Unlike the Italian cohort staging system, ascites is a better stratifying clinical event than variceal haemorrhage in patients with decompensated cirrhosis. The presence of clinically significant portal hypertension has prognostic value in compensated cirrhosis.","author":[{"dropping-particle":"","family":"Zipprich","given":"Alexander","non-dropping-particle":"","parse-names":false,"suffix":""},{"dropping-particle":"","family":"Garcia-Tsao","given":"Guadalupe","non-dropping-particle":"","parse-names":false,"suffix":""},{"dropping-particle":"","family":"Rogowski","given":"Sebastian","non-dropping-particle":"","parse-names":false,"suffix":""},{"dropping-particle":"","family":"Fleig","given":"Wolfgang E","non-dropping-particle":"","parse-names":false,"suffix":""},{"dropping-particle":"","family":"Seufferlein","given":"Thomas","non-dropping-particle":"","parse-names":false,"suffix":""},{"dropping-particle":"","family":"Dollinger","given":"Matthias M","non-dropping-particle":"","parse-names":false,"suffix":""}],"container-title":"Liver international : official journal of the International Association for the Study of the Liver","id":"ITEM-1","issue":"9","issued":{"date-parts":[["2012","10"]]},"page":"1407-14","title":"Prognostic indicators of survival in patients with compensated and decompensated cirrhosis.","type":"article-journal","volume":"32"},"uris":["http://www.mendeley.com/documents/?uuid=fb402ff0-d8a4-4e1e-b55b-25067d46c655"]},{"id":"ITEM-2","itemData":{"DOI":"10.1111/jgh.13917","ISSN":"08159319","PMID":"28768371","abstract":"BACKGROUND &amp;AIM Minimal hepatic encephalopathy (MHE) predicts poor prognosis and could reflect an advanced liver disease. We aimed to assess whether MHE could be a surrogate marker of a further liver disease. METHODS Prospective multicenter study including 320 cirrhotic patients, followed for up to 5 years, which were classified at baseline in: compensated cirrhosis without (stage 1) and with varices (stage 2), one decompensating event (stage 3), any second decompensating event (stage 4). Cirrhosis progression was defined by a transition towards a different stage (competing events: liver transplant due to hepatocellular carcinoma and non-liver-related death). MHE was detected by critical flicker frequency and psychometric tests. RESULTS MHE was diagnosed in 18.2% (57/314) of patients. Cirrhosis progression occurred in 38.1% (122/320) of patients, while liver transplant was required in 10.9% (35/320) and 19.1% (61/320) died. In competing risk regression, MHE was associated with disease progression: model 1 [sHR 2.34 (95%CI 1.58-3.46); p=0.0001]; model 2 [sHR 2.18 (95%CI 1.43-3.33); p=0.0001]; model 3 [sHR 2.48 (95%CI 1.63-3.76); p=0.0001]. The annual incidence rate of progression was higher in MHE patients: stage 1 (19.4 vs. 5.6 cases per 100 person-years); stage 2 (26.8 vs. 15.6); stage 3 (45.7 vs. 16.5); stage 4 (40.7 vs. 12.8). MHE showed a higher cumulative incidence of disease progression from the first year in decompensated and the third year in compensated cirrhosis. CONCLUSION MHE was associated with cirrhosis progression and showed a higher cumulative and annual incidence rate of disease progression. MHE could be a surrogate marker of disease progression, irrespective of cirrhosis status, identifying patients at risk of suffering a more aggressive cirrhosis form.","author":[{"dropping-particle":"","family":"Ampuero","given":"Javier","non-dropping-particle":"","parse-names":false,"suffix":""},{"dropping-particle":"","family":"Montoliú","given":"Carmina","non-dropping-particle":"","parse-names":false,"suffix":""},{"dropping-particle":"","family":"Simón-Talero","given":"Macarena","non-dropping-particle":"","parse-names":false,"suffix":""},{"dropping-particle":"","family":"Aguilera","given":"Virginia","non-dropping-particle":"","parse-names":false,"suffix":""},{"dropping-particle":"","family":"Millán","given":"Raquel","non-dropping-particle":"","parse-names":false,"suffix":""},{"dropping-particle":"","family":"Márquez","given":"Celina","non-dropping-particle":"","parse-names":false,"suffix":""},{"dropping-particle":"","family":"Jover","given":"Rodrigo","non-dropping-particle":"","parse-names":false,"suffix":""},{"dropping-particle":"","family":"Rico","given":"María Carmen","non-dropping-particle":"","parse-names":false,"suffix":""},{"dropping-particle":"","family":"Sendra","given":"Carmen","non-dropping-particle":"","parse-names":false,"suffix":""},{"dropping-particle":"","family":"Serra","given":"Miguel Ángel","non-dropping-particle":"","parse-names":false,"suffix":""},{"dropping-particle":"","family":"Romero-Gómez","given":"Manuel","non-dropping-particle":"","parse-names":false,"suffix":""}],"container-title":"Journal of Gastroenterology and Hepatology","id":"ITEM-2","issued":{"date-parts":[["2017","8","2"]]},"title":"Minimal hepatic encephalopathy identifies patients at risk of faster cirrhosis progression","type":"article-journal"},"uris":["http://www.mendeley.com/documents/?uuid=34927d2a-d2e3-4abf-8a9c-6e530693e59d"]}],"mendeley":{"formattedCitation":"&lt;sup&gt;[2,3]&lt;/sup&gt;","plainTextFormattedCitation":"[2,3]","previouslyFormattedCitation":"&lt;sup&gt;[2,3]&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[2,3]</w:t>
      </w:r>
      <w:r w:rsidR="004C7441" w:rsidRPr="00E10230">
        <w:rPr>
          <w:rFonts w:ascii="Book Antiqua" w:hAnsi="Book Antiqua" w:cs="Arial"/>
          <w:sz w:val="24"/>
          <w:szCs w:val="24"/>
        </w:rPr>
        <w:fldChar w:fldCharType="end"/>
      </w:r>
      <w:r w:rsidRPr="00E10230">
        <w:rPr>
          <w:rFonts w:ascii="Book Antiqua" w:hAnsi="Book Antiqua" w:cs="Arial"/>
          <w:sz w:val="24"/>
          <w:szCs w:val="24"/>
        </w:rPr>
        <w:t xml:space="preserve">. In addition, patients with decompensated-cirrhosis, especially with </w:t>
      </w:r>
      <w:r w:rsidR="00BF55B0" w:rsidRPr="00E10230">
        <w:rPr>
          <w:rFonts w:ascii="Book Antiqua" w:eastAsiaTheme="minorEastAsia" w:hAnsi="Book Antiqua" w:cs="Arial"/>
          <w:sz w:val="24"/>
          <w:szCs w:val="24"/>
          <w:lang w:eastAsia="zh-CN"/>
        </w:rPr>
        <w:t>HC</w:t>
      </w:r>
      <w:r w:rsidRPr="00E10230">
        <w:rPr>
          <w:rFonts w:ascii="Book Antiqua" w:hAnsi="Book Antiqua" w:cs="Arial"/>
          <w:sz w:val="24"/>
          <w:szCs w:val="24"/>
        </w:rPr>
        <w:t>, have a higher rate of early readmission and contribute to higher healthcare cost</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{"citationItems":[{"id":"ITEM-1","itemData":{"DOI":"10.1038/ajg.2011.314","ISSN":"1572-0241","PMID":"21931378","abstract":"OBJECTIVES Early rehospitalizations have been well characterized in many disease states, but not among patients with cirrhosis. The aims of this study were to identify the frequency, costs, predictors, and preventable causes of hospital readmissions among patients with decompensated cirrhosis. METHODS Rates of readmission were calculated for 402 patients discharged after one of the following complications of cirrhosis: ascites, spontaneous bacterial peritonitis, renal failure, hepatic encephalopathy, or variceal hemorrhage. Costs of readmissions were calculated using the hospital accounting system. Predictors of time to first readmission were determined using Cox regression, and predictors of hospitalization rate/person-years were determined using negative binomial regression. The independent association between readmission rate and mortality was determined using Cox regression. Admissions within 30 days of discharge were assessed by two reviewers to determine if preventable. RESULTS Overall, 276 (69%) subjects had at least one nonelective readmission, with a median time to first readmission of 67 days. By 1 week after discharge, 14% of subjects had been readmitted, and 37% were readmitted within 1 month. The mean costs for readmissions within 1 week and between weeks 1 and 4 were $28,898 and $20,581, respectively. During a median follow-up of 203 days, the median number of readmissions was 2 (range 0-40), with an overall rate of 3 hospitalizations/person-years. Patients with more frequent readmissions had higher risk of subsequent mortality, despite adjustment for confounders including the Model for End-stage Liver Disease (MELD) score. Predictors of time to first readmission included MELD score, serum sodium, and number of medications on discharge; predictors of hospitalization rate included these variables as well as the number of cirrhosis complications and being on the transplant list at discharge. Among 165 readmissions within 30 days, 22% were possibly preventable. CONCLUSIONS Hospital readmissions among patients with decompensated cirrhosis are common, costly, moderately predictable, in some cases, possibly preventable, and independently associated with mortality. These findings support the development of disease management interventions to prevent rehospitalization.","author":[{"dropping-particle":"","family":"Volk","given":"Michael L","non-dropping-particle":"","parse-names":false,"suffix":""},{"dropping-particle":"","family":"Tocco","given":"Rachel S","non-dropping-particle":"","parse-names":false,"suffix":""},{"dropping-particle":"","family":"Bazick","given":"Jessica","non-dropping-particle":"","parse-names":false,"suffix":""},{"dropping-particle":"","family":"Rakoski","given":"Mina O","non-dropping-particle":"","parse-names":false,"suffix":""},{"dropping-particle":"","family":"Lok","given":"Anna S","non-dropping-particle":"","parse-names":false,"suffix":""}],"container-title":"The American journal of gastroenterology","id":"ITEM-1","issue":"2","issued":{"date-parts":[["2012","2"]]},"page":"247-52","title":"Hospital readmissions among patients with decompensated cirrhosis.","type":"article-journal","volume":"107"},"uris":["http://www.mendeley.com/documents/?uuid=3204692b-60b4-46ee-a207-5a5d6181e4ce"]},{"id":"ITEM-2","itemData":{"DOI":"10.1002/hep.28414","ISSN":"1527-3350","PMID":"26690389","abstract":"UNLABELLED In smaller single-center studies, patients with cirrhosis are at a high readmission risk, but a multicenter perspective study is lacking. We evaluated the determinants of 3-month readmissions among inpatients with cirrhosis using the prospective 14-center North American Consortium for the Study of End-Stage Liver Disease cohort. Patients with cirrhosis hospitalized for nonelective indications provided consent and were followed for 3 months postdischarge. The number of 3-month readmissions and their determinants on index admission and discharge were calculated. We used multivariable logistic regression for all readmissions and for hepatic encephalopathy (HE), renal/metabolic, and infection-related readmissions. A score was developed using admission/discharge variables for the total sample, which was validated on a random half of the total population. Of the 1353 patients enrolled, 1177 were eligible on discharge and 1013 had 3-month outcomes. Readmissions occurred in 53% (n = 535; 316 with one, 219 with two or more), with consistent rates across sites. The leading causes were liver-related (n = 333; HE, renal/metabolic, and infections). Patients with cirrhosis and with worse Model for End-Stage Liver Disease score or diabetes, those taking prophylactic antibiotics, and those with prior HE were more likely to be readmitted. The admission model included Model for End-Stage Liver Disease and diabetes (c-statistic = 0.64, after split-validation 0.65). The discharge model included Model for End-Stage Liver Disease, proton pump inhibitor use, and lower length of stay (c-statistic = 0.65, after split-validation 0.70). Thirty percent of readmissions could not be predicted. Patients with liver-related readmissions consistently had index-stay nosocomial infections as a predictor for HE, renal/metabolic, and infection-associated readmissions (odds ratio = 1.9-3.0). CONCLUSIONS Three-month readmissions occurred in about half of discharged patients with cirrhosis, which were associated with cirrhosis severity, diabetes, and nosocomial infections; close monitoring of patients with advanced cirrhosis and prevention of nosocomial infections could reduce this burden. (Hepatology 2016;64:200-208).","author":[{"dropping-particle":"","family":"Bajaj","given":"Jasmohan S","non-dropping-particle":"","parse-names":false,"suffix":""},{"dropping-particle":"","family":"Reddy","given":"K Rajender","non-dropping-particle":"","parse-names":false,"suffix":""},{"dropping-particle":"","family":"Tandon","given":"Puneeta","non-dropping-particle":"","parse-names":false,"suffix":""},{"dropping-particle":"","family":"Wong","given":"Florence","non-dropping-particle":"","parse-names":false,"suffix":""},{"dropping-particle":"","family":"Kamath","given":"Patrick S","non-dropping-particle":"","parse-names":false,"suffix":""},{"dropping-particle":"","family":"Garcia-Tsao","given":"Guadalupe","non-dropping-particle":"","parse-names":false,"suffix":""},{"dropping-particle":"","family":"Maliakkal","given":"Benedict","non-dropping-particle":"","parse-names":false,"suffix":""},{"dropping-particle":"","family":"Biggins","given":"Scott W","non-dropping-particle":"","parse-names":false,"suffix":""},{"dropping-particle":"","family":"Thuluvath","given":"Paul J","non-dropping-particle":"","parse-names":false,"suffix":""},{"dropping-particle":"","family":"Fallon","given":"Michael B","non-dropping-particle":"","parse-names":false,"suffix":""},{"dropping-particle":"","family":"Subramanian","given":"Ram M","non-dropping-particle":"","parse-names":false,"suffix":""},{"dropping-particle":"","family":"Vargas","given":"Hugo","non-dropping-particle":"","parse-names":false,"suffix":""},{"dropping-particle":"","family":"Thacker","given":"Leroy R","non-dropping-particle":"","parse-names":false,"suffix":""},{"dropping-particle":"","family":"O'Leary","given":"Jacqueline G","non-dropping-particle":"","parse-names":false,"suffix":""},{"dropping-particle":"","family":"North American Consortium for the Study of End-Stage Liver Disease","given":"","non-dropping-particle":"","parse-names":false,"suffix":""}],"container-title":"Hepatology (Baltimore, Md.)","id":"ITEM-2","issue":"1","issued":{"date-parts":[["2016","7"]]},"page":"200-8","title":"The 3-month readmission rate remains unacceptably high in a large North American cohort of patients with cirrhosis.","type":"article-journal","volume":"64"},"uris":["http://www.mendeley.com/documents/?uuid=eed7b615-ca3a-4f5e-b0cc-cb864dbd3232"]},{"id":"ITEM-3","itemData":{"DOI":"10.1016/j.cgh.2016.04.009","ISSN":"1542-7714","PMID":"27085758","abstract":"BACKGROUND &amp; AIMS There have been few population-based studies of the rates of and reasons for readmission to the hospital within 30 days among patients with cirrhosis. METHODS We identified all adult patients with cirrhosis who were admitted in 2011 to hospitals in California, Florida Massachusetts, Mississippi, New York, and Washington (119,722 unique index admissions with cirrhosis). We analyzed data from the State Inpatient Databases, which are longitudinal all-payer databases. Data were linked to the American Hospital Association's national survey for hospital characteristics. Outcomes included readmission to any hospital within 30 and 90 days, and the reasons for readmission. RESULTS The 30- and 90-day rates of readmission were 12.9% and 21.2% overall, with limited variation among states. Among patients with more than 3 complications of cirrhosis, 24.2% were readmitted within 30 days and 35.9% were readmitted within 90 days. The presence of hepatic encephalopathy was most strongly associated with readmission within 30 and 90 days (odds ratio, 1.77 for each). Almost 1 in every 4 readmissions was to a different hospital than the one from which the patient was discharged. Among patients with alcoholic liver disease and a history of a complications of cirrhosis, the 2 most common reasons for readmission were acute complications of cirrhosis (in 41.7%) and substance abuse (in 25.0%). Conversely, the most common reasons for readmission of patients with a history of complications of cirrhosis without alcoholic liver disease were acute complications (in 41.0%) and cancer complications (in 16.2%). CONCLUSIONS A high proportion of patients with cirrhosis are readmitted to the hospital (often to a different hospital) within 30 or 90 days; encephalopathy is most strongly associated with readmission. Reasons for readmission differ based on the cause of liver disease, and there are opportunities for quality improvement.","author":[{"dropping-particle":"","family":"Tapper","given":"Elliot B","non-dropping-particle":"","parse-names":false,"suffix":""},{"dropping-particle":"","family":"Halbert","given":"Brian","non-dropping-particle":"","parse-names":false,"suffix":""},{"dropping-particle":"","family":"Mellinger","given":"Jessica","non-dropping-particle":"","parse-names":false,"suffix":""}],"container-title":"Clinical gastroenterology and hepatology : the official clinical practice journal of the American Gastroenterological Association","id":"ITEM-3","issue":"8","issued":{"date-parts":[["2016","8"]]},"page":"1181-1188.e2","title":"Rates of and Reasons for Hospital Readmissions in Patients With Cirrhosis: A Multistate Population-based Cohort Study.","type":"article-journal","volume":"14"},"uris":["http://www.mendeley.com/documents/?uuid=0db4961f-aeaa-42bf-9898-bb5bebbb3e18"]}],"mendeley":{"formattedCitation":"&lt;sup&gt;[4–6]&lt;/sup&gt;","plainTextFormattedCitation":"[4–6]","previouslyFormattedCitation":"&lt;sup&gt;[4–6]&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[4–6]</w:t>
      </w:r>
      <w:r w:rsidR="004C7441" w:rsidRPr="00E10230">
        <w:rPr>
          <w:rFonts w:ascii="Book Antiqua" w:hAnsi="Book Antiqua" w:cs="Arial"/>
          <w:sz w:val="24"/>
          <w:szCs w:val="24"/>
        </w:rPr>
        <w:fldChar w:fldCharType="end"/>
      </w:r>
      <w:r w:rsidRPr="00E10230">
        <w:rPr>
          <w:rFonts w:ascii="Book Antiqua" w:hAnsi="Book Antiqua" w:cs="Arial"/>
          <w:sz w:val="24"/>
          <w:szCs w:val="24"/>
        </w:rPr>
        <w:t>. Other cirrhosis-associated complications such as portal hypertension, renal dysfunction and infections were also associated with higher inpatient mortality</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{"citationItems":[{"id":"ITEM-1","itemData":{"DOI":"10.1097/MD.0000000000007782","ISSN":"1536-5964","PMID":"28796076","abstract":"Hospitalizations for advanced liver disease are costly and associated with significant mortality. This population-based study aimed to evaluate factors associated with in-hospital mortality and resource use for the management of hospitalized patients with cirrhosis.Mortality records and resource utilization for 52,027 patients hospitalized with cirrhosis and/or complications of portal hypertension (ascites, hepatic encephalopathy, variceal bleeding, spontaneous bacterial peritonitis, or hepatorenal syndrome) were extracted from a nationally representative sample of Thai inpatients covered by Universal Coverage Scheme during 2009 to 2013.The rate of dying in the hospital increased steadily by 12% from 9.6% in 2009 to 10.8% in 2013 (P &lt; .001). Complications of portal hypertension were independently associated with increased in-hospital mortality except for ascites. The highest independent risk for hospital death was seen with hepatorenal syndrome (odds ratio [OR], 5.04; 95% confidence interval [CI], 4.38-5.79). Mortality rate remained high in patients with infection, particularly septicemia (OR, 4.26; 95% CI, 4.0-4.54) and pneumonia (OR, 2.44; 95% CI, 2.18-2.73). Receiving upper endoscopy (OR, 0.29; 95% CI, 0.27-0.32) and paracentesis (OR, 0.93; 95% CI, 0.87-1.00) were associated with improved patient survival. The inflation-adjusted national annual costs (P = .06) and total hospital days (P = .07) for cirrhosis showed a trend toward increasing during the 5-year period. Renal dysfunction, infection, and sequelae of portal hypertension except for ascites were independently associated with increased resource utilization.Renal dysfunction, infection, and portal hypertension-related complications are the main factors affecting in-hospital mortality and resource utilization for hospitalized patients with cirrhosis. The early intervention for modifiable factors is an important step toward improving hospital outcomes.","author":[{"dropping-particle":"","family":"Charatcharoenwitthaya","given":"Phunchai","non-dropping-particle":"","parse-names":false,"suffix":""},{"dropping-particle":"","family":"Soonthornworasiri","given":"Ngamphol","non-dropping-particle":"","parse-names":false,"suffix":""},{"dropping-particle":"","family":"Karaketklang","given":"Khemajira","non-dropping-particle":"","parse-names":false,"suffix":""},{"dropping-particle":"","family":"Poovorawan","given":"Kittiyod","non-dropping-particle":"","parse-names":false,"suffix":""},{"dropping-particle":"","family":"Pan-Ngum","given":"Wirichada","non-dropping-particle":"","parse-names":false,"suffix":""},{"dropping-particle":"","family":"Chotiyaputta","given":"Watcharasak","non-dropping-particle":"","parse-names":false,"suffix":""},{"dropping-particle":"","family":"Tanwandee","given":"Tawesak","non-dropping-particle":"","parse-names":false,"suffix":""},{"dropping-particle":"","family":"Phaosawasdi","given":"Kamthorn","non-dropping-particle":"","parse-names":false,"suffix":""}],"container-title":"Medicine","id":"ITEM-1","issue":"32","issued":{"date-parts":[["2017","8"]]},"page":"e7782","title":"Factors affecting mortality and resource use for hospitalized patients with cirrhosis: A population-based study.","type":"article-journal","volume":"96"},"uris":["http://www.mendeley.com/documents/?uuid=9cedc58f-f233-4be5-bb96-1485d674c015"]}],"mendeley":{"formattedCitation":"&lt;sup&gt;[7]&lt;/sup&gt;","plainTextFormattedCitation":"[7]","previouslyFormattedCitation":"&lt;sup&gt;[7]&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[7]</w:t>
      </w:r>
      <w:r w:rsidR="004C7441" w:rsidRPr="00E10230">
        <w:rPr>
          <w:rFonts w:ascii="Book Antiqua" w:hAnsi="Book Antiqua" w:cs="Arial"/>
          <w:sz w:val="24"/>
          <w:szCs w:val="24"/>
        </w:rPr>
        <w:fldChar w:fldCharType="end"/>
      </w:r>
      <w:r w:rsidRPr="00E10230">
        <w:rPr>
          <w:rFonts w:ascii="Book Antiqua" w:hAnsi="Book Antiqua" w:cs="Arial"/>
          <w:sz w:val="24"/>
          <w:szCs w:val="24"/>
        </w:rPr>
        <w:t xml:space="preserve">. </w:t>
      </w:r>
    </w:p>
    <w:p w14:paraId="58E8C124" w14:textId="77777777" w:rsidR="00704241" w:rsidRPr="00E10230" w:rsidRDefault="00704241" w:rsidP="00E10230">
      <w:pPr>
        <w:spacing w:after="0" w:line="360" w:lineRule="auto"/>
        <w:jc w:val="both"/>
        <w:rPr>
          <w:rFonts w:ascii="Book Antiqua" w:hAnsi="Book Antiqua" w:cs="Arial"/>
          <w:sz w:val="24"/>
          <w:szCs w:val="24"/>
        </w:rPr>
      </w:pPr>
    </w:p>
    <w:p w14:paraId="744659D1" w14:textId="77777777" w:rsidR="00FC402C" w:rsidRPr="00E10230" w:rsidRDefault="00FC402C"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Objective</w:t>
      </w:r>
    </w:p>
    <w:p w14:paraId="49F09BAA" w14:textId="137D6555" w:rsidR="00704241" w:rsidRPr="00E10230" w:rsidRDefault="00704241"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Reducing the preventable hospitalizations and readmissions are the focus of recent national initiatives with the goal of improving quality of care and reducing health care costs. Therefore, optimal management of cirrhosis to prevent decompensated-cirrhosis is emphasized. However, there is limited data on the temporal trend of hospitalizations and mortality associated with cirrhosis-associated complications. Recent retrospective studies showed a decline in the number of hospitalizations for esophageal varices with bleeding</w:t>
      </w:r>
      <w:r w:rsidR="004C7441" w:rsidRPr="00E10230">
        <w:rPr>
          <w:rFonts w:ascii="Book Antiqua" w:eastAsiaTheme="minorEastAsia" w:hAnsi="Book Antiqua" w:cs="Arial"/>
          <w:sz w:val="24"/>
          <w:szCs w:val="24"/>
          <w:lang w:eastAsia="zh-CN"/>
        </w:rPr>
        <w:t xml:space="preserve"> (EV)</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{"citationItems":[{"id":"ITEM-1","itemData":{"DOI":"10.1016/j.cgh.2008.02.049","ISSN":"1542-7714","PMID":"18456566","abstract":"BACKGROUND &amp; AIMS In recent years, there have been many advances in the primary and secondary prophylaxis of variceal bleeding. The aim of this study was to evaluate nationwide trends in the hospitalization rate of bleeding esophageal varices in the advent of these new modalities. In addition, our aims were to study the incidence trends of nonbleeding esophageal varices over the past 2 decades while studying hospitalization rates for cirrhosis over the same study period. METHODS The Nationwide Inpatient Sample database was used for inpatient data analysis (1988-2002) and the State Ambulatory Surgery Database was used for outpatient analysis. Patients discharged with International Classification of Diseases, ninth revision, Clinical Modification discharge diagnoses related to esophageal varices were included. RESULTS The hospitalization rate of bleeding varices increased 13.7% from 10.9 per 100,000 in the 1988 to 1990 period to 12.4 per 100,000 in the 1994 to 1996 period (P &lt; .01), and then decreased 14.5% to 10.6 per 100,000 in the 2000 to 2002 period (P &lt; .01). In-hospital nonbleeding varices increased 55% from 6.0 to 9.3 per 100,000 from the 1988 to 1990 period to the 2000 to 2002 period (P &lt; .01). Outpatient nonbleeding esophageal varices increased 20% from 5.5 to 6.6 per 100,000 from 1997 to 2003. CONCLUSIONS The hospitalization rate for bleeding esophageal varices has been on the decline in recent years and may be a reflection of the advances in primary and secondary prophylaxis. The incidence rate of nonbleeding esophageal varices is increasing and likely is owing to the increasing burden of portal hypertensive liver disease in the nation.","author":[{"dropping-particle":"","family":"Jamal","given":"M Mazen","non-dropping-particle":"","parse-names":false,"suffix":""},{"dropping-particle":"","family":"Samarasena","given":"Jason B","non-dropping-particle":"","parse-names":false,"suffix":""},{"dropping-particle":"","family":"Hashemzadeh","given":"Mehrtash","non-dropping-particle":"","parse-names":false,"suffix":""},{"dropping-particle":"","family":"Vega","given":"Kenneth J","non-dropping-particle":"","parse-names":false,"suffix":""}],"container-title":"Clinical gastroenterology and hepatology : the official clinical practice journal of the American Gastroenterological Association","id":"ITEM-1","issue":"6","issued":{"date-parts":[["2008","6"]]},"page":"689-95; quiz 605","title":"Declining hospitalization rate of esophageal variceal bleeding in the United States.","type":"article-journal","volume":"6"},"uris":["http://www.mendeley.com/documents/?uuid=7a9220bf-69d9-484e-9a9c-7f7c27a94a1d"]},{"id":"ITEM-2","itemData":{"DOI":"10.3748/wjg.v20.i32.11326","ISSN":"2219-2840","PMID":"25170218","abstract":"AIM To examine hospitalization rates for variceal hemorrhage and relation to cause of cirrhosis during an era of increased cirrhosis prevalence. METHODS We performed a retrospective review of patients with cirrhosis and gastroesophageal variceal hemorrhage who were admitted to a tertiary care referral center from 1998 to 2009. Subjects were classified according to the etiology of their liver disease: alcoholic cirrhosis and non-alcoholic cirrhosis. Rates of hospitalization for variceal bleeding were determined. Data were also collected on total hospital admissions per year and cirrhosis-related admissions per year over the same time period. These data were then compared and analyzed for trends in admission rates. RESULTS Hospitalizations for cirrhosis significantly increased from 611 per 100000 admissions in 1998-2001 to 1232 per 100000 admissions in 2006-9 (P value for trend &lt; 0.0001). This increase was seen in admissions for both alcoholic and non-alcoholic cirrhosis (P values for trend &lt; 0.001 and &lt; 0.0001 respectively). During the same time period, there were 243 admissions for gastroesophageal variceal bleeding (68% male, mean age 54.3 years, 62% alcoholic cirrhosis). Hospitalizations for gastroesophageal variceal bleeding significantly decreased from 96.6 per 100000 admissions for the time period 1998-2001 to 70.6 per 100000 admissions for the time period 2006-2009 (P value for trend = 0.01). There were significant reductions in variceal hemorrhage from non-alcoholic cirrhosis (41.6 per 100000 admissions in 1998-2001 to 19.7 per 100000 admissions in 2006-2009, P value for trend = 0.007). CONCLUSION Hospitalizations for variceal hemorrhage have decreased, most notably in patients with non-alcoholic cirrhosis, and this may reflect broader use of strategies to prevent bleeding.","author":[{"dropping-particle":"","family":"Lim","given":"Nicholas","non-dropping-particle":"","parse-names":false,"suffix":""},{"dropping-particle":"","family":"Desarno","given":"Michael J","non-dropping-particle":"","parse-names":false,"suffix":""},{"dropping-particle":"","family":"Lidofsky","given":"Steven D","non-dropping-particle":"","parse-names":false,"suffix":""},{"dropping-particle":"","family":"Ganguly","given":"Eric","non-dropping-particle":"","parse-names":false,"suffix":""}],"container-title":"World journal of gastroenterology","id":"ITEM-2","issue":"32","issued":{"date-parts":[["2014","8","28"]]},"page":"11326-32","title":"Hospitalization for variceal hemorrhage in an era with more prevalent cirrhosis.","type":"article-journal","volume":"20"},"uris":["http://www.mendeley.com/documents/?uuid=b506f899-4a67-4c37-8c6e-4c848e1622fd"]},{"id":"ITEM-3","itemData":{"DOI":"10.1002/jhm.2360","ISSN":"1553-5606","PMID":"25976490","abstract":"Esophageal variceal bleeding (EVB) is a frequent complication in cirrhotic patients resulting in considerable mortality and morbidity. The aim of this study was to investigate the occurrence, impact, and trends of EVB in hospitalized cirrhotic patients on a nationwide level in the United States. We interrogated data from the Nationwide Inpatient Sample from 2002 to 2012. Utilizing International Classification of Diseases, Ninth Revision, Clinical Modification codes, we analyzed hospital discharges for cirrhosis and related EVB in adult patients. EVB in cirrhotic patients was independently associated with overall worse outcomes with respect to in-hospital mortality (10% vs 5%; P &lt; 0.01) and hospital charges (median $41,000 vs $26,000; P &lt; 0.01). In the period from 2002 to 2012, the number of cirrhosis-related hospitalizations increased from 337,956 to 570,220 (P &lt; 0.01). Concurrently, the incidence of EVB in hospitalized cirrhotic patients declined from 8.60% to 5.78%, with an overall decreased trend (P &lt; 0.01). The decline in the rate of EVB in hospitalized cirrhotic patients from 2002 to 2012 likely reflects the effectiveness of primary and secondary prophylaxis.","author":[{"dropping-particle":"","family":"Pant","given":"Chaitanya","non-dropping-particle":"","parse-names":false,"suffix":""},{"dropping-particle":"","family":"Desai","given":"Madhav","non-dropping-particle":"","parse-names":false,"suffix":""},{"dropping-particle":"","family":"Deshpande","given":"Abhishek","non-dropping-particle":"","parse-names":false,"suffix":""},{"dropping-particle":"","family":"Taylor","given":"Ryan","non-dropping-particle":"","parse-names":false,"suffix":""},{"dropping-particle":"","family":"Olyaee","given":"Mojtaba","non-dropping-particle":"","parse-names":false,"suffix":""},{"dropping-particle":"","family":"Gilroy","given":"Richard","non-dropping-particle":"","parse-names":false,"suffix":""}],"container-title":"Journal of hospital medicine","id":"ITEM-3","issue":"7","issued":{"date-parts":[["2015","7"]]},"page":"453-6","title":"Esophageal variceal bleeding in hospitalized patients with cirrhosis.","type":"article-journal","volume":"10"},"uris":["http://www.mendeley.com/documents/?uuid=62fb31db-bd26-41bb-a49c-9313cc945789"]}],"mendeley":{"formattedCitation":"&lt;sup&gt;[8–10]&lt;/sup&gt;","plainTextFormattedCitation":"[8–10]","previouslyFormattedCitation":"&lt;sup&gt;[8–10]&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[8–10]</w:t>
      </w:r>
      <w:r w:rsidR="004C7441" w:rsidRPr="00E10230">
        <w:rPr>
          <w:rFonts w:ascii="Book Antiqua" w:hAnsi="Book Antiqua" w:cs="Arial"/>
          <w:sz w:val="24"/>
          <w:szCs w:val="24"/>
        </w:rPr>
        <w:fldChar w:fldCharType="end"/>
      </w:r>
      <w:r w:rsidRPr="00E10230">
        <w:rPr>
          <w:rFonts w:ascii="Book Antiqua" w:hAnsi="Book Antiqua" w:cs="Arial"/>
          <w:sz w:val="24"/>
          <w:szCs w:val="24"/>
        </w:rPr>
        <w:t xml:space="preserve">. However, there is paucity of data on other cirrhosis-associated conditions. Therefore, we conducted a larger population-based study to evaluate the national temporal trends of hospitalizations, mortalities and financial impact associated with four common </w:t>
      </w:r>
      <w:r w:rsidR="008361FB" w:rsidRPr="00E10230">
        <w:rPr>
          <w:rFonts w:ascii="Book Antiqua" w:hAnsi="Book Antiqua" w:cs="Arial"/>
          <w:sz w:val="24"/>
          <w:szCs w:val="24"/>
        </w:rPr>
        <w:t xml:space="preserve">conditions </w:t>
      </w:r>
      <w:r w:rsidRPr="00E10230">
        <w:rPr>
          <w:rFonts w:ascii="Book Antiqua" w:hAnsi="Book Antiqua" w:cs="Arial"/>
          <w:sz w:val="24"/>
          <w:szCs w:val="24"/>
        </w:rPr>
        <w:t xml:space="preserve">of cirrhosis: </w:t>
      </w:r>
      <w:r w:rsidR="00BF55B0" w:rsidRPr="00E10230">
        <w:rPr>
          <w:rFonts w:ascii="Book Antiqua" w:hAnsi="Book Antiqua" w:cs="Arial"/>
          <w:sz w:val="24"/>
          <w:szCs w:val="24"/>
        </w:rPr>
        <w:t>HC</w:t>
      </w:r>
      <w:r w:rsidRPr="00E10230">
        <w:rPr>
          <w:rFonts w:ascii="Book Antiqua" w:hAnsi="Book Antiqua" w:cs="Arial"/>
          <w:sz w:val="24"/>
          <w:szCs w:val="24"/>
        </w:rPr>
        <w:t>; intraabdominal venous shunt (</w:t>
      </w:r>
      <w:proofErr w:type="spellStart"/>
      <w:r w:rsidRPr="00E10230">
        <w:rPr>
          <w:rFonts w:ascii="Book Antiqua" w:hAnsi="Book Antiqua" w:cs="Arial"/>
          <w:sz w:val="24"/>
          <w:szCs w:val="24"/>
        </w:rPr>
        <w:t>transjugular</w:t>
      </w:r>
      <w:proofErr w:type="spellEnd"/>
      <w:r w:rsidRPr="00E10230">
        <w:rPr>
          <w:rFonts w:ascii="Book Antiqua" w:hAnsi="Book Antiqua" w:cs="Arial"/>
          <w:sz w:val="24"/>
          <w:szCs w:val="24"/>
        </w:rPr>
        <w:t xml:space="preserve"> intrahepatic portosystemic shunt or TIPS); </w:t>
      </w:r>
      <w:r w:rsidR="004C7441" w:rsidRPr="00E10230">
        <w:rPr>
          <w:rFonts w:ascii="Book Antiqua" w:hAnsi="Book Antiqua" w:cs="Arial"/>
          <w:sz w:val="24"/>
          <w:szCs w:val="24"/>
        </w:rPr>
        <w:t>EV</w:t>
      </w:r>
      <w:r w:rsidRPr="00E10230">
        <w:rPr>
          <w:rFonts w:ascii="Book Antiqua" w:hAnsi="Book Antiqua" w:cs="Arial"/>
          <w:sz w:val="24"/>
          <w:szCs w:val="24"/>
        </w:rPr>
        <w:t>; spontaneou</w:t>
      </w:r>
      <w:r w:rsidR="004C7441" w:rsidRPr="00E10230">
        <w:rPr>
          <w:rFonts w:ascii="Book Antiqua" w:hAnsi="Book Antiqua" w:cs="Arial"/>
          <w:sz w:val="24"/>
          <w:szCs w:val="24"/>
        </w:rPr>
        <w:t>s bacterial peritonitis (SBP).</w:t>
      </w:r>
    </w:p>
    <w:p w14:paraId="2E90A299" w14:textId="77777777" w:rsidR="00704241" w:rsidRPr="00E10230" w:rsidRDefault="00704241" w:rsidP="00E10230">
      <w:pPr>
        <w:spacing w:after="0" w:line="360" w:lineRule="auto"/>
        <w:jc w:val="both"/>
        <w:rPr>
          <w:rFonts w:ascii="Book Antiqua" w:hAnsi="Book Antiqua" w:cs="Arial"/>
          <w:sz w:val="24"/>
          <w:szCs w:val="24"/>
        </w:rPr>
      </w:pPr>
    </w:p>
    <w:p w14:paraId="7DBA9940" w14:textId="78C651A8" w:rsidR="00704241" w:rsidRPr="00E10230" w:rsidRDefault="00704241" w:rsidP="00E10230">
      <w:pPr>
        <w:spacing w:after="0" w:line="360" w:lineRule="auto"/>
        <w:jc w:val="both"/>
        <w:rPr>
          <w:rFonts w:ascii="Book Antiqua" w:hAnsi="Book Antiqua" w:cs="Arial"/>
          <w:b/>
          <w:sz w:val="24"/>
          <w:szCs w:val="24"/>
        </w:rPr>
      </w:pPr>
      <w:r w:rsidRPr="00E10230">
        <w:rPr>
          <w:rFonts w:ascii="Book Antiqua" w:hAnsi="Book Antiqua" w:cs="Arial"/>
          <w:b/>
          <w:sz w:val="24"/>
          <w:szCs w:val="24"/>
        </w:rPr>
        <w:t>M</w:t>
      </w:r>
      <w:r w:rsidR="001B63C5" w:rsidRPr="00E10230">
        <w:rPr>
          <w:rFonts w:ascii="Book Antiqua" w:hAnsi="Book Antiqua" w:cs="Arial"/>
          <w:b/>
          <w:sz w:val="24"/>
          <w:szCs w:val="24"/>
        </w:rPr>
        <w:t>ATER</w:t>
      </w:r>
      <w:r w:rsidR="004C7441" w:rsidRPr="00E10230">
        <w:rPr>
          <w:rFonts w:ascii="Book Antiqua" w:eastAsiaTheme="minorEastAsia" w:hAnsi="Book Antiqua" w:cs="Arial"/>
          <w:b/>
          <w:sz w:val="24"/>
          <w:szCs w:val="24"/>
          <w:lang w:eastAsia="zh-CN"/>
        </w:rPr>
        <w:t>I</w:t>
      </w:r>
      <w:r w:rsidR="001B63C5" w:rsidRPr="00E10230">
        <w:rPr>
          <w:rFonts w:ascii="Book Antiqua" w:hAnsi="Book Antiqua" w:cs="Arial"/>
          <w:b/>
          <w:sz w:val="24"/>
          <w:szCs w:val="24"/>
        </w:rPr>
        <w:t>ALS AND METHODS</w:t>
      </w:r>
    </w:p>
    <w:p w14:paraId="7A962C00" w14:textId="6EEEC4CF" w:rsidR="00704241" w:rsidRPr="00E10230" w:rsidRDefault="00704241"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 xml:space="preserve">Data </w:t>
      </w:r>
      <w:r w:rsidR="004C7441" w:rsidRPr="00E10230">
        <w:rPr>
          <w:rFonts w:ascii="Book Antiqua" w:hAnsi="Book Antiqua" w:cs="Arial"/>
          <w:b/>
          <w:i/>
          <w:sz w:val="24"/>
          <w:szCs w:val="24"/>
        </w:rPr>
        <w:t>sources</w:t>
      </w:r>
    </w:p>
    <w:p w14:paraId="6E22F0A9" w14:textId="78F59957" w:rsidR="00704241" w:rsidRPr="00E10230" w:rsidRDefault="00704241" w:rsidP="00E10230">
      <w:pPr>
        <w:spacing w:after="0" w:line="360" w:lineRule="auto"/>
        <w:jc w:val="both"/>
        <w:rPr>
          <w:rFonts w:ascii="Book Antiqua" w:hAnsi="Book Antiqua" w:cs="Arial"/>
          <w:sz w:val="24"/>
          <w:szCs w:val="24"/>
        </w:rPr>
      </w:pPr>
      <w:r w:rsidRPr="00E10230">
        <w:rPr>
          <w:rFonts w:ascii="Book Antiqua" w:hAnsi="Book Antiqua" w:cs="Arial"/>
          <w:sz w:val="24"/>
          <w:szCs w:val="24"/>
        </w:rPr>
        <w:t xml:space="preserve">National Inpatient Sample (NIS), the largest all-payer database of inpatient care in the </w:t>
      </w:r>
      <w:r w:rsidR="004C7441" w:rsidRPr="00E10230">
        <w:rPr>
          <w:rFonts w:ascii="Book Antiqua" w:eastAsiaTheme="minorEastAsia" w:hAnsi="Book Antiqua" w:cs="Arial"/>
          <w:sz w:val="24"/>
          <w:szCs w:val="24"/>
          <w:lang w:eastAsia="zh-CN"/>
        </w:rPr>
        <w:t>United States</w:t>
      </w:r>
      <w:r w:rsidRPr="00E10230">
        <w:rPr>
          <w:rFonts w:ascii="Book Antiqua" w:hAnsi="Book Antiqua" w:cs="Arial"/>
          <w:sz w:val="24"/>
          <w:szCs w:val="24"/>
        </w:rPr>
        <w:t xml:space="preserve">, from the Healthcare Cost and Utilization Project (HCUP) published by the Agency for Healthcare Research and Quality, contains data from over 7-million hospital </w:t>
      </w:r>
      <w:r w:rsidRPr="00E10230">
        <w:rPr>
          <w:rFonts w:ascii="Book Antiqua" w:hAnsi="Book Antiqua" w:cs="Arial"/>
          <w:sz w:val="24"/>
          <w:szCs w:val="24"/>
        </w:rPr>
        <w:lastRenderedPageBreak/>
        <w:t>discharges each year from over 1000 hospitals and is weighted to produce national estimates</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{"citationItems":[{"id":"ITEM-1","itemData":{"ISBN":"1587631857","URL":"https://hcupnet.ahrq.gov/. For more information about HCUP data see http://www.hcup-us.ahrq.gov/","accessed":{"date-parts":[["2017","11","15"]]},"author":[{"dropping-particle":"","family":"Agency for Healthcare Research and Quality","given":"","non-dropping-particle":"","parse-names":false,"suffix":""}],"container-title":"Healthcare Cost and Utilization Project (HCUP)","id":"ITEM-1","issued":{"date-parts":[["0"]]},"title":"Healthcare Cost and Utilization Project","type":"webpage"},"uris":["http://www.mendeley.com/documents/?uuid=ae6b7b60-c0a4-41b9-9370-17b92ccd2218"]}],"mendeley":{"formattedCitation":"&lt;sup&gt;[11]&lt;/sup&gt;","plainTextFormattedCitation":"[11]","previouslyFormattedCitation":"&lt;sup&gt;[11]&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[11]</w:t>
      </w:r>
      <w:r w:rsidR="004C7441" w:rsidRPr="00E10230">
        <w:rPr>
          <w:rFonts w:ascii="Book Antiqua" w:hAnsi="Book Antiqua" w:cs="Arial"/>
          <w:sz w:val="24"/>
          <w:szCs w:val="24"/>
        </w:rPr>
        <w:fldChar w:fldCharType="end"/>
      </w:r>
      <w:r w:rsidRPr="00E10230">
        <w:rPr>
          <w:rFonts w:ascii="Book Antiqua" w:hAnsi="Book Antiqua" w:cs="Arial"/>
          <w:sz w:val="24"/>
          <w:szCs w:val="24"/>
        </w:rPr>
        <w:t>. The HCUP validates the NIS for biases by comparing it with o</w:t>
      </w:r>
      <w:r w:rsidR="004C7441" w:rsidRPr="00E10230">
        <w:rPr>
          <w:rFonts w:ascii="Book Antiqua" w:hAnsi="Book Antiqua" w:cs="Arial"/>
          <w:sz w:val="24"/>
          <w:szCs w:val="24"/>
        </w:rPr>
        <w:t>ther population-based data sets</w:t>
      </w:r>
      <w:r w:rsidR="00923D98" w:rsidRPr="00E10230">
        <w:rPr>
          <w:rFonts w:ascii="Book Antiqua" w:hAnsi="Book Antiqua" w:cs="Arial"/>
          <w:sz w:val="24"/>
          <w:szCs w:val="24"/>
        </w:rPr>
        <w:fldChar w:fldCharType="begin" w:fldLock="1"/>
      </w:r>
      <w:r w:rsidR="00DC4477" w:rsidRPr="00E10230">
        <w:rPr>
          <w:rFonts w:ascii="Book Antiqua" w:hAnsi="Book Antiqua" w:cs="Arial"/>
          <w:sz w:val="24"/>
          <w:szCs w:val="24"/>
        </w:rPr>
        <w:instrText>ADDIN CSL_CITATION {"citationItems":[{"id":"ITEM-1","itemData":{"URL":"http://www.hcup-us.ahrq.gov/reports/%0Amethods.jsp","accessed":{"date-parts":[["2018","1","26"]]},"author":[{"dropping-particle":"","family":"Agency for Healthcare Research and Quality","given":"","non-dropping-particle":"","parse-names":false,"suffix":""}],"container-title":"Healthcare Cost and Utilization Project (HCUP)","id":"ITEM-1","issued":{"date-parts":[["2011"]]},"title":"Healthcare cost and utilization project methods series.","type":"webpage"},"uris":["http://www.mendeley.com/documents/?uuid=85b5a8e0-5860-4220-823b-902146251505"]}],"mendeley":{"formattedCitation":"&lt;sup&gt;[12]&lt;/sup&gt;","plainTextFormattedCitation":"[12]","previouslyFormattedCitation":"&lt;sup&gt;[12]&lt;/sup&gt;"},"properties":{"noteIndex":0},"schema":"https://github.com/citation-style-language/schema/raw/master/csl-citation.json"}</w:instrText>
      </w:r>
      <w:r w:rsidR="00923D98" w:rsidRPr="00E10230">
        <w:rPr>
          <w:rFonts w:ascii="Book Antiqua" w:hAnsi="Book Antiqua" w:cs="Arial"/>
          <w:sz w:val="24"/>
          <w:szCs w:val="24"/>
        </w:rPr>
        <w:fldChar w:fldCharType="separate"/>
      </w:r>
      <w:r w:rsidR="00E84094" w:rsidRPr="00E10230">
        <w:rPr>
          <w:rFonts w:ascii="Book Antiqua" w:hAnsi="Book Antiqua" w:cs="Arial"/>
          <w:noProof/>
          <w:sz w:val="24"/>
          <w:szCs w:val="24"/>
          <w:vertAlign w:val="superscript"/>
        </w:rPr>
        <w:t>[12]</w:t>
      </w:r>
      <w:r w:rsidR="00923D98" w:rsidRPr="00E10230">
        <w:rPr>
          <w:rFonts w:ascii="Book Antiqua" w:hAnsi="Book Antiqua" w:cs="Arial"/>
          <w:sz w:val="24"/>
          <w:szCs w:val="24"/>
        </w:rPr>
        <w:fldChar w:fldCharType="end"/>
      </w:r>
      <w:r w:rsidRPr="00E10230">
        <w:rPr>
          <w:rFonts w:ascii="Book Antiqua" w:hAnsi="Book Antiqua" w:cs="Arial"/>
          <w:sz w:val="24"/>
          <w:szCs w:val="24"/>
        </w:rPr>
        <w:t xml:space="preserve"> and NIS data have been utilized and published in the past</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{"citationItems":[{"id":"ITEM-1","itemData":{"DOI":"10.1002/hep.28812","ISSN":"1527-3350","PMID":"27696493","abstract":"Acute on chronic liver failure (ACLF) is associated with multisystem organ failure and poor prognosis in hospitalized patients with cirrhosis. We aimed to determine time trends in the epidemiology, economic burden, and mortality of ACLF in the United States. The National Inpatient Sample database was queried between 2001 and 2011. ACLF was defined as two or more extrahepatic organ failures in patients with cirrhosis. The primary outcomes were trends in hospitalizations, hospital costs, and inpatient mortality. The number of hospitalizations for cirrhosis in the United States nearly doubled from 371,000 in 2001 to 659,000 in 2011. The prevalence of ACLF among those hospitalizations increased from 1.5% (n = 5,400) to 5% (n = 32,300). The inpatient costs increased 2-fold for cirrhosis ($4.8 billion to $9.8 billion) and 5-fold ($320 million to $1.7 billion) for ACLF. In 2011, the cost per hospitalization for ACLF was 3.5-fold higher than that for cirrhosis ($53,570 versus $15,193). The in-hospital fatality rates decreased from 65% to 50% for ACLF and from 10% to 7% for cirrhosis. The organ failure trends in ACLF showed an increasing proportion of cardiovascular and cerebral and decreasing proportion of respiratory and renal failure. Age, male sex, and the number and types of organ failure were predictors of death in ACLF. CONCLUSION Cirrhosis and ACLF represent a substantial and increasing health and economic burden in the United States; these data highlight an urgent need for research on pathophysiological mechanisms and effective therapy as well as for education of health care providers of its importance in the care of patients with cirrhosis. (Hepatology 2016;64:2165-2172).","author":[{"dropping-particle":"","family":"Allen","given":"Alina M","non-dropping-particle":"","parse-names":false,"suffix":""},{"dropping-particle":"","family":"Kim","given":"W Ray","non-dropping-particle":"","parse-names":false,"suffix":""},{"dropping-particle":"","family":"Moriarty","given":"James P","non-dropping-particle":"","parse-names":false,"suffix":""},{"dropping-particle":"","family":"Shah","given":"Nilay D","non-dropping-particle":"","parse-names":false,"suffix":""},{"dropping-particle":"","family":"Larson","given":"Joseph J","non-dropping-particle":"","parse-names":false,"suffix":""},{"dropping-particle":"","family":"Kamath","given":"Patrick S","non-dropping-particle":"","parse-names":false,"suffix":""}],"container-title":"Hepatology (Baltimore, Md.)","id":"ITEM-1","issue":"6","issued":{"date-parts":[["2016"]]},"page":"2165-2172","title":"Time trends in the health care burden and mortality of acute on chronic liver failure in the United States.","type":"article-journal","volume":"64"},"uris":["http://www.mendeley.com/documents/?uuid=04c4c823-156e-4b3d-acc4-8ec2a18441fc"]},{"id":"ITEM-2","itemData":{"DOI":"10.1111/j.1572-0241.2007.01658.x","ISSN":"0002-9270","PMID":"18047541","abstract":"OBJECTIVES Gastroparesis is an increasingly recognized disorder. Its prevalence in the United States is unknown. We examined the trends, characteristics, and outcomes of gastroparesis-related hospitalizations during 1995-2004. METHODS The publicly available Healthcare Cost and Utilization Project (HCUP) Nationwide Inpatient Sample (NIS) comprises a nationally representative sample of 5-8 million hospitalizations per year. Gastroparesis-related hospitalizations were identified using the International Classification of Diseases (ICD-9) code 536.3 and compared with other hospitalizations. Multivariate regressions were used to compare for differences in the outcomes including length of stay, total charges, and in-hospital deaths. RESULTS Hospitalizations with gastroparesis as the primary diagnosis increased from 3,977 in 1995 to 10,252 in 2004 (+158%) and hospitalizations with gastroparesis as the secondary diagnosis increased from 56,726 to 134,146 (+136%). These compared to smaller changes in diabetes-related hospitalizations (+53%), all hospitalizations (+13%), and hospitalizations with gastroesophageal reflux disease (GERD), gastric ulcer, gastritis, or nonspecific nausea/vomiting as the primary diagnosis (-3% to +76%). Of the five upper gastrointestinal conditions studied as the primary diagnosis, gastroparesis had the longest length of stay (+15.4% to +66.2%, all P &lt; 0.001) and the highest or second highest total charges (-7.2% to +60.6%, all P &lt; 0.01) in 2004, with similar results in 1995. CONCLUSIONS The number of gastroparesis-related hospitalizations has been increasing in the United States, suggesting an increasing prevalence of gastroparesis. The economic impact of gastroparesis-related hospitalizations is significant and increasing.","author":[{"dropping-particle":"","family":"Wang","given":"Yize R","non-dropping-particle":"","parse-names":false,"suffix":""},{"dropping-particle":"","family":"Fisher","given":"Robert S","non-dropping-particle":"","parse-names":false,"suffix":""},{"dropping-particle":"","family":"Parkman","given":"Henry P","non-dropping-particle":"","parse-names":false,"suffix":""}],"container-title":"The American journal of gastroenterology","id":"ITEM-2","issue":"2","issued":{"date-parts":[["2008","2"]]},"page":"313-22","title":"Gastroparesis-related hospitalizations in the United States: trends, characteristics, and outcomes, 1995-2004.","type":"article-journal","volume":"103"},"uris":["http://www.mendeley.com/documents/?uuid=92ff080b-1408-4e2a-97e4-ead592b9a0d3"]},{"id":"ITEM-3","itemData":{"DOI":"10.1097/SLA.0000000000001511","ISSN":"1528-1140","PMID":"26501705","abstract":"OBJECTIVE To compare incremental costs associated with complications of elective colectomy using nationally representative data among patients undergoing laparoscopic/open resections for the 4 most frequent diagnoses. SUMMARY BACKGROUND DATA Rising healthcare costs have led to increasing focus on the need to achieve a better understanding of the association between costs and quality. Among elective colectomies, a focus of surgical quality-improvement initiatives, interpretable evidence to support existing approaches is lacking. METHODS The 2009 to 2011 Nationwide Inpatient Sample (NIS) data were queried for adult (≥18 years) patients undergoing elective colectomy. Patients with primary diagnoses for colon cancer, diverticular disease, benign colonic neoplasm, and ulcerative colitis/regional enteritis were included. Based on system-based complications considered relevant to long-term treatment of elective colectomy, stratified differences in risk-adjusted incremental hospital costs and complications probabilities were compared. RESULTS A total of 68,462 patients were included, weighted to represent 337,887 patients nationwide. A total of 16.4% experienced complications. Annual risk-adjusted incremental costs amounted to &gt;$150 million. Magnitudes of complication prevalences/costs varied by primary diagnosis, operative technique, and complication group. Infectious complications contributed the most ($55 million), followed by gastrointestinal ($53 million), pulmonary ($22 million), and cardiovascular ($11 million) complications. Total annual costs for elective colectomies amounted to &gt;$1.7 billion: 11.3% was due to complications [1.9% due to current Centers for Medicare and Medicaid Services (CMS) complications]. CONCLUSIONS The results highlight a need to consider the varied/broad impact of complications, offering a stratified paradigm for priority setting in surgery. As we move forward in the development of novel/adaptation of existing interventions, it will be essential to weigh the cost of complications in an evidence-based way.","author":[{"dropping-particle":"","family":"Zogg","given":"Cheryl K","non-dropping-particle":"","parse-names":false,"suffix":""},{"dropping-particle":"","family":"Najjar","given":"Peter","non-dropping-particle":"","parse-names":false,"suffix":""},{"dropping-particle":"","family":"Diaz","given":"Arturo J Rios","non-dropping-particle":"","parse-names":false,"suffix":""},{"dropping-particle":"","family":"Zogg","given":"Donald L","non-dropping-particle":"","parse-names":false,"suffix":""},{"dropping-particle":"","family":"Tsai","given":"Thomas C","non-dropping-particle":"","parse-names":false,"suffix":""},{"dropping-particle":"","family":"Rose","given":"John A","non-dropping-particle":"","parse-names":false,"suffix":""},{"dropping-particle":"","family":"Scott","given":"John W","non-dropping-particle":"","parse-names":false,"suffix":""},{"dropping-particle":"","family":"Gani","given":"Faiz","non-dropping-particle":"","parse-names":false,"suffix":""},{"dropping-particle":"","family":"Alshaikh","given":"Husain","non-dropping-particle":"","parse-names":false,"suffix":""},{"dropping-particle":"","family":"Canner","given":"Joseph K","non-dropping-particle":"","parse-names":false,"suffix":""},{"dropping-particle":"","family":"Schneider","given":"Eric B","non-dropping-particle":"","parse-names":false,"suffix":""},{"dropping-particle":"","family":"Goldberg","given":"Joel E","non-dropping-particle":"","parse-names":false,"suffix":""},{"dropping-particle":"","family":"Haider","given":"Adil H","non-dropping-particle":"","parse-names":false,"suffix":""}],"container-title":"Annals of surgery","id":"ITEM-3","issue":"2","issued":{"date-parts":[["2016"]]},"page":"312-22","title":"Rethinking Priorities: Cost of Complications After Elective Colectomy.","type":"article-journal","volume":"264"},"uris":["http://www.mendeley.com/documents/?uuid=0bf64061-ff48-4cb5-a0c9-497962ba4ca4"]},{"id":"ITEM-4","itemData":{"DOI":"10.3748/wjg.v19.i45.8301","ISBN":"2219-2840 (Electronic)\\r1007-9327 (Linking)","ISSN":"10079327","PMID":"24363521","abstract":"AIM To explore associations between nonalcoholic fatty liver disease (NAFLD) and benign gastrointestinal and pancreato-biliary disorders. METHODS Patient demographics, diagnoses, and hospital outcomes from the 2010 Nationwide Inpatient Sample were analyzed. Chronic liver diseases were identified using International Classification of Diseases, the 9(th) Revision, Clinical Modification codes. Patients with NAFLD were compared to those with other chronic liver diseases for the endpoints of total hospital charges, disease severity, and hospital mortality. Multivariable stepwise logistic regression analyses to assess for the independent association of demographic, comorbidity, and diagnosis variables with the event of NAFLD (vs other chronic liver diseases) were also performed. RESULTS Of 7800441 discharge records, 32347 (0.4%) and 271049 (3.5%) included diagnoses of NAFLD and other chronic liver diseases, respectively. NAFLD patients were younger (average 52.3 years vs 55.3 years), more often female (58.8% vs 41.6%), less often black (9.6% vs 18.6%), and were from higher income areas (23.7% vs 17.7%) compared to counterparts with other chronic liver diseases (all P &lt; 0.0001). Diabetes mellitus (43.4% vs 28.9%), hypertension (56.9% vs 47.6%), morbid obesity (36.9% vs 8.0%), dyslipidemia (37.9% vs 15.6%), and the metabolic syndrome (28.75% vs 8.8%) were all more common among NAFLD patients (all P &lt; 0.0001). The average total hospital charge ($39607 vs $51665), disease severity scores, and intra-hospital mortality (0.9% vs 6.0%) were lower among NALFD patients compared to those with other chronic liver diseases (all P &lt; 0.0001).Compared with other chronic liver diseases, NAFLD was significantly associated with diverticular disorders [OR = 4.26 (3.89-4.67)], inflammatory bowel diseases [OR = 3.64 (3.10-4.28)], gallstone related diseases [OR = 3.59 (3.40-3.79)], and benign pancreatitis [OR = 2.95 (2.79-3.12)] on multivariable logistic regression (all P &lt; 0.0001) when the latter disorders were the principal diagnoses on hospital discharge. Similar relationships were observed when the latter disorders were associated diagnoses on hospital discharge. CONCLUSION NAFLD is associated with diverticular, inflammatory bowel, gallstone, and benign pancreatitis disorders. Compared with other liver diseases, patients with NAFLD have lower hospital charges and mortality.","author":[{"dropping-particle":"","family":"Reddy","given":"Srinevas K.","non-dropping-particle":"","parse-names":false,"suffix":""},{"dropping-particle":"","family":"Zhan","given":"Min","non-dropping-particle":"","parse-names":false,"suffix":""},{"dropping-particle":"","family":"Alexander","given":"H. Richard","non-dropping-particle":"","parse-names":false,"suffix":""},{"dropping-particle":"","family":"El-Kamary","given":"Samer S.","non-dropping-particle":"","parse-names":false,"suffix":""}],"container-title":"World Journal of Gastroenterology","id":"ITEM-4","issue":"45","issued":{"date-parts":[["2013"]]},"page":"8301-8311","title":"Nonalcoholic fatty liver disease is associated with benign gastrointestinal disorders","type":"article-journal","volume":"19"},"uris":["http://www.mendeley.com/documents/?uuid=b3a8d60d-9cfb-4bb1-8c25-baeafbc9a379"]},{"id":"ITEM-5","itemData":{"DOI":"10.4254/wjh.v9.i12.595","ISSN":"19485182","PMID":"28515845","abstract":"© 2017. Baishideng Publishing Group Inc. All rights reserved. Aim: To study mortality, length of stay, and total charges in morbidly obese adults during index hospitalization for orthotopic liver transplantation. Methods: The Nationwide Inpatient Sample was queried to obtain demographics, healthcare utilization, post orthotopic liver transplantation (OLT) complications, and short term outcomes of OLT performed from 2003 to 2011 (n = 46509). We divided patients into those with [body mass index (BMI) ≥ 40] and without (BMI &lt; 40) morbid obesity. Multivariable logistic regression analysis was performed to characterize differences in in-hospital mortality, length of stay (LOS), and charges for OLT between patients with and without morbid obesity after adjusting for significant confounders. Additionally, propensity matching was performed to further validate the results. Results: Of the 46509 patients who underwent OLT during the study period, 818 (1.8%) were morbidly obese. Morbidly obese recipients were more likely to be female (46.8% vs 33.4%, P = 0.002), Caucasian (75.2% vs 67.8%, P = 0.002), in the low national income quartile (32.3% vs 22.5%, P = 0.04), and have ≥ 3 comorbidities (modified Elixhauser index; 83.9% vs 45.0%, P &lt; 0.001). Morbidly obese patient also had an increase in procedure related hemorrhage (P = 0.028) and respiratory complications (P = 0.043). Multivariate and propensity matched analysis showed no difference in mortality (OR: 0.70; 95%CI: 0.27-1.84, P = 0.47), LOS (B: -4.44; 95%CI: -9.93, 1.05, P = 0.11) and charges for transplantation (B: $15693; 95%CI: -51622-83008, P = 0.64) between the two groups. Morbidly obese patients were more likely to have transplants on weekdays (81.7%) as compared to those without morbid obesity (75.4%, P = 0.029). Conclusion: Morbid obesity may not impact in-hospital mortality and health care utilization in OLT recipients. However, morbidly obese patients may be selected after careful assessment of co-morbidities.","author":[{"dropping-particle":"","family":"Peck","given":"Joshua R.","non-dropping-particle":"","parse-names":false,"suffix":""},{"dropping-particle":"","family":"Latchana","given":"Nicholas","non-dropping-particle":"","parse-names":false,"suffix":""},{"dropping-particle":"","family":"Michaels","given":"Anthony","non-dropping-particle":"","parse-names":false,"suffix":""},{"dropping-particle":"","family":"Hanje","given":"Adam J.","non-dropping-particle":"","parse-names":false,"suffix":""},{"dropping-particle":"","family":"Hinton","given":"Alice","non-dropping-particle":"","parse-names":false,"suffix":""},{"dropping-particle":"","family":"Elkhammas","given":"Elmahdi A.","non-dropping-particle":"","parse-names":false,"suffix":""},{"dropping-particle":"","family":"Black","given":"Sylvester M.","non-dropping-particle":"","parse-names":false,"suffix":""},{"dropping-particle":"","family":"Mumtaz","given":"Khalid","non-dropping-particle":"","parse-names":false,"suffix":""}],"container-title":"World Journal of Hepatology","id":"ITEM-5","issue":"12","issued":{"date-parts":[["2017"]]},"page":"595-602","title":"Diagnosis of morbid obesity may not impact healthcare utilization for orthotopic liver transplantation: A propensity matched study","type":"article-journal","volume":"9"},"uris":["http://www.mendeley.com/documents/?uuid=ed820bab-d258-4232-b7c7-a8b58f603bf1"]}],"mendeley":{"formattedCitation":"&lt;sup&gt;[13–17]&lt;/sup&gt;","plainTextFormattedCitation":"[13–17]","previouslyFormattedCitation":"&lt;sup&gt;[13–17]&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[13–17]</w:t>
      </w:r>
      <w:r w:rsidR="004C7441" w:rsidRPr="00E10230">
        <w:rPr>
          <w:rFonts w:ascii="Book Antiqua" w:hAnsi="Book Antiqua" w:cs="Arial"/>
          <w:sz w:val="24"/>
          <w:szCs w:val="24"/>
        </w:rPr>
        <w:fldChar w:fldCharType="end"/>
      </w:r>
      <w:r w:rsidRPr="00E10230">
        <w:rPr>
          <w:rFonts w:ascii="Book Antiqua" w:hAnsi="Book Antiqua" w:cs="Arial"/>
          <w:sz w:val="24"/>
          <w:szCs w:val="24"/>
        </w:rPr>
        <w:t>. There was a change in sampling methods in 2012, but the collection date was adjusted for this change</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{"citationItems":[{"id":"ITEM-1","itemData":{"ISBN":"1587631857","URL":"https://hcupnet.ahrq.gov/. For more information about HCUP data see http://www.hcup-us.ahrq.gov/","accessed":{"date-parts":[["2017","11","15"]]},"author":[{"dropping-particle":"","family":"Agency for Healthcare Research and Quality","given":"","non-dropping-particle":"","parse-names":false,"suffix":""}],"container-title":"Healthcare Cost and Utilization Project (HCUP)","id":"ITEM-1","issued":{"date-parts":[["0"]]},"title":"Healthcare Cost and Utilization Project","type":"webpage"},"uris":["http://www.mendeley.com/documents/?uuid=ae6b7b60-c0a4-41b9-9370-17b92ccd2218"]},{"id":"ITEM-2","itemData":{"DOI":"10.1001/jama.2017.17653","ISSN":"1538-3598","PMID":"29183077","abstract":"Importance Publicly available data sets hold much potential, but their unique design may require specific analytic approaches. Objective To determine adherence to appropriate research practices for a frequently used large public database, the National Inpatient Sample (NIS) of the Agency for Healthcare Research and Quality (AHRQ). Design, Setting, and Participants In this observational study of the 1082 studies published using the NIS from January 2015 through December 2016, a representative sample of 120 studies was systematically evaluated for adherence to practices required by AHRQ for the design and conduct of research using the NIS. Exposures None. Main Outcomes and Measures All studies were evaluated on 7 required research practices based on AHRQ's recommendations and compiled under 3 domains: (1) data interpretation (interpreting data as hospitalization records rather than unique patients); (2) research design (avoiding use in performing state-, hospital-, and physician-level assessments where inappropriate; not using nonspecific administrative secondary diagnosis codes to study in-hospital events); and (3) data analysis (accounting for complex survey design of the NIS and changes in data structure over time). Results Of 120 published studies, 85% (n = 102) did not adhere to 1 or more required practices and 62% (n = 74) did not adhere to 2 or more required practices. An estimated 925 (95% CI, 852-998) NIS publications did not adhere to 1 or more required practices and 696 (95% CI, 596-796) NIS publications did not adhere to 2 or more required practices. A total of 79 sampled studies (68.3% [95% CI, 59.3%-77.3%]) among the 1082 NIS studies screened for eligibility did not account for the effects of sampling error, clustering, and stratification; 62 (54.4% [95% CI, 44.7%-64.0%]) extrapolated nonspecific secondary diagnoses to infer in-hospital events; 45 (40.4% [95% CI, 30.9%-50.0%]) miscategorized hospitalizations as individual patients; 10 (7.1% [95% CI, 2.1%-12.1%]) performed state-level analyses; and 3 (2.9% [95% CI, 0.0%-6.2%]) reported physician-level volume estimates. Of 27 studies (weighted; 218 studies [95% CI, 134-303]) spanning periods of major changes in the data structure of the NIS, 21 (79.7% [95% CI, 62.5%-97.0%]) did not account for the changes. Among the 24 studies published in journals with an impact factor of 10 or greater, 16 (67%) did not adhere to 1 or more practices, and 9 (38%) did not adhere to 2 or more practices. Conclusi…","author":[{"dropping-particle":"","family":"Khera","given":"Rohan","non-dropping-particle":"","parse-names":false,"suffix":""},{"dropping-particle":"","family":"Angraal","given":"Suveen","non-dropping-particle":"","parse-names":false,"suffix":""},{"dropping-particle":"","family":"Couch","given":"Tyler","non-dropping-particle":"","parse-names":false,"suffix":""},{"dropping-particle":"","family":"Welsh","given":"John W","non-dropping-particle":"","parse-names":false,"suffix":""},{"dropping-particle":"","family":"Nallamothu","given":"Brahmajee K","non-dropping-particle":"","parse-names":false,"suffix":""},{"dropping-particle":"","family":"Girotra","given":"Saket","non-dropping-particle":"","parse-names":false,"suffix":""},{"dropping-particle":"","family":"Chan","given":"Paul S","non-dropping-particle":"","parse-names":false,"suffix":""},{"dropping-particle":"","family":"Krumholz","given":"Harlan M","non-dropping-particle":"","parse-names":false,"suffix":""}],"container-title":"JAMA","id":"ITEM-2","issue":"20","issued":{"date-parts":[["2017"]]},"page":"2011-2018","title":"Adherence to Methodological Standards in Research Using the National Inpatient Sample.","type":"article-journal","volume":"318"},"uris":["http://www.mendeley.com/documents/?uuid=527cf817-f9d2-4066-9161-f06758c1f545"]}],"mendeley":{"formattedCitation":"&lt;sup&gt;[11,18]&lt;/sup&gt;","plainTextFormattedCitation":"[11,18]","previouslyFormattedCitation":"&lt;sup&gt;[11,18]&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[11,18]</w:t>
      </w:r>
      <w:r w:rsidR="004C7441" w:rsidRPr="00E10230">
        <w:rPr>
          <w:rFonts w:ascii="Book Antiqua" w:hAnsi="Book Antiqua" w:cs="Arial"/>
          <w:sz w:val="24"/>
          <w:szCs w:val="24"/>
        </w:rPr>
        <w:fldChar w:fldCharType="end"/>
      </w:r>
      <w:r w:rsidRPr="00E10230">
        <w:rPr>
          <w:rFonts w:ascii="Book Antiqua" w:hAnsi="Book Antiqua" w:cs="Arial"/>
          <w:sz w:val="24"/>
          <w:szCs w:val="24"/>
        </w:rPr>
        <w:t>. Data reporting met the NIS data use agreement as established by the HCUP</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{"citationItems":[{"id":"ITEM-1","itemData":{"ISBN":"1587631857","URL":"https://hcupnet.ahrq.gov/. For more information about HCUP data see http://www.hcup-us.ahrq.gov/","accessed":{"date-parts":[["2017","11","15"]]},"author":[{"dropping-particle":"","family":"Agency for Healthcare Research and Quality","given":"","non-dropping-particle":"","parse-names":false,"suffix":""}],"container-title":"Healthcare Cost and Utilization Project (HCUP)","id":"ITEM-1","issued":{"date-parts":[["0"]]},"title":"Healthcare Cost and Utilization Project","type":"webpage"},"uris":["http://www.mendeley.com/documents/?uuid=ae6b7b60-c0a4-41b9-9370-17b92ccd2218"]}],"mendeley":{"formattedCitation":"&lt;sup&gt;[11]&lt;/sup&gt;","plainTextFormattedCitation":"[11]","previouslyFormattedCitation":"&lt;sup&gt;[11]&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[11]</w:t>
      </w:r>
      <w:r w:rsidR="004C7441" w:rsidRPr="00E10230">
        <w:rPr>
          <w:rFonts w:ascii="Book Antiqua" w:hAnsi="Book Antiqua" w:cs="Arial"/>
          <w:sz w:val="24"/>
          <w:szCs w:val="24"/>
        </w:rPr>
        <w:fldChar w:fldCharType="end"/>
      </w:r>
      <w:r w:rsidRPr="00E10230">
        <w:rPr>
          <w:rFonts w:ascii="Book Antiqua" w:hAnsi="Book Antiqua" w:cs="Arial"/>
          <w:sz w:val="24"/>
          <w:szCs w:val="24"/>
        </w:rPr>
        <w:t>. Since we utilized publicly-accessible, de-identified administrative level aggregate data, rather than patient-specific data, approval from the institutional review board was not required to conduct the study.</w:t>
      </w:r>
    </w:p>
    <w:p w14:paraId="4D777C8E" w14:textId="77777777" w:rsidR="00704241" w:rsidRPr="00E10230" w:rsidRDefault="00704241" w:rsidP="00E10230">
      <w:pPr>
        <w:spacing w:after="0" w:line="360" w:lineRule="auto"/>
        <w:jc w:val="both"/>
        <w:rPr>
          <w:rFonts w:ascii="Book Antiqua" w:hAnsi="Book Antiqua" w:cs="Arial"/>
          <w:sz w:val="24"/>
          <w:szCs w:val="24"/>
        </w:rPr>
      </w:pPr>
    </w:p>
    <w:p w14:paraId="7BF2227B" w14:textId="1508CA4D" w:rsidR="00704241" w:rsidRPr="00E10230" w:rsidRDefault="00704241"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 xml:space="preserve">Study </w:t>
      </w:r>
      <w:r w:rsidR="004C7441" w:rsidRPr="00E10230">
        <w:rPr>
          <w:rFonts w:ascii="Book Antiqua" w:hAnsi="Book Antiqua" w:cs="Arial"/>
          <w:b/>
          <w:i/>
          <w:sz w:val="24"/>
          <w:szCs w:val="24"/>
        </w:rPr>
        <w:t>population</w:t>
      </w:r>
    </w:p>
    <w:p w14:paraId="1321D327" w14:textId="278AEC20" w:rsidR="00704241" w:rsidRPr="00E10230" w:rsidRDefault="00704241" w:rsidP="00E10230">
      <w:pPr>
        <w:tabs>
          <w:tab w:val="left" w:pos="2880"/>
        </w:tabs>
        <w:spacing w:after="0" w:line="360" w:lineRule="auto"/>
        <w:jc w:val="both"/>
        <w:rPr>
          <w:rFonts w:ascii="Book Antiqua" w:hAnsi="Book Antiqua" w:cs="Arial"/>
          <w:sz w:val="24"/>
          <w:szCs w:val="24"/>
        </w:rPr>
      </w:pPr>
      <w:r w:rsidRPr="00E10230">
        <w:rPr>
          <w:rFonts w:ascii="Book Antiqua" w:hAnsi="Book Antiqua" w:cs="Arial"/>
          <w:sz w:val="24"/>
          <w:szCs w:val="24"/>
        </w:rPr>
        <w:t>We conducted a retrospective study utilizing the NIS to assess 10 year temporal trends from 2005 to 2014 for total number of discharges, death, mortality, length of stay (LOS), mean charges, aggregate charges, aggregate costs, age, sex, insurance types (Medicare, Medicaid, Private insurance, Uninsured, Other or Missing) and bed size (Small, Medium and Large) related to hospitalization, with a primary diagnosis of HC, TIPS, EV and SBP, using International Classification of Diseases (ICD)-9 codes (HC: 572.2; HC secondary to viral hepatitis: 070.0, 070.20-23, 070.41-44, 070.49, 070.6, 070.71; TIPS: 39.1; EV: 456.0; SBP: 567.23)</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{"citationItems":[{"id":"ITEM-1","itemData":{"ISBN":"1587631857","URL":"https://hcupnet.ahrq.gov/. For more information about HCUP data see http://www.hcup-us.ahrq.gov/","accessed":{"date-parts":[["2017","11","15"]]},"author":[{"dropping-particle":"","family":"Agency for Healthcare Research and Quality","given":"","non-dropping-particle":"","parse-names":false,"suffix":""}],"container-title":"Healthcare Cost and Utilization Project (HCUP)","id":"ITEM-1","issued":{"date-parts":[["0"]]},"title":"Healthcare Cost and Utilization Project","type":"webpage"},"uris":["http://www.mendeley.com/documents/?uuid=ae6b7b60-c0a4-41b9-9370-17b92ccd2218"]},{"id":"ITEM-2","itemData":{"DOI":"10.1097/MCG.0b013e3182688d2f","ISSN":"1539-2031","PMID":"23090041","abstract":"BACKGROUND Administrative data are used in clinical research, but the validity of ICD-9 codes to identify cirrhotic patients has not been well established. GOALS To determine the diagnostic accuracy of ICD-9 codes for cirrhosis in clinical practice. STUDY We conducted a retrospective cohort study of patients from a safety-net hospital between 2008 and 2011. Patients were initially identified using ICD-9 codes for cirrhosis or a resultant complication. The gold-standard for diagnosis of cirrhosis was histology and/or imaging based on medical record review. Sensitivity, specificity, positive predictive values, and negative predictive values for each ICD-9 code were calculated. Diagnostic accuracy was assessed by the c-statistic using receiver operator characteristic curve analysis. RESULTS We identified 2893 patients with an ICD-9 code for cirrhosis, of whom 50.2% had 1 ICD-9 code, 20.3% had 2 different codes, and 29.5% had 3 or more codes. Cirrhosis was confirmed in 44.0% of patients with 1 ICD-9 code, 82.6% with 2 codes, and 95.7% of those with at least 3 codes. Ascites had a significantly lower positive predictive values for cirrhosis than other ICD-9 codes (P&lt;0.001). The optimal combination of ICD-9 codes to identify cirrhotic patients included all codes except that of ascites, with a c-statistic of 0.71 in our derivation cohort. The sensitivity of this combination was confirmed to be 98% in a validation cohort of 285 patients with known cirrhosis. CONCLUSIONS Administrative data can identify patients with cirrhosis with high accuracy, although ascites has a significantly lower positive predictive value than other ICD-9 codes.","author":[{"dropping-particle":"","family":"Nehra","given":"Mahendra S","non-dropping-particle":"","parse-names":false,"suffix":""},{"dropping-particle":"","family":"Ma","given":"Ying","non-dropping-particle":"","parse-names":false,"suffix":""},{"dropping-particle":"","family":"Clark","given":"Christopher","non-dropping-particle":"","parse-names":false,"suffix":""},{"dropping-particle":"","family":"Amarasingham","given":"Ruben","non-dropping-particle":"","parse-names":false,"suffix":""},{"dropping-particle":"","family":"Rockey","given":"Don C","non-dropping-particle":"","parse-names":false,"suffix":""},{"dropping-particle":"","family":"Singal","given":"Amit G","non-dropping-particle":"","parse-names":false,"suffix":""}],"container-title":"Journal of clinical gastroenterology","id":"ITEM-2","issue":"5","issued":{"date-parts":[["0"]]},"page":"e50-4","title":"Use of administrative claims data for identifying patients with cirrhosis.","type":"article-journal","volume":"47"},"uris":["http://www.mendeley.com/documents/?uuid=95f4bc94-254b-4edc-ac33-079ca8576605"]}],"mendeley":{"formattedCitation":"&lt;sup&gt;[11,19]&lt;/sup&gt;","plainTextFormattedCitation":"[11,19]","previouslyFormattedCitation":"&lt;sup&gt;[11,19]&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[11,19]</w:t>
      </w:r>
      <w:r w:rsidR="004C7441" w:rsidRPr="00E10230">
        <w:rPr>
          <w:rFonts w:ascii="Book Antiqua" w:hAnsi="Book Antiqua" w:cs="Arial"/>
          <w:sz w:val="24"/>
          <w:szCs w:val="24"/>
        </w:rPr>
        <w:fldChar w:fldCharType="end"/>
      </w:r>
      <w:r w:rsidRPr="00E10230">
        <w:rPr>
          <w:rFonts w:ascii="Book Antiqua" w:hAnsi="Book Antiqua" w:cs="Arial"/>
          <w:sz w:val="24"/>
          <w:szCs w:val="24"/>
        </w:rPr>
        <w:t xml:space="preserve">. </w:t>
      </w:r>
      <w:r w:rsidR="00505F06" w:rsidRPr="00E10230">
        <w:rPr>
          <w:rFonts w:ascii="Book Antiqua" w:hAnsi="Book Antiqua" w:cs="Arial"/>
          <w:sz w:val="24"/>
          <w:szCs w:val="24"/>
        </w:rPr>
        <w:t xml:space="preserve">A primary diagnosis is the main reason why patients are hospitalized, rather than </w:t>
      </w:r>
      <w:r w:rsidR="005E5F57" w:rsidRPr="00E10230">
        <w:rPr>
          <w:rFonts w:ascii="Book Antiqua" w:hAnsi="Book Antiqua" w:cs="Arial"/>
          <w:sz w:val="24"/>
          <w:szCs w:val="24"/>
        </w:rPr>
        <w:t xml:space="preserve">a secondary diagnosis which sometimes used to identify </w:t>
      </w:r>
      <w:r w:rsidR="00505F06" w:rsidRPr="00E10230">
        <w:rPr>
          <w:rFonts w:ascii="Book Antiqua" w:hAnsi="Book Antiqua" w:cs="Arial"/>
          <w:sz w:val="24"/>
          <w:szCs w:val="24"/>
        </w:rPr>
        <w:t xml:space="preserve">continuation of treatment for chronic conditions in the hospital. </w:t>
      </w:r>
      <w:r w:rsidRPr="00E10230">
        <w:rPr>
          <w:rFonts w:ascii="Book Antiqua" w:hAnsi="Book Antiqua" w:cs="Arial"/>
          <w:sz w:val="24"/>
          <w:szCs w:val="24"/>
        </w:rPr>
        <w:t>These ICD-9 codes have been validated in literature except HC secondary to viral hepatitis</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{"citationItems":[{"id":"ITEM-1","itemData":{"DOI":"10.1097/MCG.0b013e3182688d2f","ISSN":"1539-2031","PMID":"23090041","abstract":"BACKGROUND Administrative data are used in clinical research, but the validity of ICD-9 codes to identify cirrhotic patients has not been well established. GOALS To determine the diagnostic accuracy of ICD-9 codes for cirrhosis in clinical practice. STUDY We conducted a retrospective cohort study of patients from a safety-net hospital between 2008 and 2011. Patients were initially identified using ICD-9 codes for cirrhosis or a resultant complication. The gold-standard for diagnosis of cirrhosis was histology and/or imaging based on medical record review. Sensitivity, specificity, positive predictive values, and negative predictive values for each ICD-9 code were calculated. Diagnostic accuracy was assessed by the c-statistic using receiver operator characteristic curve analysis. RESULTS We identified 2893 patients with an ICD-9 code for cirrhosis, of whom 50.2% had 1 ICD-9 code, 20.3% had 2 different codes, and 29.5% had 3 or more codes. Cirrhosis was confirmed in 44.0% of patients with 1 ICD-9 code, 82.6% with 2 codes, and 95.7% of those with at least 3 codes. Ascites had a significantly lower positive predictive values for cirrhosis than other ICD-9 codes (P&lt;0.001). The optimal combination of ICD-9 codes to identify cirrhotic patients included all codes except that of ascites, with a c-statistic of 0.71 in our derivation cohort. The sensitivity of this combination was confirmed to be 98% in a validation cohort of 285 patients with known cirrhosis. CONCLUSIONS Administrative data can identify patients with cirrhosis with high accuracy, although ascites has a significantly lower positive predictive value than other ICD-9 codes.","author":[{"dropping-particle":"","family":"Nehra","given":"Mahendra S","non-dropping-particle":"","parse-names":false,"suffix":""},{"dropping-particle":"","family":"Ma","given":"Ying","non-dropping-particle":"","parse-names":false,"suffix":""},{"dropping-particle":"","family":"Clark","given":"Christopher","non-dropping-particle":"","parse-names":false,"suffix":""},{"dropping-particle":"","family":"Amarasingham","given":"Ruben","non-dropping-particle":"","parse-names":false,"suffix":""},{"dropping-particle":"","family":"Rockey","given":"Don C","non-dropping-particle":"","parse-names":false,"suffix":""},{"dropping-particle":"","family":"Singal","given":"Amit G","non-dropping-particle":"","parse-names":false,"suffix":""}],"container-title":"Journal of clinical gastroenterology","id":"ITEM-1","issue":"5","issued":{"date-parts":[["0"]]},"page":"e50-4","title":"Use of administrative claims data for identifying patients with cirrhosis.","type":"article-journal","volume":"47"},"uris":["http://www.mendeley.com/documents/?uuid=95f4bc94-254b-4edc-ac33-079ca8576605"]}],"mendeley":{"formattedCitation":"&lt;sup&gt;[19]&lt;/sup&gt;","plainTextFormattedCitation":"[19]","previouslyFormattedCitation":"&lt;sup&gt;[19]&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[19]</w:t>
      </w:r>
      <w:r w:rsidR="004C7441" w:rsidRPr="00E10230">
        <w:rPr>
          <w:rFonts w:ascii="Book Antiqua" w:hAnsi="Book Antiqua" w:cs="Arial"/>
          <w:sz w:val="24"/>
          <w:szCs w:val="24"/>
        </w:rPr>
        <w:fldChar w:fldCharType="end"/>
      </w:r>
      <w:r w:rsidRPr="00E10230">
        <w:rPr>
          <w:rFonts w:ascii="Book Antiqua" w:hAnsi="Book Antiqua" w:cs="Arial"/>
          <w:sz w:val="24"/>
          <w:szCs w:val="24"/>
        </w:rPr>
        <w:t xml:space="preserve">. </w:t>
      </w:r>
      <w:r w:rsidR="00C61907" w:rsidRPr="00E10230">
        <w:rPr>
          <w:rFonts w:ascii="Book Antiqua" w:hAnsi="Book Antiqua" w:cs="Arial"/>
          <w:sz w:val="24"/>
          <w:szCs w:val="24"/>
        </w:rPr>
        <w:t>Codes for HC secondary to viral hepatitis include acute viral hepatitis resulted in HC. However, if providers used codes for unspecified acute liver failure which resulted in HC from viral hepatitis, our analysis was unable to include these populations due t</w:t>
      </w:r>
      <w:r w:rsidR="004C7441" w:rsidRPr="00E10230">
        <w:rPr>
          <w:rFonts w:ascii="Book Antiqua" w:hAnsi="Book Antiqua" w:cs="Arial"/>
          <w:sz w:val="24"/>
          <w:szCs w:val="24"/>
        </w:rPr>
        <w:t>o lack of specificity of codes.</w:t>
      </w:r>
      <w:r w:rsidR="00C61907" w:rsidRPr="00E10230">
        <w:rPr>
          <w:rFonts w:ascii="Book Antiqua" w:hAnsi="Book Antiqua" w:cs="Arial"/>
          <w:sz w:val="24"/>
          <w:szCs w:val="24"/>
        </w:rPr>
        <w:t xml:space="preserve"> </w:t>
      </w:r>
      <w:r w:rsidRPr="00E10230">
        <w:rPr>
          <w:rFonts w:ascii="Book Antiqua" w:hAnsi="Book Antiqua" w:cs="Arial"/>
          <w:sz w:val="24"/>
          <w:szCs w:val="24"/>
        </w:rPr>
        <w:t>As the coding behavior is becoming more specific due to insurance requirement, we expect that inclusion codes related to HC secondary to viral hepatitis will be an important part of analysis. This will allow us to evaluate if the changes related to HC is merely an artifact of coding behavior. We also obtained data for a National all-cause hospitalization (national) for a comparison. Importantly, the ICD-9 code for SBP, 567.23, was introduced in 2005</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{"citationItems":[{"id":"ITEM-1","itemData":{"DOI":"10.1002/hep.28812","ISSN":"1527-3350","PMID":"27696493","abstract":"Acute on chronic liver failure (ACLF) is associated with multisystem organ failure and poor prognosis in hospitalized patients with cirrhosis. We aimed to determine time trends in the epidemiology, economic burden, and mortality of ACLF in the United States. The National Inpatient Sample database was queried between 2001 and 2011. ACLF was defined as two or more extrahepatic organ failures in patients with cirrhosis. The primary outcomes were trends in hospitalizations, hospital costs, and inpatient mortality. The number of hospitalizations for cirrhosis in the United States nearly doubled from 371,000 in 2001 to 659,000 in 2011. The prevalence of ACLF among those hospitalizations increased from 1.5% (n = 5,400) to 5% (n = 32,300). The inpatient costs increased 2-fold for cirrhosis ($4.8 billion to $9.8 billion) and 5-fold ($320 million to $1.7 billion) for ACLF. In 2011, the cost per hospitalization for ACLF was 3.5-fold higher than that for cirrhosis ($53,570 versus $15,193). The in-hospital fatality rates decreased from 65% to 50% for ACLF and from 10% to 7% for cirrhosis. The organ failure trends in ACLF showed an increasing proportion of cardiovascular and cerebral and decreasing proportion of respiratory and renal failure. Age, male sex, and the number and types of organ failure were predictors of death in ACLF. CONCLUSION Cirrhosis and ACLF represent a substantial and increasing health and economic burden in the United States; these data highlight an urgent need for research on pathophysiological mechanisms and effective therapy as well as for education of health care providers of its importance in the care of patients with cirrhosis. (Hepatology 2016;64:2165-2172).","author":[{"dropping-particle":"","family":"Allen","given":"Alina M","non-dropping-particle":"","parse-names":false,"suffix":""},{"dropping-particle":"","family":"Kim","given":"W Ray","non-dropping-particle":"","parse-names":false,"suffix":""},{"dropping-particle":"","family":"Moriarty","given":"James P","non-dropping-particle":"","parse-names":false,"suffix":""},{"dropping-particle":"","family":"Shah","given":"Nilay D","non-dropping-particle":"","parse-names":false,"suffix":""},{"dropping-particle":"","family":"Larson","given":"Joseph J","non-dropping-particle":"","parse-names":false,"suffix":""},{"dropping-particle":"","family":"Kamath","given":"Patrick S","non-dropping-particle":"","parse-names":false,"suffix":""}],"container-title":"Hepatology (Baltimore, Md.)","id":"ITEM-1","issue":"6","issued":{"date-parts":[["2016"]]},"page":"2165-2172","title":"Time trends in the health care burden and mortality of acute on chronic liver failure in the United States.","type":"article-journal","volume":"64"},"uris":["http://www.mendeley.com/documents/?uuid=04c4c823-156e-4b3d-acc4-8ec2a18441fc"]}],"mendeley":{"formattedCitation":"&lt;sup&gt;[13]&lt;/sup&gt;","plainTextFormattedCitation":"[13]","previouslyFormattedCitation":"&lt;sup&gt;[13]&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[13]</w:t>
      </w:r>
      <w:r w:rsidR="004C7441" w:rsidRPr="00E10230">
        <w:rPr>
          <w:rFonts w:ascii="Book Antiqua" w:hAnsi="Book Antiqua" w:cs="Arial"/>
          <w:sz w:val="24"/>
          <w:szCs w:val="24"/>
        </w:rPr>
        <w:fldChar w:fldCharType="end"/>
      </w:r>
      <w:r w:rsidRPr="00E10230">
        <w:rPr>
          <w:rFonts w:ascii="Book Antiqua" w:hAnsi="Book Antiqua" w:cs="Arial"/>
          <w:sz w:val="24"/>
          <w:szCs w:val="24"/>
        </w:rPr>
        <w:t xml:space="preserve">. We only evaluated a primary diagnosis of ICD-9 codes rather than a secondary </w:t>
      </w:r>
      <w:r w:rsidRPr="00E10230">
        <w:rPr>
          <w:rFonts w:ascii="Book Antiqua" w:hAnsi="Book Antiqua" w:cs="Arial"/>
          <w:sz w:val="24"/>
          <w:szCs w:val="24"/>
        </w:rPr>
        <w:lastRenderedPageBreak/>
        <w:t xml:space="preserve">diagnosis to avoid duplication in the data. We chose to end the study period in 2014 since the official transition from ICD-9 codes to ICD-10 codes occurred nationally in 2015. </w:t>
      </w:r>
    </w:p>
    <w:p w14:paraId="13AE4C6C" w14:textId="77777777" w:rsidR="00704241" w:rsidRPr="00E10230" w:rsidRDefault="00704241" w:rsidP="00E10230">
      <w:pPr>
        <w:spacing w:after="0" w:line="360" w:lineRule="auto"/>
        <w:jc w:val="both"/>
        <w:rPr>
          <w:rFonts w:ascii="Book Antiqua" w:hAnsi="Book Antiqua" w:cs="Arial"/>
          <w:sz w:val="24"/>
          <w:szCs w:val="24"/>
        </w:rPr>
      </w:pPr>
    </w:p>
    <w:p w14:paraId="20B68921" w14:textId="77777777" w:rsidR="00704241" w:rsidRPr="00E10230" w:rsidRDefault="00704241"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Statistical analysis</w:t>
      </w:r>
    </w:p>
    <w:p w14:paraId="15B76BD1" w14:textId="54C2D1B5" w:rsidR="00704241" w:rsidRPr="00E10230" w:rsidRDefault="00E84094" w:rsidP="00E10230">
      <w:pPr>
        <w:spacing w:after="0" w:line="360" w:lineRule="auto"/>
        <w:jc w:val="both"/>
        <w:rPr>
          <w:rFonts w:ascii="Book Antiqua" w:hAnsi="Book Antiqua" w:cs="Arial"/>
          <w:sz w:val="24"/>
          <w:szCs w:val="24"/>
        </w:rPr>
      </w:pPr>
      <w:r w:rsidRPr="00E10230">
        <w:rPr>
          <w:rFonts w:ascii="Book Antiqua" w:hAnsi="Book Antiqua" w:cs="Arial"/>
          <w:sz w:val="24"/>
          <w:szCs w:val="24"/>
        </w:rPr>
        <w:t>A b</w:t>
      </w:r>
      <w:r w:rsidR="00461437" w:rsidRPr="00E10230">
        <w:rPr>
          <w:rFonts w:ascii="Book Antiqua" w:hAnsi="Book Antiqua" w:cs="Arial"/>
          <w:sz w:val="24"/>
          <w:szCs w:val="24"/>
        </w:rPr>
        <w:t xml:space="preserve">iomedical </w:t>
      </w:r>
      <w:r w:rsidRPr="00E10230">
        <w:rPr>
          <w:rFonts w:ascii="Book Antiqua" w:hAnsi="Book Antiqua" w:cs="Arial"/>
          <w:sz w:val="24"/>
          <w:szCs w:val="24"/>
        </w:rPr>
        <w:t>statistician GZ reviewed and performed statistical analysis.</w:t>
      </w:r>
      <w:r w:rsidR="00461437" w:rsidRPr="00E10230">
        <w:rPr>
          <w:rFonts w:ascii="Book Antiqua" w:hAnsi="Book Antiqua" w:cs="Arial"/>
          <w:sz w:val="24"/>
          <w:szCs w:val="24"/>
        </w:rPr>
        <w:t xml:space="preserve"> </w:t>
      </w:r>
      <w:r w:rsidR="00704241" w:rsidRPr="00E10230">
        <w:rPr>
          <w:rFonts w:ascii="Book Antiqua" w:hAnsi="Book Antiqua" w:cs="Arial"/>
          <w:sz w:val="24"/>
          <w:szCs w:val="24"/>
        </w:rPr>
        <w:t xml:space="preserve">Both charges and costs were inflation-adjusted using the appropriate Consumer Price Index (https://www.bls.gov/cpi/) and all converted to 2014 </w:t>
      </w:r>
      <w:r w:rsidR="004C7441" w:rsidRPr="00E10230">
        <w:rPr>
          <w:rFonts w:ascii="Book Antiqua" w:eastAsiaTheme="minorEastAsia" w:hAnsi="Book Antiqua" w:cs="Arial"/>
          <w:sz w:val="24"/>
          <w:szCs w:val="24"/>
          <w:lang w:eastAsia="zh-CN"/>
        </w:rPr>
        <w:t>United States</w:t>
      </w:r>
      <w:r w:rsidR="00704241" w:rsidRPr="00E10230">
        <w:rPr>
          <w:rFonts w:ascii="Book Antiqua" w:hAnsi="Book Antiqua" w:cs="Arial"/>
          <w:sz w:val="24"/>
          <w:szCs w:val="24"/>
        </w:rPr>
        <w:t xml:space="preserve"> dollars. We compared the 10-year temporal trends of discharges, mortalities, charges and costs data using simple linear regressions using SAS version 9.4 (SAS Institute Inc., Cary, NC). We also used multiple regression analysis to explore the adjustments of mean age and </w:t>
      </w:r>
      <w:r w:rsidR="004C7441" w:rsidRPr="00E10230">
        <w:rPr>
          <w:rFonts w:ascii="Book Antiqua" w:eastAsiaTheme="minorEastAsia" w:hAnsi="Book Antiqua" w:cs="Arial"/>
          <w:sz w:val="24"/>
          <w:szCs w:val="24"/>
          <w:lang w:eastAsia="zh-CN"/>
        </w:rPr>
        <w:t>LOS</w:t>
      </w:r>
      <w:r w:rsidR="00704241" w:rsidRPr="00E10230">
        <w:rPr>
          <w:rFonts w:ascii="Book Antiqua" w:hAnsi="Book Antiqua" w:cs="Arial"/>
          <w:sz w:val="24"/>
          <w:szCs w:val="24"/>
        </w:rPr>
        <w:t xml:space="preserve"> for outcomes that showed significant temporal trends in simple regressions. Nonrandom temporal trends (or “special-cause variation”) were also demonstrated by run charts using the statistical process control decision rule: there are 6 or more consecutive data points always going up or going down over time</w:t>
      </w:r>
      <w:r w:rsidR="00324AD6" w:rsidRPr="00E10230">
        <w:rPr>
          <w:rFonts w:ascii="Book Antiqua" w:hAnsi="Book Antiqua" w:cs="Arial"/>
          <w:sz w:val="24"/>
          <w:szCs w:val="24"/>
        </w:rPr>
        <w:fldChar w:fldCharType="begin" w:fldLock="1"/>
      </w:r>
      <w:r w:rsidR="00324AD6" w:rsidRPr="00E10230">
        <w:rPr>
          <w:rFonts w:ascii="Book Antiqua" w:hAnsi="Book Antiqua" w:cs="Arial"/>
          <w:sz w:val="24"/>
          <w:szCs w:val="24"/>
        </w:rPr>
        <w:instrText>ADDIN CSL_CITATION {"citationItems":[{"id":"ITEM-1","itemData":{"DOI":"10.1136/bmjqs.2009.037895","ISSN":"2044-5423","PMID":"21228075","abstract":"BACKGROUND Those working in healthcare today are challenged more than ever before to quickly and efficiently learn from data to improve their services and delivery of care. There is broad agreement that healthcare professionals working on the front lines benefit greatly from the visual display of data presented in time order. AIM To describe the run chart-an analytical tool commonly used by professionals in quality improvement but underutilised in healthcare. METHODS A standard approach to the construction, use and interpretation of run charts for healthcare applications is developed based on the statistical process control literature. DISCUSSION Run charts allow us to understand objectively if the changes we make to a process or system over time lead to improvements and do so with minimal mathematical complexity. This method of analyzing and reporting data is of greater value to improvement projects and teams than traditional aggregate summary statistics that ignore time order. Because of its utility and simplicity, the run chart has wide potential application in healthcare for practitioners and decision-makers. Run charts also provide the foundation for more sophisticated methods of analysis and learning such as Shewhart (control) charts and planned experimentation.","author":[{"dropping-particle":"","family":"Perla","given":"Rocco J","non-dropping-particle":"","parse-names":false,"suffix":""},{"dropping-particle":"","family":"Provost","given":"Lloyd P","non-dropping-particle":"","parse-names":false,"suffix":""},{"dropping-particle":"","family":"Murray","given":"Sandy K","non-dropping-particle":"","parse-names":false,"suffix":""}],"container-title":"BMJ quality &amp; safety","id":"ITEM-1","issue":"1","issued":{"date-parts":[["2011","1"]]},"page":"46-51","title":"The run chart: a simple analytical tool for learning from variation in healthcare processes.","type":"article-journal","volume":"20"},"uris":["http://www.mendeley.com/documents/?uuid=ca441387-a3c8-4cfb-8ba3-049709212b07"]}],"mendeley":{"formattedCitation":"&lt;sup&gt;[20]&lt;/sup&gt;","plainTextFormattedCitation":"[20]","previouslyFormattedCitation":"&lt;sup&gt;[20]&lt;/sup&gt;"},"properties":{"noteIndex":0},"schema":"https://github.com/citation-style-language/schema/raw/master/csl-citation.json"}</w:instrText>
      </w:r>
      <w:r w:rsidR="00324AD6" w:rsidRPr="00E10230">
        <w:rPr>
          <w:rFonts w:ascii="Book Antiqua" w:hAnsi="Book Antiqua" w:cs="Arial"/>
          <w:sz w:val="24"/>
          <w:szCs w:val="24"/>
        </w:rPr>
        <w:fldChar w:fldCharType="separate"/>
      </w:r>
      <w:r w:rsidR="00324AD6" w:rsidRPr="00E10230">
        <w:rPr>
          <w:rFonts w:ascii="Book Antiqua" w:hAnsi="Book Antiqua" w:cs="Arial"/>
          <w:noProof/>
          <w:sz w:val="24"/>
          <w:szCs w:val="24"/>
          <w:vertAlign w:val="superscript"/>
        </w:rPr>
        <w:t>[20]</w:t>
      </w:r>
      <w:r w:rsidR="00324AD6" w:rsidRPr="00E10230">
        <w:rPr>
          <w:rFonts w:ascii="Book Antiqua" w:hAnsi="Book Antiqua" w:cs="Arial"/>
          <w:sz w:val="24"/>
          <w:szCs w:val="24"/>
        </w:rPr>
        <w:fldChar w:fldCharType="end"/>
      </w:r>
      <w:r w:rsidR="00704241" w:rsidRPr="00E10230">
        <w:rPr>
          <w:rFonts w:ascii="Book Antiqua" w:hAnsi="Book Antiqua" w:cs="Arial"/>
          <w:sz w:val="24"/>
          <w:szCs w:val="24"/>
        </w:rPr>
        <w:t xml:space="preserve">. Two-sided </w:t>
      </w:r>
      <w:r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00704241" w:rsidRPr="00E10230">
        <w:rPr>
          <w:rFonts w:ascii="Book Antiqua" w:hAnsi="Book Antiqua" w:cs="Arial"/>
          <w:sz w:val="24"/>
          <w:szCs w:val="24"/>
        </w:rPr>
        <w:t>&lt;</w:t>
      </w:r>
      <w:r w:rsidR="00324AD6" w:rsidRPr="00E10230">
        <w:rPr>
          <w:rFonts w:ascii="Book Antiqua" w:eastAsiaTheme="minorEastAsia" w:hAnsi="Book Antiqua" w:cs="Arial"/>
          <w:sz w:val="24"/>
          <w:szCs w:val="24"/>
          <w:lang w:eastAsia="zh-CN"/>
        </w:rPr>
        <w:t xml:space="preserve"> </w:t>
      </w:r>
      <w:r w:rsidR="00704241" w:rsidRPr="00E10230">
        <w:rPr>
          <w:rFonts w:ascii="Book Antiqua" w:hAnsi="Book Antiqua" w:cs="Arial"/>
          <w:sz w:val="24"/>
          <w:szCs w:val="24"/>
        </w:rPr>
        <w:t>0.05 was considered statistically significant without multiple comparison adjustments.</w:t>
      </w:r>
    </w:p>
    <w:p w14:paraId="38AFE693" w14:textId="77777777" w:rsidR="00704241" w:rsidRPr="00E10230" w:rsidRDefault="00704241" w:rsidP="00E10230">
      <w:pPr>
        <w:spacing w:after="0" w:line="360" w:lineRule="auto"/>
        <w:jc w:val="both"/>
        <w:rPr>
          <w:rFonts w:ascii="Book Antiqua" w:hAnsi="Book Antiqua" w:cs="Arial"/>
          <w:sz w:val="24"/>
          <w:szCs w:val="24"/>
        </w:rPr>
      </w:pPr>
    </w:p>
    <w:p w14:paraId="4F2D7157" w14:textId="77777777" w:rsidR="00704241" w:rsidRPr="00E10230" w:rsidRDefault="0010004A" w:rsidP="00E10230">
      <w:pPr>
        <w:spacing w:after="0" w:line="360" w:lineRule="auto"/>
        <w:jc w:val="both"/>
        <w:rPr>
          <w:rFonts w:ascii="Book Antiqua" w:hAnsi="Book Antiqua" w:cs="Arial"/>
          <w:b/>
          <w:sz w:val="24"/>
          <w:szCs w:val="24"/>
        </w:rPr>
      </w:pPr>
      <w:r w:rsidRPr="00E10230">
        <w:rPr>
          <w:rFonts w:ascii="Book Antiqua" w:hAnsi="Book Antiqua" w:cs="Arial"/>
          <w:b/>
          <w:sz w:val="24"/>
          <w:szCs w:val="24"/>
        </w:rPr>
        <w:t>RESULTS</w:t>
      </w:r>
    </w:p>
    <w:p w14:paraId="1D61EB94" w14:textId="1C65E69D" w:rsidR="00704241" w:rsidRPr="00E10230" w:rsidRDefault="00704241" w:rsidP="00E10230">
      <w:pPr>
        <w:spacing w:after="0" w:line="360" w:lineRule="auto"/>
        <w:jc w:val="both"/>
        <w:rPr>
          <w:rFonts w:ascii="Book Antiqua" w:hAnsi="Book Antiqua" w:cs="Arial"/>
          <w:sz w:val="24"/>
          <w:szCs w:val="24"/>
        </w:rPr>
      </w:pPr>
      <w:r w:rsidRPr="00E10230">
        <w:rPr>
          <w:rFonts w:ascii="Book Antiqua" w:hAnsi="Book Antiqua" w:cs="Arial"/>
          <w:sz w:val="24"/>
          <w:szCs w:val="24"/>
        </w:rPr>
        <w:t xml:space="preserve">Temporal trends of discharges for cirrhosis-associated </w:t>
      </w:r>
      <w:r w:rsidR="008361FB" w:rsidRPr="00E10230">
        <w:rPr>
          <w:rFonts w:ascii="Book Antiqua" w:hAnsi="Book Antiqua" w:cs="Arial"/>
          <w:sz w:val="24"/>
          <w:szCs w:val="24"/>
        </w:rPr>
        <w:t xml:space="preserve">conditions </w:t>
      </w:r>
      <w:r w:rsidRPr="00E10230">
        <w:rPr>
          <w:rFonts w:ascii="Book Antiqua" w:hAnsi="Book Antiqua" w:cs="Arial"/>
          <w:sz w:val="24"/>
          <w:szCs w:val="24"/>
        </w:rPr>
        <w:t>are shown in Figure 1</w:t>
      </w:r>
      <w:r w:rsidR="00324AD6" w:rsidRPr="00E10230">
        <w:rPr>
          <w:rFonts w:ascii="Book Antiqua" w:eastAsiaTheme="minorEastAsia" w:hAnsi="Book Antiqua" w:cs="Arial"/>
          <w:sz w:val="24"/>
          <w:szCs w:val="24"/>
          <w:lang w:eastAsia="zh-CN"/>
        </w:rPr>
        <w:t>A-C</w:t>
      </w:r>
      <w:r w:rsidRPr="00E10230">
        <w:rPr>
          <w:rFonts w:ascii="Book Antiqua" w:hAnsi="Book Antiqua" w:cs="Arial"/>
          <w:sz w:val="24"/>
          <w:szCs w:val="24"/>
        </w:rPr>
        <w:t>. From 2005 to 2014, the primary diagnosis of four cirrhosis related pathologies were all trending up except TIPS (HC,</w:t>
      </w:r>
      <w:r w:rsidR="00324AD6" w:rsidRPr="00E10230">
        <w:rPr>
          <w:rFonts w:ascii="Book Antiqua" w:hAnsi="Book Antiqua" w:cs="Arial"/>
          <w:sz w:val="24"/>
          <w:szCs w:val="24"/>
        </w:rPr>
        <w:t xml:space="preserve"> 47268 to 80</w:t>
      </w:r>
      <w:r w:rsidRPr="00E10230">
        <w:rPr>
          <w:rFonts w:ascii="Book Antiqua" w:hAnsi="Book Antiqua" w:cs="Arial"/>
          <w:sz w:val="24"/>
          <w:szCs w:val="24"/>
        </w:rPr>
        <w:t xml:space="preserve">470 by 70% increase, slope estimate (annual change rate) = 4205 [95% </w:t>
      </w:r>
      <w:r w:rsidR="0010004A" w:rsidRPr="00E10230">
        <w:rPr>
          <w:rFonts w:ascii="Book Antiqua" w:hAnsi="Book Antiqua" w:cs="Arial"/>
          <w:sz w:val="24"/>
          <w:szCs w:val="24"/>
        </w:rPr>
        <w:t>confidence interval (</w:t>
      </w:r>
      <w:r w:rsidRPr="00E10230">
        <w:rPr>
          <w:rFonts w:ascii="Book Antiqua" w:hAnsi="Book Antiqua" w:cs="Arial"/>
          <w:sz w:val="24"/>
          <w:szCs w:val="24"/>
        </w:rPr>
        <w:t>CI</w:t>
      </w:r>
      <w:r w:rsidR="0010004A" w:rsidRPr="00E10230">
        <w:rPr>
          <w:rFonts w:ascii="Book Antiqua" w:hAnsi="Book Antiqua" w:cs="Arial"/>
          <w:sz w:val="24"/>
          <w:szCs w:val="24"/>
        </w:rPr>
        <w:t>)</w:t>
      </w:r>
      <w:r w:rsidRPr="00E10230">
        <w:rPr>
          <w:rFonts w:ascii="Book Antiqua" w:hAnsi="Book Antiqua" w:cs="Arial"/>
          <w:sz w:val="24"/>
          <w:szCs w:val="24"/>
        </w:rPr>
        <w:t xml:space="preserve"> = 3739 to 4671], </w:t>
      </w:r>
      <w:r w:rsidR="0010004A"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324AD6" w:rsidRPr="00E10230">
        <w:rPr>
          <w:rFonts w:ascii="Book Antiqua" w:eastAsiaTheme="minorEastAsia" w:hAnsi="Book Antiqua" w:cs="Arial"/>
          <w:sz w:val="24"/>
          <w:szCs w:val="24"/>
          <w:lang w:eastAsia="zh-CN"/>
        </w:rPr>
        <w:t xml:space="preserve"> </w:t>
      </w:r>
      <w:r w:rsidR="00324AD6" w:rsidRPr="00E10230">
        <w:rPr>
          <w:rFonts w:ascii="Book Antiqua" w:hAnsi="Book Antiqua" w:cs="Arial"/>
          <w:sz w:val="24"/>
          <w:szCs w:val="24"/>
        </w:rPr>
        <w:t>0.0001; SBP, 821 to 7</w:t>
      </w:r>
      <w:r w:rsidRPr="00E10230">
        <w:rPr>
          <w:rFonts w:ascii="Book Antiqua" w:hAnsi="Book Antiqua" w:cs="Arial"/>
          <w:sz w:val="24"/>
          <w:szCs w:val="24"/>
        </w:rPr>
        <w:t xml:space="preserve">545 by 819% increase, slope = 660 [428 to 893], </w:t>
      </w:r>
      <w:r w:rsidR="0010004A"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00324AD6" w:rsidRPr="00E10230">
        <w:rPr>
          <w:rFonts w:ascii="Book Antiqua" w:hAnsi="Book Antiqua" w:cs="Arial"/>
          <w:sz w:val="24"/>
          <w:szCs w:val="24"/>
        </w:rPr>
        <w:t>0.0002; EV, 3942 to 4</w:t>
      </w:r>
      <w:r w:rsidRPr="00E10230">
        <w:rPr>
          <w:rFonts w:ascii="Book Antiqua" w:hAnsi="Book Antiqua" w:cs="Arial"/>
          <w:sz w:val="24"/>
          <w:szCs w:val="24"/>
        </w:rPr>
        <w:t xml:space="preserve">305 by 9% increase, slope = 55 [13 to 96], </w:t>
      </w:r>
      <w:r w:rsidR="0010004A"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00324AD6" w:rsidRPr="00E10230">
        <w:rPr>
          <w:rFonts w:ascii="Book Antiqua" w:hAnsi="Book Antiqua" w:cs="Arial"/>
          <w:sz w:val="24"/>
          <w:szCs w:val="24"/>
        </w:rPr>
        <w:t>0.016; TIPS, 4079 to 4</w:t>
      </w:r>
      <w:r w:rsidRPr="00E10230">
        <w:rPr>
          <w:rFonts w:ascii="Book Antiqua" w:hAnsi="Book Antiqua" w:cs="Arial"/>
          <w:sz w:val="24"/>
          <w:szCs w:val="24"/>
        </w:rPr>
        <w:t>060 by &lt;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1% decrease, slope = 9 [-151 to 168], </w:t>
      </w:r>
      <w:r w:rsidR="0010004A"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0.90). Nationally, the total number </w:t>
      </w:r>
      <w:r w:rsidR="00324AD6" w:rsidRPr="00E10230">
        <w:rPr>
          <w:rFonts w:ascii="Book Antiqua" w:hAnsi="Book Antiqua" w:cs="Arial"/>
          <w:sz w:val="24"/>
          <w:szCs w:val="24"/>
        </w:rPr>
        <w:t>of discharges decreased from 37843039 to 35358818 by 7% (slope = -316319 [-433063 to -199</w:t>
      </w:r>
      <w:r w:rsidRPr="00E10230">
        <w:rPr>
          <w:rFonts w:ascii="Book Antiqua" w:hAnsi="Book Antiqua" w:cs="Arial"/>
          <w:sz w:val="24"/>
          <w:szCs w:val="24"/>
        </w:rPr>
        <w:t xml:space="preserve">576], </w:t>
      </w:r>
      <w:r w:rsidR="00466FD0"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0.0002). Similar significance of temporal trends of these discharges remained if adjusted for mean age and LOS, and both variables did not show significant change over time (all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&gt;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0.11). HC not related to viral hepatitis (ICD-</w:t>
      </w:r>
      <w:r w:rsidR="00324AD6" w:rsidRPr="00E10230">
        <w:rPr>
          <w:rFonts w:ascii="Book Antiqua" w:hAnsi="Book Antiqua" w:cs="Arial"/>
          <w:sz w:val="24"/>
          <w:szCs w:val="24"/>
        </w:rPr>
        <w:t>9 code 572.2) increased from 41796 to 55</w:t>
      </w:r>
      <w:r w:rsidRPr="00E10230">
        <w:rPr>
          <w:rFonts w:ascii="Book Antiqua" w:hAnsi="Book Antiqua" w:cs="Arial"/>
          <w:sz w:val="24"/>
          <w:szCs w:val="24"/>
        </w:rPr>
        <w:t xml:space="preserve">485 by 33% from 2005 to 2014 (slope = 1688 [968 to 2408],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0.0006), while HC related to viral hepatitis (070.0, 070.20-23, 070.41-44, </w:t>
      </w:r>
      <w:r w:rsidRPr="00E10230">
        <w:rPr>
          <w:rFonts w:ascii="Book Antiqua" w:hAnsi="Book Antiqua" w:cs="Arial"/>
          <w:sz w:val="24"/>
          <w:szCs w:val="24"/>
        </w:rPr>
        <w:lastRenderedPageBreak/>
        <w:t>070.49, 070.6, 0</w:t>
      </w:r>
      <w:r w:rsidR="00324AD6" w:rsidRPr="00E10230">
        <w:rPr>
          <w:rFonts w:ascii="Book Antiqua" w:hAnsi="Book Antiqua" w:cs="Arial"/>
          <w:sz w:val="24"/>
          <w:szCs w:val="24"/>
        </w:rPr>
        <w:t>70.71) increased faster, from 5472 to 24</w:t>
      </w:r>
      <w:r w:rsidRPr="00E10230">
        <w:rPr>
          <w:rFonts w:ascii="Book Antiqua" w:hAnsi="Book Antiqua" w:cs="Arial"/>
          <w:sz w:val="24"/>
          <w:szCs w:val="24"/>
        </w:rPr>
        <w:t xml:space="preserve">985 by 357% </w:t>
      </w:r>
      <w:r w:rsidR="00324AD6" w:rsidRPr="00E10230">
        <w:rPr>
          <w:rFonts w:ascii="Book Antiqua" w:eastAsiaTheme="minorEastAsia" w:hAnsi="Book Antiqua" w:cs="Arial"/>
          <w:sz w:val="24"/>
          <w:szCs w:val="24"/>
          <w:lang w:eastAsia="zh-CN"/>
        </w:rPr>
        <w:t>[</w:t>
      </w:r>
      <w:r w:rsidRPr="00E10230">
        <w:rPr>
          <w:rFonts w:ascii="Book Antiqua" w:hAnsi="Book Antiqua" w:cs="Arial"/>
          <w:sz w:val="24"/>
          <w:szCs w:val="24"/>
        </w:rPr>
        <w:t xml:space="preserve">slope = 2517 </w:t>
      </w:r>
      <w:r w:rsidR="00324AD6" w:rsidRPr="00E10230">
        <w:rPr>
          <w:rFonts w:ascii="Book Antiqua" w:eastAsiaTheme="minorEastAsia" w:hAnsi="Book Antiqua" w:cs="Arial"/>
          <w:sz w:val="24"/>
          <w:szCs w:val="24"/>
          <w:lang w:eastAsia="zh-CN"/>
        </w:rPr>
        <w:t>(</w:t>
      </w:r>
      <w:r w:rsidRPr="00E10230">
        <w:rPr>
          <w:rFonts w:ascii="Book Antiqua" w:hAnsi="Book Antiqua" w:cs="Arial"/>
          <w:sz w:val="24"/>
          <w:szCs w:val="24"/>
        </w:rPr>
        <w:t>1732 to 3302</w:t>
      </w:r>
      <w:r w:rsidR="00324AD6" w:rsidRPr="00E10230">
        <w:rPr>
          <w:rFonts w:ascii="Book Antiqua" w:eastAsiaTheme="minorEastAsia" w:hAnsi="Book Antiqua" w:cs="Arial"/>
          <w:sz w:val="24"/>
          <w:szCs w:val="24"/>
          <w:lang w:eastAsia="zh-CN"/>
        </w:rPr>
        <w:t>)</w:t>
      </w:r>
      <w:r w:rsidRPr="00E10230">
        <w:rPr>
          <w:rFonts w:ascii="Book Antiqua" w:hAnsi="Book Antiqua" w:cs="Arial"/>
          <w:sz w:val="24"/>
          <w:szCs w:val="24"/>
        </w:rPr>
        <w:t xml:space="preserve">,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0.0001</w:t>
      </w:r>
      <w:r w:rsidR="00324AD6" w:rsidRPr="00E10230">
        <w:rPr>
          <w:rFonts w:ascii="Book Antiqua" w:eastAsiaTheme="minorEastAsia" w:hAnsi="Book Antiqua" w:cs="Arial"/>
          <w:sz w:val="24"/>
          <w:szCs w:val="24"/>
          <w:lang w:eastAsia="zh-CN"/>
        </w:rPr>
        <w:t>]</w:t>
      </w:r>
      <w:r w:rsidRPr="00E10230">
        <w:rPr>
          <w:rFonts w:ascii="Book Antiqua" w:hAnsi="Book Antiqua" w:cs="Arial"/>
          <w:sz w:val="24"/>
          <w:szCs w:val="24"/>
        </w:rPr>
        <w:t>.</w:t>
      </w:r>
    </w:p>
    <w:p w14:paraId="556B9D7D" w14:textId="61692C66" w:rsidR="00704241" w:rsidRPr="00E10230" w:rsidRDefault="00704241" w:rsidP="00E10230">
      <w:pPr>
        <w:spacing w:after="0" w:line="360" w:lineRule="auto"/>
        <w:ind w:firstLineChars="100" w:firstLine="240"/>
        <w:jc w:val="both"/>
        <w:rPr>
          <w:rFonts w:ascii="Book Antiqua" w:hAnsi="Book Antiqua" w:cs="Arial"/>
          <w:sz w:val="24"/>
          <w:szCs w:val="24"/>
        </w:rPr>
      </w:pPr>
      <w:r w:rsidRPr="00E10230">
        <w:rPr>
          <w:rFonts w:ascii="Book Antiqua" w:hAnsi="Book Antiqua" w:cs="Arial"/>
          <w:sz w:val="24"/>
          <w:szCs w:val="24"/>
        </w:rPr>
        <w:t xml:space="preserve">Overall as described in Figure 2, in-hospital mortality rates for each condition significantly decreased from 2005 to 2014 (HC: 8.06% to 5.73% by 29% reduction, slope = -0.21% [-0.33% to -0.10%],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0.0024; SBP: 8.34% to 6.16% by 26% reduction, slope = -0.25% [-0.39% to -0.10%],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0.0038; TIPS: 10.81% to 7.39% by 32% reduction, slope = -0.35% [-0.64% to -0.07%],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0.021) except for EV (5.84% to 6.04%;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0.34). If adjusted for mean age and LOS, SBP </w:t>
      </w:r>
      <w:r w:rsidR="00E43AB7" w:rsidRPr="00E10230">
        <w:rPr>
          <w:rFonts w:ascii="Book Antiqua" w:hAnsi="Book Antiqua" w:cs="Arial"/>
          <w:sz w:val="24"/>
          <w:szCs w:val="24"/>
        </w:rPr>
        <w:t>was still reduced significantly (</w:t>
      </w:r>
      <w:r w:rsidR="00E43AB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00E43AB7"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00E43AB7" w:rsidRPr="00E10230">
        <w:rPr>
          <w:rFonts w:ascii="Book Antiqua" w:hAnsi="Book Antiqua" w:cs="Arial"/>
          <w:sz w:val="24"/>
          <w:szCs w:val="24"/>
        </w:rPr>
        <w:t>0.034), but TIPS were no longer significant (</w:t>
      </w:r>
      <w:r w:rsidR="00E43AB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00E43AB7"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00E43AB7" w:rsidRPr="00E10230">
        <w:rPr>
          <w:rFonts w:ascii="Book Antiqua" w:hAnsi="Book Antiqua" w:cs="Arial"/>
          <w:sz w:val="24"/>
          <w:szCs w:val="24"/>
        </w:rPr>
        <w:t xml:space="preserve">0.067). </w:t>
      </w:r>
      <w:r w:rsidRPr="00E10230">
        <w:rPr>
          <w:rFonts w:ascii="Book Antiqua" w:hAnsi="Book Antiqua" w:cs="Arial"/>
          <w:sz w:val="24"/>
          <w:szCs w:val="24"/>
        </w:rPr>
        <w:t xml:space="preserve">The changes in in-hospital mortality rates might be associated with the variations of mean LOS but not with mean age. For example, one-day reduction in mean LOS seemed significantly associated with a reduction in TIPS mortality rates of 1.73% [0.69% to 2.76%],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0.007. There was also a statistically significant reduction on national mortality rate, from 2.04% to 1.90%, or a 7% reduction, slope = -0.018% [-0.031% to -0.006%],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0.011.</w:t>
      </w:r>
    </w:p>
    <w:p w14:paraId="4D70CAC8" w14:textId="0BE43802" w:rsidR="00704241" w:rsidRPr="00E10230" w:rsidRDefault="00704241" w:rsidP="00E10230">
      <w:pPr>
        <w:spacing w:after="0" w:line="360" w:lineRule="auto"/>
        <w:ind w:firstLineChars="100" w:firstLine="240"/>
        <w:jc w:val="both"/>
        <w:rPr>
          <w:rFonts w:ascii="Book Antiqua" w:hAnsi="Book Antiqua" w:cs="Arial"/>
          <w:sz w:val="24"/>
          <w:szCs w:val="24"/>
        </w:rPr>
      </w:pPr>
      <w:r w:rsidRPr="00E10230">
        <w:rPr>
          <w:rFonts w:ascii="Book Antiqua" w:hAnsi="Book Antiqua" w:cs="Arial"/>
          <w:sz w:val="24"/>
          <w:szCs w:val="24"/>
        </w:rPr>
        <w:t xml:space="preserve">Figure 3 shows the 10-year trends for mean LOS and mean ages. Mean LOS for TIPS decreased from 9.6 d in 2005 to 8.0 in 2014 with 17% decrease (slope = -0.18 [-0.34 to -0.01],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0.038)</w:t>
      </w:r>
      <w:r w:rsidR="008447E4" w:rsidRPr="00E10230">
        <w:rPr>
          <w:rFonts w:ascii="Book Antiqua" w:hAnsi="Book Antiqua" w:cs="Arial"/>
          <w:sz w:val="24"/>
          <w:szCs w:val="24"/>
        </w:rPr>
        <w:t>.</w:t>
      </w:r>
      <w:r w:rsidRPr="00E10230">
        <w:rPr>
          <w:rFonts w:ascii="Book Antiqua" w:hAnsi="Book Antiqua" w:cs="Arial"/>
          <w:sz w:val="24"/>
          <w:szCs w:val="24"/>
        </w:rPr>
        <w:t xml:space="preserve"> However, other cirrhosis related conditions and national LOS did not show any significant changes. TIPS had persistently higher LOS as compared to other conditions. Mean ages of cirrhosis-associated conditions were consistently higher than national average, and HC persistently had the highest mean age.</w:t>
      </w:r>
    </w:p>
    <w:p w14:paraId="20B55957" w14:textId="2128618B" w:rsidR="00704241" w:rsidRPr="00E10230" w:rsidRDefault="00704241" w:rsidP="00E10230">
      <w:pPr>
        <w:spacing w:after="0" w:line="360" w:lineRule="auto"/>
        <w:ind w:firstLineChars="100" w:firstLine="240"/>
        <w:jc w:val="both"/>
        <w:rPr>
          <w:rFonts w:ascii="Book Antiqua" w:eastAsiaTheme="minorEastAsia" w:hAnsi="Book Antiqua" w:cs="Arial"/>
          <w:sz w:val="24"/>
          <w:szCs w:val="24"/>
          <w:lang w:eastAsia="zh-CN"/>
        </w:rPr>
      </w:pPr>
      <w:bookmarkStart w:id="16" w:name="_Hlk526412924"/>
      <w:r w:rsidRPr="00E10230">
        <w:rPr>
          <w:rFonts w:ascii="Book Antiqua" w:hAnsi="Book Antiqua" w:cs="Arial"/>
          <w:sz w:val="24"/>
          <w:szCs w:val="24"/>
        </w:rPr>
        <w:t>Figure 4</w:t>
      </w:r>
      <w:r w:rsidR="00324AD6" w:rsidRPr="00E10230">
        <w:rPr>
          <w:rFonts w:ascii="Book Antiqua" w:eastAsiaTheme="minorEastAsia" w:hAnsi="Book Antiqua" w:cs="Arial"/>
          <w:sz w:val="24"/>
          <w:szCs w:val="24"/>
          <w:lang w:eastAsia="zh-CN"/>
        </w:rPr>
        <w:t>A</w:t>
      </w:r>
      <w:r w:rsidRPr="00E10230">
        <w:rPr>
          <w:rFonts w:ascii="Book Antiqua" w:hAnsi="Book Antiqua" w:cs="Arial"/>
          <w:sz w:val="24"/>
          <w:szCs w:val="24"/>
        </w:rPr>
        <w:t xml:space="preserve"> shows mean charges of four cirrhosis-associated conditions that have been increasing more than 30% compared to 2005 data, after ad</w:t>
      </w:r>
      <w:r w:rsidR="00324AD6" w:rsidRPr="00E10230">
        <w:rPr>
          <w:rFonts w:ascii="Book Antiqua" w:hAnsi="Book Antiqua" w:cs="Arial"/>
          <w:sz w:val="24"/>
          <w:szCs w:val="24"/>
        </w:rPr>
        <w:t>justment for inflation (HC, $32045 to $47</w:t>
      </w:r>
      <w:r w:rsidRPr="00E10230">
        <w:rPr>
          <w:rFonts w:ascii="Book Antiqua" w:hAnsi="Book Antiqua" w:cs="Arial"/>
          <w:sz w:val="24"/>
          <w:szCs w:val="24"/>
        </w:rPr>
        <w:t xml:space="preserve">929 by 50% up, slope = 2042$/year [1425 to 2660],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324AD6" w:rsidRPr="00E10230">
        <w:rPr>
          <w:rFonts w:ascii="Book Antiqua" w:eastAsiaTheme="minorEastAsia" w:hAnsi="Book Antiqua" w:cs="Arial"/>
          <w:sz w:val="24"/>
          <w:szCs w:val="24"/>
          <w:lang w:eastAsia="zh-CN"/>
        </w:rPr>
        <w:t xml:space="preserve"> </w:t>
      </w:r>
      <w:r w:rsidR="00324AD6" w:rsidRPr="00E10230">
        <w:rPr>
          <w:rFonts w:ascii="Book Antiqua" w:hAnsi="Book Antiqua" w:cs="Arial"/>
          <w:sz w:val="24"/>
          <w:szCs w:val="24"/>
        </w:rPr>
        <w:t>0.0001; EV, $33979 to $51</w:t>
      </w:r>
      <w:r w:rsidRPr="00E10230">
        <w:rPr>
          <w:rFonts w:ascii="Book Antiqua" w:hAnsi="Book Antiqua" w:cs="Arial"/>
          <w:sz w:val="24"/>
          <w:szCs w:val="24"/>
        </w:rPr>
        <w:t xml:space="preserve">336 by 51% up, slope = 1822$/year [1238 to 2406],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324AD6" w:rsidRPr="00E10230">
        <w:rPr>
          <w:rFonts w:ascii="Book Antiqua" w:eastAsiaTheme="minorEastAsia" w:hAnsi="Book Antiqua" w:cs="Arial"/>
          <w:sz w:val="24"/>
          <w:szCs w:val="24"/>
          <w:lang w:eastAsia="zh-CN"/>
        </w:rPr>
        <w:t xml:space="preserve"> </w:t>
      </w:r>
      <w:r w:rsidR="00324AD6" w:rsidRPr="00E10230">
        <w:rPr>
          <w:rFonts w:ascii="Book Antiqua" w:hAnsi="Book Antiqua" w:cs="Arial"/>
          <w:sz w:val="24"/>
          <w:szCs w:val="24"/>
        </w:rPr>
        <w:t>0.0001; TIPS, $45425 to $59</w:t>
      </w:r>
      <w:r w:rsidRPr="00E10230">
        <w:rPr>
          <w:rFonts w:ascii="Book Antiqua" w:hAnsi="Book Antiqua" w:cs="Arial"/>
          <w:sz w:val="24"/>
          <w:szCs w:val="24"/>
        </w:rPr>
        <w:t xml:space="preserve">130 by 30% up,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00324AD6" w:rsidRPr="00E10230">
        <w:rPr>
          <w:rFonts w:ascii="Book Antiqua" w:hAnsi="Book Antiqua" w:cs="Arial"/>
          <w:sz w:val="24"/>
          <w:szCs w:val="24"/>
        </w:rPr>
        <w:t>0.0022; SBP, $33151 to $50</w:t>
      </w:r>
      <w:r w:rsidRPr="00E10230">
        <w:rPr>
          <w:rFonts w:ascii="Book Antiqua" w:hAnsi="Book Antiqua" w:cs="Arial"/>
          <w:sz w:val="24"/>
          <w:szCs w:val="24"/>
        </w:rPr>
        <w:t xml:space="preserve">824 by 53% up, slope = 2019$/year [687 to 3352], </w:t>
      </w:r>
      <w:r w:rsidR="008447E4" w:rsidRPr="00E10230">
        <w:rPr>
          <w:rFonts w:ascii="Book Antiqua" w:hAnsi="Book Antiqua" w:cs="Arial"/>
          <w:i/>
          <w:sz w:val="24"/>
          <w:szCs w:val="24"/>
        </w:rPr>
        <w:t>P</w:t>
      </w:r>
      <w:r w:rsidRPr="00E10230">
        <w:rPr>
          <w:rFonts w:ascii="Book Antiqua" w:hAnsi="Book Antiqua" w:cs="Arial"/>
          <w:sz w:val="24"/>
          <w:szCs w:val="24"/>
        </w:rPr>
        <w:t>=0.008; from 2005 to 2014). Nationally,</w:t>
      </w:r>
      <w:r w:rsidR="00324AD6" w:rsidRPr="00E10230">
        <w:rPr>
          <w:rFonts w:ascii="Book Antiqua" w:hAnsi="Book Antiqua" w:cs="Arial"/>
          <w:sz w:val="24"/>
          <w:szCs w:val="24"/>
        </w:rPr>
        <w:t xml:space="preserve"> mean charge increased from $26323 to $41</w:t>
      </w:r>
      <w:r w:rsidRPr="00E10230">
        <w:rPr>
          <w:rFonts w:ascii="Book Antiqua" w:hAnsi="Book Antiqua" w:cs="Arial"/>
          <w:sz w:val="24"/>
          <w:szCs w:val="24"/>
        </w:rPr>
        <w:t xml:space="preserve">633, or a 58% increase (slope = 1739$/year [1646 to 1833],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0.0001). Temporal trends of these mean charges were still significant (all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0.012) after further adjustment for mean age and LOS. Figure 4</w:t>
      </w:r>
      <w:r w:rsidR="00324AD6" w:rsidRPr="00E10230">
        <w:rPr>
          <w:rFonts w:ascii="Book Antiqua" w:eastAsiaTheme="minorEastAsia" w:hAnsi="Book Antiqua" w:cs="Arial"/>
          <w:sz w:val="24"/>
          <w:szCs w:val="24"/>
          <w:lang w:eastAsia="zh-CN"/>
        </w:rPr>
        <w:t>B</w:t>
      </w:r>
      <w:r w:rsidRPr="00E10230">
        <w:rPr>
          <w:rFonts w:ascii="Book Antiqua" w:hAnsi="Book Antiqua" w:cs="Arial"/>
          <w:sz w:val="24"/>
          <w:szCs w:val="24"/>
        </w:rPr>
        <w:t xml:space="preserve"> shows mean costs associated with four cirrhosis-associated conditions. This figure demonstrates that</w:t>
      </w:r>
      <w:r w:rsidR="00FA7394" w:rsidRPr="00E10230">
        <w:rPr>
          <w:rFonts w:ascii="Book Antiqua" w:hAnsi="Book Antiqua" w:cs="Arial"/>
          <w:sz w:val="24"/>
          <w:szCs w:val="24"/>
        </w:rPr>
        <w:t xml:space="preserve"> </w:t>
      </w:r>
      <w:r w:rsidRPr="00E10230">
        <w:rPr>
          <w:rFonts w:ascii="Book Antiqua" w:hAnsi="Book Antiqua" w:cs="Arial"/>
          <w:sz w:val="24"/>
          <w:szCs w:val="24"/>
        </w:rPr>
        <w:t xml:space="preserve">TIPS has persistently higher cost related to </w:t>
      </w:r>
      <w:r w:rsidRPr="00E10230">
        <w:rPr>
          <w:rFonts w:ascii="Book Antiqua" w:hAnsi="Book Antiqua" w:cs="Arial"/>
          <w:sz w:val="24"/>
          <w:szCs w:val="24"/>
        </w:rPr>
        <w:lastRenderedPageBreak/>
        <w:t xml:space="preserve">hospitalizations. Compared to mean charges, mean costs had less variation over time. The mean costs of TIPS, EV and SBP did not increase significantly over time (all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&gt;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0.15). Only HC significantl</w:t>
      </w:r>
      <w:r w:rsidR="00324AD6" w:rsidRPr="00E10230">
        <w:rPr>
          <w:rFonts w:ascii="Book Antiqua" w:hAnsi="Book Antiqua" w:cs="Arial"/>
          <w:sz w:val="24"/>
          <w:szCs w:val="24"/>
        </w:rPr>
        <w:t>y increased mean costs from $11041 in 2005 to $12</w:t>
      </w:r>
      <w:r w:rsidRPr="00E10230">
        <w:rPr>
          <w:rFonts w:ascii="Book Antiqua" w:hAnsi="Book Antiqua" w:cs="Arial"/>
          <w:sz w:val="24"/>
          <w:szCs w:val="24"/>
        </w:rPr>
        <w:t xml:space="preserve">282, or a 12% increase, slope = 217$/year [92 to 341],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0.004 (after adjusting for mean age and LOS,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00324AD6" w:rsidRPr="00E10230">
        <w:rPr>
          <w:rFonts w:ascii="Book Antiqua" w:hAnsi="Book Antiqua" w:cs="Arial"/>
          <w:sz w:val="24"/>
          <w:szCs w:val="24"/>
        </w:rPr>
        <w:t>0.002).</w:t>
      </w:r>
    </w:p>
    <w:p w14:paraId="418ED343" w14:textId="57F853D8" w:rsidR="00704241" w:rsidRPr="00E10230" w:rsidRDefault="00704241" w:rsidP="00E10230">
      <w:pPr>
        <w:spacing w:after="0" w:line="360" w:lineRule="auto"/>
        <w:ind w:firstLineChars="100" w:firstLine="240"/>
        <w:jc w:val="both"/>
        <w:rPr>
          <w:rFonts w:ascii="Book Antiqua" w:hAnsi="Book Antiqua" w:cs="Arial"/>
          <w:sz w:val="24"/>
          <w:szCs w:val="24"/>
        </w:rPr>
      </w:pPr>
      <w:bookmarkStart w:id="17" w:name="_Hlk526413196"/>
      <w:bookmarkEnd w:id="16"/>
      <w:r w:rsidRPr="00E10230">
        <w:rPr>
          <w:rFonts w:ascii="Book Antiqua" w:hAnsi="Book Antiqua" w:cs="Arial"/>
          <w:sz w:val="24"/>
          <w:szCs w:val="24"/>
        </w:rPr>
        <w:t xml:space="preserve">After adjustment for inflation, aggregate charges (so called “national bill”) for hospitalizations related to EV, HC, SBP, TIPS and national increased by 65%, 150%, 1296%, 30 % and 48 %, respectively, from 2005 to 2014 (all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00324AD6" w:rsidRPr="00E10230">
        <w:rPr>
          <w:rFonts w:ascii="Book Antiqua" w:eastAsia="MS Mincho"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0.0001 except for EV, </w:t>
      </w:r>
      <w:r w:rsidR="00324AD6" w:rsidRPr="00E10230">
        <w:rPr>
          <w:rFonts w:ascii="Book Antiqua" w:hAnsi="Book Antiqua" w:cs="Arial"/>
          <w:i/>
          <w:sz w:val="24"/>
          <w:szCs w:val="24"/>
        </w:rPr>
        <w:t>P</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0.30) (Figure 5a and 5b). Inflation adjusted aggregate costs of hospitalization for EV, HC, SBP and national increased by 20%, 86%, 980% and 7%, respectively, from 2005 to 2014 (all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0.02), while TIPS trended toward a decreased by 3%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0.95) (Figure 5</w:t>
      </w:r>
      <w:r w:rsidR="00324AD6" w:rsidRPr="00E10230">
        <w:rPr>
          <w:rFonts w:ascii="Book Antiqua" w:hAnsi="Book Antiqua" w:cs="Arial"/>
          <w:sz w:val="24"/>
          <w:szCs w:val="24"/>
        </w:rPr>
        <w:t>C</w:t>
      </w:r>
      <w:r w:rsidRPr="00E10230">
        <w:rPr>
          <w:rFonts w:ascii="Book Antiqua" w:hAnsi="Book Antiqua" w:cs="Arial"/>
          <w:sz w:val="24"/>
          <w:szCs w:val="24"/>
        </w:rPr>
        <w:t xml:space="preserve"> and 5</w:t>
      </w:r>
      <w:r w:rsidR="00324AD6" w:rsidRPr="00E10230">
        <w:rPr>
          <w:rFonts w:ascii="Book Antiqua" w:hAnsi="Book Antiqua" w:cs="Arial"/>
          <w:sz w:val="24"/>
          <w:szCs w:val="24"/>
        </w:rPr>
        <w:t>D</w:t>
      </w:r>
      <w:r w:rsidRPr="00E10230">
        <w:rPr>
          <w:rFonts w:ascii="Book Antiqua" w:hAnsi="Book Antiqua" w:cs="Arial"/>
          <w:sz w:val="24"/>
          <w:szCs w:val="24"/>
        </w:rPr>
        <w:t xml:space="preserve">). </w:t>
      </w:r>
    </w:p>
    <w:bookmarkEnd w:id="17"/>
    <w:p w14:paraId="2EB18632" w14:textId="6B99ECE1" w:rsidR="00704241" w:rsidRPr="00E10230" w:rsidRDefault="00704241" w:rsidP="00E10230">
      <w:pPr>
        <w:spacing w:after="0" w:line="360" w:lineRule="auto"/>
        <w:ind w:firstLineChars="100" w:firstLine="240"/>
        <w:jc w:val="both"/>
        <w:rPr>
          <w:rFonts w:ascii="Book Antiqua" w:hAnsi="Book Antiqua" w:cs="Arial"/>
          <w:sz w:val="24"/>
          <w:szCs w:val="24"/>
        </w:rPr>
      </w:pPr>
      <w:r w:rsidRPr="00E10230">
        <w:rPr>
          <w:rFonts w:ascii="Book Antiqua" w:hAnsi="Book Antiqua" w:cs="Arial"/>
          <w:sz w:val="24"/>
          <w:szCs w:val="24"/>
        </w:rPr>
        <w:t>Table 1 and 2 show</w:t>
      </w:r>
      <w:r w:rsidR="003978F7" w:rsidRPr="00E10230">
        <w:rPr>
          <w:rFonts w:ascii="Book Antiqua" w:eastAsiaTheme="minorEastAsia" w:hAnsi="Book Antiqua" w:cs="Arial"/>
          <w:sz w:val="24"/>
          <w:szCs w:val="24"/>
          <w:lang w:eastAsia="zh-CN"/>
        </w:rPr>
        <w:t>s</w:t>
      </w:r>
      <w:r w:rsidRPr="00E10230">
        <w:rPr>
          <w:rFonts w:ascii="Book Antiqua" w:hAnsi="Book Antiqua" w:cs="Arial"/>
          <w:sz w:val="24"/>
          <w:szCs w:val="24"/>
        </w:rPr>
        <w:t xml:space="preserve"> age and sex distributions, insurance coverage and bed size for 2005 and 2014 respectively. For four cirrhosis-associated conditions, proportions of patients are shifting from large hospitals to small-medium sized hospitals.</w:t>
      </w:r>
    </w:p>
    <w:p w14:paraId="6B760434" w14:textId="77777777" w:rsidR="00704241" w:rsidRPr="00E10230" w:rsidRDefault="00704241" w:rsidP="00E10230">
      <w:pPr>
        <w:spacing w:after="0" w:line="360" w:lineRule="auto"/>
        <w:jc w:val="both"/>
        <w:rPr>
          <w:rFonts w:ascii="Book Antiqua" w:hAnsi="Book Antiqua" w:cs="Arial"/>
          <w:sz w:val="24"/>
          <w:szCs w:val="24"/>
        </w:rPr>
      </w:pPr>
    </w:p>
    <w:p w14:paraId="298C2924" w14:textId="77777777" w:rsidR="00704241" w:rsidRPr="00E10230" w:rsidRDefault="00394254" w:rsidP="00E10230">
      <w:pPr>
        <w:spacing w:after="0" w:line="360" w:lineRule="auto"/>
        <w:jc w:val="both"/>
        <w:rPr>
          <w:rFonts w:ascii="Book Antiqua" w:hAnsi="Book Antiqua" w:cs="Arial"/>
          <w:b/>
          <w:sz w:val="24"/>
          <w:szCs w:val="24"/>
        </w:rPr>
      </w:pPr>
      <w:r w:rsidRPr="00E10230">
        <w:rPr>
          <w:rFonts w:ascii="Book Antiqua" w:hAnsi="Book Antiqua" w:cs="Arial"/>
          <w:b/>
          <w:sz w:val="24"/>
          <w:szCs w:val="24"/>
        </w:rPr>
        <w:t>DISCUSSION</w:t>
      </w:r>
    </w:p>
    <w:p w14:paraId="01131370" w14:textId="338D0A5B" w:rsidR="00704241" w:rsidRPr="00E10230" w:rsidRDefault="00704241" w:rsidP="00E10230">
      <w:pPr>
        <w:spacing w:after="0" w:line="360" w:lineRule="auto"/>
        <w:jc w:val="both"/>
        <w:rPr>
          <w:rFonts w:ascii="Book Antiqua" w:eastAsiaTheme="minorEastAsia" w:hAnsi="Book Antiqua" w:cs="Arial"/>
          <w:noProof/>
          <w:sz w:val="24"/>
          <w:szCs w:val="24"/>
          <w:lang w:eastAsia="zh-CN"/>
        </w:rPr>
      </w:pPr>
      <w:r w:rsidRPr="00E10230">
        <w:rPr>
          <w:rFonts w:ascii="Book Antiqua" w:hAnsi="Book Antiqua" w:cs="Arial"/>
          <w:sz w:val="24"/>
          <w:szCs w:val="24"/>
        </w:rPr>
        <w:t>Discharges with a primary diagnosis of HC, SBP, or EV showed increasing trends despite the decreasing trend for total hospitalizations across the nation over a 10-year period, from 2005 to 2014. Especially for SBP, trends show an 819% increase in hospitalization for this primary diagnosis over 10 years. Hospitalization due to HC also demonstrated significant increase over the study period, mainly attributable to the increase in HC coding specifically related to viral hepatitis. Approximately 20.5% of HC is precipitated by SBP</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{"citationItems":[{"id":"ITEM-1","itemData":{"DOI":"08.2010/JCPSP.514518","ISSN":"1022-386X","PMID":"20688015","abstract":"OBJECTIVE To determine precipitants of hepatic encephalopathy (HE) and their impact on hospital stay and mortality. STUDY DESIGN Cross-sectional, analytical study. PLACE AND DURATION OF STUDY The Aga Khan University Hospital, from January 2005 to December 2007. METHODOLOGY Consecutive patients admitted with different grades of HE were evaluated between January 2005 and December 2007. The precipitants of HE were correlated with the different grades of HE, and length of hospital stay and mortality. Chi-square test was used to compare the proportion of precipitating factors versus hospital stay and grade with significance at p&lt;0.05. RESULTS Of the 404 patients 252 (62%) were males. Hepatitis C virus was the cause of cirrhosis in 283 (70%); Child Turcotte Pugh (CTP) class C was present in 317 (78%) patients. On presentation, 17% patients had grade 1 HE while 44%, 29% and 10% had grades 2, 3 and 4 respectively. The most common precipitant of HE was spontaneous bacterial peritonitis in 83 (20.5%), constipation in 74 (18.3%) and urinary tract infection in 62 (15.3%). One hundred and forty (35%) patients had (3) 2 precipitating factors while no precipitant was noted in 50 (12%) patients. Mean hospital stay was 4+/-3 days. The lesser the number of precipitants, shorter was the length of stay (p&lt;0.01) and lesser was the grade of HE (p=0.025). Complete reversal of HE was noted in 366 patients (91%) while the remaining had grade 1 HE on discharge. Nine (2.2%) patients died during the hospital stay. No mortality was noted in patients without precipitants. CONCLUSION Patients presenting with (3) 2 precipitating factors and advanced grade of HE had a prolonged hospital stay. Moreover, patients without precipitants had better outcomes.","author":[{"dropping-particle":"","family":"Mumtaz","given":"Khalid","non-dropping-particle":"","parse-names":false,"suffix":""},{"dropping-particle":"","family":"Ahmed","given":"Umair Syed","non-dropping-particle":"","parse-names":false,"suffix":""},{"dropping-particle":"","family":"Abid","given":"Shahab","non-dropping-particle":"","parse-names":false,"suffix":""},{"dropping-particle":"","family":"Baig","given":"Noshaba","non-dropping-particle":"","parse-names":false,"suffix":""},{"dropping-particle":"","family":"Hamid","given":"Saeed","non-dropping-particle":"","parse-names":false,"suffix":""},{"dropping-particle":"","family":"Jafri","given":"Wasim","non-dropping-particle":"","parse-names":false,"suffix":""}],"container-title":"Journal of the College of Physicians and Surgeons--Pakistan : JCPSP","id":"ITEM-1","issue":"8","issued":{"date-parts":[["2010","8"]]},"page":"514-8","title":"Precipitating factors and the outcome of hepatic encephalopathy in liver cirrhosis.","type":"article-journal","volume":"20"},"uris":["http://www.mendeley.com/documents/?uuid=dd901cfe-b6a3-40d7-adb0-e3319d6c1c34"]}],"mendeley":{"formattedCitation":"&lt;sup&gt;[21]&lt;/sup&gt;","plainTextFormattedCitation":"[21]","previouslyFormattedCitation":"&lt;sup&gt;[21]&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[21]</w:t>
      </w:r>
      <w:r w:rsidR="003978F7" w:rsidRPr="00E10230">
        <w:rPr>
          <w:rFonts w:ascii="Book Antiqua" w:hAnsi="Book Antiqua" w:cs="Arial"/>
          <w:sz w:val="24"/>
          <w:szCs w:val="24"/>
        </w:rPr>
        <w:fldChar w:fldCharType="end"/>
      </w:r>
      <w:r w:rsidRPr="00E10230">
        <w:rPr>
          <w:rFonts w:ascii="Book Antiqua" w:hAnsi="Book Antiqua" w:cs="Arial"/>
          <w:sz w:val="24"/>
          <w:szCs w:val="24"/>
        </w:rPr>
        <w:t>. Therefore, increasing SBP with increasing HC suggests actual increase in case number along with change in coding behavior. One recent study showed that there was an increase in hepatitis C virus infection-related mortality from 2007 to 2013, and this may explain increasing trends of hepatic coma related to viral hepatitis</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{"citationItems":[{"id":"ITEM-1","itemData":{"DOI":"10.1053/j.gastro.2018.07.008","ISSN":"1528-0012","PMID":"30009816","abstract":"BACKGROUND &amp; AIMS Although treatment of hepatitis C virus (HCV) infection has improved, the prevalence of alcoholic liver disease (ALD) has been increasing, so we need an updated estimate of the burden and etiology-specific mortality of chronic liver diseases. We studied the trends in age-standardized mortality of chronic liver diseases among adults 20 years or older in the United States (US), from 2007 through 2016. METHODS We collected data from the US Census and National Center for Health Statistics mortality records, identifying individuals with HCV infection, ALD, nonalcoholic fatty liver disease (NAFLD), or hepatitis B virus (HBV) infection using ICD-10 codes. We obtained temporal mortality rate patterns using joinpoint trend analysis with estimates of annual percentage change (APC). RESULTS Age-standardized HCV-related mortality increased from 7.17/100,000 persons in 2007 to 8.14/100,000 persons in 2013, followed by a marked decrease in the time period at which patients began receiving treatment with direct-acting antiviral agents (from 8.09/100,000 persons in 2014 to 7.15/100,000 persons in 2016). The APC in HCV mortality increased 2.0%/year from 2007 through 2014, but decreased 6.4%/year from 2014 through 2016. In contrast, age-standardized mortality increased for ALD (APC of 2.3% from 2007 through 2013 and APC of 5.5% from 2013 through 2016) and NAFLD (APC of 6.1% from 2007 through 2013 and APC of 11.3% from 2013 through 2016). HBV-related mortality decreased steadily from 2007 through 2016, with an average APC of -2.1% (95% CI, -3.0 to -1.2). Etiology-based mortality in minority populations were higher. HCV-related mortality (per 100,000 persons) was highest among non-Hispanic blacks (10.28) and whites (6.92), followed by Hispanics (5.94), and lowest among non-Hispanic Asians (2.33). Non-Hispanic Asians had higher mortality for HBV infection (2.82 per 100,000 vs 1.02 for non-Hispanic blacks, and 0.47 for non-Hispanic whites). CONCLUSION In our population-based analysis of chronic liver disease mortality in the US, the decline in HCV-related mortality coincided with the introduction of direct-acting antiviral therapies, while the mortality from ALD and NAFLD increased during the same period. Minorities in the US have disproportionately higher chronic liver disease-related mortality.","author":[{"dropping-particle":"","family":"Kim","given":"Donghee","non-dropping-particle":"","parse-names":false,"suffix":""},{"dropping-particle":"","family":"Li","given":"Andrew A","non-dropping-particle":"","parse-names":false,"suffix":""},{"dropping-particle":"","family":"Gadiparthi","given":"Chiranjeevi","non-dropping-particle":"","parse-names":false,"suffix":""},{"dropping-particle":"","family":"Khan","given":"Muhammad Ali","non-dropping-particle":"","parse-names":false,"suffix":""},{"dropping-particle":"","family":"Cholankeril","given":"George","non-dropping-particle":"","parse-names":false,"suffix":""},{"dropping-particle":"","family":"Glenn","given":"Jeffrey S","non-dropping-particle":"","parse-names":false,"suffix":""},{"dropping-particle":"","family":"Ahmed","given":"Aijaz","non-dropping-particle":"","parse-names":false,"suffix":""}],"container-title":"Gastroenterology","id":"ITEM-1","issued":{"date-parts":[["2018","7","12"]]},"title":"Changing Trends in Etiology-based Annual Mortality From Chronic Liver Disease, From 2007 Through 2016.","type":"article-journal"},"uris":["http://www.mendeley.com/documents/?uuid=4123293a-8c27-4cd2-914e-48dd7de6fae7"]}],"mendeley":{"formattedCitation":"&lt;sup&gt;[22]&lt;/sup&gt;","plainTextFormattedCitation":"[22]","previouslyFormattedCitation":"&lt;sup&gt;[22]&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[22]</w:t>
      </w:r>
      <w:r w:rsidR="003978F7" w:rsidRPr="00E10230">
        <w:rPr>
          <w:rFonts w:ascii="Book Antiqua" w:hAnsi="Book Antiqua" w:cs="Arial"/>
          <w:sz w:val="24"/>
          <w:szCs w:val="24"/>
        </w:rPr>
        <w:fldChar w:fldCharType="end"/>
      </w:r>
      <w:r w:rsidRPr="00E10230">
        <w:rPr>
          <w:rFonts w:ascii="Book Antiqua" w:hAnsi="Book Antiqua" w:cs="Arial"/>
          <w:sz w:val="24"/>
          <w:szCs w:val="24"/>
        </w:rPr>
        <w:t>. The referenced study also noted decreasing mortality related to hepatitis C infection from 2014 to 2016 due to introduction of direct-acting antiviral agents</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{"citationItems":[{"id":"ITEM-1","itemData":{"DOI":"10.1053/j.gastro.2018.07.008","ISSN":"1528-0012","PMID":"30009816","abstract":"BACKGROUND &amp; AIMS Although treatment of hepatitis C virus (HCV) infection has improved, the prevalence of alcoholic liver disease (ALD) has been increasing, so we need an updated estimate of the burden and etiology-specific mortality of chronic liver diseases. We studied the trends in age-standardized mortality of chronic liver diseases among adults 20 years or older in the United States (US), from 2007 through 2016. METHODS We collected data from the US Census and National Center for Health Statistics mortality records, identifying individuals with HCV infection, ALD, nonalcoholic fatty liver disease (NAFLD), or hepatitis B virus (HBV) infection using ICD-10 codes. We obtained temporal mortality rate patterns using joinpoint trend analysis with estimates of annual percentage change (APC). RESULTS Age-standardized HCV-related mortality increased from 7.17/100,000 persons in 2007 to 8.14/100,000 persons in 2013, followed by a marked decrease in the time period at which patients began receiving treatment with direct-acting antiviral agents (from 8.09/100,000 persons in 2014 to 7.15/100,000 persons in 2016). The APC in HCV mortality increased 2.0%/year from 2007 through 2014, but decreased 6.4%/year from 2014 through 2016. In contrast, age-standardized mortality increased for ALD (APC of 2.3% from 2007 through 2013 and APC of 5.5% from 2013 through 2016) and NAFLD (APC of 6.1% from 2007 through 2013 and APC of 11.3% from 2013 through 2016). HBV-related mortality decreased steadily from 2007 through 2016, with an average APC of -2.1% (95% CI, -3.0 to -1.2). Etiology-based mortality in minority populations were higher. HCV-related mortality (per 100,000 persons) was highest among non-Hispanic blacks (10.28) and whites (6.92), followed by Hispanics (5.94), and lowest among non-Hispanic Asians (2.33). Non-Hispanic Asians had higher mortality for HBV infection (2.82 per 100,000 vs 1.02 for non-Hispanic blacks, and 0.47 for non-Hispanic whites). CONCLUSION In our population-based analysis of chronic liver disease mortality in the US, the decline in HCV-related mortality coincided with the introduction of direct-acting antiviral therapies, while the mortality from ALD and NAFLD increased during the same period. Minorities in the US have disproportionately higher chronic liver disease-related mortality.","author":[{"dropping-particle":"","family":"Kim","given":"Donghee","non-dropping-particle":"","parse-names":false,"suffix":""},{"dropping-particle":"","family":"Li","given":"Andrew A","non-dropping-particle":"","parse-names":false,"suffix":""},{"dropping-particle":"","family":"Gadiparthi","given":"Chiranjeevi","non-dropping-particle":"","parse-names":false,"suffix":""},{"dropping-particle":"","family":"Khan","given":"Muhammad Ali","non-dropping-particle":"","parse-names":false,"suffix":""},{"dropping-particle":"","family":"Cholankeril","given":"George","non-dropping-particle":"","parse-names":false,"suffix":""},{"dropping-particle":"","family":"Glenn","given":"Jeffrey S","non-dropping-particle":"","parse-names":false,"suffix":""},{"dropping-particle":"","family":"Ahmed","given":"Aijaz","non-dropping-particle":"","parse-names":false,"suffix":""}],"container-title":"Gastroenterology","id":"ITEM-1","issued":{"date-parts":[["2018","7","12"]]},"title":"Changing Trends in Etiology-based Annual Mortality From Chronic Liver Disease, From 2007 Through 2016.","type":"article-journal"},"uris":["http://www.mendeley.com/documents/?uuid=4123293a-8c27-4cd2-914e-48dd7de6fae7"]}],"mendeley":{"formattedCitation":"&lt;sup&gt;[22]&lt;/sup&gt;","plainTextFormattedCitation":"[22]","previouslyFormattedCitation":"&lt;sup&gt;[22]&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[22]</w:t>
      </w:r>
      <w:r w:rsidR="003978F7" w:rsidRPr="00E10230">
        <w:rPr>
          <w:rFonts w:ascii="Book Antiqua" w:hAnsi="Book Antiqua" w:cs="Arial"/>
          <w:sz w:val="24"/>
          <w:szCs w:val="24"/>
        </w:rPr>
        <w:fldChar w:fldCharType="end"/>
      </w:r>
      <w:r w:rsidRPr="00E10230">
        <w:rPr>
          <w:rFonts w:ascii="Book Antiqua" w:hAnsi="Book Antiqua" w:cs="Arial"/>
          <w:sz w:val="24"/>
          <w:szCs w:val="24"/>
        </w:rPr>
        <w:t>. Therefore, trends may change beyond 2014 and future study to assess this change will be necessary. Previous population-based studies</w:t>
      </w:r>
      <w:r w:rsidR="00FA7394" w:rsidRPr="00E10230">
        <w:rPr>
          <w:rFonts w:ascii="Book Antiqua" w:hAnsi="Book Antiqua" w:cs="Arial"/>
          <w:sz w:val="24"/>
          <w:szCs w:val="24"/>
        </w:rPr>
        <w:fldChar w:fldCharType="begin" w:fldLock="1"/>
      </w:r>
      <w:r w:rsidR="00DC4477" w:rsidRPr="00E10230">
        <w:rPr>
          <w:rFonts w:ascii="Book Antiqua" w:hAnsi="Book Antiqua" w:cs="Arial"/>
          <w:sz w:val="24"/>
          <w:szCs w:val="24"/>
        </w:rPr>
        <w:instrText>ADDIN CSL_CITATION {"citationItems":[{"id":"ITEM-1","itemData":{"DOI":"10.1016/j.cgh.2008.02.049","ISSN":"1542-7714","PMID":"18456566","abstract":"BACKGROUND &amp; AIMS In recent years, there have been many advances in the primary and secondary prophylaxis of variceal bleeding. The aim of this study was to evaluate nationwide trends in the hospitalization rate of bleeding esophageal varices in the advent of these new modalities. In addition, our aims were to study the incidence trends of nonbleeding esophageal varices over the past 2 decades while studying hospitalization rates for cirrhosis over the same study period. METHODS The Nationwide Inpatient Sample database was used for inpatient data analysis (1988-2002) and the State Ambulatory Surgery Database was used for outpatient analysis. Patients discharged with International Classification of Diseases, ninth revision, Clinical Modification discharge diagnoses related to esophageal varices were included. RESULTS The hospitalization rate of bleeding varices increased 13.7% from 10.9 per 100,000 in the 1988 to 1990 period to 12.4 per 100,000 in the 1994 to 1996 period (P &lt; .01), and then decreased 14.5% to 10.6 per 100,000 in the 2000 to 2002 period (P &lt; .01). In-hospital nonbleeding varices increased 55% from 6.0 to 9.3 per 100,000 from the 1988 to 1990 period to the 2000 to 2002 period (P &lt; .01). Outpatient nonbleeding esophageal varices increased 20% from 5.5 to 6.6 per 100,000 from 1997 to 2003. CONCLUSIONS The hospitalization rate for bleeding esophageal varices has been on the decline in recent years and may be a reflection of the advances in primary and secondary prophylaxis. The incidence rate of nonbleeding esophageal varices is increasing and likely is owing to the increasing burden of portal hypertensive liver disease in the nation.","author":[{"dropping-particle":"","family":"Jamal","given":"M Mazen","non-dropping-particle":"","parse-names":false,"suffix":""},{"dropping-particle":"","family":"Samarasena","given":"Jason B","non-dropping-particle":"","parse-names":false,"suffix":""},{"dropping-particle":"","family":"Hashemzadeh","given":"Mehrtash","non-dropping-particle":"","parse-names":false,"suffix":""},{"dropping-particle":"","family":"Vega","given":"Kenneth J","non-dropping-particle":"","parse-names":false,"suffix":""}],"container-title":"Clinical gastroenterology and hepatology : the official clinical practice journal of the American Gastroenterological Association","id":"ITEM-1","issue":"6","issued":{"date-parts":[["2008","6"]]},"page":"689-95; quiz 605","title":"Declining hospitalization rate of esophageal variceal bleeding in the United States.","type":"article-journal","volume":"6"},"uris":["http://www.mendeley.com/documents/?uuid=7a9220bf-69d9-484e-9a9c-7f7c27a94a1d"]},{"id":"ITEM-2","itemData":{"DOI":"10.3748/wjg.v20.i32.11326","ISSN":"2219-2840","PMID":"25170218","abstract":"AIM To examine hospitalization rates for variceal hemorrhage and relation to cause of cirrhosis during an era of increased cirrhosis prevalence. METHODS We performed a retrospective review of patients with cirrhosis and gastroesophageal variceal hemorrhage who were admitted to a tertiary care referral center from 1998 to 2009. Subjects were classified according to the etiology of their liver disease: alcoholic cirrhosis and non-alcoholic cirrhosis. Rates of hospitalization for variceal bleeding were determined. Data were also collected on total hospital admissions per year and cirrhosis-related admissions per year over the same time period. These data were then compared and analyzed for trends in admission rates. RESULTS Hospitalizations for cirrhosis significantly increased from 611 per 100000 admissions in 1998-2001 to 1232 per 100000 admissions in 2006-9 (P value for trend &lt; 0.0001). This increase was seen in admissions for both alcoholic and non-alcoholic cirrhosis (P values for trend &lt; 0.001 and &lt; 0.0001 respectively). During the same time period, there were 243 admissions for gastroesophageal variceal bleeding (68% male, mean age 54.3 years, 62% alcoholic cirrhosis). Hospitalizations for gastroesophageal variceal bleeding significantly decreased from 96.6 per 100000 admissions for the time period 1998-2001 to 70.6 per 100000 admissions for the time period 2006-2009 (P value for trend = 0.01). There were significant reductions in variceal hemorrhage from non-alcoholic cirrhosis (41.6 per 100000 admissions in 1998-2001 to 19.7 per 100000 admissions in 2006-2009, P value for trend = 0.007). CONCLUSION Hospitalizations for variceal hemorrhage have decreased, most notably in patients with non-alcoholic cirrhosis, and this may reflect broader use of strategies to prevent bleeding.","author":[{"dropping-particle":"","family":"Lim","given":"Nicholas","non-dropping-particle":"","parse-names":false,"suffix":""},{"dropping-particle":"","family":"Desarno","given":"Michael J","non-dropping-particle":"","parse-names":false,"suffix":""},{"dropping-particle":"","family":"Lidofsky","given":"Steven D","non-dropping-particle":"","parse-names":false,"suffix":""},{"dropping-particle":"","family":"Ganguly","given":"Eric","non-dropping-particle":"","parse-names":false,"suffix":""}],"container-title":"World journal of gastroenterology","id":"ITEM-2","issue":"32","issued":{"date-parts":[["2014","8","28"]]},"page":"11326-32","title":"Hospitalization for variceal hemorrhage in an era with more prevalent cirrhosis.","type":"article-journal","volume":"20"},"uris":["http://www.mendeley.com/documents/?uuid=b506f899-4a67-4c37-8c6e-4c848e1622fd"]},{"id":"ITEM-3","itemData":{"DOI":"10.1002/jhm.2360","ISSN":"1553-5606","PMID":"25976490","abstract":"Esophageal variceal bleeding (EVB) is a frequent complication in cirrhotic patients resulting in considerable mortality and morbidity. The aim of this study was to investigate the occurrence, impact, and trends of EVB in hospitalized cirrhotic patients on a nationwide level in the United States. We interrogated data from the Nationwide Inpatient Sample from 2002 to 2012. Utilizing International Classification of Diseases, Ninth Revision, Clinical Modification codes, we analyzed hospital discharges for cirrhosis and related EVB in adult patients. EVB in cirrhotic patients was independently associated with overall worse outcomes with respect to in-hospital mortality (10% vs 5%; P &lt; 0.01) and hospital charges (median $41,000 vs $26,000; P &lt; 0.01). In the period from 2002 to 2012, the number of cirrhosis-related hospitalizations increased from 337,956 to 570,220 (P &lt; 0.01). Concurrently, the incidence of EVB in hospitalized cirrhotic patients declined from 8.60% to 5.78%, with an overall decreased trend (P &lt; 0.01). The decline in the rate of EVB in hospitalized cirrhotic patients from 2002 to 2012 likely reflects the effectiveness of primary and secondary prophylaxis.","author":[{"dropping-particle":"","family":"Pant","given":"Chaitanya","non-dropping-particle":"","parse-names":false,"suffix":""},{"dropping-particle":"","family":"Desai","given":"Madhav","non-dropping-particle":"","parse-names":false,"suffix":""},{"dropping-particle":"","family":"Deshpande","given":"Abhishek","non-dropping-particle":"","parse-names":false,"suffix":""},{"dropping-particle":"","family":"Taylor","given":"Ryan","non-dropping-particle":"","parse-names":false,"suffix":""},{"dropping-particle":"","family":"Olyaee","given":"Mojtaba","non-dropping-particle":"","parse-names":false,"suffix":""},{"dropping-particle":"","family":"Gilroy","given":"Richard","non-dropping-particle":"","parse-names":false,"suffix":""}],"container-title":"Journal of hospital medicine","id":"ITEM-3","issue":"7","issued":{"date-parts":[["2015","7"]]},"page":"453-6","title":"Esophageal variceal bleeding in hospitalized patients with cirrhosis.","type":"article-journal","volume":"10"},"uris":["http://www.mendeley.com/documents/?uuid=62fb31db-bd26-41bb-a49c-9313cc945789"]}],"mendeley":{"formattedCitation":"&lt;sup&gt;[8–10]&lt;/sup&gt;","plainTextFormattedCitation":"[8–10]","previouslyFormattedCitation":"&lt;sup&gt;[8–10]&lt;/sup&gt;"},"properties":{"noteIndex":0},"schema":"https://github.com/citation-style-language/schema/raw/master/csl-citation.json"}</w:instrText>
      </w:r>
      <w:r w:rsidR="00FA7394" w:rsidRPr="00E10230">
        <w:rPr>
          <w:rFonts w:ascii="Book Antiqua" w:hAnsi="Book Antiqua" w:cs="Arial"/>
          <w:sz w:val="24"/>
          <w:szCs w:val="24"/>
        </w:rPr>
        <w:fldChar w:fldCharType="separate"/>
      </w:r>
      <w:r w:rsidR="00E84094" w:rsidRPr="00E10230">
        <w:rPr>
          <w:rFonts w:ascii="Book Antiqua" w:hAnsi="Book Antiqua" w:cs="Arial"/>
          <w:noProof/>
          <w:sz w:val="24"/>
          <w:szCs w:val="24"/>
          <w:vertAlign w:val="superscript"/>
        </w:rPr>
        <w:t>[8–10]</w:t>
      </w:r>
      <w:r w:rsidR="00FA7394" w:rsidRPr="00E10230">
        <w:rPr>
          <w:rFonts w:ascii="Book Antiqua" w:hAnsi="Book Antiqua" w:cs="Arial"/>
          <w:sz w:val="24"/>
          <w:szCs w:val="24"/>
        </w:rPr>
        <w:fldChar w:fldCharType="end"/>
      </w:r>
      <w:r w:rsidRPr="00E10230">
        <w:rPr>
          <w:rFonts w:ascii="Book Antiqua" w:hAnsi="Book Antiqua" w:cs="Arial"/>
          <w:sz w:val="24"/>
          <w:szCs w:val="24"/>
        </w:rPr>
        <w:t xml:space="preserve"> showed declining numbers of esophageal varices-related </w:t>
      </w:r>
      <w:r w:rsidRPr="00E10230">
        <w:rPr>
          <w:rFonts w:ascii="Book Antiqua" w:hAnsi="Book Antiqua" w:cs="Arial"/>
          <w:sz w:val="24"/>
          <w:szCs w:val="24"/>
        </w:rPr>
        <w:lastRenderedPageBreak/>
        <w:t xml:space="preserve">hospitalizations, which is in contrast to our findings. One possible explanation is that our study consisted of more recent data compared </w:t>
      </w:r>
      <w:r w:rsidR="003978F7" w:rsidRPr="00E10230">
        <w:rPr>
          <w:rFonts w:ascii="Book Antiqua" w:hAnsi="Book Antiqua" w:cs="Arial"/>
          <w:sz w:val="24"/>
          <w:szCs w:val="24"/>
        </w:rPr>
        <w:t>to the published studies. Jamal</w:t>
      </w:r>
      <w:r w:rsidRPr="00E10230">
        <w:rPr>
          <w:rFonts w:ascii="Book Antiqua" w:hAnsi="Book Antiqua" w:cs="Arial"/>
          <w:sz w:val="24"/>
          <w:szCs w:val="24"/>
        </w:rPr>
        <w:t xml:space="preserve"> </w:t>
      </w:r>
      <w:r w:rsidRPr="00E10230">
        <w:rPr>
          <w:rFonts w:ascii="Book Antiqua" w:hAnsi="Book Antiqua" w:cs="Arial"/>
          <w:i/>
          <w:sz w:val="24"/>
          <w:szCs w:val="24"/>
        </w:rPr>
        <w:t>et al</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{"citationItems":[{"id":"ITEM-1","itemData":{"DOI":"10.1016/j.cgh.2008.02.049","ISSN":"1542-7714","PMID":"18456566","abstract":"BACKGROUND &amp; AIMS In recent years, there have been many advances in the primary and secondary prophylaxis of variceal bleeding. The aim of this study was to evaluate nationwide trends in the hospitalization rate of bleeding esophageal varices in the advent of these new modalities. In addition, our aims were to study the incidence trends of nonbleeding esophageal varices over the past 2 decades while studying hospitalization rates for cirrhosis over the same study period. METHODS The Nationwide Inpatient Sample database was used for inpatient data analysis (1988-2002) and the State Ambulatory Surgery Database was used for outpatient analysis. Patients discharged with International Classification of Diseases, ninth revision, Clinical Modification discharge diagnoses related to esophageal varices were included. RESULTS The hospitalization rate of bleeding varices increased 13.7% from 10.9 per 100,000 in the 1988 to 1990 period to 12.4 per 100,000 in the 1994 to 1996 period (P &lt; .01), and then decreased 14.5% to 10.6 per 100,000 in the 2000 to 2002 period (P &lt; .01). In-hospital nonbleeding varices increased 55% from 6.0 to 9.3 per 100,000 from the 1988 to 1990 period to the 2000 to 2002 period (P &lt; .01). Outpatient nonbleeding esophageal varices increased 20% from 5.5 to 6.6 per 100,000 from 1997 to 2003. CONCLUSIONS The hospitalization rate for bleeding esophageal varices has been on the decline in recent years and may be a reflection of the advances in primary and secondary prophylaxis. The incidence rate of nonbleeding esophageal varices is increasing and likely is owing to the increasing burden of portal hypertensive liver disease in the nation.","author":[{"dropping-particle":"","family":"Jamal","given":"M Mazen","non-dropping-particle":"","parse-names":false,"suffix":""},{"dropping-particle":"","family":"Samarasena","given":"Jason B","non-dropping-particle":"","parse-names":false,"suffix":""},{"dropping-particle":"","family":"Hashemzadeh","given":"Mehrtash","non-dropping-particle":"","parse-names":false,"suffix":""},{"dropping-particle":"","family":"Vega","given":"Kenneth J","non-dropping-particle":"","parse-names":false,"suffix":""}],"container-title":"Clinical gastroenterology and hepatology : the official clinical practice journal of the American Gastroenterological Association","id":"ITEM-1","issue":"6","issued":{"date-parts":[["2008","6"]]},"page":"689-95; quiz 605","title":"Declining hospitalization rate of esophageal variceal bleeding in the United States.","type":"article-journal","volume":"6"},"uris":["http://www.mendeley.com/documents/?uuid=7a9220bf-69d9-484e-9a9c-7f7c27a94a1d"]},{"id":"ITEM-2","itemData":{"DOI":"10.3748/wjg.v20.i32.11326","ISSN":"2219-2840","PMID":"25170218","abstract":"AIM To examine hospitalization rates for variceal hemorrhage and relation to cause of cirrhosis during an era of increased cirrhosis prevalence. METHODS We performed a retrospective review of patients with cirrhosis and gastroesophageal variceal hemorrhage who were admitted to a tertiary care referral center from 1998 to 2009. Subjects were classified according to the etiology of their liver disease: alcoholic cirrhosis and non-alcoholic cirrhosis. Rates of hospitalization for variceal bleeding were determined. Data were also collected on total hospital admissions per year and cirrhosis-related admissions per year over the same time period. These data were then compared and analyzed for trends in admission rates. RESULTS Hospitalizations for cirrhosis significantly increased from 611 per 100000 admissions in 1998-2001 to 1232 per 100000 admissions in 2006-9 (P value for trend &lt; 0.0001). This increase was seen in admissions for both alcoholic and non-alcoholic cirrhosis (P values for trend &lt; 0.001 and &lt; 0.0001 respectively). During the same time period, there were 243 admissions for gastroesophageal variceal bleeding (68% male, mean age 54.3 years, 62% alcoholic cirrhosis). Hospitalizations for gastroesophageal variceal bleeding significantly decreased from 96.6 per 100000 admissions for the time period 1998-2001 to 70.6 per 100000 admissions for the time period 2006-2009 (P value for trend = 0.01). There were significant reductions in variceal hemorrhage from non-alcoholic cirrhosis (41.6 per 100000 admissions in 1998-2001 to 19.7 per 100000 admissions in 2006-2009, P value for trend = 0.007). CONCLUSION Hospitalizations for variceal hemorrhage have decreased, most notably in patients with non-alcoholic cirrhosis, and this may reflect broader use of strategies to prevent bleeding.","author":[{"dropping-particle":"","family":"Lim","given":"Nicholas","non-dropping-particle":"","parse-names":false,"suffix":""},{"dropping-particle":"","family":"Desarno","given":"Michael J","non-dropping-particle":"","parse-names":false,"suffix":""},{"dropping-particle":"","family":"Lidofsky","given":"Steven D","non-dropping-particle":"","parse-names":false,"suffix":""},{"dropping-particle":"","family":"Ganguly","given":"Eric","non-dropping-particle":"","parse-names":false,"suffix":""}],"container-title":"World journal of gastroenterology","id":"ITEM-2","issue":"32","issued":{"date-parts":[["2014","8","28"]]},"page":"11326-32","title":"Hospitalization for variceal hemorrhage in an era with more prevalent cirrhosis.","type":"article-journal","volume":"20"},"uris":["http://www.mendeley.com/documents/?uuid=b506f899-4a67-4c37-8c6e-4c848e1622fd"]},{"id":"ITEM-3","itemData":{"DOI":"10.1002/jhm.2360","ISSN":"1553-5606","PMID":"25976490","abstract":"Esophageal variceal bleeding (EVB) is a frequent complication in cirrhotic patients resulting in considerable mortality and morbidity. The aim of this study was to investigate the occurrence, impact, and trends of EVB in hospitalized cirrhotic patients on a nationwide level in the United States. We interrogated data from the Nationwide Inpatient Sample from 2002 to 2012. Utilizing International Classification of Diseases, Ninth Revision, Clinical Modification codes, we analyzed hospital discharges for cirrhosis and related EVB in adult patients. EVB in cirrhotic patients was independently associated with overall worse outcomes with respect to in-hospital mortality (10% vs 5%; P &lt; 0.01) and hospital charges (median $41,000 vs $26,000; P &lt; 0.01). In the period from 2002 to 2012, the number of cirrhosis-related hospitalizations increased from 337,956 to 570,220 (P &lt; 0.01). Concurrently, the incidence of EVB in hospitalized cirrhotic patients declined from 8.60% to 5.78%, with an overall decreased trend (P &lt; 0.01). The decline in the rate of EVB in hospitalized cirrhotic patients from 2002 to 2012 likely reflects the effectiveness of primary and secondary prophylaxis.","author":[{"dropping-particle":"","family":"Pant","given":"Chaitanya","non-dropping-particle":"","parse-names":false,"suffix":""},{"dropping-particle":"","family":"Desai","given":"Madhav","non-dropping-particle":"","parse-names":false,"suffix":""},{"dropping-particle":"","family":"Deshpande","given":"Abhishek","non-dropping-particle":"","parse-names":false,"suffix":""},{"dropping-particle":"","family":"Taylor","given":"Ryan","non-dropping-particle":"","parse-names":false,"suffix":""},{"dropping-particle":"","family":"Olyaee","given":"Mojtaba","non-dropping-particle":"","parse-names":false,"suffix":""},{"dropping-particle":"","family":"Gilroy","given":"Richard","non-dropping-particle":"","parse-names":false,"suffix":""}],"container-title":"Journal of hospital medicine","id":"ITEM-3","issue":"7","issued":{"date-parts":[["2015","7"]]},"page":"453-6","title":"Esophageal variceal bleeding in hospitalized patients with cirrhosis.","type":"article-journal","volume":"10"},"uris":["http://www.mendeley.com/documents/?uuid=62fb31db-bd26-41bb-a49c-9313cc945789"]}],"mendeley":{"formattedCitation":"&lt;sup&gt;[8–10]&lt;/sup&gt;","plainTextFormattedCitation":"[8–10]","previouslyFormattedCitation":"&lt;sup&gt;[8–10]&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[8]</w:t>
      </w:r>
      <w:r w:rsidR="003978F7" w:rsidRPr="00E10230">
        <w:rPr>
          <w:rFonts w:ascii="Book Antiqua" w:hAnsi="Book Antiqua" w:cs="Arial"/>
          <w:sz w:val="24"/>
          <w:szCs w:val="24"/>
        </w:rPr>
        <w:fldChar w:fldCharType="end"/>
      </w:r>
      <w:r w:rsidRPr="00E10230">
        <w:rPr>
          <w:rFonts w:ascii="Book Antiqua" w:hAnsi="Book Antiqua" w:cs="Arial"/>
          <w:sz w:val="24"/>
          <w:szCs w:val="24"/>
        </w:rPr>
        <w:t xml:space="preserve"> used data from 1988 to 2002, Lim </w:t>
      </w:r>
      <w:r w:rsidRPr="00E10230">
        <w:rPr>
          <w:rFonts w:ascii="Book Antiqua" w:hAnsi="Book Antiqua" w:cs="Arial"/>
          <w:i/>
          <w:sz w:val="24"/>
          <w:szCs w:val="24"/>
        </w:rPr>
        <w:t>et al</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{"citationItems":[{"id":"ITEM-1","itemData":{"DOI":"10.1002/jhm.2360","ISSN":"1553-5606","PMID":"25976490","abstract":"Esophageal variceal bleeding (EVB) is a frequent complication in cirrhotic patients resulting in considerable mortality and morbidity. The aim of this study was to investigate the occurrence, impact, and trends of EVB in hospitalized cirrhotic patients on a nationwide level in the United States. We interrogated data from the Nationwide Inpatient Sample from 2002 to 2012. Utilizing International Classification of Diseases, Ninth Revision, Clinical Modification codes, we analyzed hospital discharges for cirrhosis and related EVB in adult patients. EVB in cirrhotic patients was independently associated with overall worse outcomes with respect to in-hospital mortality (10% vs 5%; P &lt; 0.01) and hospital charges (median $41,000 vs $26,000; P &lt; 0.01). In the period from 2002 to 2012, the number of cirrhosis-related hospitalizations increased from 337,956 to 570,220 (P &lt; 0.01). Concurrently, the incidence of EVB in hospitalized cirrhotic patients declined from 8.60% to 5.78%, with an overall decreased trend (P &lt; 0.01). The decline in the rate of EVB in hospitalized cirrhotic patients from 2002 to 2012 likely reflects the effectiveness of primary and secondary prophylaxis.","author":[{"dropping-particle":"","family":"Pant","given":"Chaitanya","non-dropping-particle":"","parse-names":false,"suffix":""},{"dropping-particle":"","family":"Desai","given":"Madhav","non-dropping-particle":"","parse-names":false,"suffix":""},{"dropping-particle":"","family":"Deshpande","given":"Abhishek","non-dropping-particle":"","parse-names":false,"suffix":""},{"dropping-particle":"","family":"Taylor","given":"Ryan","non-dropping-particle":"","parse-names":false,"suffix":""},{"dropping-particle":"","family":"Olyaee","given":"Mojtaba","non-dropping-particle":"","parse-names":false,"suffix":""},{"dropping-particle":"","family":"Gilroy","given":"Richard","non-dropping-particle":"","parse-names":false,"suffix":""}],"container-title":"Journal of hospital medicine","id":"ITEM-1","issue":"7","issued":{"date-parts":[["2015","7"]]},"page":"453-6","title":"Esophageal variceal bleeding in hospitalized patients with cirrhosis.","type":"article-journal","volume":"10"},"uris":["http://www.mendeley.com/documents/?uuid=62fb31db-bd26-41bb-a49c-9313cc945789"]},{"id":"ITEM-2","itemData":{"ISBN":"1587631857","URL":"https://hcupnet.ahrq.gov/. For more information about HCUP data see http://www.hcup-us.ahrq.gov/","accessed":{"date-parts":[["2017","11","15"]]},"author":[{"dropping-particle":"","family":"Agency for Healthcare Research and Quality","given":"","non-dropping-particle":"","parse-names":false,"suffix":""}],"container-title":"Healthcare Cost and Utilization Project (HCUP)","id":"ITEM-2","issued":{"date-parts":[["0"]]},"title":"Healthcare Cost and Utilization Project","type":"webpage"},"uris":["http://www.mendeley.com/documents/?uuid=ae6b7b60-c0a4-41b9-9370-17b92ccd2218"]}],"mendeley":{"formattedCitation":"&lt;sup&gt;[10,11]&lt;/sup&gt;","plainTextFormattedCitation":"[10,11]","previouslyFormattedCitation":"&lt;sup&gt;[10,11]&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w:t>
      </w:r>
      <w:r w:rsidR="003978F7" w:rsidRPr="00E10230">
        <w:rPr>
          <w:rFonts w:ascii="Book Antiqua" w:eastAsiaTheme="minorEastAsia" w:hAnsi="Book Antiqua" w:cs="Arial"/>
          <w:noProof/>
          <w:sz w:val="24"/>
          <w:szCs w:val="24"/>
          <w:vertAlign w:val="superscript"/>
          <w:lang w:eastAsia="zh-CN"/>
        </w:rPr>
        <w:t>9</w:t>
      </w:r>
      <w:r w:rsidR="003978F7" w:rsidRPr="00E10230">
        <w:rPr>
          <w:rFonts w:ascii="Book Antiqua" w:hAnsi="Book Antiqua" w:cs="Arial"/>
          <w:noProof/>
          <w:sz w:val="24"/>
          <w:szCs w:val="24"/>
          <w:vertAlign w:val="superscript"/>
        </w:rPr>
        <w:t>]</w:t>
      </w:r>
      <w:r w:rsidR="003978F7" w:rsidRPr="00E10230">
        <w:rPr>
          <w:rFonts w:ascii="Book Antiqua" w:hAnsi="Book Antiqua" w:cs="Arial"/>
          <w:sz w:val="24"/>
          <w:szCs w:val="24"/>
        </w:rPr>
        <w:fldChar w:fldCharType="end"/>
      </w:r>
      <w:r w:rsidRPr="00E10230">
        <w:rPr>
          <w:rFonts w:ascii="Book Antiqua" w:hAnsi="Book Antiqua" w:cs="Arial"/>
          <w:sz w:val="24"/>
          <w:szCs w:val="24"/>
        </w:rPr>
        <w:t xml:space="preserve"> used </w:t>
      </w:r>
      <w:r w:rsidR="003978F7" w:rsidRPr="00E10230">
        <w:rPr>
          <w:rFonts w:ascii="Book Antiqua" w:hAnsi="Book Antiqua" w:cs="Arial"/>
          <w:sz w:val="24"/>
          <w:szCs w:val="24"/>
        </w:rPr>
        <w:t>data from 1998 to 2009 and Pant</w:t>
      </w:r>
      <w:r w:rsidRPr="00E10230">
        <w:rPr>
          <w:rFonts w:ascii="Book Antiqua" w:hAnsi="Book Antiqua" w:cs="Arial"/>
          <w:sz w:val="24"/>
          <w:szCs w:val="24"/>
        </w:rPr>
        <w:t xml:space="preserve"> </w:t>
      </w:r>
      <w:r w:rsidRPr="00E10230">
        <w:rPr>
          <w:rFonts w:ascii="Book Antiqua" w:hAnsi="Book Antiqua" w:cs="Arial"/>
          <w:i/>
          <w:sz w:val="24"/>
          <w:szCs w:val="24"/>
        </w:rPr>
        <w:t>et al</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{"citationItems":[{"id":"ITEM-1","itemData":{"DOI":"10.1002/jhm.2360","ISSN":"1553-5606","PMID":"25976490","abstract":"Esophageal variceal bleeding (EVB) is a frequent complication in cirrhotic patients resulting in considerable mortality and morbidity. The aim of this study was to investigate the occurrence, impact, and trends of EVB in hospitalized cirrhotic patients on a nationwide level in the United States. We interrogated data from the Nationwide Inpatient Sample from 2002 to 2012. Utilizing International Classification of Diseases, Ninth Revision, Clinical Modification codes, we analyzed hospital discharges for cirrhosis and related EVB in adult patients. EVB in cirrhotic patients was independently associated with overall worse outcomes with respect to in-hospital mortality (10% vs 5%; P &lt; 0.01) and hospital charges (median $41,000 vs $26,000; P &lt; 0.01). In the period from 2002 to 2012, the number of cirrhosis-related hospitalizations increased from 337,956 to 570,220 (P &lt; 0.01). Concurrently, the incidence of EVB in hospitalized cirrhotic patients declined from 8.60% to 5.78%, with an overall decreased trend (P &lt; 0.01). The decline in the rate of EVB in hospitalized cirrhotic patients from 2002 to 2012 likely reflects the effectiveness of primary and secondary prophylaxis.","author":[{"dropping-particle":"","family":"Pant","given":"Chaitanya","non-dropping-particle":"","parse-names":false,"suffix":""},{"dropping-particle":"","family":"Desai","given":"Madhav","non-dropping-particle":"","parse-names":false,"suffix":""},{"dropping-particle":"","family":"Deshpande","given":"Abhishek","non-dropping-particle":"","parse-names":false,"suffix":""},{"dropping-particle":"","family":"Taylor","given":"Ryan","non-dropping-particle":"","parse-names":false,"suffix":""},{"dropping-particle":"","family":"Olyaee","given":"Mojtaba","non-dropping-particle":"","parse-names":false,"suffix":""},{"dropping-particle":"","family":"Gilroy","given":"Richard","non-dropping-particle":"","parse-names":false,"suffix":""}],"container-title":"Journal of hospital medicine","id":"ITEM-1","issue":"7","issued":{"date-parts":[["2015","7"]]},"page":"453-6","title":"Esophageal variceal bleeding in hospitalized patients with cirrhosis.","type":"article-journal","volume":"10"},"uris":["http://www.mendeley.com/documents/?uuid=62fb31db-bd26-41bb-a49c-9313cc945789"]},{"id":"ITEM-2","itemData":{"ISBN":"1587631857","URL":"https://hcupnet.ahrq.gov/. For more information about HCUP data see http://www.hcup-us.ahrq.gov/","accessed":{"date-parts":[["2017","11","15"]]},"author":[{"dropping-particle":"","family":"Agency for Healthcare Research and Quality","given":"","non-dropping-particle":"","parse-names":false,"suffix":""}],"container-title":"Healthcare Cost and Utilization Project (HCUP)","id":"ITEM-2","issued":{"date-parts":[["0"]]},"title":"Healthcare Cost and Utilization Project","type":"webpage"},"uris":["http://www.mendeley.com/documents/?uuid=ae6b7b60-c0a4-41b9-9370-17b92ccd2218"]}],"mendeley":{"formattedCitation":"&lt;sup&gt;[10,11]&lt;/sup&gt;","plainTextFormattedCitation":"[10,11]","previouslyFormattedCitation":"&lt;sup&gt;[10,11]&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[10]</w:t>
      </w:r>
      <w:r w:rsidR="003978F7" w:rsidRPr="00E10230">
        <w:rPr>
          <w:rFonts w:ascii="Book Antiqua" w:hAnsi="Book Antiqua" w:cs="Arial"/>
          <w:sz w:val="24"/>
          <w:szCs w:val="24"/>
        </w:rPr>
        <w:fldChar w:fldCharType="end"/>
      </w:r>
      <w:r w:rsidRPr="00E10230">
        <w:rPr>
          <w:rFonts w:ascii="Book Antiqua" w:hAnsi="Book Antiqua" w:cs="Arial"/>
          <w:sz w:val="24"/>
          <w:szCs w:val="24"/>
        </w:rPr>
        <w:t xml:space="preserve"> used data from 2002 to 2012.</w:t>
      </w:r>
      <w:r w:rsidR="003978F7" w:rsidRPr="00E10230">
        <w:rPr>
          <w:rFonts w:ascii="Book Antiqua" w:hAnsi="Book Antiqua" w:cs="Arial"/>
          <w:sz w:val="24"/>
          <w:szCs w:val="24"/>
        </w:rPr>
        <w:t xml:space="preserve"> Furthermore, Pant</w:t>
      </w:r>
      <w:r w:rsidRPr="00E10230">
        <w:rPr>
          <w:rFonts w:ascii="Book Antiqua" w:hAnsi="Book Antiqua" w:cs="Arial"/>
          <w:sz w:val="24"/>
          <w:szCs w:val="24"/>
        </w:rPr>
        <w:t xml:space="preserve"> </w:t>
      </w:r>
      <w:r w:rsidRPr="00E10230">
        <w:rPr>
          <w:rFonts w:ascii="Book Antiqua" w:hAnsi="Book Antiqua" w:cs="Arial"/>
          <w:i/>
          <w:sz w:val="24"/>
          <w:szCs w:val="24"/>
        </w:rPr>
        <w:t>et al</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{"citationItems":[{"id":"ITEM-1","itemData":{"DOI":"10.1002/jhm.2360","ISSN":"1553-5606","PMID":"25976490","abstract":"Esophageal variceal bleeding (EVB) is a frequent complication in cirrhotic patients resulting in considerable mortality and morbidity. The aim of this study was to investigate the occurrence, impact, and trends of EVB in hospitalized cirrhotic patients on a nationwide level in the United States. We interrogated data from the Nationwide Inpatient Sample from 2002 to 2012. Utilizing International Classification of Diseases, Ninth Revision, Clinical Modification codes, we analyzed hospital discharges for cirrhosis and related EVB in adult patients. EVB in cirrhotic patients was independently associated with overall worse outcomes with respect to in-hospital mortality (10% vs 5%; P &lt; 0.01) and hospital charges (median $41,000 vs $26,000; P &lt; 0.01). In the period from 2002 to 2012, the number of cirrhosis-related hospitalizations increased from 337,956 to 570,220 (P &lt; 0.01). Concurrently, the incidence of EVB in hospitalized cirrhotic patients declined from 8.60% to 5.78%, with an overall decreased trend (P &lt; 0.01). The decline in the rate of EVB in hospitalized cirrhotic patients from 2002 to 2012 likely reflects the effectiveness of primary and secondary prophylaxis.","author":[{"dropping-particle":"","family":"Pant","given":"Chaitanya","non-dropping-particle":"","parse-names":false,"suffix":""},{"dropping-particle":"","family":"Desai","given":"Madhav","non-dropping-particle":"","parse-names":false,"suffix":""},{"dropping-particle":"","family":"Deshpande","given":"Abhishek","non-dropping-particle":"","parse-names":false,"suffix":""},{"dropping-particle":"","family":"Taylor","given":"Ryan","non-dropping-particle":"","parse-names":false,"suffix":""},{"dropping-particle":"","family":"Olyaee","given":"Mojtaba","non-dropping-particle":"","parse-names":false,"suffix":""},{"dropping-particle":"","family":"Gilroy","given":"Richard","non-dropping-particle":"","parse-names":false,"suffix":""}],"container-title":"Journal of hospital medicine","id":"ITEM-1","issue":"7","issued":{"date-parts":[["2015","7"]]},"page":"453-6","title":"Esophageal variceal bleeding in hospitalized patients with cirrhosis.","type":"article-journal","volume":"10"},"uris":["http://www.mendeley.com/documents/?uuid=62fb31db-bd26-41bb-a49c-9313cc945789"]},{"id":"ITEM-2","itemData":{"ISBN":"1587631857","URL":"https://hcupnet.ahrq.gov/. For more information about HCUP data see http://www.hcup-us.ahrq.gov/","accessed":{"date-parts":[["2017","11","15"]]},"author":[{"dropping-particle":"","family":"Agency for Healthcare Research and Quality","given":"","non-dropping-particle":"","parse-names":false,"suffix":""}],"container-title":"Healthcare Cost and Utilization Project (HCUP)","id":"ITEM-2","issued":{"date-parts":[["0"]]},"title":"Healthcare Cost and Utilization Project","type":"webpage"},"uris":["http://www.mendeley.com/documents/?uuid=ae6b7b60-c0a4-41b9-9370-17b92ccd2218"]}],"mendeley":{"formattedCitation":"&lt;sup&gt;[10,11]&lt;/sup&gt;","plainTextFormattedCitation":"[10,11]","previouslyFormattedCitation":"&lt;sup&gt;[10,11]&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[10]</w:t>
      </w:r>
      <w:r w:rsidR="003978F7" w:rsidRPr="00E10230">
        <w:rPr>
          <w:rFonts w:ascii="Book Antiqua" w:hAnsi="Book Antiqua" w:cs="Arial"/>
          <w:sz w:val="24"/>
          <w:szCs w:val="24"/>
        </w:rPr>
        <w:fldChar w:fldCharType="end"/>
      </w:r>
      <w:r w:rsidR="003978F7"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who also utilized data from NIS by HCUP, studied only the EV patients who had concurrent diagnosis of cirrhosis. Our study only looked at a primary diagnosis of EV, therefore secondary diagnosis of EV was not included which may have accounted for the differences in the study results. In addition, there was a change in sampling methods for NIS in 2012, which may have also impacted the differences in our results compared to the prior studies</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{"citationItems":[{"id":"ITEM-1","itemData":{"ISBN":"1587631857","URL":"https://hcupnet.ahrq.gov/. For more information about HCUP data see http://www.hcup-us.ahrq.gov/","accessed":{"date-parts":[["2017","11","15"]]},"author":[{"dropping-particle":"","family":"Agency for Healthcare Research and Quality","given":"","non-dropping-particle":"","parse-names":false,"suffix":""}],"container-title":"Healthcare Cost and Utilization Project (HCUP)","id":"ITEM-1","issued":{"date-parts":[["0"]]},"title":"Healthcare Cost and Utilization Project","type":"webpage"},"uris":["http://www.mendeley.com/documents/?uuid=ae6b7b60-c0a4-41b9-9370-17b92ccd2218"]}],"mendeley":{"formattedCitation":"&lt;sup&gt;[11]&lt;/sup&gt;","plainTextFormattedCitation":"[11]","previouslyFormattedCitation":"&lt;sup&gt;[11]&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[11]</w:t>
      </w:r>
      <w:r w:rsidR="003978F7" w:rsidRPr="00E10230">
        <w:rPr>
          <w:rFonts w:ascii="Book Antiqua" w:hAnsi="Book Antiqua" w:cs="Arial"/>
          <w:sz w:val="24"/>
          <w:szCs w:val="24"/>
        </w:rPr>
        <w:fldChar w:fldCharType="end"/>
      </w:r>
      <w:r w:rsidRPr="00E10230">
        <w:rPr>
          <w:rFonts w:ascii="Book Antiqua" w:hAnsi="Book Antiqua" w:cs="Arial"/>
          <w:sz w:val="24"/>
          <w:szCs w:val="24"/>
        </w:rPr>
        <w:t>.</w:t>
      </w:r>
    </w:p>
    <w:p w14:paraId="6E323F70" w14:textId="13E8B3E6" w:rsidR="00704241" w:rsidRPr="00E10230" w:rsidRDefault="00704241" w:rsidP="00E10230">
      <w:pPr>
        <w:spacing w:after="0" w:line="360" w:lineRule="auto"/>
        <w:ind w:firstLineChars="100" w:firstLine="240"/>
        <w:jc w:val="both"/>
        <w:rPr>
          <w:rFonts w:ascii="Book Antiqua" w:eastAsiaTheme="minorEastAsia" w:hAnsi="Book Antiqua" w:cs="Arial"/>
          <w:sz w:val="24"/>
          <w:szCs w:val="24"/>
          <w:lang w:eastAsia="zh-CN"/>
        </w:rPr>
      </w:pPr>
      <w:r w:rsidRPr="00E10230">
        <w:rPr>
          <w:rFonts w:ascii="Book Antiqua" w:hAnsi="Book Antiqua" w:cs="Arial"/>
          <w:sz w:val="24"/>
          <w:szCs w:val="24"/>
        </w:rPr>
        <w:t>Overall, in-hospital mortality rates for cirrhosis-associated conditions generally decreased over a 10-year period except for EV, even though there w</w:t>
      </w:r>
      <w:r w:rsidR="00B05716" w:rsidRPr="00E10230">
        <w:rPr>
          <w:rFonts w:ascii="Book Antiqua" w:hAnsi="Book Antiqua" w:cs="Arial"/>
          <w:sz w:val="24"/>
          <w:szCs w:val="24"/>
        </w:rPr>
        <w:t>ere</w:t>
      </w:r>
      <w:r w:rsidRPr="00E10230">
        <w:rPr>
          <w:rFonts w:ascii="Book Antiqua" w:hAnsi="Book Antiqua" w:cs="Arial"/>
          <w:sz w:val="24"/>
          <w:szCs w:val="24"/>
        </w:rPr>
        <w:t xml:space="preserve"> no significant trends in the overall all-cause inpatient national mortality rate. This may reflect the advances in pharmacotherapy such as introduction of rifaximin for HC treatment. Another possible explanation is that mortality related to hepatitis B virus infection declined from 2007 to 2016, likely due to improvement of care of hepatitis B virus infection</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{"citationItems":[{"id":"ITEM-1","itemData":{"DOI":"10.1053/j.gastro.2018.07.008","ISSN":"1528-0012","PMID":"30009816","abstract":"BACKGROUND &amp; AIMS Although treatment of hepatitis C virus (HCV) infection has improved, the prevalence of alcoholic liver disease (ALD) has been increasing, so we need an updated estimate of the burden and etiology-specific mortality of chronic liver diseases. We studied the trends in age-standardized mortality of chronic liver diseases among adults 20 years or older in the United States (US), from 2007 through 2016. METHODS We collected data from the US Census and National Center for Health Statistics mortality records, identifying individuals with HCV infection, ALD, nonalcoholic fatty liver disease (NAFLD), or hepatitis B virus (HBV) infection using ICD-10 codes. We obtained temporal mortality rate patterns using joinpoint trend analysis with estimates of annual percentage change (APC). RESULTS Age-standardized HCV-related mortality increased from 7.17/100,000 persons in 2007 to 8.14/100,000 persons in 2013, followed by a marked decrease in the time period at which patients began receiving treatment with direct-acting antiviral agents (from 8.09/100,000 persons in 2014 to 7.15/100,000 persons in 2016). The APC in HCV mortality increased 2.0%/year from 2007 through 2014, but decreased 6.4%/year from 2014 through 2016. In contrast, age-standardized mortality increased for ALD (APC of 2.3% from 2007 through 2013 and APC of 5.5% from 2013 through 2016) and NAFLD (APC of 6.1% from 2007 through 2013 and APC of 11.3% from 2013 through 2016). HBV-related mortality decreased steadily from 2007 through 2016, with an average APC of -2.1% (95% CI, -3.0 to -1.2). Etiology-based mortality in minority populations were higher. HCV-related mortality (per 100,000 persons) was highest among non-Hispanic blacks (10.28) and whites (6.92), followed by Hispanics (5.94), and lowest among non-Hispanic Asians (2.33). Non-Hispanic Asians had higher mortality for HBV infection (2.82 per 100,000 vs 1.02 for non-Hispanic blacks, and 0.47 for non-Hispanic whites). CONCLUSION In our population-based analysis of chronic liver disease mortality in the US, the decline in HCV-related mortality coincided with the introduction of direct-acting antiviral therapies, while the mortality from ALD and NAFLD increased during the same period. Minorities in the US have disproportionately higher chronic liver disease-related mortality.","author":[{"dropping-particle":"","family":"Kim","given":"Donghee","non-dropping-particle":"","parse-names":false,"suffix":""},{"dropping-particle":"","family":"Li","given":"Andrew A","non-dropping-particle":"","parse-names":false,"suffix":""},{"dropping-particle":"","family":"Gadiparthi","given":"Chiranjeevi","non-dropping-particle":"","parse-names":false,"suffix":""},{"dropping-particle":"","family":"Khan","given":"Muhammad Ali","non-dropping-particle":"","parse-names":false,"suffix":""},{"dropping-particle":"","family":"Cholankeril","given":"George","non-dropping-particle":"","parse-names":false,"suffix":""},{"dropping-particle":"","family":"Glenn","given":"Jeffrey S","non-dropping-particle":"","parse-names":false,"suffix":""},{"dropping-particle":"","family":"Ahmed","given":"Aijaz","non-dropping-particle":"","parse-names":false,"suffix":""}],"container-title":"Gastroenterology","id":"ITEM-1","issued":{"date-parts":[["2018","7","12"]]},"title":"Changing Trends in Etiology-based Annual Mortality From Chronic Liver Disease, From 2007 Through 2016.","type":"article-journal"},"uris":["http://www.mendeley.com/documents/?uuid=4123293a-8c27-4cd2-914e-48dd7de6fae7"]}],"mendeley":{"formattedCitation":"&lt;sup&gt;[22]&lt;/sup&gt;","plainTextFormattedCitation":"[22]","previouslyFormattedCitation":"&lt;sup&gt;[22]&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[22]</w:t>
      </w:r>
      <w:r w:rsidR="003978F7" w:rsidRPr="00E10230">
        <w:rPr>
          <w:rFonts w:ascii="Book Antiqua" w:hAnsi="Book Antiqua" w:cs="Arial"/>
          <w:sz w:val="24"/>
          <w:szCs w:val="24"/>
        </w:rPr>
        <w:fldChar w:fldCharType="end"/>
      </w:r>
      <w:r w:rsidRPr="00E10230">
        <w:rPr>
          <w:rFonts w:ascii="Book Antiqua" w:hAnsi="Book Antiqua" w:cs="Arial"/>
          <w:sz w:val="24"/>
          <w:szCs w:val="24"/>
        </w:rPr>
        <w:t>. Since patients with decompensated cirrhosis, especially from HC, are at risk for increased frequency of hospital readmission</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{"citationItems":[{"id":"ITEM-1","itemData":{"DOI":"10.1038/ajg.2011.314","ISSN":"1572-0241","PMID":"21931378","abstract":"OBJECTIVES Early rehospitalizations have been well characterized in many disease states, but not among patients with cirrhosis. The aims of this study were to identify the frequency, costs, predictors, and preventable causes of hospital readmissions among patients with decompensated cirrhosis. METHODS Rates of readmission were calculated for 402 patients discharged after one of the following complications of cirrhosis: ascites, spontaneous bacterial peritonitis, renal failure, hepatic encephalopathy, or variceal hemorrhage. Costs of readmissions were calculated using the hospital accounting system. Predictors of time to first readmission were determined using Cox regression, and predictors of hospitalization rate/person-years were determined using negative binomial regression. The independent association between readmission rate and mortality was determined using Cox regression. Admissions within 30 days of discharge were assessed by two reviewers to determine if preventable. RESULTS Overall, 276 (69%) subjects had at least one nonelective readmission, with a median time to first readmission of 67 days. By 1 week after discharge, 14% of subjects had been readmitted, and 37% were readmitted within 1 month. The mean costs for readmissions within 1 week and between weeks 1 and 4 were $28,898 and $20,581, respectively. During a median follow-up of 203 days, the median number of readmissions was 2 (range 0-40), with an overall rate of 3 hospitalizations/person-years. Patients with more frequent readmissions had higher risk of subsequent mortality, despite adjustment for confounders including the Model for End-stage Liver Disease (MELD) score. Predictors of time to first readmission included MELD score, serum sodium, and number of medications on discharge; predictors of hospitalization rate included these variables as well as the number of cirrhosis complications and being on the transplant list at discharge. Among 165 readmissions within 30 days, 22% were possibly preventable. CONCLUSIONS Hospital readmissions among patients with decompensated cirrhosis are common, costly, moderately predictable, in some cases, possibly preventable, and independently associated with mortality. These findings support the development of disease management interventions to prevent rehospitalization.","author":[{"dropping-particle":"","family":"Volk","given":"Michael L","non-dropping-particle":"","parse-names":false,"suffix":""},{"dropping-particle":"","family":"Tocco","given":"Rachel S","non-dropping-particle":"","parse-names":false,"suffix":""},{"dropping-particle":"","family":"Bazick","given":"Jessica","non-dropping-particle":"","parse-names":false,"suffix":""},{"dropping-particle":"","family":"Rakoski","given":"Mina O","non-dropping-particle":"","parse-names":false,"suffix":""},{"dropping-particle":"","family":"Lok","given":"Anna S","non-dropping-particle":"","parse-names":false,"suffix":""}],"container-title":"The American journal of gastroenterology","id":"ITEM-1","issue":"2","issued":{"date-parts":[["2012","2"]]},"page":"247-52","title":"Hospital readmissions among patients with decompensated cirrhosis.","type":"article-journal","volume":"107"},"uris":["http://www.mendeley.com/documents/?uuid=3204692b-60b4-46ee-a207-5a5d6181e4ce"]},{"id":"ITEM-2","itemData":{"DOI":"10.1002/hep.28414","ISSN":"1527-3350","PMID":"26690389","abstract":"UNLABELLED In smaller single-center studies, patients with cirrhosis are at a high readmission risk, but a multicenter perspective study is lacking. We evaluated the determinants of 3-month readmissions among inpatients with cirrhosis using the prospective 14-center North American Consortium for the Study of End-Stage Liver Disease cohort. Patients with cirrhosis hospitalized for nonelective indications provided consent and were followed for 3 months postdischarge. The number of 3-month readmissions and their determinants on index admission and discharge were calculated. We used multivariable logistic regression for all readmissions and for hepatic encephalopathy (HE), renal/metabolic, and infection-related readmissions. A score was developed using admission/discharge variables for the total sample, which was validated on a random half of the total population. Of the 1353 patients enrolled, 1177 were eligible on discharge and 1013 had 3-month outcomes. Readmissions occurred in 53% (n = 535; 316 with one, 219 with two or more), with consistent rates across sites. The leading causes were liver-related (n = 333; HE, renal/metabolic, and infections). Patients with cirrhosis and with worse Model for End-Stage Liver Disease score or diabetes, those taking prophylactic antibiotics, and those with prior HE were more likely to be readmitted. The admission model included Model for End-Stage Liver Disease and diabetes (c-statistic = 0.64, after split-validation 0.65). The discharge model included Model for End-Stage Liver Disease, proton pump inhibitor use, and lower length of stay (c-statistic = 0.65, after split-validation 0.70). Thirty percent of readmissions could not be predicted. Patients with liver-related readmissions consistently had index-stay nosocomial infections as a predictor for HE, renal/metabolic, and infection-associated readmissions (odds ratio = 1.9-3.0). CONCLUSIONS Three-month readmissions occurred in about half of discharged patients with cirrhosis, which were associated with cirrhosis severity, diabetes, and nosocomial infections; close monitoring of patients with advanced cirrhosis and prevention of nosocomial infections could reduce this burden. (Hepatology 2016;64:200-208).","author":[{"dropping-particle":"","family":"Bajaj","given":"Jasmohan S","non-dropping-particle":"","parse-names":false,"suffix":""},{"dropping-particle":"","family":"Reddy","given":"K Rajender","non-dropping-particle":"","parse-names":false,"suffix":""},{"dropping-particle":"","family":"Tandon","given":"Puneeta","non-dropping-particle":"","parse-names":false,"suffix":""},{"dropping-particle":"","family":"Wong","given":"Florence","non-dropping-particle":"","parse-names":false,"suffix":""},{"dropping-particle":"","family":"Kamath","given":"Patrick S","non-dropping-particle":"","parse-names":false,"suffix":""},{"dropping-particle":"","family":"Garcia-Tsao","given":"Guadalupe","non-dropping-particle":"","parse-names":false,"suffix":""},{"dropping-particle":"","family":"Maliakkal","given":"Benedict","non-dropping-particle":"","parse-names":false,"suffix":""},{"dropping-particle":"","family":"Biggins","given":"Scott W","non-dropping-particle":"","parse-names":false,"suffix":""},{"dropping-particle":"","family":"Thuluvath","given":"Paul J","non-dropping-particle":"","parse-names":false,"suffix":""},{"dropping-particle":"","family":"Fallon","given":"Michael B","non-dropping-particle":"","parse-names":false,"suffix":""},{"dropping-particle":"","family":"Subramanian","given":"Ram M","non-dropping-particle":"","parse-names":false,"suffix":""},{"dropping-particle":"","family":"Vargas","given":"Hugo","non-dropping-particle":"","parse-names":false,"suffix":""},{"dropping-particle":"","family":"Thacker","given":"Leroy R","non-dropping-particle":"","parse-names":false,"suffix":""},{"dropping-particle":"","family":"O'Leary","given":"Jacqueline G","non-dropping-particle":"","parse-names":false,"suffix":""},{"dropping-particle":"","family":"North American Consortium for the Study of End-Stage Liver Disease","given":"","non-dropping-particle":"","parse-names":false,"suffix":""}],"container-title":"Hepatology (Baltimore, Md.)","id":"ITEM-2","issue":"1","issued":{"date-parts":[["2016","7"]]},"page":"200-8","title":"The 3-month readmission rate remains unacceptably high in a large North American cohort of patients with cirrhosis.","type":"article-journal","volume":"64"},"uris":["http://www.mendeley.com/documents/?uuid=eed7b615-ca3a-4f5e-b0cc-cb864dbd3232"]},{"id":"ITEM-3","itemData":{"DOI":"10.1016/j.cgh.2016.04.009","ISSN":"1542-7714","PMID":"27085758","abstract":"BACKGROUND &amp; AIMS There have been few population-based studies of the rates of and reasons for readmission to the hospital within 30 days among patients with cirrhosis. METHODS We identified all adult patients with cirrhosis who were admitted in 2011 to hospitals in California, Florida Massachusetts, Mississippi, New York, and Washington (119,722 unique index admissions with cirrhosis). We analyzed data from the State Inpatient Databases, which are longitudinal all-payer databases. Data were linked to the American Hospital Association's national survey for hospital characteristics. Outcomes included readmission to any hospital within 30 and 90 days, and the reasons for readmission. RESULTS The 30- and 90-day rates of readmission were 12.9% and 21.2% overall, with limited variation among states. Among patients with more than 3 complications of cirrhosis, 24.2% were readmitted within 30 days and 35.9% were readmitted within 90 days. The presence of hepatic encephalopathy was most strongly associated with readmission within 30 and 90 days (odds ratio, 1.77 for each). Almost 1 in every 4 readmissions was to a different hospital than the one from which the patient was discharged. Among patients with alcoholic liver disease and a history of a complications of cirrhosis, the 2 most common reasons for readmission were acute complications of cirrhosis (in 41.7%) and substance abuse (in 25.0%). Conversely, the most common reasons for readmission of patients with a history of complications of cirrhosis without alcoholic liver disease were acute complications (in 41.0%) and cancer complications (in 16.2%). CONCLUSIONS A high proportion of patients with cirrhosis are readmitted to the hospital (often to a different hospital) within 30 or 90 days; encephalopathy is most strongly associated with readmission. Reasons for readmission differ based on the cause of liver disease, and there are opportunities for quality improvement.","author":[{"dropping-particle":"","family":"Tapper","given":"Elliot B","non-dropping-particle":"","parse-names":false,"suffix":""},{"dropping-particle":"","family":"Halbert","given":"Brian","non-dropping-particle":"","parse-names":false,"suffix":""},{"dropping-particle":"","family":"Mellinger","given":"Jessica","non-dropping-particle":"","parse-names":false,"suffix":""}],"container-title":"Clinical gastroenterology and hepatology : the official clinical practice journal of the American Gastroenterological Association","id":"ITEM-3","issue":"8","issued":{"date-parts":[["2016","8"]]},"page":"1181-1188.e2","title":"Rates of and Reasons for Hospital Readmissions in Patients With Cirrhosis: A Multistate Population-based Cohort Study.","type":"article-journal","volume":"14"},"uris":["http://www.mendeley.com/documents/?uuid=0db4961f-aeaa-42bf-9898-bb5bebbb3e18"]}],"mendeley":{"formattedCitation":"&lt;sup&gt;[4–6]&lt;/sup&gt;","plainTextFormattedCitation":"[4–6]","previouslyFormattedCitation":"&lt;sup&gt;[4–6]&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[4–6]</w:t>
      </w:r>
      <w:r w:rsidR="003978F7" w:rsidRPr="00E10230">
        <w:rPr>
          <w:rFonts w:ascii="Book Antiqua" w:hAnsi="Book Antiqua" w:cs="Arial"/>
          <w:sz w:val="24"/>
          <w:szCs w:val="24"/>
        </w:rPr>
        <w:fldChar w:fldCharType="end"/>
      </w:r>
      <w:r w:rsidRPr="00E10230">
        <w:rPr>
          <w:rFonts w:ascii="Book Antiqua" w:hAnsi="Book Antiqua" w:cs="Arial"/>
          <w:sz w:val="24"/>
          <w:szCs w:val="24"/>
        </w:rPr>
        <w:t>, reducing the in-patient mortality rates may be contributing to the number of readmissions following the index admission. However, our study was not designed to assess the number of readmissions in order to a</w:t>
      </w:r>
      <w:r w:rsidR="003978F7" w:rsidRPr="00E10230">
        <w:rPr>
          <w:rFonts w:ascii="Book Antiqua" w:hAnsi="Book Antiqua" w:cs="Arial"/>
          <w:sz w:val="24"/>
          <w:szCs w:val="24"/>
        </w:rPr>
        <w:t xml:space="preserve">ddress this possibility. </w:t>
      </w:r>
      <w:proofErr w:type="spellStart"/>
      <w:r w:rsidR="003978F7" w:rsidRPr="00E10230">
        <w:rPr>
          <w:rFonts w:ascii="Book Antiqua" w:hAnsi="Book Antiqua" w:cs="Arial"/>
          <w:sz w:val="24"/>
          <w:szCs w:val="24"/>
        </w:rPr>
        <w:t>Kanwal</w:t>
      </w:r>
      <w:proofErr w:type="spellEnd"/>
      <w:r w:rsidRPr="00E10230">
        <w:rPr>
          <w:rFonts w:ascii="Book Antiqua" w:hAnsi="Book Antiqua" w:cs="Arial"/>
          <w:sz w:val="24"/>
          <w:szCs w:val="24"/>
        </w:rPr>
        <w:t xml:space="preserve"> </w:t>
      </w:r>
      <w:r w:rsidRPr="00E10230">
        <w:rPr>
          <w:rFonts w:ascii="Book Antiqua" w:hAnsi="Book Antiqua" w:cs="Arial"/>
          <w:i/>
          <w:sz w:val="24"/>
          <w:szCs w:val="24"/>
        </w:rPr>
        <w:t>et al</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{"citationItems":[{"id":"ITEM-1","itemData":{"DOI":"10.1038/ajg.2017.175","ISSN":"1572-0241","PMID":"28607480","abstract":"OBJECTIVES Recent data suggest decreasing in-patient mortality in patients hospitalized with cirrhosis. We sought to determine if improvements in short-term outcomes for patients with cirrhosis are associated with changes in longer-term outcomes. METHODS We examined temporal trends in 30 days and 1-year postdischarge mortality among patients hospitalized with cirrhosis at any of the 126 Veterans Administration hospitals from 2004 and 2013. We adjusted for a range of demographic, liver disease severity, and comorbidity-related factors to account for differences in patient cohorts over time. RESULTS We identified 109,358 unique patients who were hospitalized with cirrhosis between 2004 and 2013. In-hospital mortality decreased from 11.4 to 7.6%, whereas 1-year mortality decreased from 34.5 to 33.2%. Over a third of out-of-hospital deaths occurred within the first 30 days after discharge; 30-day mortality increased from 9.3 to 10.1%. After adjusting for patient factors, the odds of in-hospital mortality in 2013 were 30% lower (adjusted odds ratio (OR)=0.70, 95% confidence interval (CI), 0.64-0.78), 1-year mortality were 13% lower (adjusted OR=0.87, 95% CI=0.82-0.93), whereas the 30-day mortality were 10% higher than 2004 (adjusted OR=1.10, 95% CI=0.99-1.21), although the latter did not reach statistical significance. CONCLUSIONS In patients admitted with cirrhosis, reduction in in-hospital mortality was associated with less marked reduction in 1-year mortality, and an unchanged, if not higher, 30-day mortality following discharge. Our data suggest that some of the burden of mortality in cirrhosis has shifted from in-hospital to the immediate postdischarge period.","author":[{"dropping-particle":"","family":"Kanwal","given":"Fasiha","non-dropping-particle":"","parse-names":false,"suffix":""},{"dropping-particle":"","family":"Tansel","given":"Aylin","non-dropping-particle":"","parse-names":false,"suffix":""},{"dropping-particle":"","family":"Kramer","given":"Jennifer R","non-dropping-particle":"","parse-names":false,"suffix":""},{"dropping-particle":"","family":"Feng","given":"Hua","non-dropping-particle":"","parse-names":false,"suffix":""},{"dropping-particle":"","family":"Asch","given":"Steven M","non-dropping-particle":"","parse-names":false,"suffix":""},{"dropping-particle":"","family":"El-Serag","given":"Hashem B","non-dropping-particle":"","parse-names":false,"suffix":""}],"container-title":"The American journal of gastroenterology","id":"ITEM-1","issue":"8","issued":{"date-parts":[["2017","8"]]},"page":"1287-1297","title":"Trends in 30-Day and 1-Year Mortality Among Patients Hospitalized With Cirrhosis From 2004 to 2013.","type":"article-journal","volume":"112"},"uris":["http://www.mendeley.com/documents/?uuid=318b75fc-3e7d-46e3-936c-9fb067594de5"]}],"mendeley":{"formattedCitation":"&lt;sup&gt;[23]&lt;/sup&gt;","plainTextFormattedCitation":"[23]","previouslyFormattedCitation":"&lt;sup&gt;[23]&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[23]</w:t>
      </w:r>
      <w:r w:rsidR="003978F7" w:rsidRPr="00E10230">
        <w:rPr>
          <w:rFonts w:ascii="Book Antiqua" w:hAnsi="Book Antiqua" w:cs="Arial"/>
          <w:sz w:val="24"/>
          <w:szCs w:val="24"/>
        </w:rPr>
        <w:fldChar w:fldCharType="end"/>
      </w:r>
      <w:r w:rsidRPr="00E10230">
        <w:rPr>
          <w:rFonts w:ascii="Book Antiqua" w:hAnsi="Book Antiqua" w:cs="Arial"/>
          <w:sz w:val="24"/>
          <w:szCs w:val="24"/>
        </w:rPr>
        <w:t xml:space="preserve"> showed there is an increasing trend for post discharge mortality related to cirrhosis admission, which has likely replaced inpatient mortality. Therefore, decreasing inpatient mortality may not reflect actual improvement of care related to cirrhosis. Interestingly, TIPS showed significant decrease in the hospital LOS from 9.6 in 2005 to 8.0 in 2014 by 17% down (</w:t>
      </w:r>
      <w:r w:rsidR="008447E4" w:rsidRPr="00E10230">
        <w:rPr>
          <w:rFonts w:ascii="Book Antiqua" w:hAnsi="Book Antiqua" w:cs="Arial"/>
          <w:i/>
          <w:sz w:val="24"/>
          <w:szCs w:val="24"/>
        </w:rPr>
        <w:t>P</w:t>
      </w:r>
      <w:r w:rsidR="003978F7"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3978F7"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0.04), but other cirrhosis-associated conditions did not play a significant role in the LOS. This finding is different from a previous study that evaluated TIPS from 1998 to 2012, which showed relatively constant LOS for TIPS-related admissions</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{"citationItems":[{"id":"ITEM-1","itemData":{"DOI":"10.3748/wjg.v22.i25.5780","ISSN":"2219-2840","PMID":"27433091","abstract":"AIM To evaluate and validate the national trends and predictors of in-patient mortality of transjugular intrahepatic portosystemic shunt (TIPS) in 15 years. METHODS Using the National Inpatient Sample which is a part of Health Cost and Utilization Project, we identified a discharge-weighted national estimate of 83884 TIPS procedures performed in the United States from 1998 to 2012 using international classification of diseases-9 procedural code 39.1. The demographic, hospital and co-morbility data were analyzed using a multivariant analysis. Using multi-nominal logistic regression analysis, we determined predictive factors related to increases in-hospital mortality. Comorbidity measures are in accordance to the Comorbidity Software designed by the Agency for Healthcare Research and Quality. RESULTS Overall, 12.3% of patients died during hospitalization with downward trend in-hospital mortality with the mean length of stay of 10.8 ± 13.1 d. Notable, African American patients (OR = 1.809 vs Caucasian patients, P &lt; 0.001), transferred patients (OR = 1.347 vs non-transferred, P &lt; 0.001), emergency admissions (OR = 3.032 vs elective cases, P &lt; 0.001), patients in the Northeast region (OR = 1.449 vs West, P &lt; 0.001) had significantly higher odds of in-hospital mortality. Number of diagnoses and number of procedures showed positive correlations with in-hospital death (OR = 1.249 per one increase in number of procedures). Patients diagnosed with acute respiratory failure (OR = 8.246), acute kidney failure (OR = 4.359), hepatic encephalopathy (OR = 2.217) and esophageal variceal bleeding (OR = 2.187) were at considerably higher odds of in-hospital death compared with ascites (OR = 0.136, P &lt; 0.001). Comorbidity measures with the highest odds of in-hospital death were fluid and electrolyte disorders (OR = 2.823), coagulopathy (OR = 2.016), and lymphoma (OR = 1.842). CONCLUSION The overall mortality of the TIPS procedure is steadily decreasing, though the length of stay has remained relatively constant. Specific patient ethnicity, location, transfer status, primary diagnosis and comorbidities correlate with increased odds of TIPS in-hospital death.","author":[{"dropping-particle":"","family":"Lee","given":"Edward Wolfgang","non-dropping-particle":"","parse-names":false,"suffix":""},{"dropping-particle":"","family":"Kuei","given":"Andrew","non-dropping-particle":"","parse-names":false,"suffix":""},{"dropping-particle":"","family":"Saab","given":"Sammy","non-dropping-particle":"","parse-names":false,"suffix":""},{"dropping-particle":"","family":"Busuttil","given":"Ronald W","non-dropping-particle":"","parse-names":false,"suffix":""},{"dropping-particle":"","family":"Durazo","given":"Francisco","non-dropping-particle":"","parse-names":false,"suffix":""},{"dropping-particle":"","family":"Han","given":"Steven-Huy","non-dropping-particle":"","parse-names":false,"suffix":""},{"dropping-particle":"","family":"El-Kabany","given":"Mohamed M","non-dropping-particle":"","parse-names":false,"suffix":""},{"dropping-particle":"","family":"McWilliams","given":"Justin P","non-dropping-particle":"","parse-names":false,"suffix":""},{"dropping-particle":"","family":"Kee","given":"Stephen T","non-dropping-particle":"","parse-names":false,"suffix":""}],"container-title":"World journal of gastroenterology","id":"ITEM-1","issue":"25","issued":{"date-parts":[["2016","7","7"]]},"page":"5780-9","title":"Nationwide trends and predictors of inpatient mortality in 83884 transjugular intrahepatic portosystemic shunt.","type":"article-journal","volume":"22"},"uris":["http://www.mendeley.com/documents/?uuid=43ef14d8-b824-4d88-9e1a-364910d04b24"]}],"mendeley":{"formattedCitation":"&lt;sup&gt;[24]&lt;/sup&gt;","plainTextFormattedCitation":"[24]","previouslyFormattedCitation":"&lt;sup&gt;[24]&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[24]</w:t>
      </w:r>
      <w:r w:rsidR="003978F7" w:rsidRPr="00E10230">
        <w:rPr>
          <w:rFonts w:ascii="Book Antiqua" w:hAnsi="Book Antiqua" w:cs="Arial"/>
          <w:sz w:val="24"/>
          <w:szCs w:val="24"/>
        </w:rPr>
        <w:fldChar w:fldCharType="end"/>
      </w:r>
      <w:r w:rsidRPr="00E10230">
        <w:rPr>
          <w:rFonts w:ascii="Book Antiqua" w:hAnsi="Book Antiqua" w:cs="Arial"/>
          <w:sz w:val="24"/>
          <w:szCs w:val="24"/>
        </w:rPr>
        <w:t>. TIPS had persistently high LOS compared to other diagnosis, however this comparison may not be appropriate as the ICD-9 code for TIPS was a procedure code rather than a diagnostic code. In addition, there was a recent trend of minimizing post-procedural hospital stays</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{"citationItems":[{"id":"ITEM-1","itemData":{"DOI":"10.1097/01.SLA.0000081094.66659.c3","ISSN":"0003-4932","PMID":"12894006","abstract":"OBJECTIVE Aimed at reducing surgical deaths, several recent initiatives have attempted to establish volume-based referral strategies in high-risk surgery. Although payers are leading the most visible of these efforts, it is unknown whether volume standards will also reduce resource use. METHODS We studied postoperative length of stay and 30-day readmission rate after 14 cardiovascular and cancer procedures using the 1994-1999 national Medicare database (total n = 2.5 million). We used regression techniques to examine the relationship between length of stay, 30-day readmission, and hospital volume, adjusting for age, gender, race, comorbidity score, admission acuity, and mean social security income. RESULTS Mean postoperative length of stay ranged from 3.4 days (carotid endarterectomy) to 19.6 days (esophagectomy). There was no consistent relationship between volume and mean length of stay; it significantly increased across volume strata for 7 of the 14 procedures and significantly decreased across volume strata for the other 7. Mean length of stay at very-low-volume and very-high-volume hospitals differed by more than 1 day for 6 procedures. Of these, the mean length of stay was shorter in high-volume hospitals for 3 procedures (pancreatic resection, esophagectomy, cystectomy), but longer for other procedures (aortic and mitral valve replacement, gastrectomy). The 30-day readmission rate also varied widely by procedure, ranging from 9.9% (nephrectomy) to 22.2% (mitral valve replacement). However, volume was not related to 30-day readmission rate with any procedure. CONCLUSION Although hospital volume may be an important predictor of operative mortality, it is not associated with resource use as reflected by length of stay or readmission rates.","author":[{"dropping-particle":"","family":"Goodney","given":"Philip P","non-dropping-particle":"","parse-names":false,"suffix":""},{"dropping-particle":"","family":"Stukel","given":"Therese A","non-dropping-particle":"","parse-names":false,"suffix":""},{"dropping-particle":"","family":"Lucas","given":"F Lee","non-dropping-particle":"","parse-names":false,"suffix":""},{"dropping-particle":"","family":"Finlayson","given":"Emily V A","non-dropping-particle":"","parse-names":false,"suffix":""},{"dropping-particle":"","family":"Birkmeyer","given":"John D","non-dropping-particle":"","parse-names":false,"suffix":""}],"container-title":"Annals of surgery","id":"ITEM-1","issue":"2","issued":{"date-parts":[["2003","8"]]},"page":"161-7","title":"Hospital volume, length of stay, and readmission rates in high-risk surgery.","type":"article-journal","volume":"238"},"uris":["http://www.mendeley.com/documents/?uuid=4ecf3e12-5262-4bd2-88af-b3cc189e0a2c"]}],"mendeley":{"formattedCitation":"&lt;sup&gt;[25]&lt;/sup&gt;","plainTextFormattedCitation":"[25]","previouslyFormattedCitation":"&lt;sup&gt;[25]&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[25]</w:t>
      </w:r>
      <w:r w:rsidR="003978F7" w:rsidRPr="00E10230">
        <w:rPr>
          <w:rFonts w:ascii="Book Antiqua" w:hAnsi="Book Antiqua" w:cs="Arial"/>
          <w:sz w:val="24"/>
          <w:szCs w:val="24"/>
        </w:rPr>
        <w:fldChar w:fldCharType="end"/>
      </w:r>
      <w:r w:rsidRPr="00E10230">
        <w:rPr>
          <w:rFonts w:ascii="Book Antiqua" w:hAnsi="Book Antiqua" w:cs="Arial"/>
          <w:sz w:val="24"/>
          <w:szCs w:val="24"/>
        </w:rPr>
        <w:t>.</w:t>
      </w:r>
    </w:p>
    <w:p w14:paraId="7EC6E5A9" w14:textId="77777777" w:rsidR="00704241" w:rsidRPr="00E10230" w:rsidRDefault="00704241" w:rsidP="00E10230">
      <w:pPr>
        <w:spacing w:after="0" w:line="360" w:lineRule="auto"/>
        <w:ind w:firstLineChars="100" w:firstLine="240"/>
        <w:jc w:val="both"/>
        <w:rPr>
          <w:rFonts w:ascii="Book Antiqua" w:hAnsi="Book Antiqua" w:cs="Arial"/>
          <w:sz w:val="24"/>
          <w:szCs w:val="24"/>
        </w:rPr>
      </w:pPr>
      <w:r w:rsidRPr="00E10230">
        <w:rPr>
          <w:rFonts w:ascii="Book Antiqua" w:hAnsi="Book Antiqua" w:cs="Arial"/>
          <w:sz w:val="24"/>
          <w:szCs w:val="24"/>
        </w:rPr>
        <w:lastRenderedPageBreak/>
        <w:t>Finally, our aggregate financial analysis suggests that mean charges of cirrhosis-associated conditions increased over a 10-year period after adjusting for inflation. A similar increased trend was also seen in the national all-cause hospitalization. However, increase in aggregate cost for primary diagnosis of EV, HC and SBP was disproportionately greater (45% increase) than the increase in aggregate cost for national trends (7% increase) after adjusting for inflation. This suggests that prevention of hospitalizations secondary to cirrhosis-associated conditions likely reduces overall health care cost.</w:t>
      </w:r>
    </w:p>
    <w:p w14:paraId="6204B120" w14:textId="2F6C15C6" w:rsidR="00704241" w:rsidRPr="00E10230" w:rsidRDefault="00704241" w:rsidP="00E10230">
      <w:pPr>
        <w:spacing w:after="0" w:line="360" w:lineRule="auto"/>
        <w:ind w:firstLineChars="100" w:firstLine="240"/>
        <w:jc w:val="both"/>
        <w:rPr>
          <w:rFonts w:ascii="Book Antiqua" w:eastAsiaTheme="minorEastAsia" w:hAnsi="Book Antiqua" w:cs="Arial"/>
          <w:sz w:val="24"/>
          <w:szCs w:val="24"/>
          <w:lang w:eastAsia="zh-CN"/>
        </w:rPr>
      </w:pPr>
      <w:r w:rsidRPr="00E10230">
        <w:rPr>
          <w:rFonts w:ascii="Book Antiqua" w:hAnsi="Book Antiqua" w:cs="Arial"/>
          <w:sz w:val="24"/>
          <w:szCs w:val="24"/>
        </w:rPr>
        <w:t xml:space="preserve">There are some limitations to our study, which are mostly associated with the lack of patient-level, detailed clinical information as a result of using an aggregate claims database. Also, we cannot rule out the possibility of temporal changes in the reporting bias for these conditions, since the reporting process for the discharge diagnoses may have become more specific over recent years with more prevalent use of electronic medical records. Therefore, it is unclear if increasing numbers of cirrhosis-associated discharges based on ICD-9 codes reflects actual increases in prevalence of the conditions </w:t>
      </w:r>
      <w:r w:rsidRPr="00E10230">
        <w:rPr>
          <w:rFonts w:ascii="Book Antiqua" w:hAnsi="Book Antiqua" w:cs="Arial"/>
          <w:i/>
          <w:sz w:val="24"/>
          <w:szCs w:val="24"/>
        </w:rPr>
        <w:t>vs</w:t>
      </w:r>
      <w:r w:rsidRPr="00E10230">
        <w:rPr>
          <w:rFonts w:ascii="Book Antiqua" w:hAnsi="Book Antiqua" w:cs="Arial"/>
          <w:sz w:val="24"/>
          <w:szCs w:val="24"/>
        </w:rPr>
        <w:t xml:space="preserve"> increase in more accurate reporting of these conditions. In addition, previous studies have not validated ICD-9 codes related to HC secondary to viral hepatitis. Therefore, use of unvalidated codes may skew results. Further prospective studies are needed to find the explanations of these trends. We also utilized ICD-9 diagnostic codes for HC, EV and SBP, and an ICD-9 procedure code was utilized for TIPS. Therefore, comparison between ICD-9 diagnostic codes and procedure codes may not reflect differences in the respective trends.</w:t>
      </w:r>
      <w:r w:rsidR="002446B5" w:rsidRPr="00E10230">
        <w:rPr>
          <w:rFonts w:ascii="Book Antiqua" w:hAnsi="Book Antiqua" w:cs="Arial"/>
          <w:sz w:val="24"/>
          <w:szCs w:val="24"/>
        </w:rPr>
        <w:t xml:space="preserve"> We understand that determining the reason for TIPS is important as prognosis may differ for different causes</w:t>
      </w:r>
      <w:r w:rsidR="00B05716" w:rsidRPr="00E10230">
        <w:rPr>
          <w:rFonts w:ascii="Book Antiqua" w:hAnsi="Book Antiqua" w:cs="Arial"/>
          <w:sz w:val="24"/>
          <w:szCs w:val="24"/>
        </w:rPr>
        <w:t>.</w:t>
      </w:r>
      <w:r w:rsidR="002446B5" w:rsidRPr="00E10230">
        <w:rPr>
          <w:rFonts w:ascii="Book Antiqua" w:hAnsi="Book Antiqua" w:cs="Arial"/>
          <w:sz w:val="24"/>
          <w:szCs w:val="24"/>
        </w:rPr>
        <w:t xml:space="preserve"> </w:t>
      </w:r>
      <w:r w:rsidR="00B05716" w:rsidRPr="00E10230">
        <w:rPr>
          <w:rFonts w:ascii="Book Antiqua" w:hAnsi="Book Antiqua" w:cs="Arial"/>
          <w:sz w:val="24"/>
          <w:szCs w:val="24"/>
        </w:rPr>
        <w:t>H</w:t>
      </w:r>
      <w:r w:rsidR="002446B5" w:rsidRPr="00E10230">
        <w:rPr>
          <w:rFonts w:ascii="Book Antiqua" w:hAnsi="Book Antiqua" w:cs="Arial"/>
          <w:sz w:val="24"/>
          <w:szCs w:val="24"/>
        </w:rPr>
        <w:t>owever, NIS data did not allow us to separate etiologies. Additional studies to look at this d</w:t>
      </w:r>
      <w:r w:rsidR="00E10230" w:rsidRPr="00E10230">
        <w:rPr>
          <w:rFonts w:ascii="Book Antiqua" w:hAnsi="Book Antiqua" w:cs="Arial"/>
          <w:sz w:val="24"/>
          <w:szCs w:val="24"/>
        </w:rPr>
        <w:t>ifference would be appropriate.</w:t>
      </w:r>
    </w:p>
    <w:p w14:paraId="0EFEFBC1" w14:textId="42D6740C" w:rsidR="00704241" w:rsidRPr="00E10230" w:rsidRDefault="00704241" w:rsidP="00E10230">
      <w:pPr>
        <w:spacing w:after="0" w:line="360" w:lineRule="auto"/>
        <w:ind w:firstLineChars="100" w:firstLine="240"/>
        <w:jc w:val="both"/>
        <w:rPr>
          <w:rFonts w:ascii="Book Antiqua" w:hAnsi="Book Antiqua" w:cs="Arial"/>
          <w:sz w:val="24"/>
          <w:szCs w:val="24"/>
        </w:rPr>
      </w:pPr>
      <w:r w:rsidRPr="00E10230">
        <w:rPr>
          <w:rFonts w:ascii="Book Antiqua" w:hAnsi="Book Antiqua" w:cs="Arial"/>
          <w:sz w:val="24"/>
          <w:szCs w:val="24"/>
        </w:rPr>
        <w:t>In summary, we observed significant temporal increase in hospitalization due to cirrhosis-associated complications except for TIPS</w:t>
      </w:r>
      <w:r w:rsidR="00E10230" w:rsidRPr="00E10230">
        <w:rPr>
          <w:rFonts w:ascii="Book Antiqua" w:hAnsi="Book Antiqua" w:cs="Arial"/>
          <w:sz w:val="24"/>
          <w:szCs w:val="24"/>
        </w:rPr>
        <w:fldChar w:fldCharType="begin" w:fldLock="1"/>
      </w:r>
      <w:r w:rsidR="00E10230" w:rsidRPr="00E10230">
        <w:rPr>
          <w:rFonts w:ascii="Book Antiqua" w:hAnsi="Book Antiqua" w:cs="Arial"/>
          <w:sz w:val="24"/>
          <w:szCs w:val="24"/>
        </w:rPr>
        <w:instrText>ADDIN CSL_CITATION {"citationItems":[{"id":"ITEM-1","itemData":{"DOI":"10.1111/j.1478-3231.2012.02830.x","ISSN":"1478-3231","PMID":"22679906","abstract":"BACKGROUND/AIMS Patients with cirrhosis are classified in a compensated and a decompensated stage. Portal hypertension is responsible for most of the complications of cirrhosis that mark the transition from compensated to decompensated cirrhosis. The objectives of this study were (a) to analyse survival of the different stages and substages of cirrhosis and (b) to examine the prognostic value of the hepatic venous pressure gradient (HVPG) at each of the stages. METHODS A total of 729 patients with suspected cirrhosis underwent routine measurement of portal pressure and systemic haemodynamics between 11/1995 and 12/2004. The primary end-point of the study was death, collected until November 30th, 2006. Multivariable analysis was performed using two models to determine predictors of death at each stage. RESULTS A total of 443 patients were included in the study. The 1-year mortality was 5.4% in compensated and 20.2% in decompensated patients. Compensated patients in stage 1 (no varices) had a longer survival than stage 2 patients (varices present) (P = 0.015). In decompensated patients, survival was not different between stage 3 (ascites, with or without varices) and stage 4 (variceal haemorrhage, with or without ascites). Age and HVPG (cut-off 10 mmHg) were independent predictors of death in compensated patients, whereas MELD was in decompensated patients. CONCLUSION Survival rates and predictors of death are different between patients with compensated and decompensated cirrhosis. Unlike the Italian cohort staging system, ascites is a better stratifying clinical event than variceal haemorrhage in patients with decompensated cirrhosis. The presence of clinically significant portal hypertension has prognostic value in compensated cirrhosis.","author":[{"dropping-particle":"","family":"Zipprich","given":"Alexander","non-dropping-particle":"","parse-names":false,"suffix":""},{"dropping-particle":"","family":"Garcia-Tsao","given":"Guadalupe","non-dropping-particle":"","parse-names":false,"suffix":""},{"dropping-particle":"","family":"Rogowski","given":"Sebastian","non-dropping-particle":"","parse-names":false,"suffix":""},{"dropping-particle":"","family":"Fleig","given":"Wolfgang E","non-dropping-particle":"","parse-names":false,"suffix":""},{"dropping-particle":"","family":"Seufferlein","given":"Thomas","non-dropping-particle":"","parse-names":false,"suffix":""},{"dropping-particle":"","family":"Dollinger","given":"Matthias M","non-dropping-particle":"","parse-names":false,"suffix":""}],"container-title":"Liver international : official journal of the International Association for the Study of the Liver","id":"ITEM-1","issue":"9","issued":{"date-parts":[["2012","10"]]},"page":"1407-14","title":"Prognostic indicators of survival in patients with compensated and decompensated cirrhosis.","type":"article-journal","volume":"32"},"uris":["http://www.mendeley.com/documents/?uuid=fb402ff0-d8a4-4e1e-b55b-25067d46c655"]},{"id":"ITEM-2","itemData":{"DOI":"10.1111/jgh.13917","ISSN":"08159319","PMID":"28768371","abstract":"BACKGROUND &amp;AIM Minimal hepatic encephalopathy (MHE) predicts poor prognosis and could reflect an advanced liver disease. We aimed to assess whether MHE could be a surrogate marker of a further liver disease. METHODS Prospective multicenter study including 320 cirrhotic patients, followed for up to 5 years, which were classified at baseline in: compensated cirrhosis without (stage 1) and with varices (stage 2), one decompensating event (stage 3), any second decompensating event (stage 4). Cirrhosis progression was defined by a transition towards a different stage (competing events: liver transplant due to hepatocellular carcinoma and non-liver-related death). MHE was detected by critical flicker frequency and psychometric tests. RESULTS MHE was diagnosed in 18.2% (57/314) of patients. Cirrhosis progression occurred in 38.1% (122/320) of patients, while liver transplant was required in 10.9% (35/320) and 19.1% (61/320) died. In competing risk regression, MHE was associated with disease progression: model 1 [sHR 2.34 (95%CI 1.58-3.46); p=0.0001]; model 2 [sHR 2.18 (95%CI 1.43-3.33); p=0.0001]; model 3 [sHR 2.48 (95%CI 1.63-3.76); p=0.0001]. The annual incidence rate of progression was higher in MHE patients: stage 1 (19.4 vs. 5.6 cases per 100 person-years); stage 2 (26.8 vs. 15.6); stage 3 (45.7 vs. 16.5); stage 4 (40.7 vs. 12.8). MHE showed a higher cumulative incidence of disease progression from the first year in decompensated and the third year in compensated cirrhosis. CONCLUSION MHE was associated with cirrhosis progression and showed a higher cumulative and annual incidence rate of disease progression. MHE could be a surrogate marker of disease progression, irrespective of cirrhosis status, identifying patients at risk of suffering a more aggressive cirrhosis form.","author":[{"dropping-particle":"","family":"Ampuero","given":"Javier","non-dropping-particle":"","parse-names":false,"suffix":""},{"dropping-particle":"","family":"Montoliú","given":"Carmina","non-dropping-particle":"","parse-names":false,"suffix":""},{"dropping-particle":"","family":"Simón-Talero","given":"Macarena","non-dropping-particle":"","parse-names":false,"suffix":""},{"dropping-particle":"","family":"Aguilera","given":"Virginia","non-dropping-particle":"","parse-names":false,"suffix":""},{"dropping-particle":"","family":"Millán","given":"Raquel","non-dropping-particle":"","parse-names":false,"suffix":""},{"dropping-particle":"","family":"Márquez","given":"Celina","non-dropping-particle":"","parse-names":false,"suffix":""},{"dropping-particle":"","family":"Jover","given":"Rodrigo","non-dropping-particle":"","parse-names":false,"suffix":""},{"dropping-particle":"","family":"Rico","given":"María Carmen","non-dropping-particle":"","parse-names":false,"suffix":""},{"dropping-particle":"","family":"Sendra","given":"Carmen","non-dropping-particle":"","parse-names":false,"suffix":""},{"dropping-particle":"","family":"Serra","given":"Miguel Ángel","non-dropping-particle":"","parse-names":false,"suffix":""},{"dropping-particle":"","family":"Romero-Gómez","given":"Manuel","non-dropping-particle":"","parse-names":false,"suffix":""}],"container-title":"Journal of Gastroenterology and Hepatology","id":"ITEM-2","issued":{"date-parts":[["2017","8","2"]]},"title":"Minimal hepatic encephalopathy identifies patients at risk of faster cirrhosis progression","type":"article-journal"},"uris":["http://www.mendeley.com/documents/?uuid=34927d2a-d2e3-4abf-8a9c-6e530693e59d"]}],"mendeley":{"formattedCitation":"&lt;sup&gt;[2,3]&lt;/sup&gt;","plainTextFormattedCitation":"[2,3]","previouslyFormattedCitation":"&lt;sup&gt;[2,3]&lt;/sup&gt;"},"properties":{"noteIndex":0},"schema":"https://github.com/citation-style-language/schema/raw/master/csl-citation.json"}</w:instrText>
      </w:r>
      <w:r w:rsidR="00E10230" w:rsidRPr="00E10230">
        <w:rPr>
          <w:rFonts w:ascii="Book Antiqua" w:hAnsi="Book Antiqua" w:cs="Arial"/>
          <w:sz w:val="24"/>
          <w:szCs w:val="24"/>
        </w:rPr>
        <w:fldChar w:fldCharType="separate"/>
      </w:r>
      <w:r w:rsidR="00E10230" w:rsidRPr="00E10230">
        <w:rPr>
          <w:rFonts w:ascii="Book Antiqua" w:hAnsi="Book Antiqua" w:cs="Arial"/>
          <w:noProof/>
          <w:sz w:val="24"/>
          <w:szCs w:val="24"/>
          <w:vertAlign w:val="superscript"/>
        </w:rPr>
        <w:t>[2,3]</w:t>
      </w:r>
      <w:r w:rsidR="00E10230" w:rsidRPr="00E10230">
        <w:rPr>
          <w:rFonts w:ascii="Book Antiqua" w:hAnsi="Book Antiqua" w:cs="Arial"/>
          <w:sz w:val="24"/>
          <w:szCs w:val="24"/>
        </w:rPr>
        <w:fldChar w:fldCharType="end"/>
      </w:r>
      <w:r w:rsidRPr="00E10230">
        <w:rPr>
          <w:rFonts w:ascii="Book Antiqua" w:hAnsi="Book Antiqua" w:cs="Arial"/>
          <w:sz w:val="24"/>
          <w:szCs w:val="24"/>
        </w:rPr>
        <w:t>. EV, HC and especially SBP had significant increases in aggregate hospitalization cost. Strategies to prevent readmission in the era of decreasing mortality rate are needed to effectively reduce healthcare cost.</w:t>
      </w:r>
    </w:p>
    <w:p w14:paraId="670CC85E" w14:textId="7283379D" w:rsidR="00FB1910" w:rsidRPr="00E10230" w:rsidRDefault="00704241" w:rsidP="00E10230">
      <w:pPr>
        <w:spacing w:after="0" w:line="360" w:lineRule="auto"/>
        <w:jc w:val="both"/>
        <w:rPr>
          <w:rFonts w:ascii="Book Antiqua" w:hAnsi="Book Antiqua" w:cs="Arial"/>
          <w:b/>
          <w:sz w:val="24"/>
          <w:szCs w:val="24"/>
        </w:rPr>
      </w:pPr>
      <w:r w:rsidRPr="00E10230" w:rsidDel="00704241">
        <w:rPr>
          <w:rFonts w:ascii="Book Antiqua" w:hAnsi="Book Antiqua" w:cs="Arial"/>
          <w:b/>
          <w:sz w:val="24"/>
          <w:szCs w:val="24"/>
        </w:rPr>
        <w:t xml:space="preserve"> </w:t>
      </w:r>
      <w:bookmarkEnd w:id="5"/>
    </w:p>
    <w:p w14:paraId="2EF97A39" w14:textId="63DD4EC6" w:rsidR="00544C5A" w:rsidRPr="00E10230" w:rsidRDefault="00544C5A" w:rsidP="00E10230">
      <w:pPr>
        <w:spacing w:after="0" w:line="360" w:lineRule="auto"/>
        <w:jc w:val="both"/>
        <w:rPr>
          <w:rFonts w:ascii="Book Antiqua" w:hAnsi="Book Antiqua" w:cs="Arial"/>
          <w:b/>
          <w:sz w:val="24"/>
          <w:szCs w:val="24"/>
        </w:rPr>
      </w:pPr>
      <w:r w:rsidRPr="00E10230">
        <w:rPr>
          <w:rFonts w:ascii="Book Antiqua" w:hAnsi="Book Antiqua" w:cs="Arial"/>
          <w:b/>
          <w:sz w:val="24"/>
          <w:szCs w:val="24"/>
        </w:rPr>
        <w:t>ARTICLE HIGHLIGHTS</w:t>
      </w:r>
    </w:p>
    <w:p w14:paraId="3C23E296" w14:textId="15D976E9" w:rsidR="00544C5A" w:rsidRPr="00E10230" w:rsidRDefault="00544C5A"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lastRenderedPageBreak/>
        <w:t>Research background</w:t>
      </w:r>
    </w:p>
    <w:p w14:paraId="52B395E5" w14:textId="0530DA03" w:rsidR="00544C5A" w:rsidRPr="00E10230" w:rsidRDefault="00AF0195" w:rsidP="00E10230">
      <w:pPr>
        <w:spacing w:after="0" w:line="360" w:lineRule="auto"/>
        <w:jc w:val="both"/>
        <w:rPr>
          <w:rFonts w:ascii="Book Antiqua" w:hAnsi="Book Antiqua" w:cs="Arial"/>
          <w:sz w:val="24"/>
          <w:szCs w:val="24"/>
        </w:rPr>
      </w:pPr>
      <w:r w:rsidRPr="00E10230">
        <w:rPr>
          <w:rFonts w:ascii="Book Antiqua" w:hAnsi="Book Antiqua" w:cs="Arial"/>
          <w:sz w:val="24"/>
          <w:szCs w:val="24"/>
        </w:rPr>
        <w:t xml:space="preserve">There is limited data on recent temporal trends of cirrhosis associated conditions in the </w:t>
      </w:r>
      <w:r w:rsidR="00E10230" w:rsidRPr="00E10230">
        <w:rPr>
          <w:rFonts w:ascii="Book Antiqua" w:eastAsiaTheme="minorEastAsia" w:hAnsi="Book Antiqua" w:cs="Arial"/>
          <w:sz w:val="24"/>
          <w:szCs w:val="24"/>
          <w:lang w:eastAsia="zh-CN"/>
        </w:rPr>
        <w:t>United States</w:t>
      </w:r>
      <w:r w:rsidR="00222F37">
        <w:rPr>
          <w:rFonts w:ascii="Book Antiqua" w:eastAsiaTheme="minorEastAsia" w:hAnsi="Book Antiqua" w:cs="Arial" w:hint="eastAsia"/>
          <w:sz w:val="24"/>
          <w:szCs w:val="24"/>
          <w:lang w:eastAsia="zh-CN"/>
        </w:rPr>
        <w:t xml:space="preserve">, </w:t>
      </w:r>
      <w:r w:rsidR="00222F37" w:rsidRPr="00E10230">
        <w:rPr>
          <w:rFonts w:ascii="Book Antiqua" w:hAnsi="Book Antiqua" w:cs="Arial"/>
          <w:sz w:val="24"/>
          <w:szCs w:val="24"/>
        </w:rPr>
        <w:t xml:space="preserve">which </w:t>
      </w:r>
      <w:r w:rsidRPr="00E10230">
        <w:rPr>
          <w:rFonts w:ascii="Book Antiqua" w:hAnsi="Book Antiqua" w:cs="Arial"/>
          <w:sz w:val="24"/>
          <w:szCs w:val="24"/>
        </w:rPr>
        <w:t>is critical to identify problems related to hospitalizations.</w:t>
      </w:r>
    </w:p>
    <w:p w14:paraId="2C232E9A" w14:textId="5CBFA5F5" w:rsidR="00544C5A" w:rsidRPr="00222F37" w:rsidRDefault="00544C5A" w:rsidP="00E10230">
      <w:pPr>
        <w:spacing w:after="0" w:line="360" w:lineRule="auto"/>
        <w:jc w:val="both"/>
        <w:rPr>
          <w:rFonts w:ascii="Book Antiqua" w:hAnsi="Book Antiqua" w:cs="Arial"/>
          <w:sz w:val="24"/>
          <w:szCs w:val="24"/>
        </w:rPr>
      </w:pPr>
    </w:p>
    <w:p w14:paraId="3F4E83F1" w14:textId="50E8903C" w:rsidR="00544C5A" w:rsidRPr="00E10230" w:rsidRDefault="00544C5A"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Research motivation</w:t>
      </w:r>
    </w:p>
    <w:p w14:paraId="04F21CA0" w14:textId="1E69854E" w:rsidR="00544C5A" w:rsidRPr="00E10230" w:rsidRDefault="00AF0195"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 xml:space="preserve">Healthcare cost reduction, especially in the </w:t>
      </w:r>
      <w:r w:rsidR="00E10230" w:rsidRPr="00E10230">
        <w:rPr>
          <w:rFonts w:ascii="Book Antiqua" w:eastAsiaTheme="minorEastAsia" w:hAnsi="Book Antiqua" w:cs="Arial"/>
          <w:sz w:val="24"/>
          <w:szCs w:val="24"/>
          <w:lang w:eastAsia="zh-CN"/>
        </w:rPr>
        <w:t>United States</w:t>
      </w:r>
      <w:r w:rsidRPr="00E10230">
        <w:rPr>
          <w:rFonts w:ascii="Book Antiqua" w:hAnsi="Book Antiqua" w:cs="Arial"/>
          <w:sz w:val="24"/>
          <w:szCs w:val="24"/>
        </w:rPr>
        <w:t>, is a current focus on providing cost-effective care. Recognizing problems in temporal trends enables to create action pl</w:t>
      </w:r>
      <w:r w:rsidR="00E10230" w:rsidRPr="00E10230">
        <w:rPr>
          <w:rFonts w:ascii="Book Antiqua" w:hAnsi="Book Antiqua" w:cs="Arial"/>
          <w:sz w:val="24"/>
          <w:szCs w:val="24"/>
        </w:rPr>
        <w:t>an to reduce unnecessary costs.</w:t>
      </w:r>
    </w:p>
    <w:p w14:paraId="6E6734ED" w14:textId="08664BFB" w:rsidR="00544C5A" w:rsidRPr="00E10230" w:rsidRDefault="00544C5A" w:rsidP="00E10230">
      <w:pPr>
        <w:spacing w:after="0" w:line="360" w:lineRule="auto"/>
        <w:jc w:val="both"/>
        <w:rPr>
          <w:rFonts w:ascii="Book Antiqua" w:hAnsi="Book Antiqua" w:cs="Arial"/>
          <w:sz w:val="24"/>
          <w:szCs w:val="24"/>
        </w:rPr>
      </w:pPr>
    </w:p>
    <w:p w14:paraId="73D22EC7" w14:textId="3F66A975" w:rsidR="00544C5A" w:rsidRPr="00E10230" w:rsidRDefault="00544C5A"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Research objectives</w:t>
      </w:r>
    </w:p>
    <w:p w14:paraId="607FC8EA" w14:textId="198A0A46" w:rsidR="00544C5A" w:rsidRPr="00E10230" w:rsidRDefault="00AF0195"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 xml:space="preserve">We aim to conduct a descriptive study to identify </w:t>
      </w:r>
      <w:r w:rsidR="00C850CB" w:rsidRPr="00E10230">
        <w:rPr>
          <w:rFonts w:ascii="Book Antiqua" w:hAnsi="Book Antiqua" w:cs="Arial"/>
          <w:sz w:val="24"/>
          <w:szCs w:val="24"/>
        </w:rPr>
        <w:t>10-year</w:t>
      </w:r>
      <w:r w:rsidR="008A76BB" w:rsidRPr="00E10230">
        <w:rPr>
          <w:rFonts w:ascii="Book Antiqua" w:hAnsi="Book Antiqua" w:cs="Arial"/>
          <w:sz w:val="24"/>
          <w:szCs w:val="24"/>
        </w:rPr>
        <w:t xml:space="preserve"> temporal trends of cirrhosis associated conditions which can gu</w:t>
      </w:r>
      <w:r w:rsidR="00E10230" w:rsidRPr="00E10230">
        <w:rPr>
          <w:rFonts w:ascii="Book Antiqua" w:hAnsi="Book Antiqua" w:cs="Arial"/>
          <w:sz w:val="24"/>
          <w:szCs w:val="24"/>
        </w:rPr>
        <w:t>ide future prospective studies.</w:t>
      </w:r>
    </w:p>
    <w:p w14:paraId="6EC2B8AB" w14:textId="3F337494" w:rsidR="00544C5A" w:rsidRPr="00E10230" w:rsidRDefault="00544C5A" w:rsidP="00E10230">
      <w:pPr>
        <w:spacing w:after="0" w:line="360" w:lineRule="auto"/>
        <w:jc w:val="both"/>
        <w:rPr>
          <w:rFonts w:ascii="Book Antiqua" w:hAnsi="Book Antiqua" w:cs="Arial"/>
          <w:sz w:val="24"/>
          <w:szCs w:val="24"/>
        </w:rPr>
      </w:pPr>
    </w:p>
    <w:p w14:paraId="340C205E" w14:textId="786BACDD" w:rsidR="00544C5A" w:rsidRPr="00E10230" w:rsidRDefault="00544C5A"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Research methods</w:t>
      </w:r>
    </w:p>
    <w:p w14:paraId="55D399BD" w14:textId="7DC82854" w:rsidR="00544C5A" w:rsidRPr="00E10230" w:rsidRDefault="008A76BB" w:rsidP="00E10230">
      <w:pPr>
        <w:spacing w:after="0" w:line="360" w:lineRule="auto"/>
        <w:jc w:val="both"/>
        <w:rPr>
          <w:rFonts w:ascii="Book Antiqua" w:hAnsi="Book Antiqua" w:cs="Arial"/>
          <w:sz w:val="24"/>
          <w:szCs w:val="24"/>
        </w:rPr>
      </w:pPr>
      <w:r w:rsidRPr="00E10230">
        <w:rPr>
          <w:rFonts w:ascii="Book Antiqua" w:hAnsi="Book Antiqua" w:cs="Arial"/>
          <w:sz w:val="24"/>
          <w:szCs w:val="24"/>
        </w:rPr>
        <w:t>We used publicly available National Inpatient Sample</w:t>
      </w:r>
      <w:r w:rsidR="00242877" w:rsidRPr="00E10230">
        <w:rPr>
          <w:rFonts w:ascii="Book Antiqua" w:hAnsi="Book Antiqua" w:cs="Arial"/>
          <w:sz w:val="24"/>
          <w:szCs w:val="24"/>
        </w:rPr>
        <w:t xml:space="preserve"> </w:t>
      </w:r>
      <w:r w:rsidRPr="00E10230">
        <w:rPr>
          <w:rFonts w:ascii="Book Antiqua" w:hAnsi="Book Antiqua" w:cs="Arial"/>
          <w:sz w:val="24"/>
          <w:szCs w:val="24"/>
        </w:rPr>
        <w:t>to conduct 10-year trends analysis of cirrhosis associated conditions identified by ICD-9 codes from 2005 to 2014. Simple linear regression and multiple regression models were utilized for statistical analysis.</w:t>
      </w:r>
    </w:p>
    <w:p w14:paraId="578CDEFB" w14:textId="52532FE7" w:rsidR="00544C5A" w:rsidRPr="00E10230" w:rsidRDefault="00544C5A" w:rsidP="00E10230">
      <w:pPr>
        <w:spacing w:after="0" w:line="360" w:lineRule="auto"/>
        <w:jc w:val="both"/>
        <w:rPr>
          <w:rFonts w:ascii="Book Antiqua" w:hAnsi="Book Antiqua" w:cs="Arial"/>
          <w:sz w:val="24"/>
          <w:szCs w:val="24"/>
        </w:rPr>
      </w:pPr>
    </w:p>
    <w:p w14:paraId="5C61A043" w14:textId="65E63A5B" w:rsidR="00544C5A" w:rsidRPr="00E10230" w:rsidRDefault="00544C5A"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Research results</w:t>
      </w:r>
    </w:p>
    <w:p w14:paraId="4C59A813" w14:textId="2CFA22ED" w:rsidR="00544C5A" w:rsidRPr="00E10230" w:rsidRDefault="008A76BB"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 xml:space="preserve">The total number of discharges of </w:t>
      </w:r>
      <w:r w:rsidR="009F3CF1" w:rsidRPr="00E10230">
        <w:rPr>
          <w:rFonts w:ascii="Book Antiqua" w:hAnsi="Book Antiqua" w:cs="Arial"/>
          <w:sz w:val="24"/>
          <w:szCs w:val="24"/>
        </w:rPr>
        <w:t>Hepatic encephalopathy/coma (</w:t>
      </w:r>
      <w:r w:rsidRPr="00E10230">
        <w:rPr>
          <w:rFonts w:ascii="Book Antiqua" w:hAnsi="Book Antiqua" w:cs="Arial"/>
          <w:sz w:val="24"/>
          <w:szCs w:val="24"/>
        </w:rPr>
        <w:t>HC</w:t>
      </w:r>
      <w:r w:rsidR="009F3CF1" w:rsidRPr="00E10230">
        <w:rPr>
          <w:rFonts w:ascii="Book Antiqua" w:hAnsi="Book Antiqua" w:cs="Arial"/>
          <w:sz w:val="24"/>
          <w:szCs w:val="24"/>
        </w:rPr>
        <w:t>)</w:t>
      </w:r>
      <w:r w:rsidRPr="00E10230">
        <w:rPr>
          <w:rFonts w:ascii="Book Antiqua" w:hAnsi="Book Antiqua" w:cs="Arial"/>
          <w:sz w:val="24"/>
          <w:szCs w:val="24"/>
        </w:rPr>
        <w:t xml:space="preserve">, </w:t>
      </w:r>
      <w:r w:rsidR="009F3CF1" w:rsidRPr="00E10230">
        <w:rPr>
          <w:rFonts w:ascii="Book Antiqua" w:hAnsi="Book Antiqua" w:cs="Arial"/>
          <w:sz w:val="24"/>
          <w:szCs w:val="24"/>
        </w:rPr>
        <w:t>Spontaneous bacteria peritonitis (</w:t>
      </w:r>
      <w:r w:rsidRPr="00E10230">
        <w:rPr>
          <w:rFonts w:ascii="Book Antiqua" w:hAnsi="Book Antiqua" w:cs="Arial"/>
          <w:sz w:val="24"/>
          <w:szCs w:val="24"/>
        </w:rPr>
        <w:t>SBP</w:t>
      </w:r>
      <w:r w:rsidR="009F3CF1" w:rsidRPr="00E10230">
        <w:rPr>
          <w:rFonts w:ascii="Book Antiqua" w:hAnsi="Book Antiqua" w:cs="Arial"/>
          <w:sz w:val="24"/>
          <w:szCs w:val="24"/>
        </w:rPr>
        <w:t>)</w:t>
      </w:r>
      <w:r w:rsidRPr="00E10230">
        <w:rPr>
          <w:rFonts w:ascii="Book Antiqua" w:hAnsi="Book Antiqua" w:cs="Arial"/>
          <w:sz w:val="24"/>
          <w:szCs w:val="24"/>
        </w:rPr>
        <w:t xml:space="preserve"> and </w:t>
      </w:r>
      <w:r w:rsidR="009F3CF1" w:rsidRPr="00E10230">
        <w:rPr>
          <w:rFonts w:ascii="Book Antiqua" w:hAnsi="Book Antiqua" w:cs="Arial"/>
          <w:sz w:val="24"/>
          <w:szCs w:val="24"/>
        </w:rPr>
        <w:t>esophageal varices with bleeding (</w:t>
      </w:r>
      <w:r w:rsidRPr="00E10230">
        <w:rPr>
          <w:rFonts w:ascii="Book Antiqua" w:hAnsi="Book Antiqua" w:cs="Arial"/>
          <w:sz w:val="24"/>
          <w:szCs w:val="24"/>
        </w:rPr>
        <w:t>EV</w:t>
      </w:r>
      <w:r w:rsidR="009F3CF1" w:rsidRPr="00E10230">
        <w:rPr>
          <w:rFonts w:ascii="Book Antiqua" w:hAnsi="Book Antiqua" w:cs="Arial"/>
          <w:sz w:val="24"/>
          <w:szCs w:val="24"/>
        </w:rPr>
        <w:t>)</w:t>
      </w:r>
      <w:r w:rsidRPr="00E10230">
        <w:rPr>
          <w:rFonts w:ascii="Book Antiqua" w:hAnsi="Book Antiqua" w:cs="Arial"/>
          <w:sz w:val="24"/>
          <w:szCs w:val="24"/>
        </w:rPr>
        <w:t xml:space="preserve"> had significant increase. Notably, HC associated with viral hepatitis showed faster rate of increase of hospitalizations. Mortalities has decreased for HC, </w:t>
      </w:r>
      <w:proofErr w:type="spellStart"/>
      <w:r w:rsidRPr="00E10230">
        <w:rPr>
          <w:rFonts w:ascii="Book Antiqua" w:hAnsi="Book Antiqua" w:cs="Arial"/>
          <w:sz w:val="24"/>
          <w:szCs w:val="24"/>
        </w:rPr>
        <w:t>SBP</w:t>
      </w:r>
      <w:proofErr w:type="spellEnd"/>
      <w:r w:rsidRPr="00E10230">
        <w:rPr>
          <w:rFonts w:ascii="Book Antiqua" w:hAnsi="Book Antiqua" w:cs="Arial"/>
          <w:sz w:val="24"/>
          <w:szCs w:val="24"/>
        </w:rPr>
        <w:t xml:space="preserve"> and </w:t>
      </w:r>
      <w:proofErr w:type="spellStart"/>
      <w:r w:rsidR="009F3CF1" w:rsidRPr="00E10230">
        <w:rPr>
          <w:rFonts w:ascii="Book Antiqua" w:hAnsi="Book Antiqua" w:cs="Arial"/>
          <w:sz w:val="24"/>
          <w:szCs w:val="24"/>
        </w:rPr>
        <w:t>transjugular</w:t>
      </w:r>
      <w:proofErr w:type="spellEnd"/>
      <w:r w:rsidR="009F3CF1" w:rsidRPr="00E10230">
        <w:rPr>
          <w:rFonts w:ascii="Book Antiqua" w:hAnsi="Book Antiqua" w:cs="Arial"/>
          <w:sz w:val="24"/>
          <w:szCs w:val="24"/>
        </w:rPr>
        <w:t xml:space="preserve"> intrahepatic portosystemic shunt (</w:t>
      </w:r>
      <w:r w:rsidRPr="00E10230">
        <w:rPr>
          <w:rFonts w:ascii="Book Antiqua" w:hAnsi="Book Antiqua" w:cs="Arial"/>
          <w:sz w:val="24"/>
          <w:szCs w:val="24"/>
        </w:rPr>
        <w:t>TIPS</w:t>
      </w:r>
      <w:r w:rsidR="009F3CF1" w:rsidRPr="00E10230">
        <w:rPr>
          <w:rFonts w:ascii="Book Antiqua" w:hAnsi="Book Antiqua" w:cs="Arial"/>
          <w:sz w:val="24"/>
          <w:szCs w:val="24"/>
        </w:rPr>
        <w:t>)</w:t>
      </w:r>
      <w:r w:rsidRPr="00E10230">
        <w:rPr>
          <w:rFonts w:ascii="Book Antiqua" w:hAnsi="Book Antiqua" w:cs="Arial"/>
          <w:sz w:val="24"/>
          <w:szCs w:val="24"/>
        </w:rPr>
        <w:t xml:space="preserve">, but no change was observed for EV. Aggregate cost of hospitalizations for HC, EV and SBP had significant increase after adjustment for </w:t>
      </w:r>
      <w:r w:rsidR="00222F37" w:rsidRPr="00E10230">
        <w:rPr>
          <w:rFonts w:ascii="Book Antiqua" w:hAnsi="Book Antiqua" w:cs="Arial"/>
          <w:sz w:val="24"/>
          <w:szCs w:val="24"/>
        </w:rPr>
        <w:t>inflation;</w:t>
      </w:r>
      <w:r w:rsidRPr="00E10230">
        <w:rPr>
          <w:rFonts w:ascii="Book Antiqua" w:hAnsi="Book Antiqua" w:cs="Arial"/>
          <w:sz w:val="24"/>
          <w:szCs w:val="24"/>
        </w:rPr>
        <w:t xml:space="preserve"> however TIPS showed non-significant trends toward decr</w:t>
      </w:r>
      <w:r w:rsidR="00E10230" w:rsidRPr="00E10230">
        <w:rPr>
          <w:rFonts w:ascii="Book Antiqua" w:hAnsi="Book Antiqua" w:cs="Arial"/>
          <w:sz w:val="24"/>
          <w:szCs w:val="24"/>
        </w:rPr>
        <w:t>easing cost.</w:t>
      </w:r>
    </w:p>
    <w:p w14:paraId="3EAA88B9" w14:textId="2F4BFA39" w:rsidR="00544C5A" w:rsidRPr="00E10230" w:rsidRDefault="00544C5A" w:rsidP="00E10230">
      <w:pPr>
        <w:spacing w:after="0" w:line="360" w:lineRule="auto"/>
        <w:jc w:val="both"/>
        <w:rPr>
          <w:rFonts w:ascii="Book Antiqua" w:hAnsi="Book Antiqua" w:cs="Arial"/>
          <w:sz w:val="24"/>
          <w:szCs w:val="24"/>
        </w:rPr>
      </w:pPr>
    </w:p>
    <w:p w14:paraId="76BC34A4" w14:textId="02C3914E" w:rsidR="00544C5A" w:rsidRPr="00E10230" w:rsidRDefault="00544C5A"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Research conclusions</w:t>
      </w:r>
    </w:p>
    <w:p w14:paraId="23AA12D6" w14:textId="545B26A9" w:rsidR="00544C5A" w:rsidRPr="00E10230" w:rsidRDefault="008A76BB"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The number of hospitalizations and costs for some of the cirrhosis-associated conditions increased.</w:t>
      </w:r>
      <w:r w:rsidR="00F36CB7" w:rsidRPr="00E10230">
        <w:rPr>
          <w:rFonts w:ascii="Book Antiqua" w:hAnsi="Book Antiqua" w:cs="Arial"/>
          <w:sz w:val="24"/>
          <w:szCs w:val="24"/>
        </w:rPr>
        <w:t xml:space="preserve"> Especially, HC related to viral hepatitis showed fast rate of increase which </w:t>
      </w:r>
      <w:r w:rsidR="00F36CB7" w:rsidRPr="00E10230">
        <w:rPr>
          <w:rFonts w:ascii="Book Antiqua" w:hAnsi="Book Antiqua" w:cs="Arial"/>
          <w:sz w:val="24"/>
          <w:szCs w:val="24"/>
        </w:rPr>
        <w:lastRenderedPageBreak/>
        <w:t>suggest appropriate treatment of viral hepatitis maybe necessary to reduce HC in these population.</w:t>
      </w:r>
      <w:r w:rsidRPr="00E10230">
        <w:rPr>
          <w:rFonts w:ascii="Book Antiqua" w:hAnsi="Book Antiqua" w:cs="Arial"/>
          <w:sz w:val="24"/>
          <w:szCs w:val="24"/>
        </w:rPr>
        <w:t xml:space="preserve"> </w:t>
      </w:r>
      <w:r w:rsidR="00F36CB7" w:rsidRPr="00E10230">
        <w:rPr>
          <w:rFonts w:ascii="Book Antiqua" w:hAnsi="Book Antiqua" w:cs="Arial"/>
          <w:sz w:val="24"/>
          <w:szCs w:val="24"/>
        </w:rPr>
        <w:t>In addition</w:t>
      </w:r>
      <w:r w:rsidRPr="00E10230">
        <w:rPr>
          <w:rFonts w:ascii="Book Antiqua" w:hAnsi="Book Antiqua" w:cs="Arial"/>
          <w:sz w:val="24"/>
          <w:szCs w:val="24"/>
        </w:rPr>
        <w:t>, the inpatient mortality rates for most of these conditions decreased.</w:t>
      </w:r>
    </w:p>
    <w:p w14:paraId="2162923D" w14:textId="5D90FD6F" w:rsidR="00544C5A" w:rsidRPr="00E10230" w:rsidRDefault="00544C5A" w:rsidP="00E10230">
      <w:pPr>
        <w:spacing w:after="0" w:line="360" w:lineRule="auto"/>
        <w:jc w:val="both"/>
        <w:rPr>
          <w:rFonts w:ascii="Book Antiqua" w:hAnsi="Book Antiqua" w:cs="Arial"/>
          <w:sz w:val="24"/>
          <w:szCs w:val="24"/>
        </w:rPr>
      </w:pPr>
    </w:p>
    <w:p w14:paraId="1E576BE9" w14:textId="5BC3212F" w:rsidR="00544C5A" w:rsidRPr="00E10230" w:rsidRDefault="00544C5A"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Research perspectives</w:t>
      </w:r>
    </w:p>
    <w:p w14:paraId="101E2517" w14:textId="142F1433" w:rsidR="00544C5A" w:rsidRPr="00E10230" w:rsidRDefault="00F36CB7" w:rsidP="00E10230">
      <w:pPr>
        <w:spacing w:after="0" w:line="360" w:lineRule="auto"/>
        <w:jc w:val="both"/>
        <w:rPr>
          <w:rFonts w:ascii="Book Antiqua" w:hAnsi="Book Antiqua" w:cs="Arial"/>
          <w:sz w:val="24"/>
          <w:szCs w:val="24"/>
        </w:rPr>
      </w:pPr>
      <w:r w:rsidRPr="00E10230">
        <w:rPr>
          <w:rFonts w:ascii="Book Antiqua" w:hAnsi="Book Antiqua" w:cs="Arial"/>
          <w:sz w:val="24"/>
          <w:szCs w:val="24"/>
        </w:rPr>
        <w:t>Viral hepatitis</w:t>
      </w:r>
      <w:r w:rsidR="000B632F" w:rsidRPr="00E10230">
        <w:rPr>
          <w:rFonts w:ascii="Book Antiqua" w:hAnsi="Book Antiqua" w:cs="Arial"/>
          <w:sz w:val="24"/>
          <w:szCs w:val="24"/>
        </w:rPr>
        <w:t xml:space="preserve"> related cirrhosis</w:t>
      </w:r>
      <w:r w:rsidRPr="00E10230">
        <w:rPr>
          <w:rFonts w:ascii="Book Antiqua" w:hAnsi="Book Antiqua" w:cs="Arial"/>
          <w:sz w:val="24"/>
          <w:szCs w:val="24"/>
        </w:rPr>
        <w:t xml:space="preserve"> maybe contributing to high cost of hospitalization especially hospitalization related to HC. These findings suggest necessity of studies beyond 2014 after introduction of newer antiviral agents for hepatitis C as well as studies to identify trends of re-admission and post-hospitalization mortality.</w:t>
      </w:r>
    </w:p>
    <w:p w14:paraId="09027B91" w14:textId="77777777" w:rsidR="00E10230" w:rsidRPr="00E10230" w:rsidRDefault="00E10230" w:rsidP="00E10230">
      <w:pPr>
        <w:spacing w:after="0" w:line="360" w:lineRule="auto"/>
        <w:jc w:val="both"/>
        <w:rPr>
          <w:rFonts w:ascii="Book Antiqua" w:hAnsi="Book Antiqua" w:cs="Arial"/>
          <w:sz w:val="24"/>
          <w:szCs w:val="24"/>
        </w:rPr>
      </w:pPr>
      <w:r w:rsidRPr="00E10230">
        <w:rPr>
          <w:rFonts w:ascii="Book Antiqua" w:hAnsi="Book Antiqua" w:cs="Arial"/>
          <w:sz w:val="24"/>
          <w:szCs w:val="24"/>
        </w:rPr>
        <w:br w:type="page"/>
      </w:r>
    </w:p>
    <w:p w14:paraId="736A56E9" w14:textId="3EA77E7B" w:rsidR="00FB1910" w:rsidRPr="00E10230" w:rsidRDefault="00E10230" w:rsidP="00E10230">
      <w:pPr>
        <w:widowControl w:val="0"/>
        <w:autoSpaceDE w:val="0"/>
        <w:autoSpaceDN w:val="0"/>
        <w:adjustRightInd w:val="0"/>
        <w:spacing w:after="0" w:line="360" w:lineRule="auto"/>
        <w:jc w:val="both"/>
        <w:rPr>
          <w:rFonts w:ascii="Book Antiqua" w:hAnsi="Book Antiqua" w:cs="Arial"/>
          <w:b/>
          <w:sz w:val="24"/>
          <w:szCs w:val="24"/>
        </w:rPr>
      </w:pPr>
      <w:r w:rsidRPr="00E10230">
        <w:rPr>
          <w:rFonts w:ascii="Book Antiqua" w:hAnsi="Book Antiqua" w:cs="Arial"/>
          <w:b/>
          <w:sz w:val="24"/>
          <w:szCs w:val="24"/>
        </w:rPr>
        <w:lastRenderedPageBreak/>
        <w:t>REFERENCES</w:t>
      </w:r>
    </w:p>
    <w:p w14:paraId="6AC6BCE6"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 </w:t>
      </w:r>
      <w:proofErr w:type="spellStart"/>
      <w:r w:rsidRPr="00E10230">
        <w:rPr>
          <w:rFonts w:ascii="Book Antiqua" w:hAnsi="Book Antiqua"/>
          <w:b/>
          <w:sz w:val="24"/>
          <w:szCs w:val="24"/>
        </w:rPr>
        <w:t>Kochanek</w:t>
      </w:r>
      <w:proofErr w:type="spellEnd"/>
      <w:r w:rsidRPr="00E10230">
        <w:rPr>
          <w:rFonts w:ascii="Book Antiqua" w:hAnsi="Book Antiqua"/>
          <w:b/>
          <w:sz w:val="24"/>
          <w:szCs w:val="24"/>
        </w:rPr>
        <w:t xml:space="preserve"> </w:t>
      </w:r>
      <w:proofErr w:type="spellStart"/>
      <w:r w:rsidRPr="00E10230">
        <w:rPr>
          <w:rFonts w:ascii="Book Antiqua" w:hAnsi="Book Antiqua"/>
          <w:b/>
          <w:sz w:val="24"/>
          <w:szCs w:val="24"/>
        </w:rPr>
        <w:t>KD</w:t>
      </w:r>
      <w:proofErr w:type="spellEnd"/>
      <w:r w:rsidRPr="00E10230">
        <w:rPr>
          <w:rFonts w:ascii="Book Antiqua" w:hAnsi="Book Antiqua"/>
          <w:sz w:val="24"/>
          <w:szCs w:val="24"/>
        </w:rPr>
        <w:t xml:space="preserve">, Murphy SL, Xu J, Tejada-Vera B. Deaths: Final Data for 2014. </w:t>
      </w:r>
      <w:r w:rsidRPr="00E10230">
        <w:rPr>
          <w:rFonts w:ascii="Book Antiqua" w:hAnsi="Book Antiqua"/>
          <w:i/>
          <w:sz w:val="24"/>
          <w:szCs w:val="24"/>
        </w:rPr>
        <w:t>Natl Vital Stat Rep</w:t>
      </w:r>
      <w:r w:rsidRPr="00E10230">
        <w:rPr>
          <w:rFonts w:ascii="Book Antiqua" w:hAnsi="Book Antiqua"/>
          <w:sz w:val="24"/>
          <w:szCs w:val="24"/>
        </w:rPr>
        <w:t xml:space="preserve"> 2016; </w:t>
      </w:r>
      <w:r w:rsidRPr="00E10230">
        <w:rPr>
          <w:rFonts w:ascii="Book Antiqua" w:hAnsi="Book Antiqua"/>
          <w:b/>
          <w:sz w:val="24"/>
          <w:szCs w:val="24"/>
        </w:rPr>
        <w:t>65</w:t>
      </w:r>
      <w:r w:rsidRPr="00E10230">
        <w:rPr>
          <w:rFonts w:ascii="Book Antiqua" w:hAnsi="Book Antiqua"/>
          <w:sz w:val="24"/>
          <w:szCs w:val="24"/>
        </w:rPr>
        <w:t>: 1-122 [PMID: 27378572]</w:t>
      </w:r>
    </w:p>
    <w:p w14:paraId="6549C301"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2 </w:t>
      </w:r>
      <w:proofErr w:type="spellStart"/>
      <w:r w:rsidRPr="00E10230">
        <w:rPr>
          <w:rFonts w:ascii="Book Antiqua" w:hAnsi="Book Antiqua"/>
          <w:b/>
          <w:sz w:val="24"/>
          <w:szCs w:val="24"/>
        </w:rPr>
        <w:t>Zipprich</w:t>
      </w:r>
      <w:proofErr w:type="spellEnd"/>
      <w:r w:rsidRPr="00E10230">
        <w:rPr>
          <w:rFonts w:ascii="Book Antiqua" w:hAnsi="Book Antiqua"/>
          <w:b/>
          <w:sz w:val="24"/>
          <w:szCs w:val="24"/>
        </w:rPr>
        <w:t xml:space="preserve"> A</w:t>
      </w:r>
      <w:r w:rsidRPr="00E10230">
        <w:rPr>
          <w:rFonts w:ascii="Book Antiqua" w:hAnsi="Book Antiqua"/>
          <w:sz w:val="24"/>
          <w:szCs w:val="24"/>
        </w:rPr>
        <w:t xml:space="preserve">, Garcia-Tsao G, Rogowski S, </w:t>
      </w:r>
      <w:proofErr w:type="spellStart"/>
      <w:r w:rsidRPr="00E10230">
        <w:rPr>
          <w:rFonts w:ascii="Book Antiqua" w:hAnsi="Book Antiqua"/>
          <w:sz w:val="24"/>
          <w:szCs w:val="24"/>
        </w:rPr>
        <w:t>Fleig</w:t>
      </w:r>
      <w:proofErr w:type="spellEnd"/>
      <w:r w:rsidRPr="00E10230">
        <w:rPr>
          <w:rFonts w:ascii="Book Antiqua" w:hAnsi="Book Antiqua"/>
          <w:sz w:val="24"/>
          <w:szCs w:val="24"/>
        </w:rPr>
        <w:t xml:space="preserve"> WE, </w:t>
      </w:r>
      <w:proofErr w:type="spellStart"/>
      <w:r w:rsidRPr="00E10230">
        <w:rPr>
          <w:rFonts w:ascii="Book Antiqua" w:hAnsi="Book Antiqua"/>
          <w:sz w:val="24"/>
          <w:szCs w:val="24"/>
        </w:rPr>
        <w:t>Seufferlein</w:t>
      </w:r>
      <w:proofErr w:type="spellEnd"/>
      <w:r w:rsidRPr="00E10230">
        <w:rPr>
          <w:rFonts w:ascii="Book Antiqua" w:hAnsi="Book Antiqua"/>
          <w:sz w:val="24"/>
          <w:szCs w:val="24"/>
        </w:rPr>
        <w:t xml:space="preserve"> T, Dollinger MM. Prognostic indicators of survival in patients with compensated and decompensated cirrhosis. </w:t>
      </w:r>
      <w:r w:rsidRPr="00E10230">
        <w:rPr>
          <w:rFonts w:ascii="Book Antiqua" w:hAnsi="Book Antiqua"/>
          <w:i/>
          <w:sz w:val="24"/>
          <w:szCs w:val="24"/>
        </w:rPr>
        <w:t xml:space="preserve">Liver </w:t>
      </w:r>
      <w:proofErr w:type="spellStart"/>
      <w:r w:rsidRPr="00E10230">
        <w:rPr>
          <w:rFonts w:ascii="Book Antiqua" w:hAnsi="Book Antiqua"/>
          <w:i/>
          <w:sz w:val="24"/>
          <w:szCs w:val="24"/>
        </w:rPr>
        <w:t>Int</w:t>
      </w:r>
      <w:proofErr w:type="spellEnd"/>
      <w:r w:rsidRPr="00E10230">
        <w:rPr>
          <w:rFonts w:ascii="Book Antiqua" w:hAnsi="Book Antiqua"/>
          <w:sz w:val="24"/>
          <w:szCs w:val="24"/>
        </w:rPr>
        <w:t xml:space="preserve"> 2012; </w:t>
      </w:r>
      <w:r w:rsidRPr="00E10230">
        <w:rPr>
          <w:rFonts w:ascii="Book Antiqua" w:hAnsi="Book Antiqua"/>
          <w:b/>
          <w:sz w:val="24"/>
          <w:szCs w:val="24"/>
        </w:rPr>
        <w:t>32</w:t>
      </w:r>
      <w:r w:rsidRPr="00E10230">
        <w:rPr>
          <w:rFonts w:ascii="Book Antiqua" w:hAnsi="Book Antiqua"/>
          <w:sz w:val="24"/>
          <w:szCs w:val="24"/>
        </w:rPr>
        <w:t>: 1407-1414 [PMID: 22679906 DOI: 10.1111/j.1478-3231.2012.02830.x]</w:t>
      </w:r>
    </w:p>
    <w:p w14:paraId="59CAFC84"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3 </w:t>
      </w:r>
      <w:proofErr w:type="spellStart"/>
      <w:r w:rsidRPr="00E10230">
        <w:rPr>
          <w:rFonts w:ascii="Book Antiqua" w:hAnsi="Book Antiqua"/>
          <w:b/>
          <w:sz w:val="24"/>
          <w:szCs w:val="24"/>
        </w:rPr>
        <w:t>Ampuero</w:t>
      </w:r>
      <w:proofErr w:type="spellEnd"/>
      <w:r w:rsidRPr="00E10230">
        <w:rPr>
          <w:rFonts w:ascii="Book Antiqua" w:hAnsi="Book Antiqua"/>
          <w:b/>
          <w:sz w:val="24"/>
          <w:szCs w:val="24"/>
        </w:rPr>
        <w:t xml:space="preserve"> J</w:t>
      </w:r>
      <w:r w:rsidRPr="00E10230">
        <w:rPr>
          <w:rFonts w:ascii="Book Antiqua" w:hAnsi="Book Antiqua"/>
          <w:sz w:val="24"/>
          <w:szCs w:val="24"/>
        </w:rPr>
        <w:t xml:space="preserve">, </w:t>
      </w:r>
      <w:proofErr w:type="spellStart"/>
      <w:r w:rsidRPr="00E10230">
        <w:rPr>
          <w:rFonts w:ascii="Book Antiqua" w:hAnsi="Book Antiqua"/>
          <w:sz w:val="24"/>
          <w:szCs w:val="24"/>
        </w:rPr>
        <w:t>Montoliú</w:t>
      </w:r>
      <w:proofErr w:type="spellEnd"/>
      <w:r w:rsidRPr="00E10230">
        <w:rPr>
          <w:rFonts w:ascii="Book Antiqua" w:hAnsi="Book Antiqua"/>
          <w:sz w:val="24"/>
          <w:szCs w:val="24"/>
        </w:rPr>
        <w:t xml:space="preserve"> C, Simón-</w:t>
      </w:r>
      <w:proofErr w:type="spellStart"/>
      <w:r w:rsidRPr="00E10230">
        <w:rPr>
          <w:rFonts w:ascii="Book Antiqua" w:hAnsi="Book Antiqua"/>
          <w:sz w:val="24"/>
          <w:szCs w:val="24"/>
        </w:rPr>
        <w:t>Talero</w:t>
      </w:r>
      <w:proofErr w:type="spellEnd"/>
      <w:r w:rsidRPr="00E10230">
        <w:rPr>
          <w:rFonts w:ascii="Book Antiqua" w:hAnsi="Book Antiqua"/>
          <w:sz w:val="24"/>
          <w:szCs w:val="24"/>
        </w:rPr>
        <w:t xml:space="preserve"> M, Aguilera V, </w:t>
      </w:r>
      <w:proofErr w:type="spellStart"/>
      <w:r w:rsidRPr="00E10230">
        <w:rPr>
          <w:rFonts w:ascii="Book Antiqua" w:hAnsi="Book Antiqua"/>
          <w:sz w:val="24"/>
          <w:szCs w:val="24"/>
        </w:rPr>
        <w:t>Millán</w:t>
      </w:r>
      <w:proofErr w:type="spellEnd"/>
      <w:r w:rsidRPr="00E10230">
        <w:rPr>
          <w:rFonts w:ascii="Book Antiqua" w:hAnsi="Book Antiqua"/>
          <w:sz w:val="24"/>
          <w:szCs w:val="24"/>
        </w:rPr>
        <w:t xml:space="preserve"> R, Márquez C, </w:t>
      </w:r>
      <w:proofErr w:type="spellStart"/>
      <w:r w:rsidRPr="00E10230">
        <w:rPr>
          <w:rFonts w:ascii="Book Antiqua" w:hAnsi="Book Antiqua"/>
          <w:sz w:val="24"/>
          <w:szCs w:val="24"/>
        </w:rPr>
        <w:t>Jover</w:t>
      </w:r>
      <w:proofErr w:type="spellEnd"/>
      <w:r w:rsidRPr="00E10230">
        <w:rPr>
          <w:rFonts w:ascii="Book Antiqua" w:hAnsi="Book Antiqua"/>
          <w:sz w:val="24"/>
          <w:szCs w:val="24"/>
        </w:rPr>
        <w:t xml:space="preserve"> R, Rico MC, </w:t>
      </w:r>
      <w:proofErr w:type="spellStart"/>
      <w:r w:rsidRPr="00E10230">
        <w:rPr>
          <w:rFonts w:ascii="Book Antiqua" w:hAnsi="Book Antiqua"/>
          <w:sz w:val="24"/>
          <w:szCs w:val="24"/>
        </w:rPr>
        <w:t>Sendra</w:t>
      </w:r>
      <w:proofErr w:type="spellEnd"/>
      <w:r w:rsidRPr="00E10230">
        <w:rPr>
          <w:rFonts w:ascii="Book Antiqua" w:hAnsi="Book Antiqua"/>
          <w:sz w:val="24"/>
          <w:szCs w:val="24"/>
        </w:rPr>
        <w:t xml:space="preserve"> C, Serra </w:t>
      </w:r>
      <w:proofErr w:type="spellStart"/>
      <w:r w:rsidRPr="00E10230">
        <w:rPr>
          <w:rFonts w:ascii="Book Antiqua" w:hAnsi="Book Antiqua"/>
          <w:sz w:val="24"/>
          <w:szCs w:val="24"/>
        </w:rPr>
        <w:t>MÁ</w:t>
      </w:r>
      <w:proofErr w:type="spellEnd"/>
      <w:r w:rsidRPr="00E10230">
        <w:rPr>
          <w:rFonts w:ascii="Book Antiqua" w:hAnsi="Book Antiqua"/>
          <w:sz w:val="24"/>
          <w:szCs w:val="24"/>
        </w:rPr>
        <w:t xml:space="preserve">, Romero-Gómez M. Minimal hepatic encephalopathy identifies patients at risk of faster cirrhosis progression. </w:t>
      </w:r>
      <w:r w:rsidRPr="00E10230">
        <w:rPr>
          <w:rFonts w:ascii="Book Antiqua" w:hAnsi="Book Antiqua"/>
          <w:i/>
          <w:sz w:val="24"/>
          <w:szCs w:val="24"/>
        </w:rPr>
        <w:t xml:space="preserve">J Gastroenterol </w:t>
      </w:r>
      <w:proofErr w:type="spellStart"/>
      <w:r w:rsidRPr="00E10230">
        <w:rPr>
          <w:rFonts w:ascii="Book Antiqua" w:hAnsi="Book Antiqua"/>
          <w:i/>
          <w:sz w:val="24"/>
          <w:szCs w:val="24"/>
        </w:rPr>
        <w:t>Hepatol</w:t>
      </w:r>
      <w:proofErr w:type="spellEnd"/>
      <w:r w:rsidRPr="00E10230">
        <w:rPr>
          <w:rFonts w:ascii="Book Antiqua" w:hAnsi="Book Antiqua"/>
          <w:sz w:val="24"/>
          <w:szCs w:val="24"/>
        </w:rPr>
        <w:t xml:space="preserve"> 2018; </w:t>
      </w:r>
      <w:r w:rsidRPr="00E10230">
        <w:rPr>
          <w:rFonts w:ascii="Book Antiqua" w:hAnsi="Book Antiqua"/>
          <w:b/>
          <w:sz w:val="24"/>
          <w:szCs w:val="24"/>
        </w:rPr>
        <w:t>33</w:t>
      </w:r>
      <w:r w:rsidRPr="00E10230">
        <w:rPr>
          <w:rFonts w:ascii="Book Antiqua" w:hAnsi="Book Antiqua"/>
          <w:sz w:val="24"/>
          <w:szCs w:val="24"/>
        </w:rPr>
        <w:t>: 718-725 [PMID: 28768371 DOI: 10.1111/jgh.13917]</w:t>
      </w:r>
    </w:p>
    <w:p w14:paraId="5B463728"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4 </w:t>
      </w:r>
      <w:r w:rsidRPr="00E10230">
        <w:rPr>
          <w:rFonts w:ascii="Book Antiqua" w:hAnsi="Book Antiqua"/>
          <w:b/>
          <w:sz w:val="24"/>
          <w:szCs w:val="24"/>
        </w:rPr>
        <w:t>Volk ML</w:t>
      </w:r>
      <w:r w:rsidRPr="00E10230">
        <w:rPr>
          <w:rFonts w:ascii="Book Antiqua" w:hAnsi="Book Antiqua"/>
          <w:sz w:val="24"/>
          <w:szCs w:val="24"/>
        </w:rPr>
        <w:t xml:space="preserve">, Tocco RS, </w:t>
      </w:r>
      <w:proofErr w:type="spellStart"/>
      <w:r w:rsidRPr="00E10230">
        <w:rPr>
          <w:rFonts w:ascii="Book Antiqua" w:hAnsi="Book Antiqua"/>
          <w:sz w:val="24"/>
          <w:szCs w:val="24"/>
        </w:rPr>
        <w:t>Bazick</w:t>
      </w:r>
      <w:proofErr w:type="spellEnd"/>
      <w:r w:rsidRPr="00E10230">
        <w:rPr>
          <w:rFonts w:ascii="Book Antiqua" w:hAnsi="Book Antiqua"/>
          <w:sz w:val="24"/>
          <w:szCs w:val="24"/>
        </w:rPr>
        <w:t xml:space="preserve"> J, </w:t>
      </w:r>
      <w:proofErr w:type="spellStart"/>
      <w:r w:rsidRPr="00E10230">
        <w:rPr>
          <w:rFonts w:ascii="Book Antiqua" w:hAnsi="Book Antiqua"/>
          <w:sz w:val="24"/>
          <w:szCs w:val="24"/>
        </w:rPr>
        <w:t>Rakoski</w:t>
      </w:r>
      <w:proofErr w:type="spellEnd"/>
      <w:r w:rsidRPr="00E10230">
        <w:rPr>
          <w:rFonts w:ascii="Book Antiqua" w:hAnsi="Book Antiqua"/>
          <w:sz w:val="24"/>
          <w:szCs w:val="24"/>
        </w:rPr>
        <w:t xml:space="preserve"> MO, Lok AS. Hospital readmissions among patients with decompensated cirrhosis. </w:t>
      </w:r>
      <w:r w:rsidRPr="00E10230">
        <w:rPr>
          <w:rFonts w:ascii="Book Antiqua" w:hAnsi="Book Antiqua"/>
          <w:i/>
          <w:sz w:val="24"/>
          <w:szCs w:val="24"/>
        </w:rPr>
        <w:t>Am J Gastroenterol</w:t>
      </w:r>
      <w:r w:rsidRPr="00E10230">
        <w:rPr>
          <w:rFonts w:ascii="Book Antiqua" w:hAnsi="Book Antiqua"/>
          <w:sz w:val="24"/>
          <w:szCs w:val="24"/>
        </w:rPr>
        <w:t xml:space="preserve"> 2012; </w:t>
      </w:r>
      <w:r w:rsidRPr="00E10230">
        <w:rPr>
          <w:rFonts w:ascii="Book Antiqua" w:hAnsi="Book Antiqua"/>
          <w:b/>
          <w:sz w:val="24"/>
          <w:szCs w:val="24"/>
        </w:rPr>
        <w:t>107</w:t>
      </w:r>
      <w:r w:rsidRPr="00E10230">
        <w:rPr>
          <w:rFonts w:ascii="Book Antiqua" w:hAnsi="Book Antiqua"/>
          <w:sz w:val="24"/>
          <w:szCs w:val="24"/>
        </w:rPr>
        <w:t>: 247-252 [PMID: 21931378 DOI: 10.1038/ajg.2011.314]</w:t>
      </w:r>
    </w:p>
    <w:p w14:paraId="2FBEE641"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5 </w:t>
      </w:r>
      <w:r w:rsidRPr="00E10230">
        <w:rPr>
          <w:rFonts w:ascii="Book Antiqua" w:hAnsi="Book Antiqua"/>
          <w:b/>
          <w:sz w:val="24"/>
          <w:szCs w:val="24"/>
        </w:rPr>
        <w:t>Bajaj JS</w:t>
      </w:r>
      <w:r w:rsidRPr="00E10230">
        <w:rPr>
          <w:rFonts w:ascii="Book Antiqua" w:hAnsi="Book Antiqua"/>
          <w:sz w:val="24"/>
          <w:szCs w:val="24"/>
        </w:rPr>
        <w:t xml:space="preserve">, Reddy KR, Tandon P, Wong F, Kamath PS, Garcia-Tsao G, </w:t>
      </w:r>
      <w:proofErr w:type="spellStart"/>
      <w:r w:rsidRPr="00E10230">
        <w:rPr>
          <w:rFonts w:ascii="Book Antiqua" w:hAnsi="Book Antiqua"/>
          <w:sz w:val="24"/>
          <w:szCs w:val="24"/>
        </w:rPr>
        <w:t>Maliakkal</w:t>
      </w:r>
      <w:proofErr w:type="spellEnd"/>
      <w:r w:rsidRPr="00E10230">
        <w:rPr>
          <w:rFonts w:ascii="Book Antiqua" w:hAnsi="Book Antiqua"/>
          <w:sz w:val="24"/>
          <w:szCs w:val="24"/>
        </w:rPr>
        <w:t xml:space="preserve"> B, Biggins SW, </w:t>
      </w:r>
      <w:proofErr w:type="spellStart"/>
      <w:r w:rsidRPr="00E10230">
        <w:rPr>
          <w:rFonts w:ascii="Book Antiqua" w:hAnsi="Book Antiqua"/>
          <w:sz w:val="24"/>
          <w:szCs w:val="24"/>
        </w:rPr>
        <w:t>Thuluvath</w:t>
      </w:r>
      <w:proofErr w:type="spellEnd"/>
      <w:r w:rsidRPr="00E10230">
        <w:rPr>
          <w:rFonts w:ascii="Book Antiqua" w:hAnsi="Book Antiqua"/>
          <w:sz w:val="24"/>
          <w:szCs w:val="24"/>
        </w:rPr>
        <w:t xml:space="preserve"> PJ, Fallon MB, Subramanian RM, Vargas H, Thacker LR, O'Leary JG; North American Consortium for the Study of End-Stage Liver Disease. The 3-month readmission rate remains unacceptably high in a large North American cohort of patients with cirrhosis. </w:t>
      </w:r>
      <w:r w:rsidRPr="00E10230">
        <w:rPr>
          <w:rFonts w:ascii="Book Antiqua" w:hAnsi="Book Antiqua"/>
          <w:i/>
          <w:sz w:val="24"/>
          <w:szCs w:val="24"/>
        </w:rPr>
        <w:t>Hepatology</w:t>
      </w:r>
      <w:r w:rsidRPr="00E10230">
        <w:rPr>
          <w:rFonts w:ascii="Book Antiqua" w:hAnsi="Book Antiqua"/>
          <w:sz w:val="24"/>
          <w:szCs w:val="24"/>
        </w:rPr>
        <w:t xml:space="preserve"> 2016; </w:t>
      </w:r>
      <w:r w:rsidRPr="00E10230">
        <w:rPr>
          <w:rFonts w:ascii="Book Antiqua" w:hAnsi="Book Antiqua"/>
          <w:b/>
          <w:sz w:val="24"/>
          <w:szCs w:val="24"/>
        </w:rPr>
        <w:t>64</w:t>
      </w:r>
      <w:r w:rsidRPr="00E10230">
        <w:rPr>
          <w:rFonts w:ascii="Book Antiqua" w:hAnsi="Book Antiqua"/>
          <w:sz w:val="24"/>
          <w:szCs w:val="24"/>
        </w:rPr>
        <w:t>: 200-208 [PMID: 26690389 DOI: 10.1002/hep.28414]</w:t>
      </w:r>
    </w:p>
    <w:p w14:paraId="49941498" w14:textId="258A35F5"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6 </w:t>
      </w:r>
      <w:r w:rsidRPr="00E10230">
        <w:rPr>
          <w:rFonts w:ascii="Book Antiqua" w:hAnsi="Book Antiqua"/>
          <w:b/>
          <w:sz w:val="24"/>
          <w:szCs w:val="24"/>
        </w:rPr>
        <w:t xml:space="preserve">Tapper </w:t>
      </w:r>
      <w:proofErr w:type="spellStart"/>
      <w:r w:rsidRPr="00E10230">
        <w:rPr>
          <w:rFonts w:ascii="Book Antiqua" w:hAnsi="Book Antiqua"/>
          <w:b/>
          <w:sz w:val="24"/>
          <w:szCs w:val="24"/>
        </w:rPr>
        <w:t>EB</w:t>
      </w:r>
      <w:proofErr w:type="spellEnd"/>
      <w:r w:rsidRPr="00E10230">
        <w:rPr>
          <w:rFonts w:ascii="Book Antiqua" w:hAnsi="Book Antiqua"/>
          <w:sz w:val="24"/>
          <w:szCs w:val="24"/>
        </w:rPr>
        <w:t xml:space="preserve">, Halbert B, Mellinger J. Rates of and Reasons for Hospital Readmissions in Patients </w:t>
      </w:r>
      <w:proofErr w:type="gramStart"/>
      <w:r w:rsidRPr="00E10230">
        <w:rPr>
          <w:rFonts w:ascii="Book Antiqua" w:hAnsi="Book Antiqua"/>
          <w:sz w:val="24"/>
          <w:szCs w:val="24"/>
        </w:rPr>
        <w:t>With</w:t>
      </w:r>
      <w:proofErr w:type="gramEnd"/>
      <w:r w:rsidR="002B65FA">
        <w:rPr>
          <w:rFonts w:ascii="Book Antiqua" w:eastAsiaTheme="minorEastAsia" w:hAnsi="Book Antiqua" w:hint="eastAsia"/>
          <w:sz w:val="24"/>
          <w:szCs w:val="24"/>
          <w:lang w:eastAsia="zh-CN"/>
        </w:rPr>
        <w:t xml:space="preserve"> </w:t>
      </w:r>
      <w:r w:rsidRPr="00E10230">
        <w:rPr>
          <w:rFonts w:ascii="Book Antiqua" w:hAnsi="Book Antiqua"/>
          <w:sz w:val="24"/>
          <w:szCs w:val="24"/>
        </w:rPr>
        <w:t xml:space="preserve">Cirrhosis: A Multistate Population-based Cohort Study. </w:t>
      </w:r>
      <w:proofErr w:type="spellStart"/>
      <w:r w:rsidRPr="00E10230">
        <w:rPr>
          <w:rFonts w:ascii="Book Antiqua" w:hAnsi="Book Antiqua"/>
          <w:i/>
          <w:sz w:val="24"/>
          <w:szCs w:val="24"/>
        </w:rPr>
        <w:t>Clin</w:t>
      </w:r>
      <w:proofErr w:type="spellEnd"/>
      <w:r w:rsidRPr="00E10230">
        <w:rPr>
          <w:rFonts w:ascii="Book Antiqua" w:hAnsi="Book Antiqua"/>
          <w:i/>
          <w:sz w:val="24"/>
          <w:szCs w:val="24"/>
        </w:rPr>
        <w:t xml:space="preserve"> Gastroenterol </w:t>
      </w:r>
      <w:proofErr w:type="spellStart"/>
      <w:r w:rsidRPr="00E10230">
        <w:rPr>
          <w:rFonts w:ascii="Book Antiqua" w:hAnsi="Book Antiqua"/>
          <w:i/>
          <w:sz w:val="24"/>
          <w:szCs w:val="24"/>
        </w:rPr>
        <w:t>Hepatol</w:t>
      </w:r>
      <w:proofErr w:type="spellEnd"/>
      <w:r w:rsidRPr="00E10230">
        <w:rPr>
          <w:rFonts w:ascii="Book Antiqua" w:hAnsi="Book Antiqua"/>
          <w:sz w:val="24"/>
          <w:szCs w:val="24"/>
        </w:rPr>
        <w:t xml:space="preserve"> 2016; </w:t>
      </w:r>
      <w:r w:rsidRPr="00E10230">
        <w:rPr>
          <w:rFonts w:ascii="Book Antiqua" w:hAnsi="Book Antiqua"/>
          <w:b/>
          <w:sz w:val="24"/>
          <w:szCs w:val="24"/>
        </w:rPr>
        <w:t>14</w:t>
      </w:r>
      <w:r w:rsidRPr="00E10230">
        <w:rPr>
          <w:rFonts w:ascii="Book Antiqua" w:hAnsi="Book Antiqua"/>
          <w:sz w:val="24"/>
          <w:szCs w:val="24"/>
        </w:rPr>
        <w:t>: 1181-1188.e2 [PMID: 27085758 DOI: 10.1016/j.cgh.2016.04.009]</w:t>
      </w:r>
    </w:p>
    <w:p w14:paraId="50E6E1E9"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7 </w:t>
      </w:r>
      <w:proofErr w:type="spellStart"/>
      <w:r w:rsidRPr="00E10230">
        <w:rPr>
          <w:rFonts w:ascii="Book Antiqua" w:hAnsi="Book Antiqua"/>
          <w:b/>
          <w:sz w:val="24"/>
          <w:szCs w:val="24"/>
        </w:rPr>
        <w:t>Charatcharoenwitthaya</w:t>
      </w:r>
      <w:proofErr w:type="spellEnd"/>
      <w:r w:rsidRPr="00E10230">
        <w:rPr>
          <w:rFonts w:ascii="Book Antiqua" w:hAnsi="Book Antiqua"/>
          <w:b/>
          <w:sz w:val="24"/>
          <w:szCs w:val="24"/>
        </w:rPr>
        <w:t xml:space="preserve"> P</w:t>
      </w:r>
      <w:r w:rsidRPr="00E10230">
        <w:rPr>
          <w:rFonts w:ascii="Book Antiqua" w:hAnsi="Book Antiqua"/>
          <w:sz w:val="24"/>
          <w:szCs w:val="24"/>
        </w:rPr>
        <w:t xml:space="preserve">, </w:t>
      </w:r>
      <w:proofErr w:type="spellStart"/>
      <w:r w:rsidRPr="00E10230">
        <w:rPr>
          <w:rFonts w:ascii="Book Antiqua" w:hAnsi="Book Antiqua"/>
          <w:sz w:val="24"/>
          <w:szCs w:val="24"/>
        </w:rPr>
        <w:t>Soonthornworasiri</w:t>
      </w:r>
      <w:proofErr w:type="spellEnd"/>
      <w:r w:rsidRPr="00E10230">
        <w:rPr>
          <w:rFonts w:ascii="Book Antiqua" w:hAnsi="Book Antiqua"/>
          <w:sz w:val="24"/>
          <w:szCs w:val="24"/>
        </w:rPr>
        <w:t xml:space="preserve"> N, </w:t>
      </w:r>
      <w:proofErr w:type="spellStart"/>
      <w:r w:rsidRPr="00E10230">
        <w:rPr>
          <w:rFonts w:ascii="Book Antiqua" w:hAnsi="Book Antiqua"/>
          <w:sz w:val="24"/>
          <w:szCs w:val="24"/>
        </w:rPr>
        <w:t>Karaketklang</w:t>
      </w:r>
      <w:proofErr w:type="spellEnd"/>
      <w:r w:rsidRPr="00E10230">
        <w:rPr>
          <w:rFonts w:ascii="Book Antiqua" w:hAnsi="Book Antiqua"/>
          <w:sz w:val="24"/>
          <w:szCs w:val="24"/>
        </w:rPr>
        <w:t xml:space="preserve"> K, </w:t>
      </w:r>
      <w:proofErr w:type="spellStart"/>
      <w:r w:rsidRPr="00E10230">
        <w:rPr>
          <w:rFonts w:ascii="Book Antiqua" w:hAnsi="Book Antiqua"/>
          <w:sz w:val="24"/>
          <w:szCs w:val="24"/>
        </w:rPr>
        <w:t>Poovorawan</w:t>
      </w:r>
      <w:proofErr w:type="spellEnd"/>
      <w:r w:rsidRPr="00E10230">
        <w:rPr>
          <w:rFonts w:ascii="Book Antiqua" w:hAnsi="Book Antiqua"/>
          <w:sz w:val="24"/>
          <w:szCs w:val="24"/>
        </w:rPr>
        <w:t xml:space="preserve"> K, Pan-</w:t>
      </w:r>
      <w:proofErr w:type="spellStart"/>
      <w:r w:rsidRPr="00E10230">
        <w:rPr>
          <w:rFonts w:ascii="Book Antiqua" w:hAnsi="Book Antiqua"/>
          <w:sz w:val="24"/>
          <w:szCs w:val="24"/>
        </w:rPr>
        <w:t>Ngum</w:t>
      </w:r>
      <w:proofErr w:type="spellEnd"/>
      <w:r w:rsidRPr="00E10230">
        <w:rPr>
          <w:rFonts w:ascii="Book Antiqua" w:hAnsi="Book Antiqua"/>
          <w:sz w:val="24"/>
          <w:szCs w:val="24"/>
        </w:rPr>
        <w:t xml:space="preserve"> W, </w:t>
      </w:r>
      <w:proofErr w:type="spellStart"/>
      <w:r w:rsidRPr="00E10230">
        <w:rPr>
          <w:rFonts w:ascii="Book Antiqua" w:hAnsi="Book Antiqua"/>
          <w:sz w:val="24"/>
          <w:szCs w:val="24"/>
        </w:rPr>
        <w:t>Chotiyaputta</w:t>
      </w:r>
      <w:proofErr w:type="spellEnd"/>
      <w:r w:rsidRPr="00E10230">
        <w:rPr>
          <w:rFonts w:ascii="Book Antiqua" w:hAnsi="Book Antiqua"/>
          <w:sz w:val="24"/>
          <w:szCs w:val="24"/>
        </w:rPr>
        <w:t xml:space="preserve"> W, </w:t>
      </w:r>
      <w:proofErr w:type="spellStart"/>
      <w:r w:rsidRPr="00E10230">
        <w:rPr>
          <w:rFonts w:ascii="Book Antiqua" w:hAnsi="Book Antiqua"/>
          <w:sz w:val="24"/>
          <w:szCs w:val="24"/>
        </w:rPr>
        <w:t>Tanwandee</w:t>
      </w:r>
      <w:proofErr w:type="spellEnd"/>
      <w:r w:rsidRPr="00E10230">
        <w:rPr>
          <w:rFonts w:ascii="Book Antiqua" w:hAnsi="Book Antiqua"/>
          <w:sz w:val="24"/>
          <w:szCs w:val="24"/>
        </w:rPr>
        <w:t xml:space="preserve"> T, </w:t>
      </w:r>
      <w:proofErr w:type="spellStart"/>
      <w:r w:rsidRPr="00E10230">
        <w:rPr>
          <w:rFonts w:ascii="Book Antiqua" w:hAnsi="Book Antiqua"/>
          <w:sz w:val="24"/>
          <w:szCs w:val="24"/>
        </w:rPr>
        <w:t>Phaosawasdi</w:t>
      </w:r>
      <w:proofErr w:type="spellEnd"/>
      <w:r w:rsidRPr="00E10230">
        <w:rPr>
          <w:rFonts w:ascii="Book Antiqua" w:hAnsi="Book Antiqua"/>
          <w:sz w:val="24"/>
          <w:szCs w:val="24"/>
        </w:rPr>
        <w:t xml:space="preserve"> K. Factors affecting mortality and resource use for hospitalized patients with cirrhosis: A population-based study. </w:t>
      </w:r>
      <w:r w:rsidRPr="00E10230">
        <w:rPr>
          <w:rFonts w:ascii="Book Antiqua" w:hAnsi="Book Antiqua"/>
          <w:i/>
          <w:sz w:val="24"/>
          <w:szCs w:val="24"/>
        </w:rPr>
        <w:t>Medicine (Baltimore)</w:t>
      </w:r>
      <w:r w:rsidRPr="00E10230">
        <w:rPr>
          <w:rFonts w:ascii="Book Antiqua" w:hAnsi="Book Antiqua"/>
          <w:sz w:val="24"/>
          <w:szCs w:val="24"/>
        </w:rPr>
        <w:t xml:space="preserve"> 2017; </w:t>
      </w:r>
      <w:r w:rsidRPr="00E10230">
        <w:rPr>
          <w:rFonts w:ascii="Book Antiqua" w:hAnsi="Book Antiqua"/>
          <w:b/>
          <w:sz w:val="24"/>
          <w:szCs w:val="24"/>
        </w:rPr>
        <w:t>96</w:t>
      </w:r>
      <w:r w:rsidRPr="00E10230">
        <w:rPr>
          <w:rFonts w:ascii="Book Antiqua" w:hAnsi="Book Antiqua"/>
          <w:sz w:val="24"/>
          <w:szCs w:val="24"/>
        </w:rPr>
        <w:t>: e7782 [PMID: 28796076 DOI: 10.1097/MD.0000000000007782]</w:t>
      </w:r>
    </w:p>
    <w:p w14:paraId="4475878E"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8 </w:t>
      </w:r>
      <w:r w:rsidRPr="00E10230">
        <w:rPr>
          <w:rFonts w:ascii="Book Antiqua" w:hAnsi="Book Antiqua"/>
          <w:b/>
          <w:sz w:val="24"/>
          <w:szCs w:val="24"/>
        </w:rPr>
        <w:t>Jamal MM</w:t>
      </w:r>
      <w:r w:rsidRPr="00E10230">
        <w:rPr>
          <w:rFonts w:ascii="Book Antiqua" w:hAnsi="Book Antiqua"/>
          <w:sz w:val="24"/>
          <w:szCs w:val="24"/>
        </w:rPr>
        <w:t xml:space="preserve">, </w:t>
      </w:r>
      <w:proofErr w:type="spellStart"/>
      <w:r w:rsidRPr="00E10230">
        <w:rPr>
          <w:rFonts w:ascii="Book Antiqua" w:hAnsi="Book Antiqua"/>
          <w:sz w:val="24"/>
          <w:szCs w:val="24"/>
        </w:rPr>
        <w:t>Samarasena</w:t>
      </w:r>
      <w:proofErr w:type="spellEnd"/>
      <w:r w:rsidRPr="00E10230">
        <w:rPr>
          <w:rFonts w:ascii="Book Antiqua" w:hAnsi="Book Antiqua"/>
          <w:sz w:val="24"/>
          <w:szCs w:val="24"/>
        </w:rPr>
        <w:t xml:space="preserve"> </w:t>
      </w:r>
      <w:proofErr w:type="spellStart"/>
      <w:r w:rsidRPr="00E10230">
        <w:rPr>
          <w:rFonts w:ascii="Book Antiqua" w:hAnsi="Book Antiqua"/>
          <w:sz w:val="24"/>
          <w:szCs w:val="24"/>
        </w:rPr>
        <w:t>JB</w:t>
      </w:r>
      <w:proofErr w:type="spellEnd"/>
      <w:r w:rsidRPr="00E10230">
        <w:rPr>
          <w:rFonts w:ascii="Book Antiqua" w:hAnsi="Book Antiqua"/>
          <w:sz w:val="24"/>
          <w:szCs w:val="24"/>
        </w:rPr>
        <w:t xml:space="preserve">, </w:t>
      </w:r>
      <w:proofErr w:type="spellStart"/>
      <w:r w:rsidRPr="00E10230">
        <w:rPr>
          <w:rFonts w:ascii="Book Antiqua" w:hAnsi="Book Antiqua"/>
          <w:sz w:val="24"/>
          <w:szCs w:val="24"/>
        </w:rPr>
        <w:t>Hashemzadeh</w:t>
      </w:r>
      <w:proofErr w:type="spellEnd"/>
      <w:r w:rsidRPr="00E10230">
        <w:rPr>
          <w:rFonts w:ascii="Book Antiqua" w:hAnsi="Book Antiqua"/>
          <w:sz w:val="24"/>
          <w:szCs w:val="24"/>
        </w:rPr>
        <w:t xml:space="preserve"> M, Vega KJ. Declining hospitalization rate of esophageal variceal bleeding in the United States. </w:t>
      </w:r>
      <w:proofErr w:type="spellStart"/>
      <w:r w:rsidRPr="00E10230">
        <w:rPr>
          <w:rFonts w:ascii="Book Antiqua" w:hAnsi="Book Antiqua"/>
          <w:i/>
          <w:sz w:val="24"/>
          <w:szCs w:val="24"/>
        </w:rPr>
        <w:t>Clin</w:t>
      </w:r>
      <w:proofErr w:type="spellEnd"/>
      <w:r w:rsidRPr="00E10230">
        <w:rPr>
          <w:rFonts w:ascii="Book Antiqua" w:hAnsi="Book Antiqua"/>
          <w:i/>
          <w:sz w:val="24"/>
          <w:szCs w:val="24"/>
        </w:rPr>
        <w:t xml:space="preserve"> Gastroenterol </w:t>
      </w:r>
      <w:proofErr w:type="spellStart"/>
      <w:r w:rsidRPr="00E10230">
        <w:rPr>
          <w:rFonts w:ascii="Book Antiqua" w:hAnsi="Book Antiqua"/>
          <w:i/>
          <w:sz w:val="24"/>
          <w:szCs w:val="24"/>
        </w:rPr>
        <w:t>Hepatol</w:t>
      </w:r>
      <w:proofErr w:type="spellEnd"/>
      <w:r w:rsidRPr="00E10230">
        <w:rPr>
          <w:rFonts w:ascii="Book Antiqua" w:hAnsi="Book Antiqua"/>
          <w:sz w:val="24"/>
          <w:szCs w:val="24"/>
        </w:rPr>
        <w:t xml:space="preserve"> 2008; </w:t>
      </w:r>
      <w:r w:rsidRPr="00E10230">
        <w:rPr>
          <w:rFonts w:ascii="Book Antiqua" w:hAnsi="Book Antiqua"/>
          <w:b/>
          <w:sz w:val="24"/>
          <w:szCs w:val="24"/>
        </w:rPr>
        <w:t>6</w:t>
      </w:r>
      <w:r w:rsidRPr="00E10230">
        <w:rPr>
          <w:rFonts w:ascii="Book Antiqua" w:hAnsi="Book Antiqua"/>
          <w:sz w:val="24"/>
          <w:szCs w:val="24"/>
        </w:rPr>
        <w:t>: 689-95; quiz 605 [PMID: 18456566 DOI: 10.1016/j.cgh.2008.02.049]</w:t>
      </w:r>
    </w:p>
    <w:p w14:paraId="6BDE193E"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lastRenderedPageBreak/>
        <w:t xml:space="preserve">9 </w:t>
      </w:r>
      <w:r w:rsidRPr="00E10230">
        <w:rPr>
          <w:rFonts w:ascii="Book Antiqua" w:hAnsi="Book Antiqua"/>
          <w:b/>
          <w:sz w:val="24"/>
          <w:szCs w:val="24"/>
        </w:rPr>
        <w:t>Lim N</w:t>
      </w:r>
      <w:r w:rsidRPr="00E10230">
        <w:rPr>
          <w:rFonts w:ascii="Book Antiqua" w:hAnsi="Book Antiqua"/>
          <w:sz w:val="24"/>
          <w:szCs w:val="24"/>
        </w:rPr>
        <w:t xml:space="preserve">, </w:t>
      </w:r>
      <w:proofErr w:type="spellStart"/>
      <w:r w:rsidRPr="00E10230">
        <w:rPr>
          <w:rFonts w:ascii="Book Antiqua" w:hAnsi="Book Antiqua"/>
          <w:sz w:val="24"/>
          <w:szCs w:val="24"/>
        </w:rPr>
        <w:t>Desarno</w:t>
      </w:r>
      <w:proofErr w:type="spellEnd"/>
      <w:r w:rsidRPr="00E10230">
        <w:rPr>
          <w:rFonts w:ascii="Book Antiqua" w:hAnsi="Book Antiqua"/>
          <w:sz w:val="24"/>
          <w:szCs w:val="24"/>
        </w:rPr>
        <w:t xml:space="preserve"> MJ, </w:t>
      </w:r>
      <w:proofErr w:type="spellStart"/>
      <w:r w:rsidRPr="00E10230">
        <w:rPr>
          <w:rFonts w:ascii="Book Antiqua" w:hAnsi="Book Antiqua"/>
          <w:sz w:val="24"/>
          <w:szCs w:val="24"/>
        </w:rPr>
        <w:t>Lidofsky</w:t>
      </w:r>
      <w:proofErr w:type="spellEnd"/>
      <w:r w:rsidRPr="00E10230">
        <w:rPr>
          <w:rFonts w:ascii="Book Antiqua" w:hAnsi="Book Antiqua"/>
          <w:sz w:val="24"/>
          <w:szCs w:val="24"/>
        </w:rPr>
        <w:t xml:space="preserve"> SD, </w:t>
      </w:r>
      <w:proofErr w:type="spellStart"/>
      <w:r w:rsidRPr="00E10230">
        <w:rPr>
          <w:rFonts w:ascii="Book Antiqua" w:hAnsi="Book Antiqua"/>
          <w:sz w:val="24"/>
          <w:szCs w:val="24"/>
        </w:rPr>
        <w:t>Ganguly</w:t>
      </w:r>
      <w:proofErr w:type="spellEnd"/>
      <w:r w:rsidRPr="00E10230">
        <w:rPr>
          <w:rFonts w:ascii="Book Antiqua" w:hAnsi="Book Antiqua"/>
          <w:sz w:val="24"/>
          <w:szCs w:val="24"/>
        </w:rPr>
        <w:t xml:space="preserve"> E. Hospitalization for variceal hemorrhage in an era with more prevalent cirrhosis. </w:t>
      </w:r>
      <w:r w:rsidRPr="00E10230">
        <w:rPr>
          <w:rFonts w:ascii="Book Antiqua" w:hAnsi="Book Antiqua"/>
          <w:i/>
          <w:sz w:val="24"/>
          <w:szCs w:val="24"/>
        </w:rPr>
        <w:t>World J Gastroenterol</w:t>
      </w:r>
      <w:r w:rsidRPr="00E10230">
        <w:rPr>
          <w:rFonts w:ascii="Book Antiqua" w:hAnsi="Book Antiqua"/>
          <w:sz w:val="24"/>
          <w:szCs w:val="24"/>
        </w:rPr>
        <w:t xml:space="preserve"> 2014; </w:t>
      </w:r>
      <w:r w:rsidRPr="00E10230">
        <w:rPr>
          <w:rFonts w:ascii="Book Antiqua" w:hAnsi="Book Antiqua"/>
          <w:b/>
          <w:sz w:val="24"/>
          <w:szCs w:val="24"/>
        </w:rPr>
        <w:t>20</w:t>
      </w:r>
      <w:r w:rsidRPr="00E10230">
        <w:rPr>
          <w:rFonts w:ascii="Book Antiqua" w:hAnsi="Book Antiqua"/>
          <w:sz w:val="24"/>
          <w:szCs w:val="24"/>
        </w:rPr>
        <w:t>: 11326-11332 [PMID: 25170218 DOI: 10.3748/wjg.v20.i32.11326]</w:t>
      </w:r>
    </w:p>
    <w:p w14:paraId="427B4461"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10 </w:t>
      </w:r>
      <w:r w:rsidRPr="00E10230">
        <w:rPr>
          <w:rFonts w:ascii="Book Antiqua" w:hAnsi="Book Antiqua"/>
          <w:b/>
          <w:sz w:val="24"/>
          <w:szCs w:val="24"/>
        </w:rPr>
        <w:t>Pant C</w:t>
      </w:r>
      <w:r w:rsidRPr="00E10230">
        <w:rPr>
          <w:rFonts w:ascii="Book Antiqua" w:hAnsi="Book Antiqua"/>
          <w:sz w:val="24"/>
          <w:szCs w:val="24"/>
        </w:rPr>
        <w:t xml:space="preserve">, Desai M, Deshpande A, Taylor R, </w:t>
      </w:r>
      <w:proofErr w:type="spellStart"/>
      <w:r w:rsidRPr="00E10230">
        <w:rPr>
          <w:rFonts w:ascii="Book Antiqua" w:hAnsi="Book Antiqua"/>
          <w:sz w:val="24"/>
          <w:szCs w:val="24"/>
        </w:rPr>
        <w:t>Olyaee</w:t>
      </w:r>
      <w:proofErr w:type="spellEnd"/>
      <w:r w:rsidRPr="00E10230">
        <w:rPr>
          <w:rFonts w:ascii="Book Antiqua" w:hAnsi="Book Antiqua"/>
          <w:sz w:val="24"/>
          <w:szCs w:val="24"/>
        </w:rPr>
        <w:t xml:space="preserve"> M, Gilroy R. Esophageal variceal bleeding in hospitalized patients with cirrhosis. </w:t>
      </w:r>
      <w:r w:rsidRPr="00E10230">
        <w:rPr>
          <w:rFonts w:ascii="Book Antiqua" w:hAnsi="Book Antiqua"/>
          <w:i/>
          <w:sz w:val="24"/>
          <w:szCs w:val="24"/>
        </w:rPr>
        <w:t>J Hosp Med</w:t>
      </w:r>
      <w:r w:rsidRPr="00E10230">
        <w:rPr>
          <w:rFonts w:ascii="Book Antiqua" w:hAnsi="Book Antiqua"/>
          <w:sz w:val="24"/>
          <w:szCs w:val="24"/>
        </w:rPr>
        <w:t xml:space="preserve"> 2015; </w:t>
      </w:r>
      <w:r w:rsidRPr="00E10230">
        <w:rPr>
          <w:rFonts w:ascii="Book Antiqua" w:hAnsi="Book Antiqua"/>
          <w:b/>
          <w:sz w:val="24"/>
          <w:szCs w:val="24"/>
        </w:rPr>
        <w:t>10</w:t>
      </w:r>
      <w:r w:rsidRPr="00E10230">
        <w:rPr>
          <w:rFonts w:ascii="Book Antiqua" w:hAnsi="Book Antiqua"/>
          <w:sz w:val="24"/>
          <w:szCs w:val="24"/>
        </w:rPr>
        <w:t>: 453-456 [PMID: 25976490 DOI: 10.1002/jhm.2360]</w:t>
      </w:r>
    </w:p>
    <w:p w14:paraId="0DFB0373" w14:textId="00014CC8" w:rsidR="00E10230" w:rsidRPr="002E7607" w:rsidRDefault="002E7607" w:rsidP="00E10230">
      <w:pPr>
        <w:spacing w:after="0" w:line="360" w:lineRule="auto"/>
        <w:jc w:val="both"/>
        <w:rPr>
          <w:rFonts w:ascii="Book Antiqua" w:hAnsi="Book Antiqua"/>
          <w:sz w:val="24"/>
          <w:szCs w:val="24"/>
          <w:highlight w:val="yellow"/>
        </w:rPr>
      </w:pPr>
      <w:r w:rsidRPr="002E7607">
        <w:rPr>
          <w:rFonts w:ascii="Book Antiqua" w:hAnsi="Book Antiqua"/>
          <w:sz w:val="24"/>
          <w:szCs w:val="24"/>
          <w:highlight w:val="yellow"/>
        </w:rPr>
        <w:t>11</w:t>
      </w:r>
      <w:r w:rsidR="00E10230" w:rsidRPr="002E7607">
        <w:rPr>
          <w:rFonts w:ascii="Book Antiqua" w:hAnsi="Book Antiqua"/>
          <w:sz w:val="24"/>
          <w:szCs w:val="24"/>
          <w:highlight w:val="yellow"/>
        </w:rPr>
        <w:t xml:space="preserve"> </w:t>
      </w:r>
      <w:r w:rsidR="00E10230" w:rsidRPr="00841111">
        <w:rPr>
          <w:rFonts w:ascii="Book Antiqua" w:hAnsi="Book Antiqua"/>
          <w:b/>
          <w:sz w:val="24"/>
          <w:szCs w:val="24"/>
          <w:highlight w:val="yellow"/>
        </w:rPr>
        <w:t>Agency for Healthcare Research and Quality</w:t>
      </w:r>
      <w:r w:rsidR="00E10230" w:rsidRPr="00762707">
        <w:rPr>
          <w:rFonts w:ascii="Book Antiqua" w:hAnsi="Book Antiqua"/>
          <w:sz w:val="24"/>
          <w:szCs w:val="24"/>
          <w:highlight w:val="yellow"/>
        </w:rPr>
        <w:t>.</w:t>
      </w:r>
      <w:r w:rsidR="00E10230" w:rsidRPr="00841111">
        <w:rPr>
          <w:rFonts w:ascii="Book Antiqua" w:hAnsi="Book Antiqua"/>
          <w:sz w:val="24"/>
          <w:szCs w:val="24"/>
          <w:highlight w:val="yellow"/>
        </w:rPr>
        <w:t xml:space="preserve"> Healthcare Cost and Utilization Project</w:t>
      </w:r>
      <w:r w:rsidR="00841111" w:rsidRPr="00841111">
        <w:rPr>
          <w:rFonts w:ascii="Book Antiqua" w:hAnsi="Book Antiqua"/>
          <w:sz w:val="24"/>
          <w:szCs w:val="24"/>
          <w:highlight w:val="yellow"/>
        </w:rPr>
        <w:t>.</w:t>
      </w:r>
      <w:r w:rsidR="00841111" w:rsidRPr="00841111">
        <w:rPr>
          <w:rFonts w:ascii="Book Antiqua" w:hAnsi="Book Antiqua"/>
          <w:bCs/>
          <w:color w:val="000000" w:themeColor="text1"/>
          <w:sz w:val="24"/>
          <w:szCs w:val="24"/>
          <w:highlight w:val="yellow"/>
        </w:rPr>
        <w:t xml:space="preserve"> Available from: </w:t>
      </w:r>
      <w:r w:rsidR="00440C7B">
        <w:rPr>
          <w:rFonts w:ascii="Book Antiqua" w:eastAsiaTheme="minorEastAsia" w:hAnsi="Book Antiqua" w:hint="eastAsia"/>
          <w:bCs/>
          <w:color w:val="000000" w:themeColor="text1"/>
          <w:sz w:val="24"/>
          <w:szCs w:val="24"/>
          <w:highlight w:val="yellow"/>
          <w:lang w:eastAsia="zh-CN"/>
        </w:rPr>
        <w:t xml:space="preserve">URL: </w:t>
      </w:r>
      <w:r w:rsidR="00E10230" w:rsidRPr="00841111">
        <w:rPr>
          <w:rFonts w:ascii="Book Antiqua" w:hAnsi="Book Antiqua"/>
          <w:sz w:val="24"/>
          <w:szCs w:val="24"/>
          <w:highlight w:val="yellow"/>
        </w:rPr>
        <w:t>h</w:t>
      </w:r>
      <w:r w:rsidR="00E10230" w:rsidRPr="002E7607">
        <w:rPr>
          <w:rFonts w:ascii="Book Antiqua" w:hAnsi="Book Antiqua"/>
          <w:sz w:val="24"/>
          <w:szCs w:val="24"/>
          <w:highlight w:val="yellow"/>
        </w:rPr>
        <w:t>ttps://hcupnet.ahrq.gov/</w:t>
      </w:r>
    </w:p>
    <w:p w14:paraId="71C00DD1" w14:textId="4CEB4655" w:rsidR="00E10230" w:rsidRPr="00E10230" w:rsidRDefault="002E7607" w:rsidP="00E10230">
      <w:pPr>
        <w:spacing w:after="0" w:line="360" w:lineRule="auto"/>
        <w:jc w:val="both"/>
        <w:rPr>
          <w:rFonts w:ascii="Book Antiqua" w:hAnsi="Book Antiqua"/>
          <w:sz w:val="24"/>
          <w:szCs w:val="24"/>
        </w:rPr>
      </w:pPr>
      <w:r w:rsidRPr="002E7607">
        <w:rPr>
          <w:rFonts w:ascii="Book Antiqua" w:hAnsi="Book Antiqua"/>
          <w:sz w:val="24"/>
          <w:szCs w:val="24"/>
          <w:highlight w:val="yellow"/>
        </w:rPr>
        <w:t>12</w:t>
      </w:r>
      <w:r w:rsidR="00E10230" w:rsidRPr="002E7607">
        <w:rPr>
          <w:rFonts w:ascii="Book Antiqua" w:hAnsi="Book Antiqua"/>
          <w:sz w:val="24"/>
          <w:szCs w:val="24"/>
          <w:highlight w:val="yellow"/>
        </w:rPr>
        <w:t xml:space="preserve"> </w:t>
      </w:r>
      <w:r w:rsidR="00E10230" w:rsidRPr="00841111">
        <w:rPr>
          <w:rFonts w:ascii="Book Antiqua" w:hAnsi="Book Antiqua"/>
          <w:b/>
          <w:sz w:val="24"/>
          <w:szCs w:val="24"/>
          <w:highlight w:val="yellow"/>
        </w:rPr>
        <w:t>Agency for Healthcare Research and Quality</w:t>
      </w:r>
      <w:r w:rsidR="00E10230" w:rsidRPr="00762707">
        <w:rPr>
          <w:rFonts w:ascii="Book Antiqua" w:hAnsi="Book Antiqua"/>
          <w:sz w:val="24"/>
          <w:szCs w:val="24"/>
          <w:highlight w:val="yellow"/>
        </w:rPr>
        <w:t>.</w:t>
      </w:r>
      <w:r w:rsidR="00E10230" w:rsidRPr="002E7607">
        <w:rPr>
          <w:rFonts w:ascii="Book Antiqua" w:hAnsi="Book Antiqua"/>
          <w:sz w:val="24"/>
          <w:szCs w:val="24"/>
          <w:highlight w:val="yellow"/>
        </w:rPr>
        <w:t xml:space="preserve"> Healthcare cost and utilization project methods series</w:t>
      </w:r>
      <w:r w:rsidR="00841111">
        <w:rPr>
          <w:rFonts w:ascii="Book Antiqua" w:eastAsiaTheme="minorEastAsia" w:hAnsi="Book Antiqua" w:hint="eastAsia"/>
          <w:sz w:val="24"/>
          <w:szCs w:val="24"/>
          <w:highlight w:val="yellow"/>
          <w:lang w:eastAsia="zh-CN"/>
        </w:rPr>
        <w:t>;</w:t>
      </w:r>
      <w:r w:rsidR="00E10230" w:rsidRPr="002E7607">
        <w:rPr>
          <w:rFonts w:ascii="Book Antiqua" w:hAnsi="Book Antiqua"/>
          <w:sz w:val="24"/>
          <w:szCs w:val="24"/>
          <w:highlight w:val="yellow"/>
        </w:rPr>
        <w:t xml:space="preserve"> 201</w:t>
      </w:r>
      <w:r w:rsidR="00841111">
        <w:rPr>
          <w:rFonts w:ascii="Book Antiqua" w:hAnsi="Book Antiqua"/>
          <w:sz w:val="24"/>
          <w:szCs w:val="24"/>
          <w:highlight w:val="yellow"/>
        </w:rPr>
        <w:t>1</w:t>
      </w:r>
      <w:r w:rsidR="00841111">
        <w:rPr>
          <w:rFonts w:ascii="Book Antiqua" w:eastAsiaTheme="minorEastAsia" w:hAnsi="Book Antiqua" w:hint="eastAsia"/>
          <w:sz w:val="24"/>
          <w:szCs w:val="24"/>
          <w:highlight w:val="yellow"/>
          <w:lang w:eastAsia="zh-CN"/>
        </w:rPr>
        <w:t xml:space="preserve">. </w:t>
      </w:r>
      <w:r w:rsidR="00E10230" w:rsidRPr="002E7607">
        <w:rPr>
          <w:rFonts w:ascii="Book Antiqua" w:hAnsi="Book Antiqua"/>
          <w:sz w:val="24"/>
          <w:szCs w:val="24"/>
          <w:highlight w:val="yellow"/>
        </w:rPr>
        <w:t>Available fro</w:t>
      </w:r>
      <w:r w:rsidR="00E10230" w:rsidRPr="000257A5">
        <w:rPr>
          <w:rFonts w:ascii="Book Antiqua" w:hAnsi="Book Antiqua"/>
          <w:sz w:val="24"/>
          <w:szCs w:val="24"/>
          <w:highlight w:val="yellow"/>
        </w:rPr>
        <w:t xml:space="preserve">m: </w:t>
      </w:r>
      <w:r w:rsidR="00440C7B">
        <w:rPr>
          <w:rFonts w:ascii="Book Antiqua" w:eastAsiaTheme="minorEastAsia" w:hAnsi="Book Antiqua" w:hint="eastAsia"/>
          <w:bCs/>
          <w:color w:val="000000" w:themeColor="text1"/>
          <w:sz w:val="24"/>
          <w:szCs w:val="24"/>
          <w:highlight w:val="yellow"/>
          <w:lang w:eastAsia="zh-CN"/>
        </w:rPr>
        <w:t xml:space="preserve">URL: </w:t>
      </w:r>
      <w:r w:rsidR="000257A5" w:rsidRPr="000257A5">
        <w:rPr>
          <w:rFonts w:ascii="Book Antiqua" w:hAnsi="Book Antiqua"/>
          <w:sz w:val="24"/>
          <w:szCs w:val="24"/>
          <w:highlight w:val="yellow"/>
        </w:rPr>
        <w:t>https://www.hcup-us.ahrq.gov/reports/methods/methods.jsp</w:t>
      </w:r>
    </w:p>
    <w:p w14:paraId="6FDF1038"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13 </w:t>
      </w:r>
      <w:r w:rsidRPr="00E10230">
        <w:rPr>
          <w:rFonts w:ascii="Book Antiqua" w:hAnsi="Book Antiqua"/>
          <w:b/>
          <w:sz w:val="24"/>
          <w:szCs w:val="24"/>
        </w:rPr>
        <w:t>Allen AM</w:t>
      </w:r>
      <w:r w:rsidRPr="00E10230">
        <w:rPr>
          <w:rFonts w:ascii="Book Antiqua" w:hAnsi="Book Antiqua"/>
          <w:sz w:val="24"/>
          <w:szCs w:val="24"/>
        </w:rPr>
        <w:t xml:space="preserve">, Kim WR, Moriarty JP, Shah ND, Larson JJ, Kamath PS. Time trends in the health care burden and mortality of acute on chronic liver failure in the United States. </w:t>
      </w:r>
      <w:r w:rsidRPr="00E10230">
        <w:rPr>
          <w:rFonts w:ascii="Book Antiqua" w:hAnsi="Book Antiqua"/>
          <w:i/>
          <w:sz w:val="24"/>
          <w:szCs w:val="24"/>
        </w:rPr>
        <w:t>Hepatology</w:t>
      </w:r>
      <w:r w:rsidRPr="00E10230">
        <w:rPr>
          <w:rFonts w:ascii="Book Antiqua" w:hAnsi="Book Antiqua"/>
          <w:sz w:val="24"/>
          <w:szCs w:val="24"/>
        </w:rPr>
        <w:t xml:space="preserve"> 2016; </w:t>
      </w:r>
      <w:r w:rsidRPr="00E10230">
        <w:rPr>
          <w:rFonts w:ascii="Book Antiqua" w:hAnsi="Book Antiqua"/>
          <w:b/>
          <w:sz w:val="24"/>
          <w:szCs w:val="24"/>
        </w:rPr>
        <w:t>64</w:t>
      </w:r>
      <w:r w:rsidRPr="00E10230">
        <w:rPr>
          <w:rFonts w:ascii="Book Antiqua" w:hAnsi="Book Antiqua"/>
          <w:sz w:val="24"/>
          <w:szCs w:val="24"/>
        </w:rPr>
        <w:t>: 2165-2172 [PMID: 27696493 DOI: 10.1002/hep.28812]</w:t>
      </w:r>
    </w:p>
    <w:p w14:paraId="5B7E39F1"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14 </w:t>
      </w:r>
      <w:r w:rsidRPr="00E10230">
        <w:rPr>
          <w:rFonts w:ascii="Book Antiqua" w:hAnsi="Book Antiqua"/>
          <w:b/>
          <w:sz w:val="24"/>
          <w:szCs w:val="24"/>
        </w:rPr>
        <w:t>Wang YR</w:t>
      </w:r>
      <w:r w:rsidRPr="00E10230">
        <w:rPr>
          <w:rFonts w:ascii="Book Antiqua" w:hAnsi="Book Antiqua"/>
          <w:sz w:val="24"/>
          <w:szCs w:val="24"/>
        </w:rPr>
        <w:t xml:space="preserve">, Fisher RS, Parkman HP. Gastroparesis-related hospitalizations in the United States: trends, characteristics, and outcomes, 1995-2004. </w:t>
      </w:r>
      <w:r w:rsidRPr="00E10230">
        <w:rPr>
          <w:rFonts w:ascii="Book Antiqua" w:hAnsi="Book Antiqua"/>
          <w:i/>
          <w:sz w:val="24"/>
          <w:szCs w:val="24"/>
        </w:rPr>
        <w:t>Am J Gastroenterol</w:t>
      </w:r>
      <w:r w:rsidRPr="00E10230">
        <w:rPr>
          <w:rFonts w:ascii="Book Antiqua" w:hAnsi="Book Antiqua"/>
          <w:sz w:val="24"/>
          <w:szCs w:val="24"/>
        </w:rPr>
        <w:t xml:space="preserve"> 2008; </w:t>
      </w:r>
      <w:r w:rsidRPr="00E10230">
        <w:rPr>
          <w:rFonts w:ascii="Book Antiqua" w:hAnsi="Book Antiqua"/>
          <w:b/>
          <w:sz w:val="24"/>
          <w:szCs w:val="24"/>
        </w:rPr>
        <w:t>103</w:t>
      </w:r>
      <w:r w:rsidRPr="00E10230">
        <w:rPr>
          <w:rFonts w:ascii="Book Antiqua" w:hAnsi="Book Antiqua"/>
          <w:sz w:val="24"/>
          <w:szCs w:val="24"/>
        </w:rPr>
        <w:t>: 313-322 [PMID: 18047541 DOI: 10.1111/j.1572-0241.2007.01658.x]</w:t>
      </w:r>
    </w:p>
    <w:p w14:paraId="1481A74C"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15 </w:t>
      </w:r>
      <w:proofErr w:type="spellStart"/>
      <w:r w:rsidRPr="00E10230">
        <w:rPr>
          <w:rFonts w:ascii="Book Antiqua" w:hAnsi="Book Antiqua"/>
          <w:b/>
          <w:sz w:val="24"/>
          <w:szCs w:val="24"/>
        </w:rPr>
        <w:t>Zogg</w:t>
      </w:r>
      <w:proofErr w:type="spellEnd"/>
      <w:r w:rsidRPr="00E10230">
        <w:rPr>
          <w:rFonts w:ascii="Book Antiqua" w:hAnsi="Book Antiqua"/>
          <w:b/>
          <w:sz w:val="24"/>
          <w:szCs w:val="24"/>
        </w:rPr>
        <w:t xml:space="preserve"> </w:t>
      </w:r>
      <w:proofErr w:type="spellStart"/>
      <w:r w:rsidRPr="00E10230">
        <w:rPr>
          <w:rFonts w:ascii="Book Antiqua" w:hAnsi="Book Antiqua"/>
          <w:b/>
          <w:sz w:val="24"/>
          <w:szCs w:val="24"/>
        </w:rPr>
        <w:t>CK</w:t>
      </w:r>
      <w:proofErr w:type="spellEnd"/>
      <w:r w:rsidRPr="00E10230">
        <w:rPr>
          <w:rFonts w:ascii="Book Antiqua" w:hAnsi="Book Antiqua"/>
          <w:sz w:val="24"/>
          <w:szCs w:val="24"/>
        </w:rPr>
        <w:t xml:space="preserve">, Najjar P, Diaz AJ, </w:t>
      </w:r>
      <w:proofErr w:type="spellStart"/>
      <w:r w:rsidRPr="00E10230">
        <w:rPr>
          <w:rFonts w:ascii="Book Antiqua" w:hAnsi="Book Antiqua"/>
          <w:sz w:val="24"/>
          <w:szCs w:val="24"/>
        </w:rPr>
        <w:t>Zogg</w:t>
      </w:r>
      <w:proofErr w:type="spellEnd"/>
      <w:r w:rsidRPr="00E10230">
        <w:rPr>
          <w:rFonts w:ascii="Book Antiqua" w:hAnsi="Book Antiqua"/>
          <w:sz w:val="24"/>
          <w:szCs w:val="24"/>
        </w:rPr>
        <w:t xml:space="preserve"> DL, Tsai TC, Rose JA Jr, Scott </w:t>
      </w:r>
      <w:proofErr w:type="spellStart"/>
      <w:r w:rsidRPr="00E10230">
        <w:rPr>
          <w:rFonts w:ascii="Book Antiqua" w:hAnsi="Book Antiqua"/>
          <w:sz w:val="24"/>
          <w:szCs w:val="24"/>
        </w:rPr>
        <w:t>JW</w:t>
      </w:r>
      <w:proofErr w:type="spellEnd"/>
      <w:r w:rsidRPr="00E10230">
        <w:rPr>
          <w:rFonts w:ascii="Book Antiqua" w:hAnsi="Book Antiqua"/>
          <w:sz w:val="24"/>
          <w:szCs w:val="24"/>
        </w:rPr>
        <w:t xml:space="preserve">, </w:t>
      </w:r>
      <w:proofErr w:type="spellStart"/>
      <w:r w:rsidRPr="00E10230">
        <w:rPr>
          <w:rFonts w:ascii="Book Antiqua" w:hAnsi="Book Antiqua"/>
          <w:sz w:val="24"/>
          <w:szCs w:val="24"/>
        </w:rPr>
        <w:t>Gani</w:t>
      </w:r>
      <w:proofErr w:type="spellEnd"/>
      <w:r w:rsidRPr="00E10230">
        <w:rPr>
          <w:rFonts w:ascii="Book Antiqua" w:hAnsi="Book Antiqua"/>
          <w:sz w:val="24"/>
          <w:szCs w:val="24"/>
        </w:rPr>
        <w:t xml:space="preserve"> F, </w:t>
      </w:r>
      <w:proofErr w:type="spellStart"/>
      <w:r w:rsidRPr="00E10230">
        <w:rPr>
          <w:rFonts w:ascii="Book Antiqua" w:hAnsi="Book Antiqua"/>
          <w:sz w:val="24"/>
          <w:szCs w:val="24"/>
        </w:rPr>
        <w:t>Alshaikh</w:t>
      </w:r>
      <w:proofErr w:type="spellEnd"/>
      <w:r w:rsidRPr="00E10230">
        <w:rPr>
          <w:rFonts w:ascii="Book Antiqua" w:hAnsi="Book Antiqua"/>
          <w:sz w:val="24"/>
          <w:szCs w:val="24"/>
        </w:rPr>
        <w:t xml:space="preserve"> H, Canner JK, Schneider </w:t>
      </w:r>
      <w:proofErr w:type="spellStart"/>
      <w:r w:rsidRPr="00E10230">
        <w:rPr>
          <w:rFonts w:ascii="Book Antiqua" w:hAnsi="Book Antiqua"/>
          <w:sz w:val="24"/>
          <w:szCs w:val="24"/>
        </w:rPr>
        <w:t>EB</w:t>
      </w:r>
      <w:proofErr w:type="spellEnd"/>
      <w:r w:rsidRPr="00E10230">
        <w:rPr>
          <w:rFonts w:ascii="Book Antiqua" w:hAnsi="Book Antiqua"/>
          <w:sz w:val="24"/>
          <w:szCs w:val="24"/>
        </w:rPr>
        <w:t xml:space="preserve">, Goldberg </w:t>
      </w:r>
      <w:proofErr w:type="spellStart"/>
      <w:r w:rsidRPr="00E10230">
        <w:rPr>
          <w:rFonts w:ascii="Book Antiqua" w:hAnsi="Book Antiqua"/>
          <w:sz w:val="24"/>
          <w:szCs w:val="24"/>
        </w:rPr>
        <w:t>JE</w:t>
      </w:r>
      <w:proofErr w:type="spellEnd"/>
      <w:r w:rsidRPr="00E10230">
        <w:rPr>
          <w:rFonts w:ascii="Book Antiqua" w:hAnsi="Book Antiqua"/>
          <w:sz w:val="24"/>
          <w:szCs w:val="24"/>
        </w:rPr>
        <w:t xml:space="preserve">, Haider AH. Rethinking Priorities: Cost of Complications After Elective Colectomy. </w:t>
      </w:r>
      <w:r w:rsidRPr="00E10230">
        <w:rPr>
          <w:rFonts w:ascii="Book Antiqua" w:hAnsi="Book Antiqua"/>
          <w:i/>
          <w:sz w:val="24"/>
          <w:szCs w:val="24"/>
        </w:rPr>
        <w:t xml:space="preserve">Ann </w:t>
      </w:r>
      <w:proofErr w:type="spellStart"/>
      <w:r w:rsidRPr="00E10230">
        <w:rPr>
          <w:rFonts w:ascii="Book Antiqua" w:hAnsi="Book Antiqua"/>
          <w:i/>
          <w:sz w:val="24"/>
          <w:szCs w:val="24"/>
        </w:rPr>
        <w:t>Surg</w:t>
      </w:r>
      <w:proofErr w:type="spellEnd"/>
      <w:r w:rsidRPr="00E10230">
        <w:rPr>
          <w:rFonts w:ascii="Book Antiqua" w:hAnsi="Book Antiqua"/>
          <w:sz w:val="24"/>
          <w:szCs w:val="24"/>
        </w:rPr>
        <w:t xml:space="preserve"> 2016; </w:t>
      </w:r>
      <w:r w:rsidRPr="00E10230">
        <w:rPr>
          <w:rFonts w:ascii="Book Antiqua" w:hAnsi="Book Antiqua"/>
          <w:b/>
          <w:sz w:val="24"/>
          <w:szCs w:val="24"/>
        </w:rPr>
        <w:t>264</w:t>
      </w:r>
      <w:r w:rsidRPr="00E10230">
        <w:rPr>
          <w:rFonts w:ascii="Book Antiqua" w:hAnsi="Book Antiqua"/>
          <w:sz w:val="24"/>
          <w:szCs w:val="24"/>
        </w:rPr>
        <w:t>: 312-322 [PMID: 26501705 DOI: 10.1097/SLA.0000000000001511]</w:t>
      </w:r>
    </w:p>
    <w:p w14:paraId="4CFBD2CB"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16 </w:t>
      </w:r>
      <w:r w:rsidRPr="00E10230">
        <w:rPr>
          <w:rFonts w:ascii="Book Antiqua" w:hAnsi="Book Antiqua"/>
          <w:b/>
          <w:sz w:val="24"/>
          <w:szCs w:val="24"/>
        </w:rPr>
        <w:t>Reddy SK</w:t>
      </w:r>
      <w:r w:rsidRPr="00E10230">
        <w:rPr>
          <w:rFonts w:ascii="Book Antiqua" w:hAnsi="Book Antiqua"/>
          <w:sz w:val="24"/>
          <w:szCs w:val="24"/>
        </w:rPr>
        <w:t>, Zhan M, Alexander HR, El-</w:t>
      </w:r>
      <w:proofErr w:type="spellStart"/>
      <w:r w:rsidRPr="00E10230">
        <w:rPr>
          <w:rFonts w:ascii="Book Antiqua" w:hAnsi="Book Antiqua"/>
          <w:sz w:val="24"/>
          <w:szCs w:val="24"/>
        </w:rPr>
        <w:t>Kamary</w:t>
      </w:r>
      <w:proofErr w:type="spellEnd"/>
      <w:r w:rsidRPr="00E10230">
        <w:rPr>
          <w:rFonts w:ascii="Book Antiqua" w:hAnsi="Book Antiqua"/>
          <w:sz w:val="24"/>
          <w:szCs w:val="24"/>
        </w:rPr>
        <w:t xml:space="preserve"> SS. Nonalcoholic fatty liver disease is associated with benign gastrointestinal disorders. </w:t>
      </w:r>
      <w:r w:rsidRPr="00E10230">
        <w:rPr>
          <w:rFonts w:ascii="Book Antiqua" w:hAnsi="Book Antiqua"/>
          <w:i/>
          <w:sz w:val="24"/>
          <w:szCs w:val="24"/>
        </w:rPr>
        <w:t>World J Gastroenterol</w:t>
      </w:r>
      <w:r w:rsidRPr="00E10230">
        <w:rPr>
          <w:rFonts w:ascii="Book Antiqua" w:hAnsi="Book Antiqua"/>
          <w:sz w:val="24"/>
          <w:szCs w:val="24"/>
        </w:rPr>
        <w:t xml:space="preserve"> 2013; </w:t>
      </w:r>
      <w:r w:rsidRPr="00E10230">
        <w:rPr>
          <w:rFonts w:ascii="Book Antiqua" w:hAnsi="Book Antiqua"/>
          <w:b/>
          <w:sz w:val="24"/>
          <w:szCs w:val="24"/>
        </w:rPr>
        <w:t>19</w:t>
      </w:r>
      <w:r w:rsidRPr="00E10230">
        <w:rPr>
          <w:rFonts w:ascii="Book Antiqua" w:hAnsi="Book Antiqua"/>
          <w:sz w:val="24"/>
          <w:szCs w:val="24"/>
        </w:rPr>
        <w:t>: 8301-8311 [PMID: 24363521 DOI: 10.3748/wjg.v19.i45.8301]</w:t>
      </w:r>
    </w:p>
    <w:p w14:paraId="73D29AD2"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17 </w:t>
      </w:r>
      <w:r w:rsidRPr="00E10230">
        <w:rPr>
          <w:rFonts w:ascii="Book Antiqua" w:hAnsi="Book Antiqua"/>
          <w:b/>
          <w:sz w:val="24"/>
          <w:szCs w:val="24"/>
        </w:rPr>
        <w:t>Peck JR</w:t>
      </w:r>
      <w:r w:rsidRPr="00E10230">
        <w:rPr>
          <w:rFonts w:ascii="Book Antiqua" w:hAnsi="Book Antiqua"/>
          <w:sz w:val="24"/>
          <w:szCs w:val="24"/>
        </w:rPr>
        <w:t xml:space="preserve">, </w:t>
      </w:r>
      <w:proofErr w:type="spellStart"/>
      <w:r w:rsidRPr="00E10230">
        <w:rPr>
          <w:rFonts w:ascii="Book Antiqua" w:hAnsi="Book Antiqua"/>
          <w:sz w:val="24"/>
          <w:szCs w:val="24"/>
        </w:rPr>
        <w:t>Latchana</w:t>
      </w:r>
      <w:proofErr w:type="spellEnd"/>
      <w:r w:rsidRPr="00E10230">
        <w:rPr>
          <w:rFonts w:ascii="Book Antiqua" w:hAnsi="Book Antiqua"/>
          <w:sz w:val="24"/>
          <w:szCs w:val="24"/>
        </w:rPr>
        <w:t xml:space="preserve"> N, Michaels A, </w:t>
      </w:r>
      <w:proofErr w:type="spellStart"/>
      <w:r w:rsidRPr="00E10230">
        <w:rPr>
          <w:rFonts w:ascii="Book Antiqua" w:hAnsi="Book Antiqua"/>
          <w:sz w:val="24"/>
          <w:szCs w:val="24"/>
        </w:rPr>
        <w:t>Hanje</w:t>
      </w:r>
      <w:proofErr w:type="spellEnd"/>
      <w:r w:rsidRPr="00E10230">
        <w:rPr>
          <w:rFonts w:ascii="Book Antiqua" w:hAnsi="Book Antiqua"/>
          <w:sz w:val="24"/>
          <w:szCs w:val="24"/>
        </w:rPr>
        <w:t xml:space="preserve"> AJ, Hinton A, </w:t>
      </w:r>
      <w:proofErr w:type="spellStart"/>
      <w:r w:rsidRPr="00E10230">
        <w:rPr>
          <w:rFonts w:ascii="Book Antiqua" w:hAnsi="Book Antiqua"/>
          <w:sz w:val="24"/>
          <w:szCs w:val="24"/>
        </w:rPr>
        <w:t>Elkhammas</w:t>
      </w:r>
      <w:proofErr w:type="spellEnd"/>
      <w:r w:rsidRPr="00E10230">
        <w:rPr>
          <w:rFonts w:ascii="Book Antiqua" w:hAnsi="Book Antiqua"/>
          <w:sz w:val="24"/>
          <w:szCs w:val="24"/>
        </w:rPr>
        <w:t xml:space="preserve"> EA, Black SM, </w:t>
      </w:r>
      <w:proofErr w:type="spellStart"/>
      <w:r w:rsidRPr="00E10230">
        <w:rPr>
          <w:rFonts w:ascii="Book Antiqua" w:hAnsi="Book Antiqua"/>
          <w:sz w:val="24"/>
          <w:szCs w:val="24"/>
        </w:rPr>
        <w:t>Mumtaz</w:t>
      </w:r>
      <w:proofErr w:type="spellEnd"/>
      <w:r w:rsidRPr="00E10230">
        <w:rPr>
          <w:rFonts w:ascii="Book Antiqua" w:hAnsi="Book Antiqua"/>
          <w:sz w:val="24"/>
          <w:szCs w:val="24"/>
        </w:rPr>
        <w:t xml:space="preserve"> K. Diagnosis of morbid obesity may not impact healthcare utilization for orthotopic liver transplantation: A propensity matched study. </w:t>
      </w:r>
      <w:r w:rsidRPr="00E10230">
        <w:rPr>
          <w:rFonts w:ascii="Book Antiqua" w:hAnsi="Book Antiqua"/>
          <w:i/>
          <w:sz w:val="24"/>
          <w:szCs w:val="24"/>
        </w:rPr>
        <w:t xml:space="preserve">World J </w:t>
      </w:r>
      <w:proofErr w:type="spellStart"/>
      <w:r w:rsidRPr="00E10230">
        <w:rPr>
          <w:rFonts w:ascii="Book Antiqua" w:hAnsi="Book Antiqua"/>
          <w:i/>
          <w:sz w:val="24"/>
          <w:szCs w:val="24"/>
        </w:rPr>
        <w:t>Hepatol</w:t>
      </w:r>
      <w:proofErr w:type="spellEnd"/>
      <w:r w:rsidRPr="00E10230">
        <w:rPr>
          <w:rFonts w:ascii="Book Antiqua" w:hAnsi="Book Antiqua"/>
          <w:sz w:val="24"/>
          <w:szCs w:val="24"/>
        </w:rPr>
        <w:t xml:space="preserve"> 2017; </w:t>
      </w:r>
      <w:r w:rsidRPr="00E10230">
        <w:rPr>
          <w:rFonts w:ascii="Book Antiqua" w:hAnsi="Book Antiqua"/>
          <w:b/>
          <w:sz w:val="24"/>
          <w:szCs w:val="24"/>
        </w:rPr>
        <w:t>9</w:t>
      </w:r>
      <w:r w:rsidRPr="00E10230">
        <w:rPr>
          <w:rFonts w:ascii="Book Antiqua" w:hAnsi="Book Antiqua"/>
          <w:sz w:val="24"/>
          <w:szCs w:val="24"/>
        </w:rPr>
        <w:t>: 595-602 [PMID: 28515845 DOI: 10.4254/wjh.v9.i12.595]</w:t>
      </w:r>
    </w:p>
    <w:p w14:paraId="718A6BC3"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18 </w:t>
      </w:r>
      <w:proofErr w:type="spellStart"/>
      <w:r w:rsidRPr="00E10230">
        <w:rPr>
          <w:rFonts w:ascii="Book Antiqua" w:hAnsi="Book Antiqua"/>
          <w:b/>
          <w:sz w:val="24"/>
          <w:szCs w:val="24"/>
        </w:rPr>
        <w:t>Khera</w:t>
      </w:r>
      <w:proofErr w:type="spellEnd"/>
      <w:r w:rsidRPr="00E10230">
        <w:rPr>
          <w:rFonts w:ascii="Book Antiqua" w:hAnsi="Book Antiqua"/>
          <w:b/>
          <w:sz w:val="24"/>
          <w:szCs w:val="24"/>
        </w:rPr>
        <w:t xml:space="preserve"> R</w:t>
      </w:r>
      <w:r w:rsidRPr="00E10230">
        <w:rPr>
          <w:rFonts w:ascii="Book Antiqua" w:hAnsi="Book Antiqua"/>
          <w:sz w:val="24"/>
          <w:szCs w:val="24"/>
        </w:rPr>
        <w:t xml:space="preserve">, </w:t>
      </w:r>
      <w:proofErr w:type="spellStart"/>
      <w:r w:rsidRPr="00E10230">
        <w:rPr>
          <w:rFonts w:ascii="Book Antiqua" w:hAnsi="Book Antiqua"/>
          <w:sz w:val="24"/>
          <w:szCs w:val="24"/>
        </w:rPr>
        <w:t>Angraal</w:t>
      </w:r>
      <w:proofErr w:type="spellEnd"/>
      <w:r w:rsidRPr="00E10230">
        <w:rPr>
          <w:rFonts w:ascii="Book Antiqua" w:hAnsi="Book Antiqua"/>
          <w:sz w:val="24"/>
          <w:szCs w:val="24"/>
        </w:rPr>
        <w:t xml:space="preserve"> S, Couch T, Welsh </w:t>
      </w:r>
      <w:proofErr w:type="spellStart"/>
      <w:r w:rsidRPr="00E10230">
        <w:rPr>
          <w:rFonts w:ascii="Book Antiqua" w:hAnsi="Book Antiqua"/>
          <w:sz w:val="24"/>
          <w:szCs w:val="24"/>
        </w:rPr>
        <w:t>JW</w:t>
      </w:r>
      <w:proofErr w:type="spellEnd"/>
      <w:r w:rsidRPr="00E10230">
        <w:rPr>
          <w:rFonts w:ascii="Book Antiqua" w:hAnsi="Book Antiqua"/>
          <w:sz w:val="24"/>
          <w:szCs w:val="24"/>
        </w:rPr>
        <w:t xml:space="preserve">, </w:t>
      </w:r>
      <w:proofErr w:type="spellStart"/>
      <w:r w:rsidRPr="00E10230">
        <w:rPr>
          <w:rFonts w:ascii="Book Antiqua" w:hAnsi="Book Antiqua"/>
          <w:sz w:val="24"/>
          <w:szCs w:val="24"/>
        </w:rPr>
        <w:t>Nallamothu</w:t>
      </w:r>
      <w:proofErr w:type="spellEnd"/>
      <w:r w:rsidRPr="00E10230">
        <w:rPr>
          <w:rFonts w:ascii="Book Antiqua" w:hAnsi="Book Antiqua"/>
          <w:sz w:val="24"/>
          <w:szCs w:val="24"/>
        </w:rPr>
        <w:t xml:space="preserve"> BK, </w:t>
      </w:r>
      <w:proofErr w:type="spellStart"/>
      <w:r w:rsidRPr="00E10230">
        <w:rPr>
          <w:rFonts w:ascii="Book Antiqua" w:hAnsi="Book Antiqua"/>
          <w:sz w:val="24"/>
          <w:szCs w:val="24"/>
        </w:rPr>
        <w:t>Girotra</w:t>
      </w:r>
      <w:proofErr w:type="spellEnd"/>
      <w:r w:rsidRPr="00E10230">
        <w:rPr>
          <w:rFonts w:ascii="Book Antiqua" w:hAnsi="Book Antiqua"/>
          <w:sz w:val="24"/>
          <w:szCs w:val="24"/>
        </w:rPr>
        <w:t xml:space="preserve"> S, Chan PS, </w:t>
      </w:r>
      <w:proofErr w:type="spellStart"/>
      <w:r w:rsidRPr="00E10230">
        <w:rPr>
          <w:rFonts w:ascii="Book Antiqua" w:hAnsi="Book Antiqua"/>
          <w:sz w:val="24"/>
          <w:szCs w:val="24"/>
        </w:rPr>
        <w:t>Krumholz</w:t>
      </w:r>
      <w:proofErr w:type="spellEnd"/>
      <w:r w:rsidRPr="00E10230">
        <w:rPr>
          <w:rFonts w:ascii="Book Antiqua" w:hAnsi="Book Antiqua"/>
          <w:sz w:val="24"/>
          <w:szCs w:val="24"/>
        </w:rPr>
        <w:t xml:space="preserve"> HM. Adherence to Methodological Standards in Research Using the National </w:t>
      </w:r>
      <w:r w:rsidRPr="00E10230">
        <w:rPr>
          <w:rFonts w:ascii="Book Antiqua" w:hAnsi="Book Antiqua"/>
          <w:sz w:val="24"/>
          <w:szCs w:val="24"/>
        </w:rPr>
        <w:lastRenderedPageBreak/>
        <w:t xml:space="preserve">Inpatient Sample. </w:t>
      </w:r>
      <w:r w:rsidRPr="00E10230">
        <w:rPr>
          <w:rFonts w:ascii="Book Antiqua" w:hAnsi="Book Antiqua"/>
          <w:i/>
          <w:sz w:val="24"/>
          <w:szCs w:val="24"/>
        </w:rPr>
        <w:t>JAMA</w:t>
      </w:r>
      <w:r w:rsidRPr="00E10230">
        <w:rPr>
          <w:rFonts w:ascii="Book Antiqua" w:hAnsi="Book Antiqua"/>
          <w:sz w:val="24"/>
          <w:szCs w:val="24"/>
        </w:rPr>
        <w:t xml:space="preserve"> 2017; </w:t>
      </w:r>
      <w:r w:rsidRPr="00E10230">
        <w:rPr>
          <w:rFonts w:ascii="Book Antiqua" w:hAnsi="Book Antiqua"/>
          <w:b/>
          <w:sz w:val="24"/>
          <w:szCs w:val="24"/>
        </w:rPr>
        <w:t>318</w:t>
      </w:r>
      <w:r w:rsidRPr="00E10230">
        <w:rPr>
          <w:rFonts w:ascii="Book Antiqua" w:hAnsi="Book Antiqua"/>
          <w:sz w:val="24"/>
          <w:szCs w:val="24"/>
        </w:rPr>
        <w:t>: 2011-2018 [PMID: 29183077 DOI: 10.1001/jama.2017.17653]</w:t>
      </w:r>
    </w:p>
    <w:p w14:paraId="6655133F"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19 </w:t>
      </w:r>
      <w:r w:rsidRPr="00E10230">
        <w:rPr>
          <w:rFonts w:ascii="Book Antiqua" w:hAnsi="Book Antiqua"/>
          <w:b/>
          <w:sz w:val="24"/>
          <w:szCs w:val="24"/>
        </w:rPr>
        <w:t>Nehra MS</w:t>
      </w:r>
      <w:r w:rsidRPr="00E10230">
        <w:rPr>
          <w:rFonts w:ascii="Book Antiqua" w:hAnsi="Book Antiqua"/>
          <w:sz w:val="24"/>
          <w:szCs w:val="24"/>
        </w:rPr>
        <w:t xml:space="preserve">, Ma Y, Clark C, </w:t>
      </w:r>
      <w:proofErr w:type="spellStart"/>
      <w:r w:rsidRPr="00E10230">
        <w:rPr>
          <w:rFonts w:ascii="Book Antiqua" w:hAnsi="Book Antiqua"/>
          <w:sz w:val="24"/>
          <w:szCs w:val="24"/>
        </w:rPr>
        <w:t>Amarasingham</w:t>
      </w:r>
      <w:proofErr w:type="spellEnd"/>
      <w:r w:rsidRPr="00E10230">
        <w:rPr>
          <w:rFonts w:ascii="Book Antiqua" w:hAnsi="Book Antiqua"/>
          <w:sz w:val="24"/>
          <w:szCs w:val="24"/>
        </w:rPr>
        <w:t xml:space="preserve"> R, </w:t>
      </w:r>
      <w:proofErr w:type="spellStart"/>
      <w:r w:rsidRPr="00E10230">
        <w:rPr>
          <w:rFonts w:ascii="Book Antiqua" w:hAnsi="Book Antiqua"/>
          <w:sz w:val="24"/>
          <w:szCs w:val="24"/>
        </w:rPr>
        <w:t>Rockey</w:t>
      </w:r>
      <w:proofErr w:type="spellEnd"/>
      <w:r w:rsidRPr="00E10230">
        <w:rPr>
          <w:rFonts w:ascii="Book Antiqua" w:hAnsi="Book Antiqua"/>
          <w:sz w:val="24"/>
          <w:szCs w:val="24"/>
        </w:rPr>
        <w:t xml:space="preserve"> DC, </w:t>
      </w:r>
      <w:proofErr w:type="spellStart"/>
      <w:r w:rsidRPr="00E10230">
        <w:rPr>
          <w:rFonts w:ascii="Book Antiqua" w:hAnsi="Book Antiqua"/>
          <w:sz w:val="24"/>
          <w:szCs w:val="24"/>
        </w:rPr>
        <w:t>Singal</w:t>
      </w:r>
      <w:proofErr w:type="spellEnd"/>
      <w:r w:rsidRPr="00E10230">
        <w:rPr>
          <w:rFonts w:ascii="Book Antiqua" w:hAnsi="Book Antiqua"/>
          <w:sz w:val="24"/>
          <w:szCs w:val="24"/>
        </w:rPr>
        <w:t xml:space="preserve"> AG. Use of administrative claims data for identifying patients with cirrhosis. </w:t>
      </w:r>
      <w:r w:rsidRPr="00E10230">
        <w:rPr>
          <w:rFonts w:ascii="Book Antiqua" w:hAnsi="Book Antiqua"/>
          <w:i/>
          <w:sz w:val="24"/>
          <w:szCs w:val="24"/>
        </w:rPr>
        <w:t xml:space="preserve">J </w:t>
      </w:r>
      <w:proofErr w:type="spellStart"/>
      <w:r w:rsidRPr="00E10230">
        <w:rPr>
          <w:rFonts w:ascii="Book Antiqua" w:hAnsi="Book Antiqua"/>
          <w:i/>
          <w:sz w:val="24"/>
          <w:szCs w:val="24"/>
        </w:rPr>
        <w:t>Clin</w:t>
      </w:r>
      <w:proofErr w:type="spellEnd"/>
      <w:r w:rsidRPr="00E10230">
        <w:rPr>
          <w:rFonts w:ascii="Book Antiqua" w:hAnsi="Book Antiqua"/>
          <w:i/>
          <w:sz w:val="24"/>
          <w:szCs w:val="24"/>
        </w:rPr>
        <w:t xml:space="preserve"> Gastroenterol</w:t>
      </w:r>
      <w:r w:rsidRPr="00E10230">
        <w:rPr>
          <w:rFonts w:ascii="Book Antiqua" w:hAnsi="Book Antiqua"/>
          <w:sz w:val="24"/>
          <w:szCs w:val="24"/>
        </w:rPr>
        <w:t xml:space="preserve"> 2013; </w:t>
      </w:r>
      <w:r w:rsidRPr="00E10230">
        <w:rPr>
          <w:rFonts w:ascii="Book Antiqua" w:hAnsi="Book Antiqua"/>
          <w:b/>
          <w:sz w:val="24"/>
          <w:szCs w:val="24"/>
        </w:rPr>
        <w:t>47</w:t>
      </w:r>
      <w:r w:rsidRPr="00E10230">
        <w:rPr>
          <w:rFonts w:ascii="Book Antiqua" w:hAnsi="Book Antiqua"/>
          <w:sz w:val="24"/>
          <w:szCs w:val="24"/>
        </w:rPr>
        <w:t>: e50-e54 [PMID: 23090041 DOI: 10.1097/MCG.0b013e3182688d2f]</w:t>
      </w:r>
    </w:p>
    <w:p w14:paraId="68D03804"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20 </w:t>
      </w:r>
      <w:r w:rsidRPr="00E10230">
        <w:rPr>
          <w:rFonts w:ascii="Book Antiqua" w:hAnsi="Book Antiqua"/>
          <w:b/>
          <w:sz w:val="24"/>
          <w:szCs w:val="24"/>
        </w:rPr>
        <w:t>Perla RJ</w:t>
      </w:r>
      <w:r w:rsidRPr="00E10230">
        <w:rPr>
          <w:rFonts w:ascii="Book Antiqua" w:hAnsi="Book Antiqua"/>
          <w:sz w:val="24"/>
          <w:szCs w:val="24"/>
        </w:rPr>
        <w:t xml:space="preserve">, Provost LP, Murray SK. The run chart: a simple analytical tool for learning from variation in healthcare processes. </w:t>
      </w:r>
      <w:proofErr w:type="spellStart"/>
      <w:r w:rsidRPr="00E10230">
        <w:rPr>
          <w:rFonts w:ascii="Book Antiqua" w:hAnsi="Book Antiqua"/>
          <w:i/>
          <w:sz w:val="24"/>
          <w:szCs w:val="24"/>
        </w:rPr>
        <w:t>BMJ</w:t>
      </w:r>
      <w:proofErr w:type="spellEnd"/>
      <w:r w:rsidRPr="00E10230">
        <w:rPr>
          <w:rFonts w:ascii="Book Antiqua" w:hAnsi="Book Antiqua"/>
          <w:i/>
          <w:sz w:val="24"/>
          <w:szCs w:val="24"/>
        </w:rPr>
        <w:t xml:space="preserve"> </w:t>
      </w:r>
      <w:proofErr w:type="spellStart"/>
      <w:r w:rsidRPr="00E10230">
        <w:rPr>
          <w:rFonts w:ascii="Book Antiqua" w:hAnsi="Book Antiqua"/>
          <w:i/>
          <w:sz w:val="24"/>
          <w:szCs w:val="24"/>
        </w:rPr>
        <w:t>Qual</w:t>
      </w:r>
      <w:proofErr w:type="spellEnd"/>
      <w:r w:rsidRPr="00E10230">
        <w:rPr>
          <w:rFonts w:ascii="Book Antiqua" w:hAnsi="Book Antiqua"/>
          <w:i/>
          <w:sz w:val="24"/>
          <w:szCs w:val="24"/>
        </w:rPr>
        <w:t xml:space="preserve"> </w:t>
      </w:r>
      <w:proofErr w:type="spellStart"/>
      <w:r w:rsidRPr="00E10230">
        <w:rPr>
          <w:rFonts w:ascii="Book Antiqua" w:hAnsi="Book Antiqua"/>
          <w:i/>
          <w:sz w:val="24"/>
          <w:szCs w:val="24"/>
        </w:rPr>
        <w:t>Saf</w:t>
      </w:r>
      <w:proofErr w:type="spellEnd"/>
      <w:r w:rsidRPr="00E10230">
        <w:rPr>
          <w:rFonts w:ascii="Book Antiqua" w:hAnsi="Book Antiqua"/>
          <w:sz w:val="24"/>
          <w:szCs w:val="24"/>
        </w:rPr>
        <w:t xml:space="preserve"> 2011; </w:t>
      </w:r>
      <w:r w:rsidRPr="00E10230">
        <w:rPr>
          <w:rFonts w:ascii="Book Antiqua" w:hAnsi="Book Antiqua"/>
          <w:b/>
          <w:sz w:val="24"/>
          <w:szCs w:val="24"/>
        </w:rPr>
        <w:t>20</w:t>
      </w:r>
      <w:r w:rsidRPr="00E10230">
        <w:rPr>
          <w:rFonts w:ascii="Book Antiqua" w:hAnsi="Book Antiqua"/>
          <w:sz w:val="24"/>
          <w:szCs w:val="24"/>
        </w:rPr>
        <w:t>: 46-51 [PMID: 21228075 DOI: 10.1136/bmjqs.2009.037895]</w:t>
      </w:r>
    </w:p>
    <w:p w14:paraId="1701F362"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21 </w:t>
      </w:r>
      <w:proofErr w:type="spellStart"/>
      <w:r w:rsidRPr="00E10230">
        <w:rPr>
          <w:rFonts w:ascii="Book Antiqua" w:hAnsi="Book Antiqua"/>
          <w:b/>
          <w:sz w:val="24"/>
          <w:szCs w:val="24"/>
        </w:rPr>
        <w:t>Mumtaz</w:t>
      </w:r>
      <w:proofErr w:type="spellEnd"/>
      <w:r w:rsidRPr="00E10230">
        <w:rPr>
          <w:rFonts w:ascii="Book Antiqua" w:hAnsi="Book Antiqua"/>
          <w:b/>
          <w:sz w:val="24"/>
          <w:szCs w:val="24"/>
        </w:rPr>
        <w:t xml:space="preserve"> K</w:t>
      </w:r>
      <w:r w:rsidRPr="00E10230">
        <w:rPr>
          <w:rFonts w:ascii="Book Antiqua" w:hAnsi="Book Antiqua"/>
          <w:sz w:val="24"/>
          <w:szCs w:val="24"/>
        </w:rPr>
        <w:t xml:space="preserve">, Ahmed US, </w:t>
      </w:r>
      <w:proofErr w:type="spellStart"/>
      <w:r w:rsidRPr="00E10230">
        <w:rPr>
          <w:rFonts w:ascii="Book Antiqua" w:hAnsi="Book Antiqua"/>
          <w:sz w:val="24"/>
          <w:szCs w:val="24"/>
        </w:rPr>
        <w:t>Abid</w:t>
      </w:r>
      <w:proofErr w:type="spellEnd"/>
      <w:r w:rsidRPr="00E10230">
        <w:rPr>
          <w:rFonts w:ascii="Book Antiqua" w:hAnsi="Book Antiqua"/>
          <w:sz w:val="24"/>
          <w:szCs w:val="24"/>
        </w:rPr>
        <w:t xml:space="preserve"> S, </w:t>
      </w:r>
      <w:proofErr w:type="spellStart"/>
      <w:r w:rsidRPr="00E10230">
        <w:rPr>
          <w:rFonts w:ascii="Book Antiqua" w:hAnsi="Book Antiqua"/>
          <w:sz w:val="24"/>
          <w:szCs w:val="24"/>
        </w:rPr>
        <w:t>Baig</w:t>
      </w:r>
      <w:proofErr w:type="spellEnd"/>
      <w:r w:rsidRPr="00E10230">
        <w:rPr>
          <w:rFonts w:ascii="Book Antiqua" w:hAnsi="Book Antiqua"/>
          <w:sz w:val="24"/>
          <w:szCs w:val="24"/>
        </w:rPr>
        <w:t xml:space="preserve"> N, Hamid S, Jafri W. Precipitating factors and the outcome of hepatic encephalopathy in liver cirrhosis. </w:t>
      </w:r>
      <w:r w:rsidRPr="00E10230">
        <w:rPr>
          <w:rFonts w:ascii="Book Antiqua" w:hAnsi="Book Antiqua"/>
          <w:i/>
          <w:sz w:val="24"/>
          <w:szCs w:val="24"/>
        </w:rPr>
        <w:t xml:space="preserve">J Coll Physicians </w:t>
      </w:r>
      <w:proofErr w:type="spellStart"/>
      <w:r w:rsidRPr="00E10230">
        <w:rPr>
          <w:rFonts w:ascii="Book Antiqua" w:hAnsi="Book Antiqua"/>
          <w:i/>
          <w:sz w:val="24"/>
          <w:szCs w:val="24"/>
        </w:rPr>
        <w:t>Surg</w:t>
      </w:r>
      <w:proofErr w:type="spellEnd"/>
      <w:r w:rsidRPr="00E10230">
        <w:rPr>
          <w:rFonts w:ascii="Book Antiqua" w:hAnsi="Book Antiqua"/>
          <w:i/>
          <w:sz w:val="24"/>
          <w:szCs w:val="24"/>
        </w:rPr>
        <w:t xml:space="preserve"> Pak</w:t>
      </w:r>
      <w:r w:rsidRPr="00E10230">
        <w:rPr>
          <w:rFonts w:ascii="Book Antiqua" w:hAnsi="Book Antiqua"/>
          <w:sz w:val="24"/>
          <w:szCs w:val="24"/>
        </w:rPr>
        <w:t xml:space="preserve"> 2010; </w:t>
      </w:r>
      <w:r w:rsidRPr="00E10230">
        <w:rPr>
          <w:rFonts w:ascii="Book Antiqua" w:hAnsi="Book Antiqua"/>
          <w:b/>
          <w:sz w:val="24"/>
          <w:szCs w:val="24"/>
        </w:rPr>
        <w:t>20</w:t>
      </w:r>
      <w:r w:rsidRPr="00E10230">
        <w:rPr>
          <w:rFonts w:ascii="Book Antiqua" w:hAnsi="Book Antiqua"/>
          <w:sz w:val="24"/>
          <w:szCs w:val="24"/>
        </w:rPr>
        <w:t>: 514-518 [PMID: 20688015 DOI: 08.2010/JCPSP.514518]</w:t>
      </w:r>
    </w:p>
    <w:p w14:paraId="40E2A8BB"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22 </w:t>
      </w:r>
      <w:r w:rsidRPr="00E10230">
        <w:rPr>
          <w:rFonts w:ascii="Book Antiqua" w:hAnsi="Book Antiqua"/>
          <w:b/>
          <w:sz w:val="24"/>
          <w:szCs w:val="24"/>
        </w:rPr>
        <w:t>Kim D</w:t>
      </w:r>
      <w:r w:rsidRPr="00E10230">
        <w:rPr>
          <w:rFonts w:ascii="Book Antiqua" w:hAnsi="Book Antiqua"/>
          <w:sz w:val="24"/>
          <w:szCs w:val="24"/>
        </w:rPr>
        <w:t xml:space="preserve">, Li AA, </w:t>
      </w:r>
      <w:proofErr w:type="spellStart"/>
      <w:r w:rsidRPr="00E10230">
        <w:rPr>
          <w:rFonts w:ascii="Book Antiqua" w:hAnsi="Book Antiqua"/>
          <w:sz w:val="24"/>
          <w:szCs w:val="24"/>
        </w:rPr>
        <w:t>Gadiparthi</w:t>
      </w:r>
      <w:proofErr w:type="spellEnd"/>
      <w:r w:rsidRPr="00E10230">
        <w:rPr>
          <w:rFonts w:ascii="Book Antiqua" w:hAnsi="Book Antiqua"/>
          <w:sz w:val="24"/>
          <w:szCs w:val="24"/>
        </w:rPr>
        <w:t xml:space="preserve"> C, Khan MA, </w:t>
      </w:r>
      <w:proofErr w:type="spellStart"/>
      <w:r w:rsidRPr="00E10230">
        <w:rPr>
          <w:rFonts w:ascii="Book Antiqua" w:hAnsi="Book Antiqua"/>
          <w:sz w:val="24"/>
          <w:szCs w:val="24"/>
        </w:rPr>
        <w:t>Cholankeril</w:t>
      </w:r>
      <w:proofErr w:type="spellEnd"/>
      <w:r w:rsidRPr="00E10230">
        <w:rPr>
          <w:rFonts w:ascii="Book Antiqua" w:hAnsi="Book Antiqua"/>
          <w:sz w:val="24"/>
          <w:szCs w:val="24"/>
        </w:rPr>
        <w:t xml:space="preserve"> G, Glenn JS, Ahmed A. Changing Trends in Etiology-Based Annual Mortality From Chronic Liver Disease, From 2007 Through 2016. </w:t>
      </w:r>
      <w:r w:rsidRPr="00E10230">
        <w:rPr>
          <w:rFonts w:ascii="Book Antiqua" w:hAnsi="Book Antiqua"/>
          <w:i/>
          <w:sz w:val="24"/>
          <w:szCs w:val="24"/>
        </w:rPr>
        <w:t>Gastroenterology</w:t>
      </w:r>
      <w:r w:rsidRPr="00E10230">
        <w:rPr>
          <w:rFonts w:ascii="Book Antiqua" w:hAnsi="Book Antiqua"/>
          <w:sz w:val="24"/>
          <w:szCs w:val="24"/>
        </w:rPr>
        <w:t xml:space="preserve"> 2018; </w:t>
      </w:r>
      <w:r w:rsidRPr="00E10230">
        <w:rPr>
          <w:rFonts w:ascii="Book Antiqua" w:hAnsi="Book Antiqua"/>
          <w:b/>
          <w:sz w:val="24"/>
          <w:szCs w:val="24"/>
        </w:rPr>
        <w:t>155</w:t>
      </w:r>
      <w:r w:rsidRPr="00E10230">
        <w:rPr>
          <w:rFonts w:ascii="Book Antiqua" w:hAnsi="Book Antiqua"/>
          <w:sz w:val="24"/>
          <w:szCs w:val="24"/>
        </w:rPr>
        <w:t>: 1154-1163.e3 [PMID: 30009816 DOI: 10.1053/j.gastro.2018.07.008]</w:t>
      </w:r>
    </w:p>
    <w:p w14:paraId="526FD544"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23 </w:t>
      </w:r>
      <w:proofErr w:type="spellStart"/>
      <w:r w:rsidRPr="00E10230">
        <w:rPr>
          <w:rFonts w:ascii="Book Antiqua" w:hAnsi="Book Antiqua"/>
          <w:b/>
          <w:sz w:val="24"/>
          <w:szCs w:val="24"/>
        </w:rPr>
        <w:t>Kanwal</w:t>
      </w:r>
      <w:proofErr w:type="spellEnd"/>
      <w:r w:rsidRPr="00E10230">
        <w:rPr>
          <w:rFonts w:ascii="Book Antiqua" w:hAnsi="Book Antiqua"/>
          <w:b/>
          <w:sz w:val="24"/>
          <w:szCs w:val="24"/>
        </w:rPr>
        <w:t xml:space="preserve"> F</w:t>
      </w:r>
      <w:r w:rsidRPr="00E10230">
        <w:rPr>
          <w:rFonts w:ascii="Book Antiqua" w:hAnsi="Book Antiqua"/>
          <w:sz w:val="24"/>
          <w:szCs w:val="24"/>
        </w:rPr>
        <w:t xml:space="preserve">, </w:t>
      </w:r>
      <w:proofErr w:type="spellStart"/>
      <w:r w:rsidRPr="00E10230">
        <w:rPr>
          <w:rFonts w:ascii="Book Antiqua" w:hAnsi="Book Antiqua"/>
          <w:sz w:val="24"/>
          <w:szCs w:val="24"/>
        </w:rPr>
        <w:t>Tansel</w:t>
      </w:r>
      <w:proofErr w:type="spellEnd"/>
      <w:r w:rsidRPr="00E10230">
        <w:rPr>
          <w:rFonts w:ascii="Book Antiqua" w:hAnsi="Book Antiqua"/>
          <w:sz w:val="24"/>
          <w:szCs w:val="24"/>
        </w:rPr>
        <w:t xml:space="preserve"> A, Kramer JR, Feng H, Asch SM, El-</w:t>
      </w:r>
      <w:proofErr w:type="spellStart"/>
      <w:r w:rsidRPr="00E10230">
        <w:rPr>
          <w:rFonts w:ascii="Book Antiqua" w:hAnsi="Book Antiqua"/>
          <w:sz w:val="24"/>
          <w:szCs w:val="24"/>
        </w:rPr>
        <w:t>Serag</w:t>
      </w:r>
      <w:proofErr w:type="spellEnd"/>
      <w:r w:rsidRPr="00E10230">
        <w:rPr>
          <w:rFonts w:ascii="Book Antiqua" w:hAnsi="Book Antiqua"/>
          <w:sz w:val="24"/>
          <w:szCs w:val="24"/>
        </w:rPr>
        <w:t xml:space="preserve"> HB. Trends in 30-Day and 1-Year Mortality Among Patients Hospitalized With Cirrhosis From 2004 to 2013. </w:t>
      </w:r>
      <w:r w:rsidRPr="00E10230">
        <w:rPr>
          <w:rFonts w:ascii="Book Antiqua" w:hAnsi="Book Antiqua"/>
          <w:i/>
          <w:sz w:val="24"/>
          <w:szCs w:val="24"/>
        </w:rPr>
        <w:t>Am J Gastroenterol</w:t>
      </w:r>
      <w:r w:rsidRPr="00E10230">
        <w:rPr>
          <w:rFonts w:ascii="Book Antiqua" w:hAnsi="Book Antiqua"/>
          <w:sz w:val="24"/>
          <w:szCs w:val="24"/>
        </w:rPr>
        <w:t xml:space="preserve"> 2017; </w:t>
      </w:r>
      <w:r w:rsidRPr="00E10230">
        <w:rPr>
          <w:rFonts w:ascii="Book Antiqua" w:hAnsi="Book Antiqua"/>
          <w:b/>
          <w:sz w:val="24"/>
          <w:szCs w:val="24"/>
        </w:rPr>
        <w:t>112</w:t>
      </w:r>
      <w:r w:rsidRPr="00E10230">
        <w:rPr>
          <w:rFonts w:ascii="Book Antiqua" w:hAnsi="Book Antiqua"/>
          <w:sz w:val="24"/>
          <w:szCs w:val="24"/>
        </w:rPr>
        <w:t>: 1287-1297 [PMID: 28607480 DOI: 10.1038/ajg.2017.175]</w:t>
      </w:r>
    </w:p>
    <w:p w14:paraId="2755688C"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24 </w:t>
      </w:r>
      <w:r w:rsidRPr="00E10230">
        <w:rPr>
          <w:rFonts w:ascii="Book Antiqua" w:hAnsi="Book Antiqua"/>
          <w:b/>
          <w:sz w:val="24"/>
          <w:szCs w:val="24"/>
        </w:rPr>
        <w:t>Lee EW</w:t>
      </w:r>
      <w:r w:rsidRPr="00E10230">
        <w:rPr>
          <w:rFonts w:ascii="Book Antiqua" w:hAnsi="Book Antiqua"/>
          <w:sz w:val="24"/>
          <w:szCs w:val="24"/>
        </w:rPr>
        <w:t xml:space="preserve">, </w:t>
      </w:r>
      <w:proofErr w:type="spellStart"/>
      <w:r w:rsidRPr="00E10230">
        <w:rPr>
          <w:rFonts w:ascii="Book Antiqua" w:hAnsi="Book Antiqua"/>
          <w:sz w:val="24"/>
          <w:szCs w:val="24"/>
        </w:rPr>
        <w:t>Kuei</w:t>
      </w:r>
      <w:proofErr w:type="spellEnd"/>
      <w:r w:rsidRPr="00E10230">
        <w:rPr>
          <w:rFonts w:ascii="Book Antiqua" w:hAnsi="Book Antiqua"/>
          <w:sz w:val="24"/>
          <w:szCs w:val="24"/>
        </w:rPr>
        <w:t xml:space="preserve"> A, Saab S, </w:t>
      </w:r>
      <w:proofErr w:type="spellStart"/>
      <w:r w:rsidRPr="00E10230">
        <w:rPr>
          <w:rFonts w:ascii="Book Antiqua" w:hAnsi="Book Antiqua"/>
          <w:sz w:val="24"/>
          <w:szCs w:val="24"/>
        </w:rPr>
        <w:t>Busuttil</w:t>
      </w:r>
      <w:proofErr w:type="spellEnd"/>
      <w:r w:rsidRPr="00E10230">
        <w:rPr>
          <w:rFonts w:ascii="Book Antiqua" w:hAnsi="Book Antiqua"/>
          <w:sz w:val="24"/>
          <w:szCs w:val="24"/>
        </w:rPr>
        <w:t xml:space="preserve"> </w:t>
      </w:r>
      <w:proofErr w:type="spellStart"/>
      <w:r w:rsidRPr="00E10230">
        <w:rPr>
          <w:rFonts w:ascii="Book Antiqua" w:hAnsi="Book Antiqua"/>
          <w:sz w:val="24"/>
          <w:szCs w:val="24"/>
        </w:rPr>
        <w:t>RW</w:t>
      </w:r>
      <w:proofErr w:type="spellEnd"/>
      <w:r w:rsidRPr="00E10230">
        <w:rPr>
          <w:rFonts w:ascii="Book Antiqua" w:hAnsi="Book Antiqua"/>
          <w:sz w:val="24"/>
          <w:szCs w:val="24"/>
        </w:rPr>
        <w:t xml:space="preserve">, </w:t>
      </w:r>
      <w:proofErr w:type="spellStart"/>
      <w:r w:rsidRPr="00E10230">
        <w:rPr>
          <w:rFonts w:ascii="Book Antiqua" w:hAnsi="Book Antiqua"/>
          <w:sz w:val="24"/>
          <w:szCs w:val="24"/>
        </w:rPr>
        <w:t>Durazo</w:t>
      </w:r>
      <w:proofErr w:type="spellEnd"/>
      <w:r w:rsidRPr="00E10230">
        <w:rPr>
          <w:rFonts w:ascii="Book Antiqua" w:hAnsi="Book Antiqua"/>
          <w:sz w:val="24"/>
          <w:szCs w:val="24"/>
        </w:rPr>
        <w:t xml:space="preserve"> F, Han SH, El-</w:t>
      </w:r>
      <w:proofErr w:type="spellStart"/>
      <w:r w:rsidRPr="00E10230">
        <w:rPr>
          <w:rFonts w:ascii="Book Antiqua" w:hAnsi="Book Antiqua"/>
          <w:sz w:val="24"/>
          <w:szCs w:val="24"/>
        </w:rPr>
        <w:t>Kabany</w:t>
      </w:r>
      <w:proofErr w:type="spellEnd"/>
      <w:r w:rsidRPr="00E10230">
        <w:rPr>
          <w:rFonts w:ascii="Book Antiqua" w:hAnsi="Book Antiqua"/>
          <w:sz w:val="24"/>
          <w:szCs w:val="24"/>
        </w:rPr>
        <w:t xml:space="preserve"> MM, McWilliams JP, </w:t>
      </w:r>
      <w:proofErr w:type="spellStart"/>
      <w:r w:rsidRPr="00E10230">
        <w:rPr>
          <w:rFonts w:ascii="Book Antiqua" w:hAnsi="Book Antiqua"/>
          <w:sz w:val="24"/>
          <w:szCs w:val="24"/>
        </w:rPr>
        <w:t>Kee</w:t>
      </w:r>
      <w:proofErr w:type="spellEnd"/>
      <w:r w:rsidRPr="00E10230">
        <w:rPr>
          <w:rFonts w:ascii="Book Antiqua" w:hAnsi="Book Antiqua"/>
          <w:sz w:val="24"/>
          <w:szCs w:val="24"/>
        </w:rPr>
        <w:t xml:space="preserve"> ST. Nationwide trends and predictors of inpatient mortality in 83884 </w:t>
      </w:r>
      <w:proofErr w:type="spellStart"/>
      <w:r w:rsidRPr="00E10230">
        <w:rPr>
          <w:rFonts w:ascii="Book Antiqua" w:hAnsi="Book Antiqua"/>
          <w:sz w:val="24"/>
          <w:szCs w:val="24"/>
        </w:rPr>
        <w:t>transjugular</w:t>
      </w:r>
      <w:proofErr w:type="spellEnd"/>
      <w:r w:rsidRPr="00E10230">
        <w:rPr>
          <w:rFonts w:ascii="Book Antiqua" w:hAnsi="Book Antiqua"/>
          <w:sz w:val="24"/>
          <w:szCs w:val="24"/>
        </w:rPr>
        <w:t xml:space="preserve"> intrahepatic portosystemic shunt. </w:t>
      </w:r>
      <w:r w:rsidRPr="00E10230">
        <w:rPr>
          <w:rFonts w:ascii="Book Antiqua" w:hAnsi="Book Antiqua"/>
          <w:i/>
          <w:sz w:val="24"/>
          <w:szCs w:val="24"/>
        </w:rPr>
        <w:t>World J Gastroenterol</w:t>
      </w:r>
      <w:r w:rsidRPr="00E10230">
        <w:rPr>
          <w:rFonts w:ascii="Book Antiqua" w:hAnsi="Book Antiqua"/>
          <w:sz w:val="24"/>
          <w:szCs w:val="24"/>
        </w:rPr>
        <w:t xml:space="preserve"> 2016; </w:t>
      </w:r>
      <w:r w:rsidRPr="00E10230">
        <w:rPr>
          <w:rFonts w:ascii="Book Antiqua" w:hAnsi="Book Antiqua"/>
          <w:b/>
          <w:sz w:val="24"/>
          <w:szCs w:val="24"/>
        </w:rPr>
        <w:t>22</w:t>
      </w:r>
      <w:r w:rsidRPr="00E10230">
        <w:rPr>
          <w:rFonts w:ascii="Book Antiqua" w:hAnsi="Book Antiqua"/>
          <w:sz w:val="24"/>
          <w:szCs w:val="24"/>
        </w:rPr>
        <w:t>: 5780-5789 [PMID: 27433091 DOI: 10.3748/wjg.v22.i25.5780]</w:t>
      </w:r>
    </w:p>
    <w:p w14:paraId="12988A58" w14:textId="77777777" w:rsidR="00E10230" w:rsidRDefault="00E10230" w:rsidP="00E10230">
      <w:pPr>
        <w:spacing w:after="0" w:line="360" w:lineRule="auto"/>
        <w:jc w:val="both"/>
        <w:rPr>
          <w:rFonts w:ascii="Book Antiqua" w:eastAsiaTheme="minorEastAsia" w:hAnsi="Book Antiqua"/>
          <w:sz w:val="24"/>
          <w:szCs w:val="24"/>
          <w:lang w:eastAsia="zh-CN"/>
        </w:rPr>
      </w:pPr>
      <w:r w:rsidRPr="00E10230">
        <w:rPr>
          <w:rFonts w:ascii="Book Antiqua" w:hAnsi="Book Antiqua"/>
          <w:sz w:val="24"/>
          <w:szCs w:val="24"/>
        </w:rPr>
        <w:t xml:space="preserve">25 </w:t>
      </w:r>
      <w:proofErr w:type="spellStart"/>
      <w:r w:rsidRPr="00E10230">
        <w:rPr>
          <w:rFonts w:ascii="Book Antiqua" w:hAnsi="Book Antiqua"/>
          <w:b/>
          <w:sz w:val="24"/>
          <w:szCs w:val="24"/>
        </w:rPr>
        <w:t>Goodney</w:t>
      </w:r>
      <w:proofErr w:type="spellEnd"/>
      <w:r w:rsidRPr="00E10230">
        <w:rPr>
          <w:rFonts w:ascii="Book Antiqua" w:hAnsi="Book Antiqua"/>
          <w:b/>
          <w:sz w:val="24"/>
          <w:szCs w:val="24"/>
        </w:rPr>
        <w:t xml:space="preserve"> PP</w:t>
      </w:r>
      <w:r w:rsidRPr="00E10230">
        <w:rPr>
          <w:rFonts w:ascii="Book Antiqua" w:hAnsi="Book Antiqua"/>
          <w:sz w:val="24"/>
          <w:szCs w:val="24"/>
        </w:rPr>
        <w:t xml:space="preserve">, </w:t>
      </w:r>
      <w:proofErr w:type="spellStart"/>
      <w:r w:rsidRPr="00E10230">
        <w:rPr>
          <w:rFonts w:ascii="Book Antiqua" w:hAnsi="Book Antiqua"/>
          <w:sz w:val="24"/>
          <w:szCs w:val="24"/>
        </w:rPr>
        <w:t>Stukel</w:t>
      </w:r>
      <w:proofErr w:type="spellEnd"/>
      <w:r w:rsidRPr="00E10230">
        <w:rPr>
          <w:rFonts w:ascii="Book Antiqua" w:hAnsi="Book Antiqua"/>
          <w:sz w:val="24"/>
          <w:szCs w:val="24"/>
        </w:rPr>
        <w:t xml:space="preserve"> TA, Lucas FL, Finlayson EV, </w:t>
      </w:r>
      <w:proofErr w:type="spellStart"/>
      <w:r w:rsidRPr="00E10230">
        <w:rPr>
          <w:rFonts w:ascii="Book Antiqua" w:hAnsi="Book Antiqua"/>
          <w:sz w:val="24"/>
          <w:szCs w:val="24"/>
        </w:rPr>
        <w:t>Birkmeyer</w:t>
      </w:r>
      <w:proofErr w:type="spellEnd"/>
      <w:r w:rsidRPr="00E10230">
        <w:rPr>
          <w:rFonts w:ascii="Book Antiqua" w:hAnsi="Book Antiqua"/>
          <w:sz w:val="24"/>
          <w:szCs w:val="24"/>
        </w:rPr>
        <w:t xml:space="preserve"> JD. Hospital volume, length of stay, and readmission rates in high-risk surgery. </w:t>
      </w:r>
      <w:r w:rsidRPr="00E10230">
        <w:rPr>
          <w:rFonts w:ascii="Book Antiqua" w:hAnsi="Book Antiqua"/>
          <w:i/>
          <w:sz w:val="24"/>
          <w:szCs w:val="24"/>
        </w:rPr>
        <w:t xml:space="preserve">Ann </w:t>
      </w:r>
      <w:proofErr w:type="spellStart"/>
      <w:r w:rsidRPr="00E10230">
        <w:rPr>
          <w:rFonts w:ascii="Book Antiqua" w:hAnsi="Book Antiqua"/>
          <w:i/>
          <w:sz w:val="24"/>
          <w:szCs w:val="24"/>
        </w:rPr>
        <w:t>Surg</w:t>
      </w:r>
      <w:proofErr w:type="spellEnd"/>
      <w:r w:rsidRPr="00E10230">
        <w:rPr>
          <w:rFonts w:ascii="Book Antiqua" w:hAnsi="Book Antiqua"/>
          <w:sz w:val="24"/>
          <w:szCs w:val="24"/>
        </w:rPr>
        <w:t xml:space="preserve"> 2003; </w:t>
      </w:r>
      <w:r w:rsidRPr="00E10230">
        <w:rPr>
          <w:rFonts w:ascii="Book Antiqua" w:hAnsi="Book Antiqua"/>
          <w:b/>
          <w:sz w:val="24"/>
          <w:szCs w:val="24"/>
        </w:rPr>
        <w:t>238</w:t>
      </w:r>
      <w:r w:rsidRPr="00E10230">
        <w:rPr>
          <w:rFonts w:ascii="Book Antiqua" w:hAnsi="Book Antiqua"/>
          <w:sz w:val="24"/>
          <w:szCs w:val="24"/>
        </w:rPr>
        <w:t>: 161-167 [PMID: 12894006 DOI: 10.1097/01.SLA.0000081094.66659.c3]</w:t>
      </w:r>
    </w:p>
    <w:p w14:paraId="131AB086" w14:textId="77777777" w:rsidR="00222F37" w:rsidRPr="00222F37" w:rsidRDefault="00222F37" w:rsidP="00E10230">
      <w:pPr>
        <w:spacing w:after="0" w:line="360" w:lineRule="auto"/>
        <w:jc w:val="both"/>
        <w:rPr>
          <w:rFonts w:ascii="Book Antiqua" w:eastAsiaTheme="minorEastAsia" w:hAnsi="Book Antiqua"/>
          <w:sz w:val="24"/>
          <w:szCs w:val="24"/>
          <w:lang w:eastAsia="zh-CN"/>
        </w:rPr>
      </w:pPr>
    </w:p>
    <w:p w14:paraId="1FC2CFEA" w14:textId="5F74E163" w:rsidR="00222F37" w:rsidRPr="00FD22BB" w:rsidRDefault="00222F37" w:rsidP="00222F37">
      <w:pPr>
        <w:suppressAutoHyphens/>
        <w:spacing w:after="0" w:line="360" w:lineRule="auto"/>
        <w:ind w:right="120"/>
        <w:jc w:val="both"/>
        <w:rPr>
          <w:rFonts w:ascii="Book Antiqua" w:hAnsi="Book Antiqua" w:cs="Mangal"/>
          <w:b/>
          <w:bCs/>
          <w:color w:val="000000" w:themeColor="text1"/>
          <w:kern w:val="1"/>
          <w:sz w:val="24"/>
          <w:szCs w:val="24"/>
          <w:lang w:val="it-IT" w:bidi="hi-IN"/>
        </w:rPr>
      </w:pPr>
      <w:bookmarkStart w:id="18" w:name="OLE_LINK480"/>
      <w:bookmarkStart w:id="19" w:name="OLE_LINK502"/>
      <w:bookmarkStart w:id="20" w:name="OLE_LINK1021"/>
      <w:bookmarkStart w:id="21" w:name="OLE_LINK1022"/>
      <w:bookmarkStart w:id="22" w:name="OLE_LINK1023"/>
      <w:bookmarkStart w:id="23" w:name="OLE_LINK1064"/>
      <w:bookmarkStart w:id="24" w:name="OLE_LINK1065"/>
      <w:bookmarkStart w:id="25" w:name="OLE_LINK1156"/>
      <w:bookmarkStart w:id="26" w:name="OLE_LINK1157"/>
      <w:bookmarkStart w:id="27" w:name="OLE_LINK1158"/>
      <w:bookmarkStart w:id="28" w:name="OLE_LINK1159"/>
      <w:bookmarkStart w:id="29" w:name="OLE_LINK1185"/>
      <w:bookmarkStart w:id="30" w:name="OLE_LINK958"/>
      <w:bookmarkStart w:id="31" w:name="OLE_LINK959"/>
      <w:bookmarkStart w:id="32" w:name="OLE_LINK962"/>
      <w:bookmarkStart w:id="33" w:name="OLE_LINK1127"/>
      <w:bookmarkStart w:id="34" w:name="OLE_LINK945"/>
      <w:bookmarkStart w:id="35" w:name="OLE_LINK946"/>
      <w:bookmarkStart w:id="36" w:name="OLE_LINK947"/>
      <w:bookmarkStart w:id="37" w:name="OLE_LINK987"/>
      <w:bookmarkStart w:id="38" w:name="OLE_LINK1035"/>
      <w:bookmarkStart w:id="39" w:name="OLE_LINK1036"/>
      <w:bookmarkStart w:id="40" w:name="OLE_LINK1038"/>
      <w:bookmarkStart w:id="41" w:name="OLE_LINK1039"/>
      <w:bookmarkStart w:id="42" w:name="OLE_LINK1040"/>
      <w:bookmarkStart w:id="43" w:name="OLE_LINK1041"/>
      <w:bookmarkStart w:id="44" w:name="OLE_LINK1042"/>
      <w:bookmarkStart w:id="45" w:name="OLE_LINK1043"/>
      <w:bookmarkStart w:id="46" w:name="OLE_LINK1044"/>
      <w:bookmarkStart w:id="47" w:name="OLE_LINK1071"/>
      <w:bookmarkStart w:id="48" w:name="OLE_LINK1072"/>
      <w:bookmarkStart w:id="49" w:name="OLE_LINK968"/>
      <w:bookmarkStart w:id="50" w:name="OLE_LINK1260"/>
      <w:bookmarkStart w:id="51" w:name="OLE_LINK1261"/>
      <w:bookmarkStart w:id="52" w:name="OLE_LINK1264"/>
      <w:bookmarkStart w:id="53" w:name="OLE_LINK1265"/>
      <w:bookmarkStart w:id="54" w:name="OLE_LINK1266"/>
      <w:bookmarkStart w:id="55" w:name="OLE_LINK1282"/>
      <w:bookmarkStart w:id="56" w:name="OLE_LINK1800"/>
      <w:bookmarkStart w:id="57" w:name="OLE_LINK1801"/>
      <w:bookmarkStart w:id="58" w:name="OLE_LINK1802"/>
      <w:bookmarkStart w:id="59" w:name="OLE_LINK1803"/>
      <w:bookmarkStart w:id="60" w:name="OLE_LINK1843"/>
      <w:bookmarkStart w:id="61" w:name="OLE_LINK1844"/>
      <w:bookmarkStart w:id="62" w:name="OLE_LINK1845"/>
      <w:bookmarkStart w:id="63" w:name="OLE_LINK1636"/>
      <w:bookmarkStart w:id="64" w:name="OLE_LINK1755"/>
      <w:bookmarkStart w:id="65" w:name="OLE_LINK1806"/>
      <w:bookmarkStart w:id="66" w:name="OLE_LINK1807"/>
      <w:bookmarkStart w:id="67" w:name="OLE_LINK1811"/>
      <w:bookmarkStart w:id="68" w:name="OLE_LINK1812"/>
      <w:bookmarkStart w:id="69" w:name="OLE_LINK1813"/>
      <w:bookmarkStart w:id="70" w:name="OLE_LINK1962"/>
      <w:bookmarkStart w:id="71" w:name="OLE_LINK1963"/>
      <w:bookmarkStart w:id="72" w:name="OLE_LINK1964"/>
      <w:bookmarkStart w:id="73" w:name="OLE_LINK2162"/>
      <w:bookmarkStart w:id="74" w:name="OLE_LINK2198"/>
      <w:bookmarkStart w:id="75" w:name="OLE_LINK2199"/>
      <w:bookmarkStart w:id="76" w:name="OLE_LINK2200"/>
      <w:bookmarkStart w:id="77" w:name="OLE_LINK2090"/>
      <w:r w:rsidRPr="00FD22BB">
        <w:rPr>
          <w:rFonts w:ascii="Book Antiqua" w:eastAsia="Lucida Sans Unicode" w:hAnsi="Book Antiqua" w:cs="Arial"/>
          <w:b/>
          <w:noProof/>
          <w:color w:val="000000" w:themeColor="text1"/>
          <w:kern w:val="1"/>
          <w:sz w:val="24"/>
          <w:szCs w:val="24"/>
          <w:lang w:val="it-IT" w:eastAsia="hi-IN" w:bidi="hi-IN"/>
        </w:rPr>
        <w:t>P-Reviewer</w:t>
      </w:r>
      <w:r w:rsidRPr="00FD22BB">
        <w:rPr>
          <w:rFonts w:ascii="Book Antiqua" w:hAnsi="Book Antiqua" w:cs="Arial"/>
          <w:b/>
          <w:noProof/>
          <w:color w:val="000000" w:themeColor="text1"/>
          <w:kern w:val="1"/>
          <w:sz w:val="24"/>
          <w:szCs w:val="24"/>
          <w:lang w:val="it-IT" w:bidi="hi-IN"/>
        </w:rPr>
        <w:t>:</w:t>
      </w:r>
      <w:r w:rsidRPr="00FD22BB">
        <w:rPr>
          <w:rFonts w:ascii="Book Antiqua" w:hAnsi="Book Antiqua" w:cs="Arial"/>
          <w:noProof/>
          <w:color w:val="000000" w:themeColor="text1"/>
          <w:kern w:val="1"/>
          <w:sz w:val="24"/>
          <w:szCs w:val="24"/>
          <w:lang w:val="it-IT" w:bidi="hi-IN"/>
        </w:rPr>
        <w:t xml:space="preserve"> </w:t>
      </w:r>
      <w:r w:rsidRPr="00FD22BB">
        <w:rPr>
          <w:rFonts w:ascii="Book Antiqua" w:eastAsia="SimSun" w:hAnsi="Book Antiqua" w:cs="Arial"/>
          <w:noProof/>
          <w:color w:val="000000" w:themeColor="text1"/>
          <w:kern w:val="1"/>
          <w:sz w:val="24"/>
          <w:szCs w:val="24"/>
          <w:lang w:val="it-IT" w:eastAsia="zh-CN" w:bidi="hi-IN"/>
        </w:rPr>
        <w:t xml:space="preserve">Silva </w:t>
      </w:r>
      <w:r>
        <w:rPr>
          <w:rFonts w:ascii="Book Antiqua" w:eastAsia="SimSun" w:hAnsi="Book Antiqua" w:cs="Arial" w:hint="eastAsia"/>
          <w:noProof/>
          <w:color w:val="000000" w:themeColor="text1"/>
          <w:kern w:val="1"/>
          <w:sz w:val="24"/>
          <w:szCs w:val="24"/>
          <w:lang w:val="it-IT" w:eastAsia="zh-CN" w:bidi="hi-IN"/>
        </w:rPr>
        <w:t xml:space="preserve">LD, </w:t>
      </w:r>
      <w:r w:rsidRPr="00222F37">
        <w:rPr>
          <w:rFonts w:ascii="Book Antiqua" w:eastAsia="SimSun" w:hAnsi="Book Antiqua" w:cs="Arial"/>
          <w:noProof/>
          <w:color w:val="000000" w:themeColor="text1"/>
          <w:kern w:val="1"/>
          <w:sz w:val="24"/>
          <w:szCs w:val="24"/>
          <w:lang w:val="it-IT" w:eastAsia="zh-CN" w:bidi="hi-IN"/>
        </w:rPr>
        <w:t>Loustaud-Ratti</w:t>
      </w:r>
      <w:r>
        <w:rPr>
          <w:rFonts w:ascii="Book Antiqua" w:eastAsia="SimSun" w:hAnsi="Book Antiqua" w:cs="Arial" w:hint="eastAsia"/>
          <w:noProof/>
          <w:color w:val="000000" w:themeColor="text1"/>
          <w:kern w:val="1"/>
          <w:sz w:val="24"/>
          <w:szCs w:val="24"/>
          <w:lang w:val="it-IT" w:eastAsia="zh-CN" w:bidi="hi-IN"/>
        </w:rPr>
        <w:t xml:space="preserve"> V</w:t>
      </w:r>
      <w:r w:rsidRPr="00FD22BB">
        <w:rPr>
          <w:rFonts w:ascii="Book Antiqua" w:eastAsia="SimSun" w:hAnsi="Book Antiqua" w:cs="Arial"/>
          <w:noProof/>
          <w:color w:val="000000" w:themeColor="text1"/>
          <w:kern w:val="1"/>
          <w:sz w:val="24"/>
          <w:szCs w:val="24"/>
          <w:lang w:val="it-IT" w:eastAsia="zh-CN" w:bidi="hi-IN"/>
        </w:rPr>
        <w:t xml:space="preserve"> </w:t>
      </w:r>
      <w:r w:rsidRPr="00FD22BB">
        <w:rPr>
          <w:rFonts w:ascii="Book Antiqua" w:eastAsia="Lucida Sans Unicode" w:hAnsi="Book Antiqua" w:cs="Mangal"/>
          <w:b/>
          <w:bCs/>
          <w:color w:val="000000" w:themeColor="text1"/>
          <w:kern w:val="1"/>
          <w:sz w:val="24"/>
          <w:szCs w:val="24"/>
          <w:lang w:val="it-IT" w:eastAsia="hi-IN" w:bidi="hi-IN"/>
        </w:rPr>
        <w:t>S-Editor</w:t>
      </w:r>
      <w:r w:rsidRPr="00FD22BB">
        <w:rPr>
          <w:rFonts w:ascii="Book Antiqua" w:hAnsi="Book Antiqua" w:cs="Mangal"/>
          <w:b/>
          <w:bCs/>
          <w:color w:val="000000" w:themeColor="text1"/>
          <w:kern w:val="1"/>
          <w:sz w:val="24"/>
          <w:szCs w:val="24"/>
          <w:lang w:val="it-IT" w:bidi="hi-IN"/>
        </w:rPr>
        <w:t>:</w:t>
      </w:r>
      <w:r w:rsidRPr="00FD22BB">
        <w:rPr>
          <w:rFonts w:ascii="Book Antiqua" w:eastAsia="Lucida Sans Unicode" w:hAnsi="Book Antiqua" w:cs="Mangal"/>
          <w:bCs/>
          <w:color w:val="000000" w:themeColor="text1"/>
          <w:kern w:val="1"/>
          <w:sz w:val="24"/>
          <w:szCs w:val="24"/>
          <w:lang w:val="it-IT" w:eastAsia="hi-IN" w:bidi="hi-IN"/>
        </w:rPr>
        <w:t xml:space="preserve"> </w:t>
      </w:r>
      <w:r w:rsidRPr="00FD22BB">
        <w:rPr>
          <w:rFonts w:ascii="Book Antiqua" w:hAnsi="Book Antiqua" w:cs="Mangal"/>
          <w:bCs/>
          <w:color w:val="000000" w:themeColor="text1"/>
          <w:kern w:val="1"/>
          <w:sz w:val="24"/>
          <w:szCs w:val="24"/>
          <w:lang w:val="it-IT" w:bidi="hi-IN"/>
        </w:rPr>
        <w:t>Dou Y</w:t>
      </w:r>
      <w:r w:rsidRPr="00FD22BB">
        <w:rPr>
          <w:rFonts w:ascii="Book Antiqua" w:eastAsia="Lucida Sans Unicode" w:hAnsi="Book Antiqua" w:cs="Mangal"/>
          <w:b/>
          <w:bCs/>
          <w:color w:val="000000" w:themeColor="text1"/>
          <w:kern w:val="1"/>
          <w:sz w:val="24"/>
          <w:szCs w:val="24"/>
          <w:lang w:val="it-IT" w:eastAsia="hi-IN" w:bidi="hi-IN"/>
        </w:rPr>
        <w:t xml:space="preserve"> L-Editor</w:t>
      </w:r>
      <w:r w:rsidRPr="00FD22BB">
        <w:rPr>
          <w:rFonts w:ascii="Book Antiqua" w:hAnsi="Book Antiqua" w:cs="Mangal"/>
          <w:b/>
          <w:bCs/>
          <w:color w:val="000000" w:themeColor="text1"/>
          <w:kern w:val="1"/>
          <w:sz w:val="24"/>
          <w:szCs w:val="24"/>
          <w:lang w:val="it-IT" w:bidi="hi-IN"/>
        </w:rPr>
        <w:t>:</w:t>
      </w:r>
      <w:r w:rsidRPr="00FD22BB">
        <w:rPr>
          <w:rFonts w:ascii="Book Antiqua" w:eastAsia="Lucida Sans Unicode" w:hAnsi="Book Antiqua" w:cs="Mangal"/>
          <w:b/>
          <w:bCs/>
          <w:color w:val="000000" w:themeColor="text1"/>
          <w:kern w:val="1"/>
          <w:sz w:val="24"/>
          <w:szCs w:val="24"/>
          <w:lang w:val="it-IT" w:eastAsia="hi-IN" w:bidi="hi-IN"/>
        </w:rPr>
        <w:t xml:space="preserve"> E-Editor</w:t>
      </w:r>
      <w:r w:rsidRPr="00FD22BB">
        <w:rPr>
          <w:rFonts w:ascii="Book Antiqua" w:hAnsi="Book Antiqua" w:cs="Mangal"/>
          <w:b/>
          <w:bCs/>
          <w:color w:val="000000" w:themeColor="text1"/>
          <w:kern w:val="1"/>
          <w:sz w:val="24"/>
          <w:szCs w:val="24"/>
          <w:lang w:val="it-IT" w:bidi="hi-IN"/>
        </w:rPr>
        <w:t>:</w:t>
      </w:r>
    </w:p>
    <w:p w14:paraId="0FAF098B" w14:textId="77777777" w:rsidR="00222F37" w:rsidRPr="00FD22BB" w:rsidRDefault="00222F37" w:rsidP="00222F37">
      <w:pPr>
        <w:suppressAutoHyphens/>
        <w:spacing w:after="0" w:line="360" w:lineRule="auto"/>
        <w:ind w:right="120"/>
        <w:jc w:val="both"/>
        <w:rPr>
          <w:rFonts w:ascii="Book Antiqua" w:hAnsi="Book Antiqua" w:cs="Mangal"/>
          <w:b/>
          <w:bCs/>
          <w:color w:val="000000" w:themeColor="text1"/>
          <w:kern w:val="1"/>
          <w:sz w:val="24"/>
          <w:szCs w:val="24"/>
          <w:lang w:val="it-IT" w:bidi="hi-IN"/>
        </w:rPr>
      </w:pPr>
    </w:p>
    <w:p w14:paraId="490DE28D" w14:textId="77777777" w:rsidR="00222F37" w:rsidRPr="00FD22BB" w:rsidRDefault="00222F37" w:rsidP="00222F37">
      <w:pPr>
        <w:shd w:val="clear" w:color="auto" w:fill="FFFFFF"/>
        <w:snapToGrid w:val="0"/>
        <w:spacing w:after="0" w:line="360" w:lineRule="auto"/>
        <w:jc w:val="both"/>
        <w:rPr>
          <w:rFonts w:ascii="Book Antiqua" w:hAnsi="Book Antiqua" w:cs="Helvetica"/>
          <w:b/>
          <w:color w:val="000000" w:themeColor="text1"/>
          <w:sz w:val="24"/>
          <w:szCs w:val="24"/>
        </w:rPr>
      </w:pPr>
      <w:r w:rsidRPr="00FD22BB">
        <w:rPr>
          <w:rFonts w:ascii="Book Antiqua" w:hAnsi="Book Antiqua" w:cs="Helvetica"/>
          <w:b/>
          <w:color w:val="000000" w:themeColor="text1"/>
          <w:sz w:val="24"/>
          <w:szCs w:val="24"/>
        </w:rPr>
        <w:t xml:space="preserve">Specialty type: </w:t>
      </w:r>
      <w:r w:rsidRPr="00FD22BB">
        <w:rPr>
          <w:rFonts w:ascii="Book Antiqua" w:eastAsia="Microsoft YaHei" w:hAnsi="Book Antiqua" w:cs="SimSun"/>
          <w:sz w:val="24"/>
          <w:szCs w:val="24"/>
        </w:rPr>
        <w:t>Gastroenterology and hepatology</w:t>
      </w:r>
    </w:p>
    <w:p w14:paraId="34B918E2" w14:textId="65A1AFDF" w:rsidR="00222F37" w:rsidRPr="00FD22BB" w:rsidRDefault="00222F37" w:rsidP="00222F37">
      <w:pPr>
        <w:shd w:val="clear" w:color="auto" w:fill="FFFFFF"/>
        <w:snapToGrid w:val="0"/>
        <w:spacing w:after="0" w:line="360" w:lineRule="auto"/>
        <w:jc w:val="both"/>
        <w:rPr>
          <w:rFonts w:ascii="Book Antiqua" w:hAnsi="Book Antiqua" w:cs="Helvetica"/>
          <w:b/>
          <w:color w:val="000000" w:themeColor="text1"/>
          <w:sz w:val="24"/>
          <w:szCs w:val="24"/>
        </w:rPr>
      </w:pPr>
      <w:r w:rsidRPr="00FD22BB">
        <w:rPr>
          <w:rFonts w:ascii="Book Antiqua" w:hAnsi="Book Antiqua" w:cs="Helvetica"/>
          <w:b/>
          <w:color w:val="000000" w:themeColor="text1"/>
          <w:sz w:val="24"/>
          <w:szCs w:val="24"/>
        </w:rPr>
        <w:t xml:space="preserve">Country of origin: </w:t>
      </w:r>
      <w:r w:rsidRPr="00222F37">
        <w:rPr>
          <w:rFonts w:ascii="Book Antiqua" w:hAnsi="Book Antiqua" w:cs="Helvetica"/>
          <w:color w:val="000000" w:themeColor="text1"/>
          <w:sz w:val="24"/>
          <w:szCs w:val="24"/>
        </w:rPr>
        <w:t>United States</w:t>
      </w:r>
    </w:p>
    <w:p w14:paraId="3BFC71E4" w14:textId="77777777" w:rsidR="00222F37" w:rsidRPr="00FD22BB" w:rsidRDefault="00222F37" w:rsidP="00222F37">
      <w:pPr>
        <w:shd w:val="clear" w:color="auto" w:fill="FFFFFF"/>
        <w:snapToGrid w:val="0"/>
        <w:spacing w:after="0" w:line="360" w:lineRule="auto"/>
        <w:jc w:val="both"/>
        <w:rPr>
          <w:rFonts w:ascii="Book Antiqua" w:hAnsi="Book Antiqua" w:cs="Helvetica"/>
          <w:b/>
          <w:color w:val="000000" w:themeColor="text1"/>
          <w:sz w:val="24"/>
          <w:szCs w:val="24"/>
        </w:rPr>
      </w:pPr>
      <w:r w:rsidRPr="00FD22BB">
        <w:rPr>
          <w:rFonts w:ascii="Book Antiqua" w:hAnsi="Book Antiqua" w:cs="Helvetica"/>
          <w:b/>
          <w:color w:val="000000" w:themeColor="text1"/>
          <w:sz w:val="24"/>
          <w:szCs w:val="24"/>
        </w:rPr>
        <w:lastRenderedPageBreak/>
        <w:t>Peer-review report classification</w:t>
      </w:r>
    </w:p>
    <w:p w14:paraId="5EA9FEDC" w14:textId="77777777" w:rsidR="00222F37" w:rsidRPr="00FD22BB" w:rsidRDefault="00222F37" w:rsidP="00222F37">
      <w:pPr>
        <w:shd w:val="clear" w:color="auto" w:fill="FFFFFF"/>
        <w:snapToGrid w:val="0"/>
        <w:spacing w:after="0" w:line="360" w:lineRule="auto"/>
        <w:jc w:val="both"/>
        <w:rPr>
          <w:rFonts w:ascii="Book Antiqua" w:hAnsi="Book Antiqua" w:cs="Helvetica"/>
          <w:color w:val="000000" w:themeColor="text1"/>
          <w:sz w:val="24"/>
          <w:szCs w:val="24"/>
        </w:rPr>
      </w:pPr>
      <w:r w:rsidRPr="00FD22BB">
        <w:rPr>
          <w:rFonts w:ascii="Book Antiqua" w:hAnsi="Book Antiqua" w:cs="Helvetica"/>
          <w:color w:val="000000" w:themeColor="text1"/>
          <w:sz w:val="24"/>
          <w:szCs w:val="24"/>
        </w:rPr>
        <w:t>Grade A (Excellent): 0</w:t>
      </w:r>
    </w:p>
    <w:p w14:paraId="3AA31F41" w14:textId="77777777" w:rsidR="00222F37" w:rsidRPr="00FD22BB" w:rsidRDefault="00222F37" w:rsidP="00222F37">
      <w:pPr>
        <w:shd w:val="clear" w:color="auto" w:fill="FFFFFF"/>
        <w:snapToGrid w:val="0"/>
        <w:spacing w:after="0" w:line="360" w:lineRule="auto"/>
        <w:jc w:val="both"/>
        <w:rPr>
          <w:rFonts w:ascii="Book Antiqua" w:hAnsi="Book Antiqua" w:cs="Helvetica"/>
          <w:color w:val="000000" w:themeColor="text1"/>
          <w:sz w:val="24"/>
          <w:szCs w:val="24"/>
        </w:rPr>
      </w:pPr>
      <w:r w:rsidRPr="00FD22BB">
        <w:rPr>
          <w:rFonts w:ascii="Book Antiqua" w:hAnsi="Book Antiqua" w:cs="Helvetica"/>
          <w:color w:val="000000" w:themeColor="text1"/>
          <w:sz w:val="24"/>
          <w:szCs w:val="24"/>
        </w:rPr>
        <w:t xml:space="preserve">Grade B (Very good): </w:t>
      </w:r>
      <w:r w:rsidRPr="00FD22BB">
        <w:rPr>
          <w:rFonts w:ascii="Book Antiqua" w:eastAsia="SimSun" w:hAnsi="Book Antiqua" w:cs="Helvetica"/>
          <w:color w:val="000000" w:themeColor="text1"/>
          <w:sz w:val="24"/>
          <w:szCs w:val="24"/>
          <w:lang w:eastAsia="zh-CN"/>
        </w:rPr>
        <w:t>0</w:t>
      </w:r>
    </w:p>
    <w:p w14:paraId="1EF2D895" w14:textId="77777777" w:rsidR="00222F37" w:rsidRPr="00FD22BB" w:rsidRDefault="00222F37" w:rsidP="00222F37">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FD22BB">
        <w:rPr>
          <w:rFonts w:ascii="Book Antiqua" w:hAnsi="Book Antiqua" w:cs="Helvetica"/>
          <w:color w:val="000000" w:themeColor="text1"/>
          <w:sz w:val="24"/>
          <w:szCs w:val="24"/>
        </w:rPr>
        <w:t>Grade C (Good):</w:t>
      </w:r>
      <w:r w:rsidRPr="00FD22BB">
        <w:rPr>
          <w:rFonts w:ascii="Book Antiqua" w:eastAsia="SimSun" w:hAnsi="Book Antiqua" w:cs="Helvetica"/>
          <w:color w:val="000000" w:themeColor="text1"/>
          <w:sz w:val="24"/>
          <w:szCs w:val="24"/>
          <w:lang w:eastAsia="zh-CN"/>
        </w:rPr>
        <w:t xml:space="preserve"> C</w:t>
      </w:r>
    </w:p>
    <w:p w14:paraId="656B890B" w14:textId="21F7731A" w:rsidR="00222F37" w:rsidRPr="00FD22BB" w:rsidRDefault="00222F37" w:rsidP="00222F37">
      <w:pPr>
        <w:shd w:val="clear" w:color="auto" w:fill="FFFFFF"/>
        <w:snapToGrid w:val="0"/>
        <w:spacing w:after="0" w:line="360" w:lineRule="auto"/>
        <w:jc w:val="both"/>
        <w:rPr>
          <w:rFonts w:ascii="Book Antiqua" w:eastAsia="SimSun" w:hAnsi="Book Antiqua" w:cs="Helvetica"/>
          <w:color w:val="000000" w:themeColor="text1"/>
          <w:sz w:val="24"/>
          <w:szCs w:val="24"/>
          <w:lang w:eastAsia="zh-CN"/>
        </w:rPr>
      </w:pPr>
      <w:r w:rsidRPr="00FD22BB">
        <w:rPr>
          <w:rFonts w:ascii="Book Antiqua" w:hAnsi="Book Antiqua" w:cs="Helvetica"/>
          <w:color w:val="000000" w:themeColor="text1"/>
          <w:sz w:val="24"/>
          <w:szCs w:val="24"/>
        </w:rPr>
        <w:t xml:space="preserve">Grade D (Fair): </w:t>
      </w:r>
      <w:bookmarkEnd w:id="18"/>
      <w:bookmarkEnd w:id="19"/>
      <w:r w:rsidRPr="00FD22BB">
        <w:rPr>
          <w:rFonts w:ascii="Book Antiqua" w:eastAsia="SimSun" w:hAnsi="Book Antiqua" w:cs="Helvetica"/>
          <w:color w:val="000000" w:themeColor="text1"/>
          <w:sz w:val="24"/>
          <w:szCs w:val="24"/>
          <w:lang w:eastAsia="zh-CN"/>
        </w:rPr>
        <w:t>D</w:t>
      </w:r>
    </w:p>
    <w:p w14:paraId="69755EAF" w14:textId="77777777" w:rsidR="00222F37" w:rsidRPr="00FD22BB" w:rsidRDefault="00222F37" w:rsidP="00222F37">
      <w:pPr>
        <w:shd w:val="clear" w:color="auto" w:fill="FFFFFF"/>
        <w:snapToGrid w:val="0"/>
        <w:spacing w:after="0" w:line="360" w:lineRule="auto"/>
        <w:jc w:val="both"/>
        <w:rPr>
          <w:rFonts w:ascii="Book Antiqua" w:hAnsi="Book Antiqua" w:cs="Helvetica"/>
          <w:color w:val="000000" w:themeColor="text1"/>
          <w:sz w:val="24"/>
          <w:szCs w:val="24"/>
        </w:rPr>
      </w:pPr>
      <w:r w:rsidRPr="00FD22BB">
        <w:rPr>
          <w:rFonts w:ascii="Book Antiqua" w:hAnsi="Book Antiqua" w:cs="Helvetica"/>
          <w:color w:val="000000" w:themeColor="text1"/>
          <w:sz w:val="24"/>
          <w:szCs w:val="24"/>
        </w:rPr>
        <w:t xml:space="preserve">Grade E (Poor):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FD22BB">
        <w:rPr>
          <w:rFonts w:ascii="Book Antiqua" w:hAnsi="Book Antiqua" w:cs="Helvetica"/>
          <w:color w:val="000000" w:themeColor="text1"/>
          <w:sz w:val="24"/>
          <w:szCs w:val="24"/>
        </w:rPr>
        <w:t>0</w:t>
      </w:r>
    </w:p>
    <w:p w14:paraId="3556F218" w14:textId="20334ABB" w:rsidR="00E27D0C" w:rsidRPr="00222F37" w:rsidRDefault="00E27D0C" w:rsidP="00E10230">
      <w:pPr>
        <w:widowControl w:val="0"/>
        <w:autoSpaceDE w:val="0"/>
        <w:autoSpaceDN w:val="0"/>
        <w:adjustRightInd w:val="0"/>
        <w:spacing w:after="0" w:line="360" w:lineRule="auto"/>
        <w:jc w:val="both"/>
        <w:rPr>
          <w:rFonts w:ascii="Book Antiqua" w:hAnsi="Book Antiqua" w:cs="Arial"/>
          <w:noProof/>
          <w:sz w:val="24"/>
          <w:szCs w:val="24"/>
        </w:rPr>
      </w:pPr>
    </w:p>
    <w:p w14:paraId="6392422E" w14:textId="45885783" w:rsidR="000207F2" w:rsidRPr="00E10230" w:rsidRDefault="00DC6490" w:rsidP="00E10230">
      <w:pPr>
        <w:tabs>
          <w:tab w:val="left" w:pos="3090"/>
        </w:tabs>
        <w:spacing w:after="0" w:line="360" w:lineRule="auto"/>
        <w:jc w:val="both"/>
        <w:rPr>
          <w:rFonts w:ascii="Book Antiqua" w:hAnsi="Book Antiqua" w:cs="Arial"/>
          <w:b/>
          <w:sz w:val="24"/>
          <w:szCs w:val="24"/>
        </w:rPr>
      </w:pPr>
      <w:r w:rsidRPr="00E10230">
        <w:rPr>
          <w:rFonts w:ascii="Book Antiqua" w:hAnsi="Book Antiqua"/>
          <w:sz w:val="24"/>
          <w:szCs w:val="24"/>
        </w:rPr>
        <w:br w:type="page"/>
      </w:r>
      <w:r w:rsidR="00854DBE">
        <w:rPr>
          <w:rFonts w:ascii="Book Antiqua" w:hAnsi="Book Antiqua" w:cs="Arial"/>
          <w:b/>
          <w:noProof/>
          <w:sz w:val="24"/>
          <w:szCs w:val="24"/>
          <w:lang w:eastAsia="zh-CN"/>
        </w:rPr>
        <w:lastRenderedPageBreak/>
        <w:drawing>
          <wp:inline distT="0" distB="0" distL="0" distR="0" wp14:anchorId="1A922844" wp14:editId="16E9FA46">
            <wp:extent cx="5943600" cy="33432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713-Image-File-revision_011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D01D924" w14:textId="61E19DA9" w:rsidR="00B14942" w:rsidRPr="001A46E6" w:rsidRDefault="00DC6490" w:rsidP="00E10230">
      <w:pPr>
        <w:tabs>
          <w:tab w:val="left" w:pos="3090"/>
        </w:tabs>
        <w:spacing w:after="0" w:line="360" w:lineRule="auto"/>
        <w:jc w:val="both"/>
        <w:rPr>
          <w:rFonts w:ascii="Book Antiqua" w:eastAsiaTheme="minorEastAsia" w:hAnsi="Book Antiqua" w:cs="Arial"/>
          <w:sz w:val="24"/>
          <w:szCs w:val="24"/>
          <w:lang w:eastAsia="zh-CN"/>
        </w:rPr>
      </w:pPr>
      <w:r w:rsidRPr="00E10230">
        <w:rPr>
          <w:rFonts w:ascii="Book Antiqua" w:hAnsi="Book Antiqua" w:cs="Arial"/>
          <w:b/>
          <w:sz w:val="24"/>
          <w:szCs w:val="24"/>
        </w:rPr>
        <w:t>Figure 1 10-year temporal trends of discharges.</w:t>
      </w:r>
      <w:r w:rsidRPr="00E10230">
        <w:rPr>
          <w:rFonts w:ascii="Book Antiqua" w:hAnsi="Book Antiqua" w:cs="Arial"/>
          <w:sz w:val="24"/>
          <w:szCs w:val="24"/>
        </w:rPr>
        <w:t xml:space="preserve"> </w:t>
      </w:r>
      <w:r w:rsidR="00854DBE">
        <w:rPr>
          <w:rFonts w:ascii="Book Antiqua" w:eastAsiaTheme="minorEastAsia" w:hAnsi="Book Antiqua" w:cs="Arial" w:hint="eastAsia"/>
          <w:sz w:val="24"/>
          <w:szCs w:val="24"/>
          <w:lang w:eastAsia="zh-CN"/>
        </w:rPr>
        <w:t xml:space="preserve">A: </w:t>
      </w:r>
      <w:r w:rsidRPr="00E10230">
        <w:rPr>
          <w:rFonts w:ascii="Book Antiqua" w:hAnsi="Book Antiqua" w:cs="Arial"/>
          <w:sz w:val="24"/>
          <w:szCs w:val="24"/>
        </w:rPr>
        <w:t>Percent changes of discharge numbers compare to 2005</w:t>
      </w:r>
      <w:r w:rsidR="001A46E6">
        <w:rPr>
          <w:rFonts w:ascii="Book Antiqua" w:eastAsiaTheme="minorEastAsia" w:hAnsi="Book Antiqua" w:cs="Arial" w:hint="eastAsia"/>
          <w:sz w:val="24"/>
          <w:szCs w:val="24"/>
          <w:lang w:eastAsia="zh-CN"/>
        </w:rPr>
        <w:t>;</w:t>
      </w:r>
      <w:r w:rsidRPr="00E10230">
        <w:rPr>
          <w:rFonts w:ascii="Book Antiqua" w:hAnsi="Book Antiqua" w:cs="Arial"/>
          <w:sz w:val="24"/>
          <w:szCs w:val="24"/>
        </w:rPr>
        <w:t xml:space="preserve"> </w:t>
      </w:r>
      <w:r w:rsidR="001A46E6">
        <w:rPr>
          <w:rFonts w:ascii="Book Antiqua" w:eastAsiaTheme="minorEastAsia" w:hAnsi="Book Antiqua" w:cs="Arial" w:hint="eastAsia"/>
          <w:sz w:val="24"/>
          <w:szCs w:val="24"/>
          <w:lang w:eastAsia="zh-CN"/>
        </w:rPr>
        <w:t xml:space="preserve">B: </w:t>
      </w:r>
      <w:r w:rsidR="001A46E6" w:rsidRPr="00E10230">
        <w:rPr>
          <w:rFonts w:ascii="Book Antiqua" w:hAnsi="Book Antiqua" w:cs="Arial"/>
          <w:sz w:val="24"/>
          <w:szCs w:val="24"/>
        </w:rPr>
        <w:t>Percent changes of discharge numbers compare to 2005</w:t>
      </w:r>
      <w:r w:rsidRPr="00E10230">
        <w:rPr>
          <w:rFonts w:ascii="Book Antiqua" w:hAnsi="Book Antiqua" w:cs="Arial"/>
          <w:sz w:val="24"/>
          <w:szCs w:val="24"/>
        </w:rPr>
        <w:t xml:space="preserve"> without SBP</w:t>
      </w:r>
      <w:r w:rsidR="001A46E6">
        <w:rPr>
          <w:rFonts w:ascii="Book Antiqua" w:eastAsiaTheme="minorEastAsia" w:hAnsi="Book Antiqua" w:cs="Arial" w:hint="eastAsia"/>
          <w:sz w:val="24"/>
          <w:szCs w:val="24"/>
          <w:lang w:eastAsia="zh-CN"/>
        </w:rPr>
        <w:t>;</w:t>
      </w:r>
      <w:r w:rsidRPr="00E10230">
        <w:rPr>
          <w:rFonts w:ascii="Book Antiqua" w:hAnsi="Book Antiqua" w:cs="Arial"/>
          <w:sz w:val="24"/>
          <w:szCs w:val="24"/>
        </w:rPr>
        <w:t xml:space="preserve"> </w:t>
      </w:r>
      <w:r w:rsidR="001A46E6">
        <w:rPr>
          <w:rFonts w:ascii="Book Antiqua" w:eastAsiaTheme="minorEastAsia" w:hAnsi="Book Antiqua" w:cs="Arial" w:hint="eastAsia"/>
          <w:sz w:val="24"/>
          <w:szCs w:val="24"/>
          <w:lang w:eastAsia="zh-CN"/>
        </w:rPr>
        <w:t xml:space="preserve">C: </w:t>
      </w:r>
      <w:r w:rsidRPr="00E10230">
        <w:rPr>
          <w:rFonts w:ascii="Book Antiqua" w:hAnsi="Book Antiqua" w:cs="Arial"/>
          <w:sz w:val="24"/>
          <w:szCs w:val="24"/>
        </w:rPr>
        <w:t xml:space="preserve">Discharge volume for cirrhosis associated conditions. </w:t>
      </w:r>
      <w:r w:rsidR="00CA7F26" w:rsidRPr="00E10230">
        <w:rPr>
          <w:rFonts w:ascii="Book Antiqua" w:hAnsi="Book Antiqua" w:cs="Arial"/>
          <w:sz w:val="24"/>
          <w:szCs w:val="24"/>
        </w:rPr>
        <w:t>From 2005 to 2014, the primary diagnosis of four cirrhosis related pathologies were all trending up except TIPS</w:t>
      </w:r>
      <w:r w:rsidR="00E10230">
        <w:rPr>
          <w:rFonts w:ascii="Book Antiqua" w:hAnsi="Book Antiqua" w:cs="Arial"/>
          <w:sz w:val="24"/>
          <w:szCs w:val="24"/>
        </w:rPr>
        <w:t>.</w:t>
      </w:r>
      <w:r w:rsidR="001A46E6">
        <w:rPr>
          <w:rFonts w:ascii="Book Antiqua" w:eastAsiaTheme="minorEastAsia" w:hAnsi="Book Antiqua" w:cs="Arial" w:hint="eastAsia"/>
          <w:sz w:val="24"/>
          <w:szCs w:val="24"/>
          <w:lang w:eastAsia="zh-CN"/>
        </w:rPr>
        <w:t xml:space="preserve"> EV:</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Esophageal varices with bleeding</w:t>
      </w:r>
      <w:r w:rsidR="001A46E6">
        <w:rPr>
          <w:rFonts w:ascii="Book Antiqua" w:eastAsiaTheme="minorEastAsia" w:hAnsi="Book Antiqua" w:cs="Arial" w:hint="eastAsia"/>
          <w:sz w:val="24"/>
          <w:szCs w:val="24"/>
          <w:lang w:eastAsia="zh-CN"/>
        </w:rPr>
        <w:t>; HC:</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Hepatic encephalopathy/coma</w:t>
      </w:r>
      <w:r w:rsidR="001A46E6">
        <w:rPr>
          <w:rFonts w:ascii="Book Antiqua" w:eastAsiaTheme="minorEastAsia" w:hAnsi="Book Antiqua" w:cs="Arial" w:hint="eastAsia"/>
          <w:sz w:val="24"/>
          <w:szCs w:val="24"/>
          <w:lang w:eastAsia="zh-CN"/>
        </w:rPr>
        <w:t xml:space="preserve">; TIPS: </w:t>
      </w:r>
      <w:proofErr w:type="spellStart"/>
      <w:r w:rsidR="001A46E6" w:rsidRPr="00E10230">
        <w:rPr>
          <w:rFonts w:ascii="Book Antiqua" w:hAnsi="Book Antiqua" w:cs="Arial"/>
          <w:sz w:val="24"/>
          <w:szCs w:val="24"/>
        </w:rPr>
        <w:t>Transjugular</w:t>
      </w:r>
      <w:proofErr w:type="spellEnd"/>
      <w:r w:rsidR="001A46E6" w:rsidRPr="00E10230">
        <w:rPr>
          <w:rFonts w:ascii="Book Antiqua" w:hAnsi="Book Antiqua" w:cs="Arial"/>
          <w:sz w:val="24"/>
          <w:szCs w:val="24"/>
        </w:rPr>
        <w:t xml:space="preserve"> intrahepatic portosystemic shunt</w:t>
      </w:r>
      <w:r w:rsidR="001A46E6">
        <w:rPr>
          <w:rFonts w:ascii="Book Antiqua" w:eastAsiaTheme="minorEastAsia" w:hAnsi="Book Antiqua" w:cs="Arial" w:hint="eastAsia"/>
          <w:sz w:val="24"/>
          <w:szCs w:val="24"/>
          <w:lang w:eastAsia="zh-CN"/>
        </w:rPr>
        <w:t xml:space="preserve">; SBP: </w:t>
      </w:r>
      <w:r w:rsidR="00B77439" w:rsidRPr="00E10230">
        <w:rPr>
          <w:rFonts w:ascii="Book Antiqua" w:hAnsi="Book Antiqua" w:cs="Arial"/>
          <w:sz w:val="24"/>
          <w:szCs w:val="24"/>
        </w:rPr>
        <w:t xml:space="preserve">Spontaneous </w:t>
      </w:r>
      <w:r w:rsidR="001A46E6" w:rsidRPr="00E10230">
        <w:rPr>
          <w:rFonts w:ascii="Book Antiqua" w:hAnsi="Book Antiqua" w:cs="Arial"/>
          <w:sz w:val="24"/>
          <w:szCs w:val="24"/>
        </w:rPr>
        <w:t>bacterial peritonitis</w:t>
      </w:r>
      <w:r w:rsidR="001A46E6">
        <w:rPr>
          <w:rFonts w:ascii="Book Antiqua" w:eastAsiaTheme="minorEastAsia" w:hAnsi="Book Antiqua" w:cs="Arial" w:hint="eastAsia"/>
          <w:sz w:val="24"/>
          <w:szCs w:val="24"/>
          <w:lang w:eastAsia="zh-CN"/>
        </w:rPr>
        <w:t>.</w:t>
      </w:r>
    </w:p>
    <w:p w14:paraId="4AF432A3" w14:textId="77777777" w:rsidR="00B14942" w:rsidRPr="00E10230" w:rsidRDefault="00B14942" w:rsidP="00E10230">
      <w:pPr>
        <w:tabs>
          <w:tab w:val="left" w:pos="3090"/>
        </w:tabs>
        <w:spacing w:after="0" w:line="360" w:lineRule="auto"/>
        <w:jc w:val="both"/>
        <w:rPr>
          <w:rFonts w:ascii="Book Antiqua" w:hAnsi="Book Antiqua" w:cs="Arial"/>
          <w:sz w:val="24"/>
          <w:szCs w:val="24"/>
        </w:rPr>
      </w:pPr>
    </w:p>
    <w:p w14:paraId="15477B19" w14:textId="008E8C4D" w:rsidR="000207F2" w:rsidRPr="00E10230" w:rsidRDefault="00B14942" w:rsidP="00E10230">
      <w:pPr>
        <w:widowControl w:val="0"/>
        <w:autoSpaceDE w:val="0"/>
        <w:autoSpaceDN w:val="0"/>
        <w:adjustRightInd w:val="0"/>
        <w:spacing w:after="0" w:line="360" w:lineRule="auto"/>
        <w:jc w:val="both"/>
        <w:rPr>
          <w:rFonts w:ascii="Book Antiqua" w:hAnsi="Book Antiqua" w:cs="Arial"/>
          <w:sz w:val="24"/>
          <w:szCs w:val="24"/>
        </w:rPr>
      </w:pPr>
      <w:r w:rsidRPr="00E10230">
        <w:rPr>
          <w:rFonts w:ascii="Book Antiqua" w:hAnsi="Book Antiqua" w:cs="Arial"/>
          <w:b/>
          <w:sz w:val="24"/>
          <w:szCs w:val="24"/>
        </w:rPr>
        <w:br w:type="page"/>
      </w:r>
      <w:r w:rsidR="001A46E6">
        <w:rPr>
          <w:rFonts w:ascii="Book Antiqua" w:hAnsi="Book Antiqua" w:cs="Arial"/>
          <w:noProof/>
          <w:sz w:val="24"/>
          <w:szCs w:val="24"/>
          <w:lang w:eastAsia="zh-CN"/>
        </w:rPr>
        <w:lastRenderedPageBreak/>
        <w:drawing>
          <wp:inline distT="0" distB="0" distL="0" distR="0" wp14:anchorId="77A91C25" wp14:editId="4F795708">
            <wp:extent cx="5943600" cy="33432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713-Image-File-revision.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1615C1F" w14:textId="4B7308DA" w:rsidR="00B14942" w:rsidRPr="001A46E6" w:rsidRDefault="00DC6490" w:rsidP="001A46E6">
      <w:pPr>
        <w:tabs>
          <w:tab w:val="left" w:pos="3090"/>
        </w:tabs>
        <w:spacing w:after="0" w:line="360" w:lineRule="auto"/>
        <w:jc w:val="both"/>
        <w:rPr>
          <w:rFonts w:ascii="Book Antiqua" w:eastAsiaTheme="minorEastAsia" w:hAnsi="Book Antiqua" w:cs="Arial"/>
          <w:sz w:val="24"/>
          <w:szCs w:val="24"/>
          <w:lang w:eastAsia="zh-CN"/>
        </w:rPr>
      </w:pPr>
      <w:r w:rsidRPr="00E10230">
        <w:rPr>
          <w:rFonts w:ascii="Book Antiqua" w:hAnsi="Book Antiqua" w:cs="Arial"/>
          <w:b/>
          <w:sz w:val="24"/>
          <w:szCs w:val="24"/>
        </w:rPr>
        <w:t>Figure 2 10-year temporal trends of mortality rates.</w:t>
      </w:r>
      <w:r w:rsidR="000938F4" w:rsidRPr="00E10230">
        <w:rPr>
          <w:rFonts w:ascii="Book Antiqua" w:hAnsi="Book Antiqua" w:cs="Arial"/>
          <w:b/>
          <w:sz w:val="24"/>
          <w:szCs w:val="24"/>
        </w:rPr>
        <w:t xml:space="preserve"> </w:t>
      </w:r>
      <w:r w:rsidR="000938F4" w:rsidRPr="00E10230">
        <w:rPr>
          <w:rFonts w:ascii="Book Antiqua" w:hAnsi="Book Antiqua" w:cs="Arial"/>
          <w:sz w:val="24"/>
          <w:szCs w:val="24"/>
        </w:rPr>
        <w:t xml:space="preserve">In-hospital mortality rates for each condition significantly decreased from 2005 to 2014 except for </w:t>
      </w:r>
      <w:r w:rsidR="001A46E6" w:rsidRPr="00E10230">
        <w:rPr>
          <w:rFonts w:ascii="Book Antiqua" w:hAnsi="Book Antiqua" w:cs="Arial"/>
          <w:sz w:val="24"/>
          <w:szCs w:val="24"/>
        </w:rPr>
        <w:t>esophageal varices with bleeding</w:t>
      </w:r>
      <w:r w:rsidR="000938F4" w:rsidRPr="00E10230">
        <w:rPr>
          <w:rFonts w:ascii="Book Antiqua" w:hAnsi="Book Antiqua" w:cs="Arial"/>
          <w:sz w:val="24"/>
          <w:szCs w:val="24"/>
        </w:rPr>
        <w:t>.</w:t>
      </w:r>
      <w:r w:rsidR="001A46E6" w:rsidRPr="001A46E6">
        <w:rPr>
          <w:rFonts w:ascii="Book Antiqua" w:eastAsiaTheme="minorEastAsia" w:hAnsi="Book Antiqua" w:cs="Arial" w:hint="eastAsia"/>
          <w:sz w:val="24"/>
          <w:szCs w:val="24"/>
          <w:lang w:eastAsia="zh-CN"/>
        </w:rPr>
        <w:t xml:space="preserve"> </w:t>
      </w:r>
      <w:r w:rsidR="001A46E6">
        <w:rPr>
          <w:rFonts w:ascii="Book Antiqua" w:eastAsiaTheme="minorEastAsia" w:hAnsi="Book Antiqua" w:cs="Arial" w:hint="eastAsia"/>
          <w:sz w:val="24"/>
          <w:szCs w:val="24"/>
          <w:lang w:eastAsia="zh-CN"/>
        </w:rPr>
        <w:t>EV:</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Esophageal varices with bleeding</w:t>
      </w:r>
      <w:r w:rsidR="001A46E6">
        <w:rPr>
          <w:rFonts w:ascii="Book Antiqua" w:eastAsiaTheme="minorEastAsia" w:hAnsi="Book Antiqua" w:cs="Arial" w:hint="eastAsia"/>
          <w:sz w:val="24"/>
          <w:szCs w:val="24"/>
          <w:lang w:eastAsia="zh-CN"/>
        </w:rPr>
        <w:t>; HC:</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Hepatic encephalopathy/coma</w:t>
      </w:r>
      <w:r w:rsidR="001A46E6">
        <w:rPr>
          <w:rFonts w:ascii="Book Antiqua" w:eastAsiaTheme="minorEastAsia" w:hAnsi="Book Antiqua" w:cs="Arial" w:hint="eastAsia"/>
          <w:sz w:val="24"/>
          <w:szCs w:val="24"/>
          <w:lang w:eastAsia="zh-CN"/>
        </w:rPr>
        <w:t xml:space="preserve">; TIPS: </w:t>
      </w:r>
      <w:proofErr w:type="spellStart"/>
      <w:r w:rsidR="001A46E6" w:rsidRPr="00E10230">
        <w:rPr>
          <w:rFonts w:ascii="Book Antiqua" w:hAnsi="Book Antiqua" w:cs="Arial"/>
          <w:sz w:val="24"/>
          <w:szCs w:val="24"/>
        </w:rPr>
        <w:t>Transjugular</w:t>
      </w:r>
      <w:proofErr w:type="spellEnd"/>
      <w:r w:rsidR="001A46E6" w:rsidRPr="00E10230">
        <w:rPr>
          <w:rFonts w:ascii="Book Antiqua" w:hAnsi="Book Antiqua" w:cs="Arial"/>
          <w:sz w:val="24"/>
          <w:szCs w:val="24"/>
        </w:rPr>
        <w:t xml:space="preserve"> intrahepatic portosystemic shunt</w:t>
      </w:r>
      <w:r w:rsidR="001A46E6">
        <w:rPr>
          <w:rFonts w:ascii="Book Antiqua" w:eastAsiaTheme="minorEastAsia" w:hAnsi="Book Antiqua" w:cs="Arial" w:hint="eastAsia"/>
          <w:sz w:val="24"/>
          <w:szCs w:val="24"/>
          <w:lang w:eastAsia="zh-CN"/>
        </w:rPr>
        <w:t xml:space="preserve">; SBP: </w:t>
      </w:r>
      <w:r w:rsidR="00B77439" w:rsidRPr="00E10230">
        <w:rPr>
          <w:rFonts w:ascii="Book Antiqua" w:hAnsi="Book Antiqua" w:cs="Arial"/>
          <w:sz w:val="24"/>
          <w:szCs w:val="24"/>
        </w:rPr>
        <w:t xml:space="preserve">Spontaneous </w:t>
      </w:r>
      <w:r w:rsidR="001A46E6" w:rsidRPr="00E10230">
        <w:rPr>
          <w:rFonts w:ascii="Book Antiqua" w:hAnsi="Book Antiqua" w:cs="Arial"/>
          <w:sz w:val="24"/>
          <w:szCs w:val="24"/>
        </w:rPr>
        <w:t>bacterial peritonitis</w:t>
      </w:r>
      <w:r w:rsidR="001A46E6">
        <w:rPr>
          <w:rFonts w:ascii="Book Antiqua" w:eastAsiaTheme="minorEastAsia" w:hAnsi="Book Antiqua" w:cs="Arial" w:hint="eastAsia"/>
          <w:sz w:val="24"/>
          <w:szCs w:val="24"/>
          <w:lang w:eastAsia="zh-CN"/>
        </w:rPr>
        <w:t>.</w:t>
      </w:r>
    </w:p>
    <w:p w14:paraId="4CDA7171" w14:textId="16F94877" w:rsidR="001A46E6" w:rsidRPr="001A46E6" w:rsidRDefault="008C7366" w:rsidP="001A46E6">
      <w:pPr>
        <w:tabs>
          <w:tab w:val="left" w:pos="3090"/>
        </w:tabs>
        <w:spacing w:after="0" w:line="360" w:lineRule="auto"/>
        <w:jc w:val="both"/>
        <w:rPr>
          <w:rFonts w:ascii="Book Antiqua" w:eastAsiaTheme="minorEastAsia" w:hAnsi="Book Antiqua" w:cs="Arial"/>
          <w:sz w:val="24"/>
          <w:szCs w:val="24"/>
          <w:lang w:eastAsia="zh-CN"/>
        </w:rPr>
      </w:pPr>
      <w:r w:rsidRPr="00E10230">
        <w:rPr>
          <w:rFonts w:ascii="Book Antiqua" w:hAnsi="Book Antiqua" w:cs="Arial"/>
          <w:b/>
          <w:sz w:val="24"/>
          <w:szCs w:val="24"/>
        </w:rPr>
        <w:br w:type="page"/>
      </w:r>
      <w:r w:rsidR="001A46E6">
        <w:rPr>
          <w:rFonts w:ascii="Book Antiqua" w:hAnsi="Book Antiqua" w:cs="Arial"/>
          <w:b/>
          <w:noProof/>
          <w:sz w:val="24"/>
          <w:szCs w:val="24"/>
          <w:lang w:eastAsia="zh-CN"/>
        </w:rPr>
        <w:lastRenderedPageBreak/>
        <w:drawing>
          <wp:inline distT="0" distB="0" distL="0" distR="0" wp14:anchorId="1A669621" wp14:editId="3B9444AB">
            <wp:extent cx="5943600" cy="33432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713-Image-File-revision_0113.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1A46E6">
        <w:rPr>
          <w:rFonts w:ascii="Book Antiqua" w:hAnsi="Book Antiqua" w:cs="Arial"/>
          <w:b/>
          <w:sz w:val="24"/>
          <w:szCs w:val="24"/>
        </w:rPr>
        <w:t>Figure 3</w:t>
      </w:r>
      <w:r w:rsidR="001037DF" w:rsidRPr="00E10230">
        <w:rPr>
          <w:rFonts w:ascii="Book Antiqua" w:hAnsi="Book Antiqua" w:cs="Arial"/>
          <w:b/>
          <w:sz w:val="24"/>
          <w:szCs w:val="24"/>
        </w:rPr>
        <w:t xml:space="preserve"> </w:t>
      </w:r>
      <w:r w:rsidR="001037DF" w:rsidRPr="001A46E6">
        <w:rPr>
          <w:rFonts w:ascii="Book Antiqua" w:hAnsi="Book Antiqua" w:cs="Arial"/>
          <w:b/>
          <w:sz w:val="24"/>
          <w:szCs w:val="24"/>
        </w:rPr>
        <w:t xml:space="preserve">10-year temporal trends of mean </w:t>
      </w:r>
      <w:r w:rsidR="001A46E6" w:rsidRPr="001A46E6">
        <w:rPr>
          <w:rFonts w:ascii="Book Antiqua" w:hAnsi="Book Antiqua" w:cs="Arial"/>
          <w:b/>
          <w:sz w:val="24"/>
          <w:szCs w:val="24"/>
        </w:rPr>
        <w:t>length of stay</w:t>
      </w:r>
      <w:r w:rsidR="001037DF" w:rsidRPr="001A46E6">
        <w:rPr>
          <w:rFonts w:ascii="Book Antiqua" w:hAnsi="Book Antiqua" w:cs="Arial"/>
          <w:b/>
          <w:sz w:val="24"/>
          <w:szCs w:val="24"/>
        </w:rPr>
        <w:t xml:space="preserve"> and mean ages.</w:t>
      </w:r>
      <w:r w:rsidR="000938F4" w:rsidRPr="00E10230">
        <w:rPr>
          <w:rFonts w:ascii="Book Antiqua" w:hAnsi="Book Antiqua" w:cs="Arial"/>
          <w:sz w:val="24"/>
          <w:szCs w:val="24"/>
        </w:rPr>
        <w:t xml:space="preserve"> </w:t>
      </w:r>
      <w:r w:rsidR="001A46E6">
        <w:rPr>
          <w:rFonts w:ascii="Book Antiqua" w:eastAsiaTheme="minorEastAsia" w:hAnsi="Book Antiqua" w:cs="Arial" w:hint="eastAsia"/>
          <w:sz w:val="24"/>
          <w:szCs w:val="24"/>
          <w:lang w:eastAsia="zh-CN"/>
        </w:rPr>
        <w:t>A:</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10-year temporal trends of mean length of stay (LOS)</w:t>
      </w:r>
      <w:r w:rsidR="001A46E6">
        <w:rPr>
          <w:rFonts w:ascii="Book Antiqua" w:eastAsiaTheme="minorEastAsia" w:hAnsi="Book Antiqua" w:cs="Arial" w:hint="eastAsia"/>
          <w:sz w:val="24"/>
          <w:szCs w:val="24"/>
          <w:lang w:eastAsia="zh-CN"/>
        </w:rPr>
        <w:t xml:space="preserve">; B: </w:t>
      </w:r>
      <w:r w:rsidR="001A46E6" w:rsidRPr="00E10230">
        <w:rPr>
          <w:rFonts w:ascii="Book Antiqua" w:hAnsi="Book Antiqua" w:cs="Arial"/>
          <w:sz w:val="24"/>
          <w:szCs w:val="24"/>
        </w:rPr>
        <w:t>10-year temporal trends of mean ages</w:t>
      </w:r>
      <w:r w:rsidR="001A46E6">
        <w:rPr>
          <w:rFonts w:ascii="Book Antiqua" w:eastAsiaTheme="minorEastAsia" w:hAnsi="Book Antiqua" w:cs="Arial" w:hint="eastAsia"/>
          <w:sz w:val="24"/>
          <w:szCs w:val="24"/>
          <w:lang w:eastAsia="zh-CN"/>
        </w:rPr>
        <w:t xml:space="preserve">. </w:t>
      </w:r>
      <w:r w:rsidR="000938F4" w:rsidRPr="00E10230">
        <w:rPr>
          <w:rFonts w:ascii="Book Antiqua" w:hAnsi="Book Antiqua" w:cs="Arial"/>
          <w:sz w:val="24"/>
          <w:szCs w:val="24"/>
        </w:rPr>
        <w:t xml:space="preserve">Mean LOS for </w:t>
      </w:r>
      <w:proofErr w:type="spellStart"/>
      <w:r w:rsidR="001A46E6" w:rsidRPr="00E10230">
        <w:rPr>
          <w:rFonts w:ascii="Book Antiqua" w:hAnsi="Book Antiqua" w:cs="Arial"/>
          <w:sz w:val="24"/>
          <w:szCs w:val="24"/>
        </w:rPr>
        <w:t>transjugular</w:t>
      </w:r>
      <w:proofErr w:type="spellEnd"/>
      <w:r w:rsidR="001A46E6" w:rsidRPr="00E10230">
        <w:rPr>
          <w:rFonts w:ascii="Book Antiqua" w:hAnsi="Book Antiqua" w:cs="Arial"/>
          <w:sz w:val="24"/>
          <w:szCs w:val="24"/>
        </w:rPr>
        <w:t xml:space="preserve"> intrahepatic portosystemic shunt (TIPS)</w:t>
      </w:r>
      <w:r w:rsidR="000938F4" w:rsidRPr="00E10230">
        <w:rPr>
          <w:rFonts w:ascii="Book Antiqua" w:hAnsi="Book Antiqua" w:cs="Arial"/>
          <w:sz w:val="24"/>
          <w:szCs w:val="24"/>
        </w:rPr>
        <w:t xml:space="preserve"> decreased from 9.6 d in 2005 to 8.0 in 2014 with 17%. However, other cirrhosis related conditions and national LOS did not show any significant changes. TIPS had persistently higher LOS as compared to other conditions. Mean ages of cirrhosis-associated conditions were consistently higher than national average, and HC persistently had the highest mean age.</w:t>
      </w:r>
      <w:r w:rsidR="001A46E6">
        <w:rPr>
          <w:rFonts w:ascii="Book Antiqua" w:eastAsiaTheme="minorEastAsia" w:hAnsi="Book Antiqua" w:cs="Arial" w:hint="eastAsia"/>
          <w:sz w:val="24"/>
          <w:szCs w:val="24"/>
          <w:lang w:eastAsia="zh-CN"/>
        </w:rPr>
        <w:t xml:space="preserve"> EV:</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Esophageal varices with bleeding</w:t>
      </w:r>
      <w:r w:rsidR="001A46E6">
        <w:rPr>
          <w:rFonts w:ascii="Book Antiqua" w:eastAsiaTheme="minorEastAsia" w:hAnsi="Book Antiqua" w:cs="Arial" w:hint="eastAsia"/>
          <w:sz w:val="24"/>
          <w:szCs w:val="24"/>
          <w:lang w:eastAsia="zh-CN"/>
        </w:rPr>
        <w:t>; HC:</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Hepatic encephalopathy/coma</w:t>
      </w:r>
      <w:r w:rsidR="001A46E6">
        <w:rPr>
          <w:rFonts w:ascii="Book Antiqua" w:eastAsiaTheme="minorEastAsia" w:hAnsi="Book Antiqua" w:cs="Arial" w:hint="eastAsia"/>
          <w:sz w:val="24"/>
          <w:szCs w:val="24"/>
          <w:lang w:eastAsia="zh-CN"/>
        </w:rPr>
        <w:t xml:space="preserve">; TIPS: </w:t>
      </w:r>
      <w:proofErr w:type="spellStart"/>
      <w:r w:rsidR="001A46E6" w:rsidRPr="00E10230">
        <w:rPr>
          <w:rFonts w:ascii="Book Antiqua" w:hAnsi="Book Antiqua" w:cs="Arial"/>
          <w:sz w:val="24"/>
          <w:szCs w:val="24"/>
        </w:rPr>
        <w:t>Transjugular</w:t>
      </w:r>
      <w:proofErr w:type="spellEnd"/>
      <w:r w:rsidR="001A46E6" w:rsidRPr="00E10230">
        <w:rPr>
          <w:rFonts w:ascii="Book Antiqua" w:hAnsi="Book Antiqua" w:cs="Arial"/>
          <w:sz w:val="24"/>
          <w:szCs w:val="24"/>
        </w:rPr>
        <w:t xml:space="preserve"> intrahepatic portosystemic shunt</w:t>
      </w:r>
      <w:r w:rsidR="001A46E6">
        <w:rPr>
          <w:rFonts w:ascii="Book Antiqua" w:eastAsiaTheme="minorEastAsia" w:hAnsi="Book Antiqua" w:cs="Arial" w:hint="eastAsia"/>
          <w:sz w:val="24"/>
          <w:szCs w:val="24"/>
          <w:lang w:eastAsia="zh-CN"/>
        </w:rPr>
        <w:t xml:space="preserve">; SBP: </w:t>
      </w:r>
      <w:r w:rsidR="00B77439" w:rsidRPr="00E10230">
        <w:rPr>
          <w:rFonts w:ascii="Book Antiqua" w:hAnsi="Book Antiqua" w:cs="Arial"/>
          <w:sz w:val="24"/>
          <w:szCs w:val="24"/>
        </w:rPr>
        <w:t xml:space="preserve">Spontaneous </w:t>
      </w:r>
      <w:r w:rsidR="001A46E6" w:rsidRPr="00E10230">
        <w:rPr>
          <w:rFonts w:ascii="Book Antiqua" w:hAnsi="Book Antiqua" w:cs="Arial"/>
          <w:sz w:val="24"/>
          <w:szCs w:val="24"/>
        </w:rPr>
        <w:t>bacterial peritonitis</w:t>
      </w:r>
      <w:r w:rsidR="001A46E6">
        <w:rPr>
          <w:rFonts w:ascii="Book Antiqua" w:eastAsiaTheme="minorEastAsia" w:hAnsi="Book Antiqua" w:cs="Arial" w:hint="eastAsia"/>
          <w:sz w:val="24"/>
          <w:szCs w:val="24"/>
          <w:lang w:eastAsia="zh-CN"/>
        </w:rPr>
        <w:t>.</w:t>
      </w:r>
    </w:p>
    <w:p w14:paraId="2F17D872" w14:textId="4C03E7A5" w:rsidR="000938F4" w:rsidRPr="001A46E6" w:rsidRDefault="000938F4" w:rsidP="00E10230">
      <w:pPr>
        <w:spacing w:after="0" w:line="360" w:lineRule="auto"/>
        <w:jc w:val="both"/>
        <w:rPr>
          <w:rFonts w:ascii="Book Antiqua" w:eastAsiaTheme="minorEastAsia" w:hAnsi="Book Antiqua" w:cs="Arial"/>
          <w:sz w:val="24"/>
          <w:szCs w:val="24"/>
          <w:lang w:eastAsia="zh-CN"/>
        </w:rPr>
      </w:pPr>
    </w:p>
    <w:p w14:paraId="40D75652" w14:textId="77777777" w:rsidR="001037DF" w:rsidRPr="00E10230" w:rsidRDefault="001037DF" w:rsidP="00E10230">
      <w:pPr>
        <w:widowControl w:val="0"/>
        <w:autoSpaceDE w:val="0"/>
        <w:autoSpaceDN w:val="0"/>
        <w:adjustRightInd w:val="0"/>
        <w:spacing w:after="0" w:line="360" w:lineRule="auto"/>
        <w:jc w:val="both"/>
        <w:rPr>
          <w:rFonts w:ascii="Book Antiqua" w:hAnsi="Book Antiqua" w:cs="Arial"/>
          <w:sz w:val="24"/>
          <w:szCs w:val="24"/>
        </w:rPr>
      </w:pPr>
    </w:p>
    <w:p w14:paraId="20175784" w14:textId="77777777" w:rsidR="008C7366" w:rsidRPr="00E10230" w:rsidRDefault="008C7366" w:rsidP="00E10230">
      <w:pPr>
        <w:widowControl w:val="0"/>
        <w:autoSpaceDE w:val="0"/>
        <w:autoSpaceDN w:val="0"/>
        <w:adjustRightInd w:val="0"/>
        <w:spacing w:after="0" w:line="360" w:lineRule="auto"/>
        <w:jc w:val="both"/>
        <w:rPr>
          <w:rFonts w:ascii="Book Antiqua" w:hAnsi="Book Antiqua" w:cs="Arial"/>
          <w:b/>
          <w:sz w:val="24"/>
          <w:szCs w:val="24"/>
        </w:rPr>
      </w:pPr>
    </w:p>
    <w:p w14:paraId="3A85209F" w14:textId="77777777" w:rsidR="008C7366" w:rsidRPr="00E10230" w:rsidRDefault="008C7366" w:rsidP="00E10230">
      <w:pPr>
        <w:widowControl w:val="0"/>
        <w:autoSpaceDE w:val="0"/>
        <w:autoSpaceDN w:val="0"/>
        <w:adjustRightInd w:val="0"/>
        <w:spacing w:after="0" w:line="360" w:lineRule="auto"/>
        <w:jc w:val="both"/>
        <w:rPr>
          <w:rFonts w:ascii="Book Antiqua" w:hAnsi="Book Antiqua" w:cs="Arial"/>
          <w:b/>
          <w:sz w:val="24"/>
          <w:szCs w:val="24"/>
        </w:rPr>
      </w:pPr>
    </w:p>
    <w:p w14:paraId="4D344AB0" w14:textId="5A18D59B" w:rsidR="008C7366" w:rsidRPr="00B77439" w:rsidRDefault="008C7366" w:rsidP="00B77439">
      <w:pPr>
        <w:tabs>
          <w:tab w:val="left" w:pos="3090"/>
        </w:tabs>
        <w:spacing w:after="0" w:line="360" w:lineRule="auto"/>
        <w:jc w:val="both"/>
        <w:rPr>
          <w:rFonts w:ascii="Book Antiqua" w:eastAsiaTheme="minorEastAsia" w:hAnsi="Book Antiqua" w:cs="Arial"/>
          <w:sz w:val="24"/>
          <w:szCs w:val="24"/>
          <w:lang w:eastAsia="zh-CN"/>
        </w:rPr>
      </w:pPr>
      <w:r w:rsidRPr="00E10230">
        <w:rPr>
          <w:rFonts w:ascii="Book Antiqua" w:hAnsi="Book Antiqua" w:cs="Arial"/>
          <w:b/>
          <w:sz w:val="24"/>
          <w:szCs w:val="24"/>
        </w:rPr>
        <w:br w:type="page"/>
      </w:r>
      <w:r w:rsidR="001A46E6">
        <w:rPr>
          <w:rFonts w:ascii="Book Antiqua" w:hAnsi="Book Antiqua" w:cs="Arial"/>
          <w:b/>
          <w:noProof/>
          <w:sz w:val="24"/>
          <w:szCs w:val="24"/>
          <w:lang w:eastAsia="zh-CN"/>
        </w:rPr>
        <w:lastRenderedPageBreak/>
        <w:drawing>
          <wp:inline distT="0" distB="0" distL="0" distR="0" wp14:anchorId="28E5682C" wp14:editId="41C3BB19">
            <wp:extent cx="5943600" cy="33432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713-Image-File-revision_0123.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DC6490" w:rsidRPr="00E10230">
        <w:rPr>
          <w:rFonts w:ascii="Book Antiqua" w:hAnsi="Book Antiqua" w:cs="Arial"/>
          <w:b/>
          <w:sz w:val="24"/>
          <w:szCs w:val="24"/>
        </w:rPr>
        <w:t xml:space="preserve">Figure </w:t>
      </w:r>
      <w:r w:rsidR="009870AA" w:rsidRPr="00B77439">
        <w:rPr>
          <w:rFonts w:ascii="Book Antiqua" w:hAnsi="Book Antiqua" w:cs="Arial"/>
          <w:b/>
          <w:sz w:val="24"/>
          <w:szCs w:val="24"/>
        </w:rPr>
        <w:t>4</w:t>
      </w:r>
      <w:r w:rsidR="00B77439">
        <w:rPr>
          <w:rFonts w:ascii="Book Antiqua" w:eastAsiaTheme="minorEastAsia" w:hAnsi="Book Antiqua" w:cs="Arial" w:hint="eastAsia"/>
          <w:b/>
          <w:sz w:val="24"/>
          <w:szCs w:val="24"/>
          <w:lang w:eastAsia="zh-CN"/>
        </w:rPr>
        <w:t xml:space="preserve"> </w:t>
      </w:r>
      <w:r w:rsidR="00DC6490" w:rsidRPr="00B77439">
        <w:rPr>
          <w:rFonts w:ascii="Book Antiqua" w:hAnsi="Book Antiqua" w:cs="Arial"/>
          <w:b/>
          <w:sz w:val="24"/>
          <w:szCs w:val="24"/>
        </w:rPr>
        <w:t>Inflation adjusted 10-year temporal trends of mean charges and mean costs.</w:t>
      </w:r>
      <w:r w:rsidR="000938F4" w:rsidRPr="00E10230">
        <w:rPr>
          <w:rFonts w:ascii="Book Antiqua" w:hAnsi="Book Antiqua" w:cs="Arial"/>
          <w:sz w:val="24"/>
          <w:szCs w:val="24"/>
        </w:rPr>
        <w:t xml:space="preserve"> </w:t>
      </w:r>
      <w:r w:rsidR="00B77439">
        <w:rPr>
          <w:rFonts w:ascii="Book Antiqua" w:eastAsiaTheme="minorEastAsia" w:hAnsi="Book Antiqua" w:cs="Arial" w:hint="eastAsia"/>
          <w:sz w:val="24"/>
          <w:szCs w:val="24"/>
          <w:lang w:eastAsia="zh-CN"/>
        </w:rPr>
        <w:t>A:</w:t>
      </w:r>
      <w:r w:rsidR="000938F4" w:rsidRPr="00E10230">
        <w:rPr>
          <w:rFonts w:ascii="Book Antiqua" w:hAnsi="Book Antiqua" w:cs="Arial"/>
          <w:sz w:val="24"/>
          <w:szCs w:val="24"/>
        </w:rPr>
        <w:t xml:space="preserve"> </w:t>
      </w:r>
      <w:r w:rsidR="00B77439" w:rsidRPr="00E10230">
        <w:rPr>
          <w:rFonts w:ascii="Book Antiqua" w:hAnsi="Book Antiqua" w:cs="Arial"/>
          <w:sz w:val="24"/>
          <w:szCs w:val="24"/>
        </w:rPr>
        <w:t xml:space="preserve">Shows </w:t>
      </w:r>
      <w:r w:rsidR="000938F4" w:rsidRPr="00E10230">
        <w:rPr>
          <w:rFonts w:ascii="Book Antiqua" w:hAnsi="Book Antiqua" w:cs="Arial"/>
          <w:sz w:val="24"/>
          <w:szCs w:val="24"/>
        </w:rPr>
        <w:t>mean charges of four cirrhosis-associated conditions that have been increasing more than 30% compared to 2005 data, after adjustment for inflation</w:t>
      </w:r>
      <w:r w:rsidR="00B77439">
        <w:rPr>
          <w:rFonts w:ascii="Book Antiqua" w:eastAsiaTheme="minorEastAsia" w:hAnsi="Book Antiqua" w:cs="Arial" w:hint="eastAsia"/>
          <w:sz w:val="24"/>
          <w:szCs w:val="24"/>
          <w:lang w:eastAsia="zh-CN"/>
        </w:rPr>
        <w:t>;</w:t>
      </w:r>
      <w:r w:rsidR="000938F4" w:rsidRPr="00E10230">
        <w:rPr>
          <w:rFonts w:ascii="Book Antiqua" w:hAnsi="Book Antiqua" w:cs="Arial"/>
          <w:sz w:val="24"/>
          <w:szCs w:val="24"/>
        </w:rPr>
        <w:t xml:space="preserve"> </w:t>
      </w:r>
      <w:r w:rsidR="00B77439">
        <w:rPr>
          <w:rFonts w:ascii="Book Antiqua" w:eastAsiaTheme="minorEastAsia" w:hAnsi="Book Antiqua" w:cs="Arial" w:hint="eastAsia"/>
          <w:sz w:val="24"/>
          <w:szCs w:val="24"/>
          <w:lang w:eastAsia="zh-CN"/>
        </w:rPr>
        <w:t>B:</w:t>
      </w:r>
      <w:r w:rsidR="000938F4" w:rsidRPr="00E10230">
        <w:rPr>
          <w:rFonts w:ascii="Book Antiqua" w:hAnsi="Book Antiqua" w:cs="Arial"/>
          <w:sz w:val="24"/>
          <w:szCs w:val="24"/>
        </w:rPr>
        <w:t xml:space="preserve"> </w:t>
      </w:r>
      <w:r w:rsidR="00B77439" w:rsidRPr="00E10230">
        <w:rPr>
          <w:rFonts w:ascii="Book Antiqua" w:hAnsi="Book Antiqua" w:cs="Arial"/>
          <w:sz w:val="24"/>
          <w:szCs w:val="24"/>
        </w:rPr>
        <w:t xml:space="preserve">Demonstrates </w:t>
      </w:r>
      <w:r w:rsidR="000938F4" w:rsidRPr="00E10230">
        <w:rPr>
          <w:rFonts w:ascii="Book Antiqua" w:hAnsi="Book Antiqua" w:cs="Arial"/>
          <w:sz w:val="24"/>
          <w:szCs w:val="24"/>
        </w:rPr>
        <w:t xml:space="preserve">that </w:t>
      </w:r>
      <w:proofErr w:type="spellStart"/>
      <w:r w:rsidR="001A46E6" w:rsidRPr="00E10230">
        <w:rPr>
          <w:rFonts w:ascii="Book Antiqua" w:hAnsi="Book Antiqua" w:cs="Arial"/>
          <w:sz w:val="24"/>
          <w:szCs w:val="24"/>
        </w:rPr>
        <w:t>transjugular</w:t>
      </w:r>
      <w:proofErr w:type="spellEnd"/>
      <w:r w:rsidR="001A46E6" w:rsidRPr="00E10230">
        <w:rPr>
          <w:rFonts w:ascii="Book Antiqua" w:hAnsi="Book Antiqua" w:cs="Arial"/>
          <w:sz w:val="24"/>
          <w:szCs w:val="24"/>
        </w:rPr>
        <w:t xml:space="preserve"> intrahepatic portosystemic shunt (TIPS)</w:t>
      </w:r>
      <w:r w:rsidR="000938F4" w:rsidRPr="00E10230">
        <w:rPr>
          <w:rFonts w:ascii="Book Antiqua" w:hAnsi="Book Antiqua" w:cs="Arial"/>
          <w:sz w:val="24"/>
          <w:szCs w:val="24"/>
        </w:rPr>
        <w:t xml:space="preserve"> has persistently higher cost related to hospitalizations. Compared to mean charges, mean costs had less variation over time. The mean costs of TIPS, EV and SBP did not increase significantly over time (all </w:t>
      </w:r>
      <w:r w:rsidR="000938F4" w:rsidRPr="001A46E6">
        <w:rPr>
          <w:rFonts w:ascii="Book Antiqua" w:hAnsi="Book Antiqua" w:cs="Arial"/>
          <w:i/>
          <w:sz w:val="24"/>
          <w:szCs w:val="24"/>
        </w:rPr>
        <w:t>P</w:t>
      </w:r>
      <w:r w:rsidR="001A46E6">
        <w:rPr>
          <w:rFonts w:ascii="Book Antiqua" w:eastAsiaTheme="minorEastAsia" w:hAnsi="Book Antiqua" w:cs="Arial" w:hint="eastAsia"/>
          <w:sz w:val="24"/>
          <w:szCs w:val="24"/>
          <w:lang w:eastAsia="zh-CN"/>
        </w:rPr>
        <w:t xml:space="preserve"> </w:t>
      </w:r>
      <w:r w:rsidR="000938F4" w:rsidRPr="00E10230">
        <w:rPr>
          <w:rFonts w:ascii="Book Antiqua" w:hAnsi="Book Antiqua" w:cs="Arial"/>
          <w:sz w:val="24"/>
          <w:szCs w:val="24"/>
        </w:rPr>
        <w:t>&gt;</w:t>
      </w:r>
      <w:r w:rsidR="001A46E6">
        <w:rPr>
          <w:rFonts w:ascii="Book Antiqua" w:eastAsiaTheme="minorEastAsia" w:hAnsi="Book Antiqua" w:cs="Arial" w:hint="eastAsia"/>
          <w:sz w:val="24"/>
          <w:szCs w:val="24"/>
          <w:lang w:eastAsia="zh-CN"/>
        </w:rPr>
        <w:t xml:space="preserve"> </w:t>
      </w:r>
      <w:r w:rsidR="000938F4" w:rsidRPr="00E10230">
        <w:rPr>
          <w:rFonts w:ascii="Book Antiqua" w:hAnsi="Book Antiqua" w:cs="Arial"/>
          <w:sz w:val="24"/>
          <w:szCs w:val="24"/>
        </w:rPr>
        <w:t xml:space="preserve">0.15). </w:t>
      </w:r>
      <w:r w:rsidR="001A46E6">
        <w:rPr>
          <w:rFonts w:ascii="Book Antiqua" w:eastAsiaTheme="minorEastAsia" w:hAnsi="Book Antiqua" w:cs="Arial" w:hint="eastAsia"/>
          <w:sz w:val="24"/>
          <w:szCs w:val="24"/>
          <w:lang w:eastAsia="zh-CN"/>
        </w:rPr>
        <w:t>EV:</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Esophageal varices with bleeding</w:t>
      </w:r>
      <w:r w:rsidR="001A46E6">
        <w:rPr>
          <w:rFonts w:ascii="Book Antiqua" w:eastAsiaTheme="minorEastAsia" w:hAnsi="Book Antiqua" w:cs="Arial" w:hint="eastAsia"/>
          <w:sz w:val="24"/>
          <w:szCs w:val="24"/>
          <w:lang w:eastAsia="zh-CN"/>
        </w:rPr>
        <w:t>; HC:</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Hepatic encephalopathy/coma</w:t>
      </w:r>
      <w:r w:rsidR="001A46E6">
        <w:rPr>
          <w:rFonts w:ascii="Book Antiqua" w:eastAsiaTheme="minorEastAsia" w:hAnsi="Book Antiqua" w:cs="Arial" w:hint="eastAsia"/>
          <w:sz w:val="24"/>
          <w:szCs w:val="24"/>
          <w:lang w:eastAsia="zh-CN"/>
        </w:rPr>
        <w:t xml:space="preserve">; TIPS: </w:t>
      </w:r>
      <w:proofErr w:type="spellStart"/>
      <w:r w:rsidR="001A46E6" w:rsidRPr="00E10230">
        <w:rPr>
          <w:rFonts w:ascii="Book Antiqua" w:hAnsi="Book Antiqua" w:cs="Arial"/>
          <w:sz w:val="24"/>
          <w:szCs w:val="24"/>
        </w:rPr>
        <w:t>Transjugular</w:t>
      </w:r>
      <w:proofErr w:type="spellEnd"/>
      <w:r w:rsidR="001A46E6" w:rsidRPr="00E10230">
        <w:rPr>
          <w:rFonts w:ascii="Book Antiqua" w:hAnsi="Book Antiqua" w:cs="Arial"/>
          <w:sz w:val="24"/>
          <w:szCs w:val="24"/>
        </w:rPr>
        <w:t xml:space="preserve"> intrahepatic portosystemic shunt</w:t>
      </w:r>
      <w:r w:rsidR="001A46E6">
        <w:rPr>
          <w:rFonts w:ascii="Book Antiqua" w:eastAsiaTheme="minorEastAsia" w:hAnsi="Book Antiqua" w:cs="Arial" w:hint="eastAsia"/>
          <w:sz w:val="24"/>
          <w:szCs w:val="24"/>
          <w:lang w:eastAsia="zh-CN"/>
        </w:rPr>
        <w:t xml:space="preserve">; SBP: </w:t>
      </w:r>
      <w:r w:rsidR="00B77439" w:rsidRPr="00E10230">
        <w:rPr>
          <w:rFonts w:ascii="Book Antiqua" w:hAnsi="Book Antiqua" w:cs="Arial"/>
          <w:sz w:val="24"/>
          <w:szCs w:val="24"/>
        </w:rPr>
        <w:t xml:space="preserve">Spontaneous </w:t>
      </w:r>
      <w:r w:rsidR="001A46E6" w:rsidRPr="00E10230">
        <w:rPr>
          <w:rFonts w:ascii="Book Antiqua" w:hAnsi="Book Antiqua" w:cs="Arial"/>
          <w:sz w:val="24"/>
          <w:szCs w:val="24"/>
        </w:rPr>
        <w:t>bacterial peritonitis</w:t>
      </w:r>
      <w:r w:rsidR="001A46E6">
        <w:rPr>
          <w:rFonts w:ascii="Book Antiqua" w:eastAsiaTheme="minorEastAsia" w:hAnsi="Book Antiqua" w:cs="Arial" w:hint="eastAsia"/>
          <w:sz w:val="24"/>
          <w:szCs w:val="24"/>
          <w:lang w:eastAsia="zh-CN"/>
        </w:rPr>
        <w:t>.</w:t>
      </w:r>
    </w:p>
    <w:p w14:paraId="56301D3E" w14:textId="1938B5DC" w:rsidR="00F377E9" w:rsidRPr="002E7607" w:rsidDel="00CE570C" w:rsidRDefault="008C7366" w:rsidP="002E7607">
      <w:pPr>
        <w:widowControl w:val="0"/>
        <w:autoSpaceDE w:val="0"/>
        <w:autoSpaceDN w:val="0"/>
        <w:adjustRightInd w:val="0"/>
        <w:spacing w:after="0" w:line="360" w:lineRule="auto"/>
        <w:jc w:val="both"/>
        <w:rPr>
          <w:rFonts w:ascii="Book Antiqua" w:eastAsiaTheme="minorEastAsia" w:hAnsi="Book Antiqua" w:cs="Arial"/>
          <w:sz w:val="24"/>
          <w:szCs w:val="24"/>
          <w:lang w:eastAsia="zh-CN"/>
        </w:rPr>
      </w:pPr>
      <w:r w:rsidRPr="00E10230">
        <w:rPr>
          <w:rFonts w:ascii="Book Antiqua" w:hAnsi="Book Antiqua" w:cs="Arial"/>
          <w:b/>
          <w:sz w:val="24"/>
          <w:szCs w:val="24"/>
        </w:rPr>
        <w:br w:type="page"/>
      </w:r>
      <w:r w:rsidR="00B77439">
        <w:rPr>
          <w:rFonts w:ascii="Book Antiqua" w:hAnsi="Book Antiqua" w:cs="Arial"/>
          <w:b/>
          <w:noProof/>
          <w:sz w:val="24"/>
          <w:szCs w:val="24"/>
          <w:lang w:eastAsia="zh-CN"/>
        </w:rPr>
        <w:lastRenderedPageBreak/>
        <w:drawing>
          <wp:inline distT="0" distB="0" distL="0" distR="0" wp14:anchorId="74520AEB" wp14:editId="7EEDB567">
            <wp:extent cx="5943600" cy="33432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713-Image-File-revision_0130.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DC6490" w:rsidRPr="00E10230">
        <w:rPr>
          <w:rFonts w:ascii="Book Antiqua" w:hAnsi="Book Antiqua" w:cs="Arial"/>
          <w:b/>
          <w:sz w:val="24"/>
          <w:szCs w:val="24"/>
        </w:rPr>
        <w:t xml:space="preserve">Figure </w:t>
      </w:r>
      <w:r w:rsidR="009870AA" w:rsidRPr="00E10230">
        <w:rPr>
          <w:rFonts w:ascii="Book Antiqua" w:hAnsi="Book Antiqua" w:cs="Arial"/>
          <w:b/>
          <w:sz w:val="24"/>
          <w:szCs w:val="24"/>
        </w:rPr>
        <w:t>5</w:t>
      </w:r>
      <w:r w:rsidR="00B77439">
        <w:rPr>
          <w:rFonts w:ascii="Book Antiqua" w:eastAsiaTheme="minorEastAsia" w:hAnsi="Book Antiqua" w:cs="Arial" w:hint="eastAsia"/>
          <w:sz w:val="24"/>
          <w:szCs w:val="24"/>
          <w:lang w:eastAsia="zh-CN"/>
        </w:rPr>
        <w:t xml:space="preserve"> </w:t>
      </w:r>
      <w:r w:rsidR="00DC6490" w:rsidRPr="00B77439">
        <w:rPr>
          <w:rFonts w:ascii="Book Antiqua" w:hAnsi="Book Antiqua" w:cs="Arial"/>
          <w:b/>
          <w:sz w:val="24"/>
          <w:szCs w:val="24"/>
        </w:rPr>
        <w:t>Inflation adjusted 10-year temporal</w:t>
      </w:r>
      <w:r w:rsidR="00B77439" w:rsidRPr="00B77439">
        <w:rPr>
          <w:rFonts w:ascii="Book Antiqua" w:hAnsi="Book Antiqua" w:cs="Arial"/>
          <w:b/>
          <w:sz w:val="24"/>
          <w:szCs w:val="24"/>
        </w:rPr>
        <w:t xml:space="preserve"> trends of aggregate charges and aggregate costs</w:t>
      </w:r>
      <w:r w:rsidR="00DC6490" w:rsidRPr="00B77439">
        <w:rPr>
          <w:rFonts w:ascii="Book Antiqua" w:hAnsi="Book Antiqua" w:cs="Arial"/>
          <w:b/>
          <w:sz w:val="24"/>
          <w:szCs w:val="24"/>
        </w:rPr>
        <w:t>. Same fig</w:t>
      </w:r>
      <w:r w:rsidR="00B77439" w:rsidRPr="00B77439">
        <w:rPr>
          <w:rFonts w:ascii="Book Antiqua" w:hAnsi="Book Antiqua" w:cs="Arial"/>
          <w:b/>
          <w:sz w:val="24"/>
          <w:szCs w:val="24"/>
        </w:rPr>
        <w:t>ures without SBP for charges and costs</w:t>
      </w:r>
      <w:r w:rsidR="00DC6490" w:rsidRPr="00B77439">
        <w:rPr>
          <w:rFonts w:ascii="Book Antiqua" w:hAnsi="Book Antiqua" w:cs="Arial"/>
          <w:b/>
          <w:sz w:val="24"/>
          <w:szCs w:val="24"/>
        </w:rPr>
        <w:t>.</w:t>
      </w:r>
      <w:r w:rsidR="00DC6490" w:rsidRPr="00E10230">
        <w:rPr>
          <w:rFonts w:ascii="Book Antiqua" w:hAnsi="Book Antiqua" w:cs="Arial"/>
          <w:sz w:val="24"/>
          <w:szCs w:val="24"/>
        </w:rPr>
        <w:t xml:space="preserve"> </w:t>
      </w:r>
      <w:r w:rsidR="00B77439">
        <w:rPr>
          <w:rFonts w:ascii="Book Antiqua" w:eastAsiaTheme="minorEastAsia" w:hAnsi="Book Antiqua" w:cs="Arial" w:hint="eastAsia"/>
          <w:sz w:val="24"/>
          <w:szCs w:val="24"/>
          <w:lang w:eastAsia="zh-CN"/>
        </w:rPr>
        <w:t xml:space="preserve">A and B: </w:t>
      </w:r>
      <w:r w:rsidR="002E71EC" w:rsidRPr="00E10230">
        <w:rPr>
          <w:rFonts w:ascii="Book Antiqua" w:hAnsi="Book Antiqua" w:cs="Arial"/>
          <w:sz w:val="24"/>
          <w:szCs w:val="24"/>
        </w:rPr>
        <w:t xml:space="preserve">After adjustment for inflation, aggregate charges for hospitalizations related to HC, </w:t>
      </w:r>
      <w:proofErr w:type="spellStart"/>
      <w:r w:rsidR="002E71EC" w:rsidRPr="00E10230">
        <w:rPr>
          <w:rFonts w:ascii="Book Antiqua" w:hAnsi="Book Antiqua" w:cs="Arial"/>
          <w:sz w:val="24"/>
          <w:szCs w:val="24"/>
        </w:rPr>
        <w:t>SBP</w:t>
      </w:r>
      <w:proofErr w:type="spellEnd"/>
      <w:r w:rsidR="002E71EC" w:rsidRPr="00E10230">
        <w:rPr>
          <w:rFonts w:ascii="Book Antiqua" w:hAnsi="Book Antiqua" w:cs="Arial"/>
          <w:sz w:val="24"/>
          <w:szCs w:val="24"/>
        </w:rPr>
        <w:t xml:space="preserve">, </w:t>
      </w:r>
      <w:proofErr w:type="spellStart"/>
      <w:r w:rsidR="001A46E6" w:rsidRPr="00E10230">
        <w:rPr>
          <w:rFonts w:ascii="Book Antiqua" w:hAnsi="Book Antiqua" w:cs="Arial"/>
          <w:sz w:val="24"/>
          <w:szCs w:val="24"/>
        </w:rPr>
        <w:t>transjugular</w:t>
      </w:r>
      <w:proofErr w:type="spellEnd"/>
      <w:r w:rsidR="001A46E6" w:rsidRPr="00E10230">
        <w:rPr>
          <w:rFonts w:ascii="Book Antiqua" w:hAnsi="Book Antiqua" w:cs="Arial"/>
          <w:sz w:val="24"/>
          <w:szCs w:val="24"/>
        </w:rPr>
        <w:t xml:space="preserve"> intrahepatic portosystemic shunt (TIPS)</w:t>
      </w:r>
      <w:r w:rsidR="002E71EC" w:rsidRPr="00E10230">
        <w:rPr>
          <w:rFonts w:ascii="Book Antiqua" w:hAnsi="Book Antiqua" w:cs="Arial"/>
          <w:sz w:val="24"/>
          <w:szCs w:val="24"/>
        </w:rPr>
        <w:t xml:space="preserve"> and national increased from 2005 to 2014 except EV</w:t>
      </w:r>
      <w:r w:rsidR="00B77439">
        <w:rPr>
          <w:rFonts w:ascii="Book Antiqua" w:eastAsiaTheme="minorEastAsia" w:hAnsi="Book Antiqua" w:cs="Arial" w:hint="eastAsia"/>
          <w:sz w:val="24"/>
          <w:szCs w:val="24"/>
          <w:lang w:eastAsia="zh-CN"/>
        </w:rPr>
        <w:t>;</w:t>
      </w:r>
      <w:r w:rsidR="002E71EC" w:rsidRPr="00E10230">
        <w:rPr>
          <w:rFonts w:ascii="Book Antiqua" w:hAnsi="Book Antiqua" w:cs="Arial"/>
          <w:sz w:val="24"/>
          <w:szCs w:val="24"/>
        </w:rPr>
        <w:t xml:space="preserve"> </w:t>
      </w:r>
      <w:r w:rsidR="00B77439">
        <w:rPr>
          <w:rFonts w:ascii="Book Antiqua" w:eastAsiaTheme="minorEastAsia" w:hAnsi="Book Antiqua" w:cs="Arial" w:hint="eastAsia"/>
          <w:sz w:val="24"/>
          <w:szCs w:val="24"/>
          <w:lang w:eastAsia="zh-CN"/>
        </w:rPr>
        <w:t xml:space="preserve">C and D: </w:t>
      </w:r>
      <w:r w:rsidR="002E71EC" w:rsidRPr="00E10230">
        <w:rPr>
          <w:rFonts w:ascii="Book Antiqua" w:hAnsi="Book Antiqua" w:cs="Arial"/>
          <w:sz w:val="24"/>
          <w:szCs w:val="24"/>
        </w:rPr>
        <w:t>Inflation adjusted aggregate costs of hospitalization for EV, HC, SBP and national increased from 2005 to 2014, while TIPS trended toward a decreased.</w:t>
      </w:r>
      <w:r w:rsidR="00B77439" w:rsidRPr="00B77439">
        <w:rPr>
          <w:rFonts w:ascii="Book Antiqua" w:eastAsiaTheme="minorEastAsia" w:hAnsi="Book Antiqua" w:cs="Arial" w:hint="eastAsia"/>
          <w:sz w:val="24"/>
          <w:szCs w:val="24"/>
          <w:lang w:eastAsia="zh-CN"/>
        </w:rPr>
        <w:t xml:space="preserve"> </w:t>
      </w:r>
      <w:r w:rsidR="00B77439">
        <w:rPr>
          <w:rFonts w:ascii="Book Antiqua" w:eastAsiaTheme="minorEastAsia" w:hAnsi="Book Antiqua" w:cs="Arial" w:hint="eastAsia"/>
          <w:sz w:val="24"/>
          <w:szCs w:val="24"/>
          <w:lang w:eastAsia="zh-CN"/>
        </w:rPr>
        <w:t>EV:</w:t>
      </w:r>
      <w:r w:rsidR="00B77439" w:rsidRPr="001A46E6">
        <w:rPr>
          <w:rFonts w:ascii="Book Antiqua" w:hAnsi="Book Antiqua" w:cs="Arial"/>
          <w:sz w:val="24"/>
          <w:szCs w:val="24"/>
        </w:rPr>
        <w:t xml:space="preserve"> </w:t>
      </w:r>
      <w:r w:rsidR="00B77439" w:rsidRPr="00E10230">
        <w:rPr>
          <w:rFonts w:ascii="Book Antiqua" w:hAnsi="Book Antiqua" w:cs="Arial"/>
          <w:sz w:val="24"/>
          <w:szCs w:val="24"/>
        </w:rPr>
        <w:t>Esophageal varices with bleeding</w:t>
      </w:r>
      <w:r w:rsidR="00B77439">
        <w:rPr>
          <w:rFonts w:ascii="Book Antiqua" w:eastAsiaTheme="minorEastAsia" w:hAnsi="Book Antiqua" w:cs="Arial" w:hint="eastAsia"/>
          <w:sz w:val="24"/>
          <w:szCs w:val="24"/>
          <w:lang w:eastAsia="zh-CN"/>
        </w:rPr>
        <w:t>; HC:</w:t>
      </w:r>
      <w:r w:rsidR="00B77439" w:rsidRPr="001A46E6">
        <w:rPr>
          <w:rFonts w:ascii="Book Antiqua" w:hAnsi="Book Antiqua" w:cs="Arial"/>
          <w:sz w:val="24"/>
          <w:szCs w:val="24"/>
        </w:rPr>
        <w:t xml:space="preserve"> </w:t>
      </w:r>
      <w:r w:rsidR="00B77439" w:rsidRPr="00E10230">
        <w:rPr>
          <w:rFonts w:ascii="Book Antiqua" w:hAnsi="Book Antiqua" w:cs="Arial"/>
          <w:sz w:val="24"/>
          <w:szCs w:val="24"/>
        </w:rPr>
        <w:t>Hepatic encephalopathy/coma</w:t>
      </w:r>
      <w:r w:rsidR="00B77439">
        <w:rPr>
          <w:rFonts w:ascii="Book Antiqua" w:eastAsiaTheme="minorEastAsia" w:hAnsi="Book Antiqua" w:cs="Arial" w:hint="eastAsia"/>
          <w:sz w:val="24"/>
          <w:szCs w:val="24"/>
          <w:lang w:eastAsia="zh-CN"/>
        </w:rPr>
        <w:t xml:space="preserve">; TIPS: </w:t>
      </w:r>
      <w:proofErr w:type="spellStart"/>
      <w:r w:rsidR="00B77439" w:rsidRPr="00E10230">
        <w:rPr>
          <w:rFonts w:ascii="Book Antiqua" w:hAnsi="Book Antiqua" w:cs="Arial"/>
          <w:sz w:val="24"/>
          <w:szCs w:val="24"/>
        </w:rPr>
        <w:t>Transjugular</w:t>
      </w:r>
      <w:proofErr w:type="spellEnd"/>
      <w:r w:rsidR="00B77439" w:rsidRPr="00E10230">
        <w:rPr>
          <w:rFonts w:ascii="Book Antiqua" w:hAnsi="Book Antiqua" w:cs="Arial"/>
          <w:sz w:val="24"/>
          <w:szCs w:val="24"/>
        </w:rPr>
        <w:t xml:space="preserve"> intrahepatic portosystemic shunt</w:t>
      </w:r>
      <w:r w:rsidR="00B77439">
        <w:rPr>
          <w:rFonts w:ascii="Book Antiqua" w:eastAsiaTheme="minorEastAsia" w:hAnsi="Book Antiqua" w:cs="Arial" w:hint="eastAsia"/>
          <w:sz w:val="24"/>
          <w:szCs w:val="24"/>
          <w:lang w:eastAsia="zh-CN"/>
        </w:rPr>
        <w:t xml:space="preserve">; SBP: </w:t>
      </w:r>
      <w:r w:rsidR="00B77439" w:rsidRPr="00E10230">
        <w:rPr>
          <w:rFonts w:ascii="Book Antiqua" w:hAnsi="Book Antiqua" w:cs="Arial"/>
          <w:sz w:val="24"/>
          <w:szCs w:val="24"/>
        </w:rPr>
        <w:t>Spontaneous bacterial peritonitis</w:t>
      </w:r>
      <w:r w:rsidR="00B77439">
        <w:rPr>
          <w:rFonts w:ascii="Book Antiqua" w:eastAsiaTheme="minorEastAsia" w:hAnsi="Book Antiqua" w:cs="Arial" w:hint="eastAsia"/>
          <w:sz w:val="24"/>
          <w:szCs w:val="24"/>
          <w:lang w:eastAsia="zh-CN"/>
        </w:rPr>
        <w:t>.</w:t>
      </w:r>
    </w:p>
    <w:p w14:paraId="0EDEB323" w14:textId="77777777" w:rsidR="00A00A81" w:rsidRDefault="00A00A81" w:rsidP="00E10230">
      <w:pPr>
        <w:spacing w:after="0" w:line="360" w:lineRule="auto"/>
        <w:jc w:val="both"/>
        <w:rPr>
          <w:rFonts w:ascii="Book Antiqua" w:eastAsiaTheme="minorEastAsia" w:hAnsi="Book Antiqua"/>
          <w:sz w:val="24"/>
          <w:szCs w:val="24"/>
          <w:lang w:eastAsia="zh-CN"/>
        </w:rPr>
      </w:pPr>
      <w:r w:rsidRPr="00E10230">
        <w:rPr>
          <w:rFonts w:ascii="Book Antiqua" w:hAnsi="Book Antiqua"/>
          <w:sz w:val="24"/>
          <w:szCs w:val="24"/>
        </w:rPr>
        <w:br w:type="page"/>
      </w:r>
    </w:p>
    <w:p w14:paraId="599F7A9B" w14:textId="73104108" w:rsidR="002E7607" w:rsidRPr="002E7607" w:rsidRDefault="002E7607" w:rsidP="00E10230">
      <w:pPr>
        <w:spacing w:after="0" w:line="360" w:lineRule="auto"/>
        <w:jc w:val="both"/>
        <w:rPr>
          <w:rFonts w:ascii="Book Antiqua" w:eastAsiaTheme="minorEastAsia" w:hAnsi="Book Antiqua"/>
          <w:b/>
          <w:sz w:val="24"/>
          <w:szCs w:val="24"/>
          <w:lang w:eastAsia="zh-CN"/>
        </w:rPr>
      </w:pPr>
      <w:r w:rsidRPr="00E10230">
        <w:rPr>
          <w:rFonts w:ascii="Book Antiqua" w:hAnsi="Book Antiqua" w:cs="Arial"/>
          <w:b/>
          <w:sz w:val="24"/>
          <w:szCs w:val="24"/>
        </w:rPr>
        <w:lastRenderedPageBreak/>
        <w:t xml:space="preserve">Table 1 </w:t>
      </w:r>
      <w:r w:rsidRPr="002E7607">
        <w:rPr>
          <w:rFonts w:ascii="Book Antiqua" w:hAnsi="Book Antiqua" w:cs="Arial"/>
          <w:b/>
          <w:sz w:val="24"/>
          <w:szCs w:val="24"/>
        </w:rPr>
        <w:t>Number of all discharges, aggregate cost ($), percent of male (%), mean age, age distribution, payer type, bed size</w:t>
      </w:r>
    </w:p>
    <w:tbl>
      <w:tblPr>
        <w:tblW w:w="5000" w:type="pct"/>
        <w:jc w:val="center"/>
        <w:tblBorders>
          <w:top w:val="single" w:sz="4" w:space="0" w:color="auto"/>
          <w:bottom w:val="single" w:sz="4" w:space="0" w:color="auto"/>
        </w:tblBorders>
        <w:tblLook w:val="04A0" w:firstRow="1" w:lastRow="0" w:firstColumn="1" w:lastColumn="0" w:noHBand="0" w:noVBand="1"/>
      </w:tblPr>
      <w:tblGrid>
        <w:gridCol w:w="2067"/>
        <w:gridCol w:w="1063"/>
        <w:gridCol w:w="758"/>
        <w:gridCol w:w="868"/>
        <w:gridCol w:w="952"/>
        <w:gridCol w:w="967"/>
        <w:gridCol w:w="855"/>
        <w:gridCol w:w="968"/>
        <w:gridCol w:w="862"/>
      </w:tblGrid>
      <w:tr w:rsidR="00F377E9" w:rsidRPr="00E10230" w14:paraId="3EFC524C" w14:textId="77777777" w:rsidTr="002E7607">
        <w:trPr>
          <w:trHeight w:val="476"/>
          <w:jc w:val="center"/>
        </w:trPr>
        <w:tc>
          <w:tcPr>
            <w:tcW w:w="1079" w:type="pct"/>
            <w:tcBorders>
              <w:top w:val="single" w:sz="4" w:space="0" w:color="auto"/>
              <w:bottom w:val="single" w:sz="4" w:space="0" w:color="auto"/>
            </w:tcBorders>
            <w:shd w:val="clear" w:color="auto" w:fill="auto"/>
            <w:noWrap/>
            <w:vAlign w:val="center"/>
            <w:hideMark/>
          </w:tcPr>
          <w:p w14:paraId="108AF081"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Diagnosis (2005)</w:t>
            </w:r>
          </w:p>
        </w:tc>
        <w:tc>
          <w:tcPr>
            <w:tcW w:w="978" w:type="pct"/>
            <w:gridSpan w:val="2"/>
            <w:tcBorders>
              <w:top w:val="single" w:sz="4" w:space="0" w:color="auto"/>
              <w:bottom w:val="single" w:sz="4" w:space="0" w:color="auto"/>
            </w:tcBorders>
            <w:shd w:val="clear" w:color="auto" w:fill="auto"/>
            <w:noWrap/>
            <w:vAlign w:val="center"/>
            <w:hideMark/>
          </w:tcPr>
          <w:p w14:paraId="3D392D7A"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HC</w:t>
            </w:r>
          </w:p>
        </w:tc>
        <w:tc>
          <w:tcPr>
            <w:tcW w:w="979" w:type="pct"/>
            <w:gridSpan w:val="2"/>
            <w:tcBorders>
              <w:top w:val="single" w:sz="4" w:space="0" w:color="auto"/>
              <w:bottom w:val="single" w:sz="4" w:space="0" w:color="auto"/>
            </w:tcBorders>
            <w:shd w:val="clear" w:color="auto" w:fill="auto"/>
            <w:noWrap/>
            <w:vAlign w:val="center"/>
            <w:hideMark/>
          </w:tcPr>
          <w:p w14:paraId="55926607"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SBP</w:t>
            </w:r>
          </w:p>
        </w:tc>
        <w:tc>
          <w:tcPr>
            <w:tcW w:w="980" w:type="pct"/>
            <w:gridSpan w:val="2"/>
            <w:tcBorders>
              <w:top w:val="single" w:sz="4" w:space="0" w:color="auto"/>
              <w:bottom w:val="single" w:sz="4" w:space="0" w:color="auto"/>
            </w:tcBorders>
            <w:shd w:val="clear" w:color="auto" w:fill="auto"/>
            <w:noWrap/>
            <w:vAlign w:val="center"/>
            <w:hideMark/>
          </w:tcPr>
          <w:p w14:paraId="6C610A09"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EV</w:t>
            </w:r>
          </w:p>
        </w:tc>
        <w:tc>
          <w:tcPr>
            <w:tcW w:w="983" w:type="pct"/>
            <w:gridSpan w:val="2"/>
            <w:tcBorders>
              <w:top w:val="single" w:sz="4" w:space="0" w:color="auto"/>
              <w:bottom w:val="single" w:sz="4" w:space="0" w:color="auto"/>
            </w:tcBorders>
            <w:shd w:val="clear" w:color="auto" w:fill="auto"/>
            <w:noWrap/>
            <w:vAlign w:val="center"/>
            <w:hideMark/>
          </w:tcPr>
          <w:p w14:paraId="61CADFE6"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TIPS</w:t>
            </w:r>
          </w:p>
        </w:tc>
      </w:tr>
      <w:tr w:rsidR="00F377E9" w:rsidRPr="00E10230" w14:paraId="26D00BE1" w14:textId="77777777" w:rsidTr="002E7607">
        <w:trPr>
          <w:trHeight w:val="499"/>
          <w:jc w:val="center"/>
        </w:trPr>
        <w:tc>
          <w:tcPr>
            <w:tcW w:w="1079" w:type="pct"/>
            <w:tcBorders>
              <w:top w:val="single" w:sz="4" w:space="0" w:color="auto"/>
            </w:tcBorders>
            <w:shd w:val="clear" w:color="auto" w:fill="auto"/>
            <w:noWrap/>
            <w:vAlign w:val="center"/>
            <w:hideMark/>
          </w:tcPr>
          <w:p w14:paraId="70EDFBFB"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All discharges</w:t>
            </w:r>
          </w:p>
        </w:tc>
        <w:tc>
          <w:tcPr>
            <w:tcW w:w="978" w:type="pct"/>
            <w:gridSpan w:val="2"/>
            <w:tcBorders>
              <w:top w:val="single" w:sz="4" w:space="0" w:color="auto"/>
            </w:tcBorders>
            <w:shd w:val="clear" w:color="auto" w:fill="auto"/>
            <w:noWrap/>
            <w:vAlign w:val="center"/>
            <w:hideMark/>
          </w:tcPr>
          <w:p w14:paraId="74E8CC3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47268</w:t>
            </w:r>
          </w:p>
        </w:tc>
        <w:tc>
          <w:tcPr>
            <w:tcW w:w="979" w:type="pct"/>
            <w:gridSpan w:val="2"/>
            <w:tcBorders>
              <w:top w:val="single" w:sz="4" w:space="0" w:color="auto"/>
            </w:tcBorders>
            <w:shd w:val="clear" w:color="auto" w:fill="auto"/>
            <w:noWrap/>
            <w:vAlign w:val="center"/>
            <w:hideMark/>
          </w:tcPr>
          <w:p w14:paraId="21F003F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821</w:t>
            </w:r>
          </w:p>
        </w:tc>
        <w:tc>
          <w:tcPr>
            <w:tcW w:w="980" w:type="pct"/>
            <w:gridSpan w:val="2"/>
            <w:tcBorders>
              <w:top w:val="single" w:sz="4" w:space="0" w:color="auto"/>
            </w:tcBorders>
            <w:shd w:val="clear" w:color="auto" w:fill="auto"/>
            <w:noWrap/>
            <w:vAlign w:val="center"/>
            <w:hideMark/>
          </w:tcPr>
          <w:p w14:paraId="0FD529C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3942</w:t>
            </w:r>
          </w:p>
        </w:tc>
        <w:tc>
          <w:tcPr>
            <w:tcW w:w="983" w:type="pct"/>
            <w:gridSpan w:val="2"/>
            <w:tcBorders>
              <w:top w:val="single" w:sz="4" w:space="0" w:color="auto"/>
            </w:tcBorders>
            <w:shd w:val="clear" w:color="auto" w:fill="auto"/>
            <w:noWrap/>
            <w:vAlign w:val="center"/>
            <w:hideMark/>
          </w:tcPr>
          <w:p w14:paraId="7FB03AE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4079</w:t>
            </w:r>
          </w:p>
        </w:tc>
      </w:tr>
      <w:tr w:rsidR="00F377E9" w:rsidRPr="00E10230" w14:paraId="20215B9D" w14:textId="77777777" w:rsidTr="002E7607">
        <w:trPr>
          <w:trHeight w:val="499"/>
          <w:jc w:val="center"/>
        </w:trPr>
        <w:tc>
          <w:tcPr>
            <w:tcW w:w="1079" w:type="pct"/>
            <w:shd w:val="clear" w:color="auto" w:fill="auto"/>
            <w:noWrap/>
            <w:vAlign w:val="center"/>
            <w:hideMark/>
          </w:tcPr>
          <w:p w14:paraId="1664827E" w14:textId="6DE7EC35" w:rsidR="00F377E9" w:rsidRPr="002E7607" w:rsidRDefault="00F377E9" w:rsidP="00E10230">
            <w:pPr>
              <w:spacing w:after="0" w:line="360" w:lineRule="auto"/>
              <w:jc w:val="both"/>
              <w:rPr>
                <w:rFonts w:ascii="Book Antiqua" w:eastAsiaTheme="minorEastAsia" w:hAnsi="Book Antiqua" w:cs="Arial"/>
                <w:bCs/>
                <w:color w:val="000000"/>
                <w:sz w:val="24"/>
                <w:szCs w:val="24"/>
                <w:lang w:eastAsia="zh-CN"/>
              </w:rPr>
            </w:pPr>
            <w:r w:rsidRPr="002E7607">
              <w:rPr>
                <w:rFonts w:ascii="Book Antiqua" w:eastAsia="Times New Roman" w:hAnsi="Book Antiqua" w:cs="Arial"/>
                <w:bCs/>
                <w:color w:val="000000"/>
                <w:sz w:val="24"/>
                <w:szCs w:val="24"/>
              </w:rPr>
              <w:t xml:space="preserve">Male </w:t>
            </w:r>
            <w:r w:rsidR="002E7607">
              <w:rPr>
                <w:rFonts w:ascii="Book Antiqua" w:eastAsiaTheme="minorEastAsia" w:hAnsi="Book Antiqua" w:cs="Arial" w:hint="eastAsia"/>
                <w:bCs/>
                <w:color w:val="000000"/>
                <w:sz w:val="24"/>
                <w:szCs w:val="24"/>
                <w:lang w:eastAsia="zh-CN"/>
              </w:rPr>
              <w:t>(</w:t>
            </w:r>
            <w:r w:rsidRPr="002E7607">
              <w:rPr>
                <w:rFonts w:ascii="Book Antiqua" w:eastAsia="Times New Roman" w:hAnsi="Book Antiqua" w:cs="Arial"/>
                <w:bCs/>
                <w:color w:val="000000"/>
                <w:sz w:val="24"/>
                <w:szCs w:val="24"/>
              </w:rPr>
              <w:t>%</w:t>
            </w:r>
            <w:r w:rsidR="002E7607">
              <w:rPr>
                <w:rFonts w:ascii="Book Antiqua" w:eastAsiaTheme="minorEastAsia" w:hAnsi="Book Antiqua" w:cs="Arial" w:hint="eastAsia"/>
                <w:bCs/>
                <w:color w:val="000000"/>
                <w:sz w:val="24"/>
                <w:szCs w:val="24"/>
                <w:lang w:eastAsia="zh-CN"/>
              </w:rPr>
              <w:t>)</w:t>
            </w:r>
          </w:p>
        </w:tc>
        <w:tc>
          <w:tcPr>
            <w:tcW w:w="978" w:type="pct"/>
            <w:gridSpan w:val="2"/>
            <w:shd w:val="clear" w:color="auto" w:fill="auto"/>
            <w:noWrap/>
            <w:vAlign w:val="center"/>
            <w:hideMark/>
          </w:tcPr>
          <w:p w14:paraId="28EEE7C1"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61.4</w:t>
            </w:r>
          </w:p>
        </w:tc>
        <w:tc>
          <w:tcPr>
            <w:tcW w:w="979" w:type="pct"/>
            <w:gridSpan w:val="2"/>
            <w:shd w:val="clear" w:color="auto" w:fill="auto"/>
            <w:noWrap/>
            <w:vAlign w:val="center"/>
            <w:hideMark/>
          </w:tcPr>
          <w:p w14:paraId="703D91A1"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66.7</w:t>
            </w:r>
          </w:p>
        </w:tc>
        <w:tc>
          <w:tcPr>
            <w:tcW w:w="980" w:type="pct"/>
            <w:gridSpan w:val="2"/>
            <w:shd w:val="clear" w:color="auto" w:fill="auto"/>
            <w:noWrap/>
            <w:vAlign w:val="center"/>
            <w:hideMark/>
          </w:tcPr>
          <w:p w14:paraId="0508C860"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67.7</w:t>
            </w:r>
          </w:p>
        </w:tc>
        <w:tc>
          <w:tcPr>
            <w:tcW w:w="983" w:type="pct"/>
            <w:gridSpan w:val="2"/>
            <w:shd w:val="clear" w:color="auto" w:fill="auto"/>
            <w:noWrap/>
            <w:vAlign w:val="center"/>
            <w:hideMark/>
          </w:tcPr>
          <w:p w14:paraId="3CFBBA2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66.5</w:t>
            </w:r>
          </w:p>
        </w:tc>
      </w:tr>
      <w:tr w:rsidR="00F377E9" w:rsidRPr="00E10230" w14:paraId="35E6BD19" w14:textId="77777777" w:rsidTr="002E7607">
        <w:trPr>
          <w:trHeight w:val="499"/>
          <w:jc w:val="center"/>
        </w:trPr>
        <w:tc>
          <w:tcPr>
            <w:tcW w:w="1079" w:type="pct"/>
            <w:shd w:val="clear" w:color="auto" w:fill="auto"/>
            <w:noWrap/>
            <w:vAlign w:val="center"/>
            <w:hideMark/>
          </w:tcPr>
          <w:p w14:paraId="3AC449A9"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Age, mean</w:t>
            </w:r>
          </w:p>
        </w:tc>
        <w:tc>
          <w:tcPr>
            <w:tcW w:w="978" w:type="pct"/>
            <w:gridSpan w:val="2"/>
            <w:shd w:val="clear" w:color="auto" w:fill="auto"/>
            <w:noWrap/>
            <w:vAlign w:val="center"/>
            <w:hideMark/>
          </w:tcPr>
          <w:p w14:paraId="174AB801"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57.9</w:t>
            </w:r>
          </w:p>
        </w:tc>
        <w:tc>
          <w:tcPr>
            <w:tcW w:w="979" w:type="pct"/>
            <w:gridSpan w:val="2"/>
            <w:shd w:val="clear" w:color="auto" w:fill="auto"/>
            <w:noWrap/>
            <w:vAlign w:val="center"/>
            <w:hideMark/>
          </w:tcPr>
          <w:p w14:paraId="2881CF8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54.2</w:t>
            </w:r>
          </w:p>
        </w:tc>
        <w:tc>
          <w:tcPr>
            <w:tcW w:w="980" w:type="pct"/>
            <w:gridSpan w:val="2"/>
            <w:shd w:val="clear" w:color="auto" w:fill="auto"/>
            <w:noWrap/>
            <w:vAlign w:val="center"/>
            <w:hideMark/>
          </w:tcPr>
          <w:p w14:paraId="1702A391"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56.6</w:t>
            </w:r>
          </w:p>
        </w:tc>
        <w:tc>
          <w:tcPr>
            <w:tcW w:w="983" w:type="pct"/>
            <w:gridSpan w:val="2"/>
            <w:shd w:val="clear" w:color="auto" w:fill="auto"/>
            <w:noWrap/>
            <w:vAlign w:val="center"/>
            <w:hideMark/>
          </w:tcPr>
          <w:p w14:paraId="5B49B662"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55.2</w:t>
            </w:r>
          </w:p>
        </w:tc>
      </w:tr>
      <w:tr w:rsidR="00F377E9" w:rsidRPr="00E10230" w14:paraId="725D0FCD" w14:textId="77777777" w:rsidTr="002E7607">
        <w:trPr>
          <w:trHeight w:val="499"/>
          <w:jc w:val="center"/>
        </w:trPr>
        <w:tc>
          <w:tcPr>
            <w:tcW w:w="1079" w:type="pct"/>
            <w:shd w:val="clear" w:color="auto" w:fill="auto"/>
            <w:noWrap/>
            <w:vAlign w:val="center"/>
            <w:hideMark/>
          </w:tcPr>
          <w:p w14:paraId="6FF12658"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Age</w:t>
            </w:r>
          </w:p>
        </w:tc>
        <w:tc>
          <w:tcPr>
            <w:tcW w:w="571" w:type="pct"/>
            <w:shd w:val="clear" w:color="auto" w:fill="auto"/>
            <w:noWrap/>
            <w:vAlign w:val="center"/>
            <w:hideMark/>
          </w:tcPr>
          <w:p w14:paraId="1158FC00" w14:textId="76E64975" w:rsidR="00F377E9" w:rsidRPr="002E7607" w:rsidRDefault="002E7607" w:rsidP="00E10230">
            <w:pPr>
              <w:spacing w:after="0" w:line="360" w:lineRule="auto"/>
              <w:jc w:val="both"/>
              <w:rPr>
                <w:rFonts w:ascii="Book Antiqua" w:eastAsia="Times New Roman" w:hAnsi="Book Antiqua" w:cs="Arial"/>
                <w:bCs/>
                <w:i/>
                <w:color w:val="000000"/>
                <w:sz w:val="24"/>
                <w:szCs w:val="24"/>
              </w:rPr>
            </w:pPr>
            <w:r w:rsidRPr="002E7607">
              <w:rPr>
                <w:rFonts w:ascii="Book Antiqua" w:eastAsia="Times New Roman" w:hAnsi="Book Antiqua" w:cs="Arial"/>
                <w:bCs/>
                <w:i/>
                <w:color w:val="000000"/>
                <w:sz w:val="24"/>
                <w:szCs w:val="24"/>
              </w:rPr>
              <w:t>n</w:t>
            </w:r>
          </w:p>
        </w:tc>
        <w:tc>
          <w:tcPr>
            <w:tcW w:w="408" w:type="pct"/>
            <w:shd w:val="clear" w:color="auto" w:fill="auto"/>
            <w:noWrap/>
            <w:vAlign w:val="center"/>
            <w:hideMark/>
          </w:tcPr>
          <w:p w14:paraId="1DC8538F" w14:textId="77777777" w:rsidR="00F377E9" w:rsidRPr="00E10230" w:rsidRDefault="00F377E9" w:rsidP="00E10230">
            <w:pPr>
              <w:spacing w:after="0" w:line="360" w:lineRule="auto"/>
              <w:jc w:val="both"/>
              <w:rPr>
                <w:rFonts w:ascii="Book Antiqua" w:eastAsia="Times New Roman" w:hAnsi="Book Antiqua" w:cs="Arial"/>
                <w:b/>
                <w:bCs/>
                <w:color w:val="000000"/>
                <w:sz w:val="24"/>
                <w:szCs w:val="24"/>
              </w:rPr>
            </w:pPr>
            <w:r w:rsidRPr="00E10230">
              <w:rPr>
                <w:rFonts w:ascii="Book Antiqua" w:eastAsia="Times New Roman" w:hAnsi="Book Antiqua" w:cs="Arial"/>
                <w:b/>
                <w:bCs/>
                <w:color w:val="000000"/>
                <w:sz w:val="24"/>
                <w:szCs w:val="24"/>
              </w:rPr>
              <w:t>%</w:t>
            </w:r>
          </w:p>
        </w:tc>
        <w:tc>
          <w:tcPr>
            <w:tcW w:w="467" w:type="pct"/>
            <w:shd w:val="clear" w:color="auto" w:fill="auto"/>
            <w:noWrap/>
            <w:vAlign w:val="center"/>
            <w:hideMark/>
          </w:tcPr>
          <w:p w14:paraId="293A5A56" w14:textId="6FA56F63" w:rsidR="00F377E9" w:rsidRPr="00E10230" w:rsidRDefault="002E7607" w:rsidP="00E10230">
            <w:pPr>
              <w:spacing w:after="0" w:line="360" w:lineRule="auto"/>
              <w:jc w:val="both"/>
              <w:rPr>
                <w:rFonts w:ascii="Book Antiqua" w:eastAsia="Times New Roman" w:hAnsi="Book Antiqua" w:cs="Arial"/>
                <w:b/>
                <w:bCs/>
                <w:color w:val="000000"/>
                <w:sz w:val="24"/>
                <w:szCs w:val="24"/>
              </w:rPr>
            </w:pPr>
            <w:r w:rsidRPr="002E7607">
              <w:rPr>
                <w:rFonts w:ascii="Book Antiqua" w:eastAsia="Times New Roman" w:hAnsi="Book Antiqua" w:cs="Arial"/>
                <w:bCs/>
                <w:i/>
                <w:color w:val="000000"/>
                <w:sz w:val="24"/>
                <w:szCs w:val="24"/>
              </w:rPr>
              <w:t>n</w:t>
            </w:r>
          </w:p>
        </w:tc>
        <w:tc>
          <w:tcPr>
            <w:tcW w:w="512" w:type="pct"/>
            <w:shd w:val="clear" w:color="auto" w:fill="auto"/>
            <w:noWrap/>
            <w:vAlign w:val="center"/>
            <w:hideMark/>
          </w:tcPr>
          <w:p w14:paraId="3EA8505C" w14:textId="77777777" w:rsidR="00F377E9" w:rsidRPr="00E10230" w:rsidRDefault="00F377E9" w:rsidP="00E10230">
            <w:pPr>
              <w:spacing w:after="0" w:line="360" w:lineRule="auto"/>
              <w:jc w:val="both"/>
              <w:rPr>
                <w:rFonts w:ascii="Book Antiqua" w:eastAsia="Times New Roman" w:hAnsi="Book Antiqua" w:cs="Arial"/>
                <w:b/>
                <w:bCs/>
                <w:color w:val="000000"/>
                <w:sz w:val="24"/>
                <w:szCs w:val="24"/>
              </w:rPr>
            </w:pPr>
            <w:r w:rsidRPr="00E10230">
              <w:rPr>
                <w:rFonts w:ascii="Book Antiqua" w:eastAsia="Times New Roman" w:hAnsi="Book Antiqua" w:cs="Arial"/>
                <w:b/>
                <w:bCs/>
                <w:color w:val="000000"/>
                <w:sz w:val="24"/>
                <w:szCs w:val="24"/>
              </w:rPr>
              <w:t>%</w:t>
            </w:r>
          </w:p>
        </w:tc>
        <w:tc>
          <w:tcPr>
            <w:tcW w:w="520" w:type="pct"/>
            <w:shd w:val="clear" w:color="auto" w:fill="auto"/>
            <w:noWrap/>
            <w:vAlign w:val="center"/>
            <w:hideMark/>
          </w:tcPr>
          <w:p w14:paraId="5A1FBF53" w14:textId="30BFFFE8" w:rsidR="00F377E9" w:rsidRPr="00E10230" w:rsidRDefault="002E7607" w:rsidP="00E10230">
            <w:pPr>
              <w:spacing w:after="0" w:line="360" w:lineRule="auto"/>
              <w:jc w:val="both"/>
              <w:rPr>
                <w:rFonts w:ascii="Book Antiqua" w:eastAsia="Times New Roman" w:hAnsi="Book Antiqua" w:cs="Arial"/>
                <w:b/>
                <w:bCs/>
                <w:color w:val="000000"/>
                <w:sz w:val="24"/>
                <w:szCs w:val="24"/>
              </w:rPr>
            </w:pPr>
            <w:r w:rsidRPr="002E7607">
              <w:rPr>
                <w:rFonts w:ascii="Book Antiqua" w:eastAsia="Times New Roman" w:hAnsi="Book Antiqua" w:cs="Arial"/>
                <w:bCs/>
                <w:i/>
                <w:color w:val="000000"/>
                <w:sz w:val="24"/>
                <w:szCs w:val="24"/>
              </w:rPr>
              <w:t>n</w:t>
            </w:r>
          </w:p>
        </w:tc>
        <w:tc>
          <w:tcPr>
            <w:tcW w:w="460" w:type="pct"/>
            <w:shd w:val="clear" w:color="auto" w:fill="auto"/>
            <w:noWrap/>
            <w:vAlign w:val="center"/>
            <w:hideMark/>
          </w:tcPr>
          <w:p w14:paraId="0EFBAE32" w14:textId="77777777" w:rsidR="00F377E9" w:rsidRPr="00E10230" w:rsidRDefault="00F377E9" w:rsidP="00E10230">
            <w:pPr>
              <w:spacing w:after="0" w:line="360" w:lineRule="auto"/>
              <w:jc w:val="both"/>
              <w:rPr>
                <w:rFonts w:ascii="Book Antiqua" w:eastAsia="Times New Roman" w:hAnsi="Book Antiqua" w:cs="Arial"/>
                <w:b/>
                <w:bCs/>
                <w:color w:val="000000"/>
                <w:sz w:val="24"/>
                <w:szCs w:val="24"/>
              </w:rPr>
            </w:pPr>
            <w:r w:rsidRPr="00E10230">
              <w:rPr>
                <w:rFonts w:ascii="Book Antiqua" w:eastAsia="Times New Roman" w:hAnsi="Book Antiqua" w:cs="Arial"/>
                <w:b/>
                <w:bCs/>
                <w:color w:val="000000"/>
                <w:sz w:val="24"/>
                <w:szCs w:val="24"/>
              </w:rPr>
              <w:t>%</w:t>
            </w:r>
          </w:p>
        </w:tc>
        <w:tc>
          <w:tcPr>
            <w:tcW w:w="520" w:type="pct"/>
            <w:shd w:val="clear" w:color="auto" w:fill="auto"/>
            <w:noWrap/>
            <w:vAlign w:val="center"/>
            <w:hideMark/>
          </w:tcPr>
          <w:p w14:paraId="68565BE0" w14:textId="5239066D" w:rsidR="00F377E9" w:rsidRPr="00E10230" w:rsidRDefault="002E7607" w:rsidP="00E10230">
            <w:pPr>
              <w:spacing w:after="0" w:line="360" w:lineRule="auto"/>
              <w:jc w:val="both"/>
              <w:rPr>
                <w:rFonts w:ascii="Book Antiqua" w:eastAsia="Times New Roman" w:hAnsi="Book Antiqua" w:cs="Arial"/>
                <w:b/>
                <w:bCs/>
                <w:color w:val="000000"/>
                <w:sz w:val="24"/>
                <w:szCs w:val="24"/>
              </w:rPr>
            </w:pPr>
            <w:r w:rsidRPr="002E7607">
              <w:rPr>
                <w:rFonts w:ascii="Book Antiqua" w:eastAsia="Times New Roman" w:hAnsi="Book Antiqua" w:cs="Arial"/>
                <w:bCs/>
                <w:i/>
                <w:color w:val="000000"/>
                <w:sz w:val="24"/>
                <w:szCs w:val="24"/>
              </w:rPr>
              <w:t>n</w:t>
            </w:r>
          </w:p>
        </w:tc>
        <w:tc>
          <w:tcPr>
            <w:tcW w:w="463" w:type="pct"/>
            <w:shd w:val="clear" w:color="auto" w:fill="auto"/>
            <w:noWrap/>
            <w:vAlign w:val="center"/>
            <w:hideMark/>
          </w:tcPr>
          <w:p w14:paraId="540F848E" w14:textId="77777777" w:rsidR="00F377E9" w:rsidRPr="00E10230" w:rsidRDefault="00F377E9" w:rsidP="00E10230">
            <w:pPr>
              <w:spacing w:after="0" w:line="360" w:lineRule="auto"/>
              <w:jc w:val="both"/>
              <w:rPr>
                <w:rFonts w:ascii="Book Antiqua" w:eastAsia="Times New Roman" w:hAnsi="Book Antiqua" w:cs="Arial"/>
                <w:b/>
                <w:bCs/>
                <w:color w:val="000000"/>
                <w:sz w:val="24"/>
                <w:szCs w:val="24"/>
              </w:rPr>
            </w:pPr>
            <w:r w:rsidRPr="00E10230">
              <w:rPr>
                <w:rFonts w:ascii="Book Antiqua" w:eastAsia="Times New Roman" w:hAnsi="Book Antiqua" w:cs="Arial"/>
                <w:b/>
                <w:bCs/>
                <w:color w:val="000000"/>
                <w:sz w:val="24"/>
                <w:szCs w:val="24"/>
              </w:rPr>
              <w:t>%</w:t>
            </w:r>
          </w:p>
        </w:tc>
      </w:tr>
      <w:tr w:rsidR="00F377E9" w:rsidRPr="00E10230" w14:paraId="198A5491" w14:textId="77777777" w:rsidTr="002E7607">
        <w:trPr>
          <w:trHeight w:val="499"/>
          <w:jc w:val="center"/>
        </w:trPr>
        <w:tc>
          <w:tcPr>
            <w:tcW w:w="1079" w:type="pct"/>
            <w:shd w:val="clear" w:color="auto" w:fill="auto"/>
            <w:noWrap/>
            <w:vAlign w:val="center"/>
            <w:hideMark/>
          </w:tcPr>
          <w:p w14:paraId="773431F7"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18-44</w:t>
            </w:r>
          </w:p>
        </w:tc>
        <w:tc>
          <w:tcPr>
            <w:tcW w:w="571" w:type="pct"/>
            <w:shd w:val="clear" w:color="auto" w:fill="auto"/>
            <w:noWrap/>
            <w:vAlign w:val="center"/>
            <w:hideMark/>
          </w:tcPr>
          <w:p w14:paraId="286DD2B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4648</w:t>
            </w:r>
          </w:p>
        </w:tc>
        <w:tc>
          <w:tcPr>
            <w:tcW w:w="408" w:type="pct"/>
            <w:shd w:val="clear" w:color="auto" w:fill="auto"/>
            <w:noWrap/>
            <w:vAlign w:val="center"/>
            <w:hideMark/>
          </w:tcPr>
          <w:p w14:paraId="183A2F7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9.8</w:t>
            </w:r>
          </w:p>
        </w:tc>
        <w:tc>
          <w:tcPr>
            <w:tcW w:w="467" w:type="pct"/>
            <w:shd w:val="clear" w:color="auto" w:fill="auto"/>
            <w:noWrap/>
            <w:vAlign w:val="center"/>
            <w:hideMark/>
          </w:tcPr>
          <w:p w14:paraId="0B3BD8C7"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136</w:t>
            </w:r>
          </w:p>
        </w:tc>
        <w:tc>
          <w:tcPr>
            <w:tcW w:w="512" w:type="pct"/>
            <w:shd w:val="clear" w:color="auto" w:fill="auto"/>
            <w:noWrap/>
            <w:vAlign w:val="center"/>
            <w:hideMark/>
          </w:tcPr>
          <w:p w14:paraId="11F7F707"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16.6</w:t>
            </w:r>
          </w:p>
        </w:tc>
        <w:tc>
          <w:tcPr>
            <w:tcW w:w="520" w:type="pct"/>
            <w:shd w:val="clear" w:color="auto" w:fill="auto"/>
            <w:noWrap/>
            <w:vAlign w:val="center"/>
            <w:hideMark/>
          </w:tcPr>
          <w:p w14:paraId="70CC8BE0"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566</w:t>
            </w:r>
          </w:p>
        </w:tc>
        <w:tc>
          <w:tcPr>
            <w:tcW w:w="460" w:type="pct"/>
            <w:shd w:val="clear" w:color="auto" w:fill="auto"/>
            <w:noWrap/>
            <w:vAlign w:val="center"/>
            <w:hideMark/>
          </w:tcPr>
          <w:p w14:paraId="721F036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14.4</w:t>
            </w:r>
          </w:p>
        </w:tc>
        <w:tc>
          <w:tcPr>
            <w:tcW w:w="520" w:type="pct"/>
            <w:shd w:val="clear" w:color="auto" w:fill="auto"/>
            <w:noWrap/>
            <w:vAlign w:val="center"/>
            <w:hideMark/>
          </w:tcPr>
          <w:p w14:paraId="2AD1E64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479</w:t>
            </w:r>
          </w:p>
        </w:tc>
        <w:tc>
          <w:tcPr>
            <w:tcW w:w="463" w:type="pct"/>
            <w:shd w:val="clear" w:color="auto" w:fill="auto"/>
            <w:noWrap/>
            <w:vAlign w:val="center"/>
            <w:hideMark/>
          </w:tcPr>
          <w:p w14:paraId="517BE844"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11.8</w:t>
            </w:r>
          </w:p>
        </w:tc>
      </w:tr>
      <w:tr w:rsidR="00F377E9" w:rsidRPr="00E10230" w14:paraId="2D01E8E8" w14:textId="77777777" w:rsidTr="002E7607">
        <w:trPr>
          <w:trHeight w:val="499"/>
          <w:jc w:val="center"/>
        </w:trPr>
        <w:tc>
          <w:tcPr>
            <w:tcW w:w="1079" w:type="pct"/>
            <w:shd w:val="clear" w:color="auto" w:fill="auto"/>
            <w:noWrap/>
            <w:vAlign w:val="center"/>
            <w:hideMark/>
          </w:tcPr>
          <w:p w14:paraId="6ADB0CAD"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45-64</w:t>
            </w:r>
          </w:p>
        </w:tc>
        <w:tc>
          <w:tcPr>
            <w:tcW w:w="571" w:type="pct"/>
            <w:shd w:val="clear" w:color="auto" w:fill="auto"/>
            <w:noWrap/>
            <w:vAlign w:val="center"/>
            <w:hideMark/>
          </w:tcPr>
          <w:p w14:paraId="7082260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29350</w:t>
            </w:r>
          </w:p>
        </w:tc>
        <w:tc>
          <w:tcPr>
            <w:tcW w:w="408" w:type="pct"/>
            <w:shd w:val="clear" w:color="auto" w:fill="auto"/>
            <w:noWrap/>
            <w:vAlign w:val="center"/>
            <w:hideMark/>
          </w:tcPr>
          <w:p w14:paraId="4BFAE5CA"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62.1</w:t>
            </w:r>
          </w:p>
        </w:tc>
        <w:tc>
          <w:tcPr>
            <w:tcW w:w="467" w:type="pct"/>
            <w:shd w:val="clear" w:color="auto" w:fill="auto"/>
            <w:noWrap/>
            <w:vAlign w:val="center"/>
            <w:hideMark/>
          </w:tcPr>
          <w:p w14:paraId="734E5637"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471</w:t>
            </w:r>
          </w:p>
        </w:tc>
        <w:tc>
          <w:tcPr>
            <w:tcW w:w="512" w:type="pct"/>
            <w:shd w:val="clear" w:color="auto" w:fill="auto"/>
            <w:noWrap/>
            <w:vAlign w:val="center"/>
            <w:hideMark/>
          </w:tcPr>
          <w:p w14:paraId="1F4E620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57.4</w:t>
            </w:r>
          </w:p>
        </w:tc>
        <w:tc>
          <w:tcPr>
            <w:tcW w:w="520" w:type="pct"/>
            <w:shd w:val="clear" w:color="auto" w:fill="auto"/>
            <w:noWrap/>
            <w:vAlign w:val="center"/>
            <w:hideMark/>
          </w:tcPr>
          <w:p w14:paraId="1D13B60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2196</w:t>
            </w:r>
          </w:p>
        </w:tc>
        <w:tc>
          <w:tcPr>
            <w:tcW w:w="460" w:type="pct"/>
            <w:shd w:val="clear" w:color="auto" w:fill="auto"/>
            <w:noWrap/>
            <w:vAlign w:val="center"/>
            <w:hideMark/>
          </w:tcPr>
          <w:p w14:paraId="183B24A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55.7</w:t>
            </w:r>
          </w:p>
        </w:tc>
        <w:tc>
          <w:tcPr>
            <w:tcW w:w="520" w:type="pct"/>
            <w:shd w:val="clear" w:color="auto" w:fill="auto"/>
            <w:noWrap/>
            <w:vAlign w:val="center"/>
            <w:hideMark/>
          </w:tcPr>
          <w:p w14:paraId="2FFADD8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2600</w:t>
            </w:r>
          </w:p>
        </w:tc>
        <w:tc>
          <w:tcPr>
            <w:tcW w:w="463" w:type="pct"/>
            <w:shd w:val="clear" w:color="auto" w:fill="auto"/>
            <w:noWrap/>
            <w:vAlign w:val="center"/>
            <w:hideMark/>
          </w:tcPr>
          <w:p w14:paraId="46119EB2"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63.7</w:t>
            </w:r>
          </w:p>
        </w:tc>
      </w:tr>
      <w:tr w:rsidR="00F377E9" w:rsidRPr="00E10230" w14:paraId="6FE5EE52" w14:textId="77777777" w:rsidTr="002E7607">
        <w:trPr>
          <w:trHeight w:val="499"/>
          <w:jc w:val="center"/>
        </w:trPr>
        <w:tc>
          <w:tcPr>
            <w:tcW w:w="1079" w:type="pct"/>
            <w:shd w:val="clear" w:color="auto" w:fill="auto"/>
            <w:noWrap/>
            <w:vAlign w:val="center"/>
            <w:hideMark/>
          </w:tcPr>
          <w:p w14:paraId="3D50E8BE"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65-84</w:t>
            </w:r>
          </w:p>
        </w:tc>
        <w:tc>
          <w:tcPr>
            <w:tcW w:w="571" w:type="pct"/>
            <w:shd w:val="clear" w:color="auto" w:fill="auto"/>
            <w:noWrap/>
            <w:vAlign w:val="center"/>
            <w:hideMark/>
          </w:tcPr>
          <w:p w14:paraId="63FDA06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12623</w:t>
            </w:r>
          </w:p>
        </w:tc>
        <w:tc>
          <w:tcPr>
            <w:tcW w:w="408" w:type="pct"/>
            <w:shd w:val="clear" w:color="auto" w:fill="auto"/>
            <w:noWrap/>
            <w:vAlign w:val="center"/>
            <w:hideMark/>
          </w:tcPr>
          <w:p w14:paraId="13FF9864"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26.7</w:t>
            </w:r>
          </w:p>
        </w:tc>
        <w:tc>
          <w:tcPr>
            <w:tcW w:w="467" w:type="pct"/>
            <w:shd w:val="clear" w:color="auto" w:fill="auto"/>
            <w:noWrap/>
            <w:vAlign w:val="center"/>
            <w:hideMark/>
          </w:tcPr>
          <w:p w14:paraId="4F85E94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189</w:t>
            </w:r>
          </w:p>
        </w:tc>
        <w:tc>
          <w:tcPr>
            <w:tcW w:w="512" w:type="pct"/>
            <w:shd w:val="clear" w:color="auto" w:fill="auto"/>
            <w:noWrap/>
            <w:vAlign w:val="center"/>
            <w:hideMark/>
          </w:tcPr>
          <w:p w14:paraId="5F5418E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23.0</w:t>
            </w:r>
          </w:p>
        </w:tc>
        <w:tc>
          <w:tcPr>
            <w:tcW w:w="520" w:type="pct"/>
            <w:shd w:val="clear" w:color="auto" w:fill="auto"/>
            <w:noWrap/>
            <w:vAlign w:val="center"/>
            <w:hideMark/>
          </w:tcPr>
          <w:p w14:paraId="384CE96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996</w:t>
            </w:r>
          </w:p>
        </w:tc>
        <w:tc>
          <w:tcPr>
            <w:tcW w:w="460" w:type="pct"/>
            <w:shd w:val="clear" w:color="auto" w:fill="auto"/>
            <w:noWrap/>
            <w:vAlign w:val="center"/>
            <w:hideMark/>
          </w:tcPr>
          <w:p w14:paraId="79A3F6A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25.3</w:t>
            </w:r>
          </w:p>
        </w:tc>
        <w:tc>
          <w:tcPr>
            <w:tcW w:w="520" w:type="pct"/>
            <w:shd w:val="clear" w:color="auto" w:fill="auto"/>
            <w:noWrap/>
            <w:vAlign w:val="center"/>
            <w:hideMark/>
          </w:tcPr>
          <w:p w14:paraId="223B4342"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888</w:t>
            </w:r>
          </w:p>
        </w:tc>
        <w:tc>
          <w:tcPr>
            <w:tcW w:w="463" w:type="pct"/>
            <w:shd w:val="clear" w:color="auto" w:fill="auto"/>
            <w:noWrap/>
            <w:vAlign w:val="center"/>
            <w:hideMark/>
          </w:tcPr>
          <w:p w14:paraId="569010E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21.8</w:t>
            </w:r>
          </w:p>
        </w:tc>
      </w:tr>
      <w:tr w:rsidR="00F377E9" w:rsidRPr="00E10230" w14:paraId="2D39A9DC" w14:textId="77777777" w:rsidTr="002E7607">
        <w:trPr>
          <w:trHeight w:val="499"/>
          <w:jc w:val="center"/>
        </w:trPr>
        <w:tc>
          <w:tcPr>
            <w:tcW w:w="1079" w:type="pct"/>
            <w:shd w:val="clear" w:color="auto" w:fill="auto"/>
            <w:noWrap/>
            <w:vAlign w:val="center"/>
            <w:hideMark/>
          </w:tcPr>
          <w:p w14:paraId="62F4AFA8"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85+</w:t>
            </w:r>
          </w:p>
        </w:tc>
        <w:tc>
          <w:tcPr>
            <w:tcW w:w="571" w:type="pct"/>
            <w:shd w:val="clear" w:color="auto" w:fill="auto"/>
            <w:noWrap/>
            <w:vAlign w:val="center"/>
            <w:hideMark/>
          </w:tcPr>
          <w:p w14:paraId="6003A13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622</w:t>
            </w:r>
          </w:p>
        </w:tc>
        <w:tc>
          <w:tcPr>
            <w:tcW w:w="408" w:type="pct"/>
            <w:shd w:val="clear" w:color="auto" w:fill="auto"/>
            <w:noWrap/>
            <w:vAlign w:val="center"/>
            <w:hideMark/>
          </w:tcPr>
          <w:p w14:paraId="064C850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1.3</w:t>
            </w:r>
          </w:p>
        </w:tc>
        <w:tc>
          <w:tcPr>
            <w:tcW w:w="467" w:type="pct"/>
            <w:shd w:val="clear" w:color="auto" w:fill="auto"/>
            <w:noWrap/>
            <w:vAlign w:val="center"/>
            <w:hideMark/>
          </w:tcPr>
          <w:p w14:paraId="40978940"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512" w:type="pct"/>
            <w:shd w:val="clear" w:color="auto" w:fill="auto"/>
            <w:noWrap/>
            <w:vAlign w:val="center"/>
            <w:hideMark/>
          </w:tcPr>
          <w:p w14:paraId="107928D4"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520" w:type="pct"/>
            <w:shd w:val="clear" w:color="auto" w:fill="auto"/>
            <w:noWrap/>
            <w:vAlign w:val="center"/>
            <w:hideMark/>
          </w:tcPr>
          <w:p w14:paraId="132018E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122</w:t>
            </w:r>
          </w:p>
        </w:tc>
        <w:tc>
          <w:tcPr>
            <w:tcW w:w="460" w:type="pct"/>
            <w:shd w:val="clear" w:color="auto" w:fill="auto"/>
            <w:noWrap/>
            <w:vAlign w:val="center"/>
            <w:hideMark/>
          </w:tcPr>
          <w:p w14:paraId="5168C94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3.1</w:t>
            </w:r>
          </w:p>
        </w:tc>
        <w:tc>
          <w:tcPr>
            <w:tcW w:w="520" w:type="pct"/>
            <w:shd w:val="clear" w:color="auto" w:fill="auto"/>
            <w:noWrap/>
            <w:vAlign w:val="center"/>
            <w:hideMark/>
          </w:tcPr>
          <w:p w14:paraId="3BFECE2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463" w:type="pct"/>
            <w:shd w:val="clear" w:color="auto" w:fill="auto"/>
            <w:noWrap/>
            <w:vAlign w:val="center"/>
            <w:hideMark/>
          </w:tcPr>
          <w:p w14:paraId="3937D02A"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r>
      <w:tr w:rsidR="00F377E9" w:rsidRPr="00E10230" w14:paraId="703C26E7" w14:textId="77777777" w:rsidTr="002E7607">
        <w:trPr>
          <w:trHeight w:val="499"/>
          <w:jc w:val="center"/>
        </w:trPr>
        <w:tc>
          <w:tcPr>
            <w:tcW w:w="5000" w:type="pct"/>
            <w:gridSpan w:val="9"/>
            <w:shd w:val="clear" w:color="auto" w:fill="auto"/>
            <w:noWrap/>
            <w:vAlign w:val="center"/>
            <w:hideMark/>
          </w:tcPr>
          <w:p w14:paraId="18362528"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Payer</w:t>
            </w:r>
          </w:p>
        </w:tc>
      </w:tr>
      <w:tr w:rsidR="00F377E9" w:rsidRPr="00E10230" w14:paraId="5C2CBCC6" w14:textId="77777777" w:rsidTr="002E7607">
        <w:trPr>
          <w:trHeight w:val="499"/>
          <w:jc w:val="center"/>
        </w:trPr>
        <w:tc>
          <w:tcPr>
            <w:tcW w:w="1079" w:type="pct"/>
            <w:shd w:val="clear" w:color="auto" w:fill="auto"/>
            <w:noWrap/>
            <w:vAlign w:val="center"/>
            <w:hideMark/>
          </w:tcPr>
          <w:p w14:paraId="4EAD4EAC"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Medicare</w:t>
            </w:r>
          </w:p>
        </w:tc>
        <w:tc>
          <w:tcPr>
            <w:tcW w:w="571" w:type="pct"/>
            <w:shd w:val="clear" w:color="auto" w:fill="auto"/>
            <w:noWrap/>
            <w:vAlign w:val="center"/>
            <w:hideMark/>
          </w:tcPr>
          <w:p w14:paraId="69B005E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20002</w:t>
            </w:r>
          </w:p>
        </w:tc>
        <w:tc>
          <w:tcPr>
            <w:tcW w:w="408" w:type="pct"/>
            <w:shd w:val="clear" w:color="auto" w:fill="auto"/>
            <w:noWrap/>
            <w:vAlign w:val="center"/>
            <w:hideMark/>
          </w:tcPr>
          <w:p w14:paraId="20DF84E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42.3</w:t>
            </w:r>
          </w:p>
        </w:tc>
        <w:tc>
          <w:tcPr>
            <w:tcW w:w="467" w:type="pct"/>
            <w:shd w:val="clear" w:color="auto" w:fill="auto"/>
            <w:noWrap/>
            <w:vAlign w:val="center"/>
            <w:hideMark/>
          </w:tcPr>
          <w:p w14:paraId="39FB444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338</w:t>
            </w:r>
          </w:p>
        </w:tc>
        <w:tc>
          <w:tcPr>
            <w:tcW w:w="512" w:type="pct"/>
            <w:shd w:val="clear" w:color="auto" w:fill="auto"/>
            <w:noWrap/>
            <w:vAlign w:val="center"/>
            <w:hideMark/>
          </w:tcPr>
          <w:p w14:paraId="77780D65"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41.2</w:t>
            </w:r>
          </w:p>
        </w:tc>
        <w:tc>
          <w:tcPr>
            <w:tcW w:w="520" w:type="pct"/>
            <w:shd w:val="clear" w:color="auto" w:fill="auto"/>
            <w:noWrap/>
            <w:vAlign w:val="center"/>
            <w:hideMark/>
          </w:tcPr>
          <w:p w14:paraId="53A6CA3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1298</w:t>
            </w:r>
          </w:p>
        </w:tc>
        <w:tc>
          <w:tcPr>
            <w:tcW w:w="460" w:type="pct"/>
            <w:shd w:val="clear" w:color="auto" w:fill="auto"/>
            <w:noWrap/>
            <w:vAlign w:val="center"/>
            <w:hideMark/>
          </w:tcPr>
          <w:p w14:paraId="40A8507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32.9</w:t>
            </w:r>
          </w:p>
        </w:tc>
        <w:tc>
          <w:tcPr>
            <w:tcW w:w="520" w:type="pct"/>
            <w:shd w:val="clear" w:color="auto" w:fill="auto"/>
            <w:noWrap/>
            <w:vAlign w:val="center"/>
            <w:hideMark/>
          </w:tcPr>
          <w:p w14:paraId="1423865A"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1243</w:t>
            </w:r>
          </w:p>
        </w:tc>
        <w:tc>
          <w:tcPr>
            <w:tcW w:w="463" w:type="pct"/>
            <w:shd w:val="clear" w:color="auto" w:fill="auto"/>
            <w:noWrap/>
            <w:vAlign w:val="center"/>
            <w:hideMark/>
          </w:tcPr>
          <w:p w14:paraId="31E5E91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30.5</w:t>
            </w:r>
          </w:p>
        </w:tc>
      </w:tr>
      <w:tr w:rsidR="00F377E9" w:rsidRPr="00E10230" w14:paraId="5EA46476" w14:textId="77777777" w:rsidTr="002E7607">
        <w:trPr>
          <w:trHeight w:val="499"/>
          <w:jc w:val="center"/>
        </w:trPr>
        <w:tc>
          <w:tcPr>
            <w:tcW w:w="1079" w:type="pct"/>
            <w:shd w:val="clear" w:color="auto" w:fill="auto"/>
            <w:noWrap/>
            <w:vAlign w:val="center"/>
            <w:hideMark/>
          </w:tcPr>
          <w:p w14:paraId="3B52DD75"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Medicaid</w:t>
            </w:r>
          </w:p>
        </w:tc>
        <w:tc>
          <w:tcPr>
            <w:tcW w:w="571" w:type="pct"/>
            <w:shd w:val="clear" w:color="auto" w:fill="auto"/>
            <w:noWrap/>
            <w:vAlign w:val="center"/>
            <w:hideMark/>
          </w:tcPr>
          <w:p w14:paraId="7506B00F"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11819</w:t>
            </w:r>
          </w:p>
        </w:tc>
        <w:tc>
          <w:tcPr>
            <w:tcW w:w="408" w:type="pct"/>
            <w:shd w:val="clear" w:color="auto" w:fill="auto"/>
            <w:noWrap/>
            <w:vAlign w:val="center"/>
            <w:hideMark/>
          </w:tcPr>
          <w:p w14:paraId="1C9D387F"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25.0</w:t>
            </w:r>
          </w:p>
        </w:tc>
        <w:tc>
          <w:tcPr>
            <w:tcW w:w="467" w:type="pct"/>
            <w:shd w:val="clear" w:color="auto" w:fill="auto"/>
            <w:noWrap/>
            <w:vAlign w:val="center"/>
            <w:hideMark/>
          </w:tcPr>
          <w:p w14:paraId="568D1C27"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181</w:t>
            </w:r>
          </w:p>
        </w:tc>
        <w:tc>
          <w:tcPr>
            <w:tcW w:w="512" w:type="pct"/>
            <w:shd w:val="clear" w:color="auto" w:fill="auto"/>
            <w:noWrap/>
            <w:vAlign w:val="center"/>
            <w:hideMark/>
          </w:tcPr>
          <w:p w14:paraId="7E7DF0F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22.1</w:t>
            </w:r>
          </w:p>
        </w:tc>
        <w:tc>
          <w:tcPr>
            <w:tcW w:w="520" w:type="pct"/>
            <w:shd w:val="clear" w:color="auto" w:fill="auto"/>
            <w:noWrap/>
            <w:vAlign w:val="center"/>
            <w:hideMark/>
          </w:tcPr>
          <w:p w14:paraId="409203A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639</w:t>
            </w:r>
          </w:p>
        </w:tc>
        <w:tc>
          <w:tcPr>
            <w:tcW w:w="460" w:type="pct"/>
            <w:shd w:val="clear" w:color="auto" w:fill="auto"/>
            <w:noWrap/>
            <w:vAlign w:val="center"/>
            <w:hideMark/>
          </w:tcPr>
          <w:p w14:paraId="3CA3FCD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16.2</w:t>
            </w:r>
          </w:p>
        </w:tc>
        <w:tc>
          <w:tcPr>
            <w:tcW w:w="520" w:type="pct"/>
            <w:shd w:val="clear" w:color="auto" w:fill="auto"/>
            <w:noWrap/>
            <w:vAlign w:val="center"/>
            <w:hideMark/>
          </w:tcPr>
          <w:p w14:paraId="7A2844C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870</w:t>
            </w:r>
          </w:p>
        </w:tc>
        <w:tc>
          <w:tcPr>
            <w:tcW w:w="463" w:type="pct"/>
            <w:shd w:val="clear" w:color="auto" w:fill="auto"/>
            <w:noWrap/>
            <w:vAlign w:val="center"/>
            <w:hideMark/>
          </w:tcPr>
          <w:p w14:paraId="75E49E9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21.3</w:t>
            </w:r>
          </w:p>
        </w:tc>
      </w:tr>
      <w:tr w:rsidR="00F377E9" w:rsidRPr="00E10230" w14:paraId="1F2A9982" w14:textId="77777777" w:rsidTr="002E7607">
        <w:trPr>
          <w:trHeight w:val="499"/>
          <w:jc w:val="center"/>
        </w:trPr>
        <w:tc>
          <w:tcPr>
            <w:tcW w:w="1079" w:type="pct"/>
            <w:shd w:val="clear" w:color="auto" w:fill="auto"/>
            <w:noWrap/>
            <w:vAlign w:val="center"/>
            <w:hideMark/>
          </w:tcPr>
          <w:p w14:paraId="63AEF4D5"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Private insurance</w:t>
            </w:r>
          </w:p>
        </w:tc>
        <w:tc>
          <w:tcPr>
            <w:tcW w:w="571" w:type="pct"/>
            <w:shd w:val="clear" w:color="auto" w:fill="auto"/>
            <w:noWrap/>
            <w:vAlign w:val="center"/>
            <w:hideMark/>
          </w:tcPr>
          <w:p w14:paraId="49F373C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10833</w:t>
            </w:r>
          </w:p>
        </w:tc>
        <w:tc>
          <w:tcPr>
            <w:tcW w:w="408" w:type="pct"/>
            <w:shd w:val="clear" w:color="auto" w:fill="auto"/>
            <w:noWrap/>
            <w:vAlign w:val="center"/>
            <w:hideMark/>
          </w:tcPr>
          <w:p w14:paraId="1BADA8C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22.9</w:t>
            </w:r>
          </w:p>
        </w:tc>
        <w:tc>
          <w:tcPr>
            <w:tcW w:w="467" w:type="pct"/>
            <w:shd w:val="clear" w:color="auto" w:fill="auto"/>
            <w:noWrap/>
            <w:vAlign w:val="center"/>
            <w:hideMark/>
          </w:tcPr>
          <w:p w14:paraId="7030D46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193</w:t>
            </w:r>
          </w:p>
        </w:tc>
        <w:tc>
          <w:tcPr>
            <w:tcW w:w="512" w:type="pct"/>
            <w:shd w:val="clear" w:color="auto" w:fill="auto"/>
            <w:noWrap/>
            <w:vAlign w:val="center"/>
            <w:hideMark/>
          </w:tcPr>
          <w:p w14:paraId="1C52364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23.5</w:t>
            </w:r>
          </w:p>
        </w:tc>
        <w:tc>
          <w:tcPr>
            <w:tcW w:w="520" w:type="pct"/>
            <w:shd w:val="clear" w:color="auto" w:fill="auto"/>
            <w:noWrap/>
            <w:vAlign w:val="center"/>
            <w:hideMark/>
          </w:tcPr>
          <w:p w14:paraId="18F95C8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1271</w:t>
            </w:r>
          </w:p>
        </w:tc>
        <w:tc>
          <w:tcPr>
            <w:tcW w:w="460" w:type="pct"/>
            <w:shd w:val="clear" w:color="auto" w:fill="auto"/>
            <w:noWrap/>
            <w:vAlign w:val="center"/>
            <w:hideMark/>
          </w:tcPr>
          <w:p w14:paraId="315F3787"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32.2</w:t>
            </w:r>
          </w:p>
        </w:tc>
        <w:tc>
          <w:tcPr>
            <w:tcW w:w="520" w:type="pct"/>
            <w:shd w:val="clear" w:color="auto" w:fill="auto"/>
            <w:noWrap/>
            <w:vAlign w:val="center"/>
            <w:hideMark/>
          </w:tcPr>
          <w:p w14:paraId="2CE20E6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1555</w:t>
            </w:r>
          </w:p>
        </w:tc>
        <w:tc>
          <w:tcPr>
            <w:tcW w:w="463" w:type="pct"/>
            <w:shd w:val="clear" w:color="auto" w:fill="auto"/>
            <w:noWrap/>
            <w:vAlign w:val="center"/>
            <w:hideMark/>
          </w:tcPr>
          <w:p w14:paraId="774EA55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38.1</w:t>
            </w:r>
          </w:p>
        </w:tc>
      </w:tr>
      <w:tr w:rsidR="00F377E9" w:rsidRPr="00E10230" w14:paraId="5F24ADBD" w14:textId="77777777" w:rsidTr="002E7607">
        <w:trPr>
          <w:trHeight w:val="499"/>
          <w:jc w:val="center"/>
        </w:trPr>
        <w:tc>
          <w:tcPr>
            <w:tcW w:w="1079" w:type="pct"/>
            <w:shd w:val="clear" w:color="auto" w:fill="auto"/>
            <w:noWrap/>
            <w:vAlign w:val="center"/>
            <w:hideMark/>
          </w:tcPr>
          <w:p w14:paraId="404FD709"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Uninsured</w:t>
            </w:r>
          </w:p>
        </w:tc>
        <w:tc>
          <w:tcPr>
            <w:tcW w:w="571" w:type="pct"/>
            <w:shd w:val="clear" w:color="auto" w:fill="auto"/>
            <w:noWrap/>
            <w:vAlign w:val="center"/>
            <w:hideMark/>
          </w:tcPr>
          <w:p w14:paraId="51F940B2"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2785</w:t>
            </w:r>
          </w:p>
        </w:tc>
        <w:tc>
          <w:tcPr>
            <w:tcW w:w="408" w:type="pct"/>
            <w:shd w:val="clear" w:color="auto" w:fill="auto"/>
            <w:noWrap/>
            <w:vAlign w:val="center"/>
            <w:hideMark/>
          </w:tcPr>
          <w:p w14:paraId="6233D0F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5.9</w:t>
            </w:r>
          </w:p>
        </w:tc>
        <w:tc>
          <w:tcPr>
            <w:tcW w:w="467" w:type="pct"/>
            <w:shd w:val="clear" w:color="auto" w:fill="auto"/>
            <w:noWrap/>
            <w:vAlign w:val="center"/>
            <w:hideMark/>
          </w:tcPr>
          <w:p w14:paraId="78E5826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65</w:t>
            </w:r>
          </w:p>
        </w:tc>
        <w:tc>
          <w:tcPr>
            <w:tcW w:w="512" w:type="pct"/>
            <w:shd w:val="clear" w:color="auto" w:fill="auto"/>
            <w:noWrap/>
            <w:vAlign w:val="center"/>
            <w:hideMark/>
          </w:tcPr>
          <w:p w14:paraId="17C98DD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7.9</w:t>
            </w:r>
          </w:p>
        </w:tc>
        <w:tc>
          <w:tcPr>
            <w:tcW w:w="520" w:type="pct"/>
            <w:shd w:val="clear" w:color="auto" w:fill="auto"/>
            <w:noWrap/>
            <w:vAlign w:val="center"/>
            <w:hideMark/>
          </w:tcPr>
          <w:p w14:paraId="2A53C095"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537</w:t>
            </w:r>
          </w:p>
        </w:tc>
        <w:tc>
          <w:tcPr>
            <w:tcW w:w="460" w:type="pct"/>
            <w:shd w:val="clear" w:color="auto" w:fill="auto"/>
            <w:noWrap/>
            <w:vAlign w:val="center"/>
            <w:hideMark/>
          </w:tcPr>
          <w:p w14:paraId="6A0FEC8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13.6</w:t>
            </w:r>
          </w:p>
        </w:tc>
        <w:tc>
          <w:tcPr>
            <w:tcW w:w="520" w:type="pct"/>
            <w:shd w:val="clear" w:color="auto" w:fill="auto"/>
            <w:noWrap/>
            <w:vAlign w:val="center"/>
            <w:hideMark/>
          </w:tcPr>
          <w:p w14:paraId="7FF2773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237</w:t>
            </w:r>
          </w:p>
        </w:tc>
        <w:tc>
          <w:tcPr>
            <w:tcW w:w="463" w:type="pct"/>
            <w:shd w:val="clear" w:color="auto" w:fill="auto"/>
            <w:noWrap/>
            <w:vAlign w:val="center"/>
            <w:hideMark/>
          </w:tcPr>
          <w:p w14:paraId="13D4A0A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5.8</w:t>
            </w:r>
          </w:p>
        </w:tc>
      </w:tr>
      <w:tr w:rsidR="00F377E9" w:rsidRPr="00E10230" w14:paraId="51CEBC5B" w14:textId="77777777" w:rsidTr="002E7607">
        <w:trPr>
          <w:trHeight w:val="499"/>
          <w:jc w:val="center"/>
        </w:trPr>
        <w:tc>
          <w:tcPr>
            <w:tcW w:w="1079" w:type="pct"/>
            <w:shd w:val="clear" w:color="auto" w:fill="auto"/>
            <w:noWrap/>
            <w:vAlign w:val="center"/>
            <w:hideMark/>
          </w:tcPr>
          <w:p w14:paraId="1D2A21E6"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Other</w:t>
            </w:r>
          </w:p>
        </w:tc>
        <w:tc>
          <w:tcPr>
            <w:tcW w:w="571" w:type="pct"/>
            <w:shd w:val="clear" w:color="auto" w:fill="auto"/>
            <w:noWrap/>
            <w:vAlign w:val="center"/>
            <w:hideMark/>
          </w:tcPr>
          <w:p w14:paraId="7463402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1782</w:t>
            </w:r>
          </w:p>
        </w:tc>
        <w:tc>
          <w:tcPr>
            <w:tcW w:w="408" w:type="pct"/>
            <w:shd w:val="clear" w:color="auto" w:fill="auto"/>
            <w:noWrap/>
            <w:vAlign w:val="center"/>
            <w:hideMark/>
          </w:tcPr>
          <w:p w14:paraId="1EA122F0"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3.8</w:t>
            </w:r>
          </w:p>
        </w:tc>
        <w:tc>
          <w:tcPr>
            <w:tcW w:w="467" w:type="pct"/>
            <w:shd w:val="clear" w:color="auto" w:fill="auto"/>
            <w:noWrap/>
            <w:vAlign w:val="center"/>
            <w:hideMark/>
          </w:tcPr>
          <w:p w14:paraId="26C613F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512" w:type="pct"/>
            <w:shd w:val="clear" w:color="auto" w:fill="auto"/>
            <w:noWrap/>
            <w:vAlign w:val="center"/>
            <w:hideMark/>
          </w:tcPr>
          <w:p w14:paraId="17F8250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520" w:type="pct"/>
            <w:shd w:val="clear" w:color="auto" w:fill="auto"/>
            <w:noWrap/>
            <w:vAlign w:val="center"/>
            <w:hideMark/>
          </w:tcPr>
          <w:p w14:paraId="25B21A0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192</w:t>
            </w:r>
          </w:p>
        </w:tc>
        <w:tc>
          <w:tcPr>
            <w:tcW w:w="460" w:type="pct"/>
            <w:shd w:val="clear" w:color="auto" w:fill="auto"/>
            <w:noWrap/>
            <w:vAlign w:val="center"/>
            <w:hideMark/>
          </w:tcPr>
          <w:p w14:paraId="3C9E0C4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4.9</w:t>
            </w:r>
          </w:p>
        </w:tc>
        <w:tc>
          <w:tcPr>
            <w:tcW w:w="520" w:type="pct"/>
            <w:shd w:val="clear" w:color="auto" w:fill="auto"/>
            <w:noWrap/>
            <w:vAlign w:val="center"/>
            <w:hideMark/>
          </w:tcPr>
          <w:p w14:paraId="164A22C4"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174</w:t>
            </w:r>
          </w:p>
        </w:tc>
        <w:tc>
          <w:tcPr>
            <w:tcW w:w="463" w:type="pct"/>
            <w:shd w:val="clear" w:color="auto" w:fill="auto"/>
            <w:noWrap/>
            <w:vAlign w:val="center"/>
            <w:hideMark/>
          </w:tcPr>
          <w:p w14:paraId="35246F4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4.3</w:t>
            </w:r>
          </w:p>
        </w:tc>
      </w:tr>
      <w:tr w:rsidR="00F377E9" w:rsidRPr="00E10230" w14:paraId="01A4EEEB" w14:textId="77777777" w:rsidTr="002E7607">
        <w:trPr>
          <w:trHeight w:val="499"/>
          <w:jc w:val="center"/>
        </w:trPr>
        <w:tc>
          <w:tcPr>
            <w:tcW w:w="1079" w:type="pct"/>
            <w:shd w:val="clear" w:color="auto" w:fill="auto"/>
            <w:noWrap/>
            <w:vAlign w:val="center"/>
            <w:hideMark/>
          </w:tcPr>
          <w:p w14:paraId="031CD1AB"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Missing</w:t>
            </w:r>
          </w:p>
        </w:tc>
        <w:tc>
          <w:tcPr>
            <w:tcW w:w="571" w:type="pct"/>
            <w:shd w:val="clear" w:color="auto" w:fill="auto"/>
            <w:noWrap/>
            <w:vAlign w:val="center"/>
            <w:hideMark/>
          </w:tcPr>
          <w:p w14:paraId="03A4421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408" w:type="pct"/>
            <w:shd w:val="clear" w:color="auto" w:fill="auto"/>
            <w:noWrap/>
            <w:vAlign w:val="center"/>
            <w:hideMark/>
          </w:tcPr>
          <w:p w14:paraId="4F887CA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467" w:type="pct"/>
            <w:shd w:val="clear" w:color="auto" w:fill="auto"/>
            <w:noWrap/>
            <w:vAlign w:val="center"/>
            <w:hideMark/>
          </w:tcPr>
          <w:p w14:paraId="422396CF"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512" w:type="pct"/>
            <w:shd w:val="clear" w:color="auto" w:fill="auto"/>
            <w:noWrap/>
            <w:vAlign w:val="center"/>
            <w:hideMark/>
          </w:tcPr>
          <w:p w14:paraId="6A5D66E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520" w:type="pct"/>
            <w:shd w:val="clear" w:color="auto" w:fill="auto"/>
            <w:noWrap/>
            <w:vAlign w:val="center"/>
            <w:hideMark/>
          </w:tcPr>
          <w:p w14:paraId="1C42893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460" w:type="pct"/>
            <w:shd w:val="clear" w:color="auto" w:fill="auto"/>
            <w:noWrap/>
            <w:vAlign w:val="center"/>
            <w:hideMark/>
          </w:tcPr>
          <w:p w14:paraId="3F97954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520" w:type="pct"/>
            <w:shd w:val="clear" w:color="auto" w:fill="auto"/>
            <w:noWrap/>
            <w:vAlign w:val="center"/>
            <w:hideMark/>
          </w:tcPr>
          <w:p w14:paraId="35473790"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463" w:type="pct"/>
            <w:shd w:val="clear" w:color="auto" w:fill="auto"/>
            <w:noWrap/>
            <w:vAlign w:val="center"/>
            <w:hideMark/>
          </w:tcPr>
          <w:p w14:paraId="082B569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r>
      <w:tr w:rsidR="00F377E9" w:rsidRPr="00E10230" w14:paraId="36640F14" w14:textId="77777777" w:rsidTr="002E7607">
        <w:trPr>
          <w:trHeight w:val="499"/>
          <w:jc w:val="center"/>
        </w:trPr>
        <w:tc>
          <w:tcPr>
            <w:tcW w:w="5000" w:type="pct"/>
            <w:gridSpan w:val="9"/>
            <w:shd w:val="clear" w:color="auto" w:fill="auto"/>
            <w:noWrap/>
            <w:vAlign w:val="center"/>
            <w:hideMark/>
          </w:tcPr>
          <w:p w14:paraId="2F6E529D"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Bed sizes</w:t>
            </w:r>
          </w:p>
        </w:tc>
      </w:tr>
      <w:tr w:rsidR="00F377E9" w:rsidRPr="00E10230" w14:paraId="591BE8AD" w14:textId="77777777" w:rsidTr="002E7607">
        <w:trPr>
          <w:trHeight w:val="499"/>
          <w:jc w:val="center"/>
        </w:trPr>
        <w:tc>
          <w:tcPr>
            <w:tcW w:w="1079" w:type="pct"/>
            <w:shd w:val="clear" w:color="auto" w:fill="auto"/>
            <w:noWrap/>
            <w:vAlign w:val="center"/>
            <w:hideMark/>
          </w:tcPr>
          <w:p w14:paraId="37A34087"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Small</w:t>
            </w:r>
          </w:p>
        </w:tc>
        <w:tc>
          <w:tcPr>
            <w:tcW w:w="571" w:type="pct"/>
            <w:shd w:val="clear" w:color="auto" w:fill="auto"/>
            <w:noWrap/>
            <w:vAlign w:val="center"/>
            <w:hideMark/>
          </w:tcPr>
          <w:p w14:paraId="0CEF5D81"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4869</w:t>
            </w:r>
          </w:p>
        </w:tc>
        <w:tc>
          <w:tcPr>
            <w:tcW w:w="408" w:type="pct"/>
            <w:shd w:val="clear" w:color="auto" w:fill="auto"/>
            <w:noWrap/>
            <w:vAlign w:val="center"/>
            <w:hideMark/>
          </w:tcPr>
          <w:p w14:paraId="55E2C4E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10.3</w:t>
            </w:r>
          </w:p>
        </w:tc>
        <w:tc>
          <w:tcPr>
            <w:tcW w:w="467" w:type="pct"/>
            <w:shd w:val="clear" w:color="auto" w:fill="auto"/>
            <w:noWrap/>
            <w:vAlign w:val="center"/>
            <w:hideMark/>
          </w:tcPr>
          <w:p w14:paraId="77A89DB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111</w:t>
            </w:r>
          </w:p>
        </w:tc>
        <w:tc>
          <w:tcPr>
            <w:tcW w:w="512" w:type="pct"/>
            <w:shd w:val="clear" w:color="auto" w:fill="auto"/>
            <w:noWrap/>
            <w:vAlign w:val="center"/>
            <w:hideMark/>
          </w:tcPr>
          <w:p w14:paraId="1AB87B5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13.5</w:t>
            </w:r>
          </w:p>
        </w:tc>
        <w:tc>
          <w:tcPr>
            <w:tcW w:w="520" w:type="pct"/>
            <w:shd w:val="clear" w:color="auto" w:fill="auto"/>
            <w:noWrap/>
            <w:vAlign w:val="center"/>
            <w:hideMark/>
          </w:tcPr>
          <w:p w14:paraId="326048B7"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520</w:t>
            </w:r>
          </w:p>
        </w:tc>
        <w:tc>
          <w:tcPr>
            <w:tcW w:w="460" w:type="pct"/>
            <w:shd w:val="clear" w:color="auto" w:fill="auto"/>
            <w:noWrap/>
            <w:vAlign w:val="center"/>
            <w:hideMark/>
          </w:tcPr>
          <w:p w14:paraId="32D2705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13.2</w:t>
            </w:r>
          </w:p>
        </w:tc>
        <w:tc>
          <w:tcPr>
            <w:tcW w:w="520" w:type="pct"/>
            <w:shd w:val="clear" w:color="auto" w:fill="auto"/>
            <w:noWrap/>
            <w:vAlign w:val="center"/>
            <w:hideMark/>
          </w:tcPr>
          <w:p w14:paraId="4E2CADF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55</w:t>
            </w:r>
          </w:p>
        </w:tc>
        <w:tc>
          <w:tcPr>
            <w:tcW w:w="463" w:type="pct"/>
            <w:shd w:val="clear" w:color="auto" w:fill="auto"/>
            <w:noWrap/>
            <w:vAlign w:val="center"/>
            <w:hideMark/>
          </w:tcPr>
          <w:p w14:paraId="231AE04E"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1.3</w:t>
            </w:r>
          </w:p>
        </w:tc>
      </w:tr>
      <w:tr w:rsidR="00F377E9" w:rsidRPr="00E10230" w14:paraId="0E141A53" w14:textId="77777777" w:rsidTr="002E7607">
        <w:trPr>
          <w:trHeight w:val="499"/>
          <w:jc w:val="center"/>
        </w:trPr>
        <w:tc>
          <w:tcPr>
            <w:tcW w:w="1079" w:type="pct"/>
            <w:shd w:val="clear" w:color="auto" w:fill="auto"/>
            <w:noWrap/>
            <w:vAlign w:val="center"/>
            <w:hideMark/>
          </w:tcPr>
          <w:p w14:paraId="1EBA149C"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Medium</w:t>
            </w:r>
          </w:p>
        </w:tc>
        <w:tc>
          <w:tcPr>
            <w:tcW w:w="571" w:type="pct"/>
            <w:shd w:val="clear" w:color="auto" w:fill="auto"/>
            <w:noWrap/>
            <w:vAlign w:val="center"/>
            <w:hideMark/>
          </w:tcPr>
          <w:p w14:paraId="63B55D64"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12046</w:t>
            </w:r>
          </w:p>
        </w:tc>
        <w:tc>
          <w:tcPr>
            <w:tcW w:w="408" w:type="pct"/>
            <w:shd w:val="clear" w:color="auto" w:fill="auto"/>
            <w:noWrap/>
            <w:vAlign w:val="center"/>
            <w:hideMark/>
          </w:tcPr>
          <w:p w14:paraId="3FCCB26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25.5</w:t>
            </w:r>
          </w:p>
        </w:tc>
        <w:tc>
          <w:tcPr>
            <w:tcW w:w="467" w:type="pct"/>
            <w:shd w:val="clear" w:color="auto" w:fill="auto"/>
            <w:noWrap/>
            <w:vAlign w:val="center"/>
            <w:hideMark/>
          </w:tcPr>
          <w:p w14:paraId="2AE5C50F"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167</w:t>
            </w:r>
          </w:p>
        </w:tc>
        <w:tc>
          <w:tcPr>
            <w:tcW w:w="512" w:type="pct"/>
            <w:shd w:val="clear" w:color="auto" w:fill="auto"/>
            <w:noWrap/>
            <w:vAlign w:val="center"/>
            <w:hideMark/>
          </w:tcPr>
          <w:p w14:paraId="4BC5928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20.4</w:t>
            </w:r>
          </w:p>
        </w:tc>
        <w:tc>
          <w:tcPr>
            <w:tcW w:w="520" w:type="pct"/>
            <w:shd w:val="clear" w:color="auto" w:fill="auto"/>
            <w:noWrap/>
            <w:vAlign w:val="center"/>
            <w:hideMark/>
          </w:tcPr>
          <w:p w14:paraId="7593738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1017</w:t>
            </w:r>
          </w:p>
        </w:tc>
        <w:tc>
          <w:tcPr>
            <w:tcW w:w="460" w:type="pct"/>
            <w:shd w:val="clear" w:color="auto" w:fill="auto"/>
            <w:noWrap/>
            <w:vAlign w:val="center"/>
            <w:hideMark/>
          </w:tcPr>
          <w:p w14:paraId="34C4C3A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25.8</w:t>
            </w:r>
          </w:p>
        </w:tc>
        <w:tc>
          <w:tcPr>
            <w:tcW w:w="520" w:type="pct"/>
            <w:shd w:val="clear" w:color="auto" w:fill="auto"/>
            <w:noWrap/>
            <w:vAlign w:val="center"/>
            <w:hideMark/>
          </w:tcPr>
          <w:p w14:paraId="7B920EC4"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861</w:t>
            </w:r>
          </w:p>
        </w:tc>
        <w:tc>
          <w:tcPr>
            <w:tcW w:w="463" w:type="pct"/>
            <w:shd w:val="clear" w:color="auto" w:fill="auto"/>
            <w:noWrap/>
            <w:vAlign w:val="center"/>
            <w:hideMark/>
          </w:tcPr>
          <w:p w14:paraId="2D4D6B24"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21.1</w:t>
            </w:r>
          </w:p>
        </w:tc>
      </w:tr>
      <w:tr w:rsidR="00F377E9" w:rsidRPr="00E10230" w14:paraId="2230F0EE" w14:textId="77777777" w:rsidTr="002E7607">
        <w:trPr>
          <w:trHeight w:val="499"/>
          <w:jc w:val="center"/>
        </w:trPr>
        <w:tc>
          <w:tcPr>
            <w:tcW w:w="1079" w:type="pct"/>
            <w:shd w:val="clear" w:color="auto" w:fill="auto"/>
            <w:noWrap/>
            <w:vAlign w:val="center"/>
            <w:hideMark/>
          </w:tcPr>
          <w:p w14:paraId="34429840"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Large</w:t>
            </w:r>
          </w:p>
        </w:tc>
        <w:tc>
          <w:tcPr>
            <w:tcW w:w="571" w:type="pct"/>
            <w:shd w:val="clear" w:color="auto" w:fill="auto"/>
            <w:noWrap/>
            <w:vAlign w:val="center"/>
            <w:hideMark/>
          </w:tcPr>
          <w:p w14:paraId="79D7AEA1"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30354</w:t>
            </w:r>
          </w:p>
        </w:tc>
        <w:tc>
          <w:tcPr>
            <w:tcW w:w="408" w:type="pct"/>
            <w:shd w:val="clear" w:color="auto" w:fill="auto"/>
            <w:noWrap/>
            <w:vAlign w:val="center"/>
            <w:hideMark/>
          </w:tcPr>
          <w:p w14:paraId="62535F75"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64.2</w:t>
            </w:r>
          </w:p>
        </w:tc>
        <w:tc>
          <w:tcPr>
            <w:tcW w:w="467" w:type="pct"/>
            <w:shd w:val="clear" w:color="auto" w:fill="auto"/>
            <w:noWrap/>
            <w:vAlign w:val="center"/>
            <w:hideMark/>
          </w:tcPr>
          <w:p w14:paraId="3381E6D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543</w:t>
            </w:r>
          </w:p>
        </w:tc>
        <w:tc>
          <w:tcPr>
            <w:tcW w:w="512" w:type="pct"/>
            <w:shd w:val="clear" w:color="auto" w:fill="auto"/>
            <w:noWrap/>
            <w:vAlign w:val="center"/>
            <w:hideMark/>
          </w:tcPr>
          <w:p w14:paraId="1981B00F"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66.1</w:t>
            </w:r>
          </w:p>
        </w:tc>
        <w:tc>
          <w:tcPr>
            <w:tcW w:w="520" w:type="pct"/>
            <w:shd w:val="clear" w:color="auto" w:fill="auto"/>
            <w:noWrap/>
            <w:vAlign w:val="center"/>
            <w:hideMark/>
          </w:tcPr>
          <w:p w14:paraId="1F4BDCC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2405</w:t>
            </w:r>
          </w:p>
        </w:tc>
        <w:tc>
          <w:tcPr>
            <w:tcW w:w="460" w:type="pct"/>
            <w:shd w:val="clear" w:color="auto" w:fill="auto"/>
            <w:noWrap/>
            <w:vAlign w:val="center"/>
            <w:hideMark/>
          </w:tcPr>
          <w:p w14:paraId="3C61BA60"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61.0</w:t>
            </w:r>
          </w:p>
        </w:tc>
        <w:tc>
          <w:tcPr>
            <w:tcW w:w="520" w:type="pct"/>
            <w:shd w:val="clear" w:color="auto" w:fill="auto"/>
            <w:noWrap/>
            <w:vAlign w:val="center"/>
            <w:hideMark/>
          </w:tcPr>
          <w:p w14:paraId="0C37C6E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3163</w:t>
            </w:r>
          </w:p>
        </w:tc>
        <w:tc>
          <w:tcPr>
            <w:tcW w:w="463" w:type="pct"/>
            <w:shd w:val="clear" w:color="auto" w:fill="auto"/>
            <w:noWrap/>
            <w:vAlign w:val="center"/>
            <w:hideMark/>
          </w:tcPr>
          <w:p w14:paraId="52D7219A"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77.5</w:t>
            </w:r>
          </w:p>
        </w:tc>
      </w:tr>
    </w:tbl>
    <w:p w14:paraId="371834BA" w14:textId="6F94096A" w:rsidR="00F377E9" w:rsidRPr="00E10230" w:rsidRDefault="002E7607" w:rsidP="00E10230">
      <w:pPr>
        <w:spacing w:after="0" w:line="360" w:lineRule="auto"/>
        <w:jc w:val="both"/>
        <w:rPr>
          <w:rFonts w:ascii="Book Antiqua" w:hAnsi="Book Antiqua" w:cs="Arial"/>
          <w:b/>
          <w:sz w:val="24"/>
          <w:szCs w:val="24"/>
        </w:rPr>
      </w:pPr>
      <w:r w:rsidRPr="002E7607">
        <w:rPr>
          <w:rFonts w:ascii="Book Antiqua" w:eastAsiaTheme="minorEastAsia" w:hAnsi="Book Antiqua" w:cs="Arial" w:hint="eastAsia"/>
          <w:i/>
          <w:sz w:val="24"/>
          <w:szCs w:val="24"/>
          <w:lang w:eastAsia="zh-CN"/>
        </w:rPr>
        <w:t>n</w:t>
      </w:r>
      <w:r w:rsidR="00DC6490" w:rsidRPr="00E10230">
        <w:rPr>
          <w:rFonts w:ascii="Book Antiqua" w:hAnsi="Book Antiqua" w:cs="Arial"/>
          <w:sz w:val="24"/>
          <w:szCs w:val="24"/>
        </w:rPr>
        <w:t xml:space="preserve">: </w:t>
      </w:r>
      <w:r w:rsidRPr="00E10230">
        <w:rPr>
          <w:rFonts w:ascii="Book Antiqua" w:hAnsi="Book Antiqua" w:cs="Arial"/>
          <w:sz w:val="24"/>
          <w:szCs w:val="24"/>
        </w:rPr>
        <w:t>Number</w:t>
      </w:r>
      <w:r>
        <w:rPr>
          <w:rFonts w:ascii="Book Antiqua" w:eastAsiaTheme="minorEastAsia" w:hAnsi="Book Antiqua" w:cs="Arial" w:hint="eastAsia"/>
          <w:sz w:val="24"/>
          <w:szCs w:val="24"/>
          <w:lang w:eastAsia="zh-CN"/>
        </w:rPr>
        <w:t>;</w:t>
      </w:r>
      <w:r w:rsidR="00DC6490" w:rsidRPr="00E10230">
        <w:rPr>
          <w:rFonts w:ascii="Book Antiqua" w:hAnsi="Book Antiqua" w:cs="Arial"/>
          <w:sz w:val="24"/>
          <w:szCs w:val="24"/>
        </w:rPr>
        <w:t xml:space="preserve"> N/A: Not available</w:t>
      </w:r>
      <w:r>
        <w:rPr>
          <w:rFonts w:ascii="Book Antiqua" w:eastAsiaTheme="minorEastAsia" w:hAnsi="Book Antiqua" w:cs="Arial" w:hint="eastAsia"/>
          <w:sz w:val="24"/>
          <w:szCs w:val="24"/>
          <w:lang w:eastAsia="zh-CN"/>
        </w:rPr>
        <w:t>;</w:t>
      </w:r>
      <w:r w:rsidR="00DC6490" w:rsidRPr="00E10230">
        <w:rPr>
          <w:rFonts w:ascii="Book Antiqua" w:hAnsi="Book Antiqua" w:cs="Arial"/>
          <w:b/>
          <w:sz w:val="24"/>
          <w:szCs w:val="24"/>
        </w:rPr>
        <w:t xml:space="preserve"> </w:t>
      </w:r>
      <w:r w:rsidR="00DC6490" w:rsidRPr="00E10230">
        <w:rPr>
          <w:rFonts w:ascii="Book Antiqua" w:hAnsi="Book Antiqua" w:cs="Arial"/>
          <w:sz w:val="24"/>
          <w:szCs w:val="24"/>
        </w:rPr>
        <w:t>HC: Hepatic coma</w:t>
      </w:r>
      <w:r>
        <w:rPr>
          <w:rFonts w:ascii="Book Antiqua" w:eastAsiaTheme="minorEastAsia" w:hAnsi="Book Antiqua" w:cs="Arial" w:hint="eastAsia"/>
          <w:sz w:val="24"/>
          <w:szCs w:val="24"/>
          <w:lang w:eastAsia="zh-CN"/>
        </w:rPr>
        <w:t>;</w:t>
      </w:r>
      <w:r w:rsidR="00DC6490" w:rsidRPr="00E10230">
        <w:rPr>
          <w:rFonts w:ascii="Book Antiqua" w:hAnsi="Book Antiqua" w:cs="Arial"/>
          <w:sz w:val="24"/>
          <w:szCs w:val="24"/>
        </w:rPr>
        <w:t xml:space="preserve"> SBP: </w:t>
      </w:r>
      <w:r w:rsidRPr="00E10230">
        <w:rPr>
          <w:rFonts w:ascii="Book Antiqua" w:hAnsi="Book Antiqua" w:cs="Arial"/>
          <w:sz w:val="24"/>
          <w:szCs w:val="24"/>
        </w:rPr>
        <w:t xml:space="preserve">Spontaneous </w:t>
      </w:r>
      <w:r w:rsidR="00DC6490" w:rsidRPr="00E10230">
        <w:rPr>
          <w:rFonts w:ascii="Book Antiqua" w:hAnsi="Book Antiqua" w:cs="Arial"/>
          <w:sz w:val="24"/>
          <w:szCs w:val="24"/>
        </w:rPr>
        <w:t>bacterial peritonitis</w:t>
      </w:r>
      <w:r>
        <w:rPr>
          <w:rFonts w:ascii="Book Antiqua" w:eastAsiaTheme="minorEastAsia" w:hAnsi="Book Antiqua" w:cs="Arial" w:hint="eastAsia"/>
          <w:sz w:val="24"/>
          <w:szCs w:val="24"/>
          <w:lang w:eastAsia="zh-CN"/>
        </w:rPr>
        <w:t>;</w:t>
      </w:r>
      <w:r w:rsidR="00DC6490" w:rsidRPr="00E10230">
        <w:rPr>
          <w:rFonts w:ascii="Book Antiqua" w:hAnsi="Book Antiqua" w:cs="Arial"/>
          <w:sz w:val="24"/>
          <w:szCs w:val="24"/>
        </w:rPr>
        <w:t xml:space="preserve"> EV: Esophageal varices</w:t>
      </w:r>
      <w:r>
        <w:rPr>
          <w:rFonts w:ascii="Book Antiqua" w:eastAsiaTheme="minorEastAsia" w:hAnsi="Book Antiqua" w:cs="Arial" w:hint="eastAsia"/>
          <w:sz w:val="24"/>
          <w:szCs w:val="24"/>
          <w:lang w:eastAsia="zh-CN"/>
        </w:rPr>
        <w:t>;</w:t>
      </w:r>
      <w:r w:rsidR="00DC6490" w:rsidRPr="00E10230">
        <w:rPr>
          <w:rFonts w:ascii="Book Antiqua" w:hAnsi="Book Antiqua" w:cs="Arial"/>
          <w:sz w:val="24"/>
          <w:szCs w:val="24"/>
        </w:rPr>
        <w:t xml:space="preserve"> TIPS: </w:t>
      </w:r>
      <w:proofErr w:type="spellStart"/>
      <w:r w:rsidRPr="00E10230">
        <w:rPr>
          <w:rFonts w:ascii="Book Antiqua" w:hAnsi="Book Antiqua" w:cs="Arial"/>
          <w:sz w:val="24"/>
          <w:szCs w:val="24"/>
        </w:rPr>
        <w:t>Transjugular</w:t>
      </w:r>
      <w:proofErr w:type="spellEnd"/>
      <w:r w:rsidRPr="00E10230">
        <w:rPr>
          <w:rFonts w:ascii="Book Antiqua" w:hAnsi="Book Antiqua" w:cs="Arial"/>
          <w:sz w:val="24"/>
          <w:szCs w:val="24"/>
        </w:rPr>
        <w:t xml:space="preserve"> </w:t>
      </w:r>
      <w:r w:rsidR="00DC6490" w:rsidRPr="00E10230">
        <w:rPr>
          <w:rFonts w:ascii="Book Antiqua" w:hAnsi="Book Antiqua" w:cs="Arial"/>
          <w:sz w:val="24"/>
          <w:szCs w:val="24"/>
        </w:rPr>
        <w:t xml:space="preserve">intrahepatic </w:t>
      </w:r>
      <w:r w:rsidR="00CB0883" w:rsidRPr="00E10230">
        <w:rPr>
          <w:rFonts w:ascii="Book Antiqua" w:hAnsi="Book Antiqua" w:cs="Arial"/>
          <w:sz w:val="24"/>
          <w:szCs w:val="24"/>
        </w:rPr>
        <w:t>portosystemic</w:t>
      </w:r>
      <w:r w:rsidR="00DC6490" w:rsidRPr="00E10230">
        <w:rPr>
          <w:rFonts w:ascii="Book Antiqua" w:hAnsi="Book Antiqua" w:cs="Arial"/>
          <w:sz w:val="24"/>
          <w:szCs w:val="24"/>
        </w:rPr>
        <w:t xml:space="preserve"> shunt.</w:t>
      </w:r>
    </w:p>
    <w:p w14:paraId="0CFB5AAA" w14:textId="77777777" w:rsidR="002E7607" w:rsidRDefault="002E7607">
      <w:pPr>
        <w:rPr>
          <w:rFonts w:eastAsiaTheme="minorEastAsia"/>
          <w:lang w:eastAsia="zh-CN"/>
        </w:rPr>
      </w:pPr>
      <w:r>
        <w:br w:type="page"/>
      </w:r>
    </w:p>
    <w:p w14:paraId="093A6BD2" w14:textId="260A9C67" w:rsidR="002E7607" w:rsidRPr="002E7607" w:rsidRDefault="002E7607">
      <w:pPr>
        <w:rPr>
          <w:rFonts w:eastAsiaTheme="minorEastAsia"/>
          <w:lang w:eastAsia="zh-CN"/>
        </w:rPr>
      </w:pPr>
      <w:r w:rsidRPr="00E10230">
        <w:rPr>
          <w:rFonts w:ascii="Book Antiqua" w:hAnsi="Book Antiqua" w:cs="Arial"/>
          <w:b/>
          <w:sz w:val="24"/>
          <w:szCs w:val="24"/>
        </w:rPr>
        <w:lastRenderedPageBreak/>
        <w:t>Table 2</w:t>
      </w:r>
      <w:r w:rsidRPr="002E7607">
        <w:rPr>
          <w:rFonts w:ascii="Book Antiqua" w:hAnsi="Book Antiqua" w:cs="Arial"/>
          <w:b/>
          <w:sz w:val="24"/>
          <w:szCs w:val="24"/>
        </w:rPr>
        <w:t xml:space="preserve"> Number of all discharges, aggregate cost ($), percent of male (%), mean age, age distribution, payer type, bed size</w:t>
      </w:r>
    </w:p>
    <w:tbl>
      <w:tblPr>
        <w:tblW w:w="5000" w:type="pct"/>
        <w:jc w:val="center"/>
        <w:tblBorders>
          <w:top w:val="single" w:sz="4" w:space="0" w:color="auto"/>
          <w:bottom w:val="single" w:sz="4" w:space="0" w:color="auto"/>
        </w:tblBorders>
        <w:tblLook w:val="04A0" w:firstRow="1" w:lastRow="0" w:firstColumn="1" w:lastColumn="0" w:noHBand="0" w:noVBand="1"/>
      </w:tblPr>
      <w:tblGrid>
        <w:gridCol w:w="2067"/>
        <w:gridCol w:w="1171"/>
        <w:gridCol w:w="644"/>
        <w:gridCol w:w="977"/>
        <w:gridCol w:w="859"/>
        <w:gridCol w:w="969"/>
        <w:gridCol w:w="855"/>
        <w:gridCol w:w="966"/>
        <w:gridCol w:w="852"/>
      </w:tblGrid>
      <w:tr w:rsidR="00F377E9" w:rsidRPr="00E10230" w14:paraId="798AA041" w14:textId="77777777" w:rsidTr="002E7607">
        <w:trPr>
          <w:trHeight w:val="474"/>
          <w:jc w:val="center"/>
        </w:trPr>
        <w:tc>
          <w:tcPr>
            <w:tcW w:w="1079" w:type="pct"/>
            <w:tcBorders>
              <w:top w:val="single" w:sz="4" w:space="0" w:color="auto"/>
              <w:bottom w:val="single" w:sz="4" w:space="0" w:color="auto"/>
            </w:tcBorders>
            <w:shd w:val="clear" w:color="auto" w:fill="auto"/>
            <w:noWrap/>
            <w:vAlign w:val="center"/>
            <w:hideMark/>
          </w:tcPr>
          <w:p w14:paraId="36AB8A27" w14:textId="49C7B1C3"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Diagnosis (2014)</w:t>
            </w:r>
          </w:p>
        </w:tc>
        <w:tc>
          <w:tcPr>
            <w:tcW w:w="975" w:type="pct"/>
            <w:gridSpan w:val="2"/>
            <w:tcBorders>
              <w:top w:val="single" w:sz="4" w:space="0" w:color="auto"/>
              <w:bottom w:val="single" w:sz="4" w:space="0" w:color="auto"/>
            </w:tcBorders>
            <w:shd w:val="clear" w:color="auto" w:fill="auto"/>
            <w:noWrap/>
            <w:vAlign w:val="center"/>
            <w:hideMark/>
          </w:tcPr>
          <w:p w14:paraId="6DDFD80D"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HC</w:t>
            </w:r>
          </w:p>
        </w:tc>
        <w:tc>
          <w:tcPr>
            <w:tcW w:w="986" w:type="pct"/>
            <w:gridSpan w:val="2"/>
            <w:tcBorders>
              <w:top w:val="single" w:sz="4" w:space="0" w:color="auto"/>
              <w:bottom w:val="single" w:sz="4" w:space="0" w:color="auto"/>
            </w:tcBorders>
            <w:shd w:val="clear" w:color="auto" w:fill="auto"/>
            <w:noWrap/>
            <w:vAlign w:val="center"/>
            <w:hideMark/>
          </w:tcPr>
          <w:p w14:paraId="3F705B6A"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SBP</w:t>
            </w:r>
          </w:p>
        </w:tc>
        <w:tc>
          <w:tcPr>
            <w:tcW w:w="981" w:type="pct"/>
            <w:gridSpan w:val="2"/>
            <w:tcBorders>
              <w:top w:val="single" w:sz="4" w:space="0" w:color="auto"/>
              <w:bottom w:val="single" w:sz="4" w:space="0" w:color="auto"/>
            </w:tcBorders>
            <w:shd w:val="clear" w:color="auto" w:fill="auto"/>
            <w:noWrap/>
            <w:vAlign w:val="center"/>
            <w:hideMark/>
          </w:tcPr>
          <w:p w14:paraId="546FD28A"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EV</w:t>
            </w:r>
          </w:p>
        </w:tc>
        <w:tc>
          <w:tcPr>
            <w:tcW w:w="978" w:type="pct"/>
            <w:gridSpan w:val="2"/>
            <w:tcBorders>
              <w:top w:val="single" w:sz="4" w:space="0" w:color="auto"/>
              <w:bottom w:val="single" w:sz="4" w:space="0" w:color="auto"/>
            </w:tcBorders>
            <w:shd w:val="clear" w:color="auto" w:fill="auto"/>
            <w:noWrap/>
            <w:vAlign w:val="center"/>
            <w:hideMark/>
          </w:tcPr>
          <w:p w14:paraId="60ECDA96"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TIPS</w:t>
            </w:r>
          </w:p>
        </w:tc>
      </w:tr>
      <w:tr w:rsidR="00F377E9" w:rsidRPr="00E10230" w14:paraId="5440BFEB" w14:textId="77777777" w:rsidTr="002E7607">
        <w:trPr>
          <w:trHeight w:val="497"/>
          <w:jc w:val="center"/>
        </w:trPr>
        <w:tc>
          <w:tcPr>
            <w:tcW w:w="1079" w:type="pct"/>
            <w:tcBorders>
              <w:top w:val="single" w:sz="4" w:space="0" w:color="auto"/>
            </w:tcBorders>
            <w:shd w:val="clear" w:color="auto" w:fill="auto"/>
            <w:noWrap/>
            <w:vAlign w:val="center"/>
            <w:hideMark/>
          </w:tcPr>
          <w:p w14:paraId="5632CFCE"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All discharges</w:t>
            </w:r>
          </w:p>
        </w:tc>
        <w:tc>
          <w:tcPr>
            <w:tcW w:w="975" w:type="pct"/>
            <w:gridSpan w:val="2"/>
            <w:tcBorders>
              <w:top w:val="single" w:sz="4" w:space="0" w:color="auto"/>
            </w:tcBorders>
            <w:shd w:val="clear" w:color="auto" w:fill="auto"/>
            <w:noWrap/>
            <w:vAlign w:val="center"/>
            <w:hideMark/>
          </w:tcPr>
          <w:p w14:paraId="765AE4C7"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80470</w:t>
            </w:r>
          </w:p>
        </w:tc>
        <w:tc>
          <w:tcPr>
            <w:tcW w:w="986" w:type="pct"/>
            <w:gridSpan w:val="2"/>
            <w:tcBorders>
              <w:top w:val="single" w:sz="4" w:space="0" w:color="auto"/>
            </w:tcBorders>
            <w:shd w:val="clear" w:color="auto" w:fill="auto"/>
            <w:noWrap/>
            <w:vAlign w:val="center"/>
            <w:hideMark/>
          </w:tcPr>
          <w:p w14:paraId="1807A96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7545</w:t>
            </w:r>
          </w:p>
        </w:tc>
        <w:tc>
          <w:tcPr>
            <w:tcW w:w="981" w:type="pct"/>
            <w:gridSpan w:val="2"/>
            <w:tcBorders>
              <w:top w:val="single" w:sz="4" w:space="0" w:color="auto"/>
            </w:tcBorders>
            <w:shd w:val="clear" w:color="auto" w:fill="auto"/>
            <w:noWrap/>
            <w:vAlign w:val="center"/>
            <w:hideMark/>
          </w:tcPr>
          <w:p w14:paraId="78FB42E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4305</w:t>
            </w:r>
          </w:p>
        </w:tc>
        <w:tc>
          <w:tcPr>
            <w:tcW w:w="978" w:type="pct"/>
            <w:gridSpan w:val="2"/>
            <w:tcBorders>
              <w:top w:val="single" w:sz="4" w:space="0" w:color="auto"/>
            </w:tcBorders>
            <w:shd w:val="clear" w:color="auto" w:fill="auto"/>
            <w:noWrap/>
            <w:vAlign w:val="center"/>
            <w:hideMark/>
          </w:tcPr>
          <w:p w14:paraId="5A42EB11"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4060</w:t>
            </w:r>
          </w:p>
        </w:tc>
      </w:tr>
      <w:tr w:rsidR="00F377E9" w:rsidRPr="00E10230" w14:paraId="5FCA7B22" w14:textId="77777777" w:rsidTr="002E7607">
        <w:trPr>
          <w:trHeight w:val="497"/>
          <w:jc w:val="center"/>
        </w:trPr>
        <w:tc>
          <w:tcPr>
            <w:tcW w:w="1079" w:type="pct"/>
            <w:shd w:val="clear" w:color="auto" w:fill="auto"/>
            <w:noWrap/>
            <w:vAlign w:val="center"/>
            <w:hideMark/>
          </w:tcPr>
          <w:p w14:paraId="530F84EB" w14:textId="24758308" w:rsidR="00F377E9" w:rsidRPr="002E7607" w:rsidRDefault="00F377E9" w:rsidP="00E10230">
            <w:pPr>
              <w:spacing w:after="0" w:line="360" w:lineRule="auto"/>
              <w:jc w:val="both"/>
              <w:rPr>
                <w:rFonts w:ascii="Book Antiqua" w:eastAsiaTheme="minorEastAsia" w:hAnsi="Book Antiqua" w:cs="Arial"/>
                <w:bCs/>
                <w:color w:val="000000"/>
                <w:sz w:val="24"/>
                <w:szCs w:val="24"/>
                <w:lang w:eastAsia="zh-CN"/>
              </w:rPr>
            </w:pPr>
            <w:r w:rsidRPr="002E7607">
              <w:rPr>
                <w:rFonts w:ascii="Book Antiqua" w:eastAsia="Times New Roman" w:hAnsi="Book Antiqua" w:cs="Arial"/>
                <w:bCs/>
                <w:color w:val="000000"/>
                <w:sz w:val="24"/>
                <w:szCs w:val="24"/>
              </w:rPr>
              <w:t xml:space="preserve">Male </w:t>
            </w:r>
            <w:r w:rsidR="002E7607">
              <w:rPr>
                <w:rFonts w:ascii="Book Antiqua" w:eastAsiaTheme="minorEastAsia" w:hAnsi="Book Antiqua" w:cs="Arial" w:hint="eastAsia"/>
                <w:bCs/>
                <w:color w:val="000000"/>
                <w:sz w:val="24"/>
                <w:szCs w:val="24"/>
                <w:lang w:eastAsia="zh-CN"/>
              </w:rPr>
              <w:t>(</w:t>
            </w:r>
            <w:r w:rsidRPr="002E7607">
              <w:rPr>
                <w:rFonts w:ascii="Book Antiqua" w:eastAsia="Times New Roman" w:hAnsi="Book Antiqua" w:cs="Arial"/>
                <w:bCs/>
                <w:color w:val="000000"/>
                <w:sz w:val="24"/>
                <w:szCs w:val="24"/>
              </w:rPr>
              <w:t>%</w:t>
            </w:r>
            <w:r w:rsidR="002E7607">
              <w:rPr>
                <w:rFonts w:ascii="Book Antiqua" w:eastAsiaTheme="minorEastAsia" w:hAnsi="Book Antiqua" w:cs="Arial" w:hint="eastAsia"/>
                <w:bCs/>
                <w:color w:val="000000"/>
                <w:sz w:val="24"/>
                <w:szCs w:val="24"/>
                <w:lang w:eastAsia="zh-CN"/>
              </w:rPr>
              <w:t>)</w:t>
            </w:r>
          </w:p>
        </w:tc>
        <w:tc>
          <w:tcPr>
            <w:tcW w:w="975" w:type="pct"/>
            <w:gridSpan w:val="2"/>
            <w:shd w:val="clear" w:color="auto" w:fill="auto"/>
            <w:noWrap/>
            <w:vAlign w:val="center"/>
            <w:hideMark/>
          </w:tcPr>
          <w:p w14:paraId="156B107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60.4</w:t>
            </w:r>
          </w:p>
        </w:tc>
        <w:tc>
          <w:tcPr>
            <w:tcW w:w="986" w:type="pct"/>
            <w:gridSpan w:val="2"/>
            <w:shd w:val="clear" w:color="auto" w:fill="auto"/>
            <w:noWrap/>
            <w:vAlign w:val="center"/>
            <w:hideMark/>
          </w:tcPr>
          <w:p w14:paraId="4762E6E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62.5</w:t>
            </w:r>
          </w:p>
        </w:tc>
        <w:tc>
          <w:tcPr>
            <w:tcW w:w="981" w:type="pct"/>
            <w:gridSpan w:val="2"/>
            <w:shd w:val="clear" w:color="auto" w:fill="auto"/>
            <w:noWrap/>
            <w:vAlign w:val="center"/>
            <w:hideMark/>
          </w:tcPr>
          <w:p w14:paraId="38408DDF"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65.5</w:t>
            </w:r>
          </w:p>
        </w:tc>
        <w:tc>
          <w:tcPr>
            <w:tcW w:w="978" w:type="pct"/>
            <w:gridSpan w:val="2"/>
            <w:shd w:val="clear" w:color="auto" w:fill="auto"/>
            <w:noWrap/>
            <w:vAlign w:val="center"/>
            <w:hideMark/>
          </w:tcPr>
          <w:p w14:paraId="1F8F841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64.3</w:t>
            </w:r>
          </w:p>
        </w:tc>
      </w:tr>
      <w:tr w:rsidR="00F377E9" w:rsidRPr="00E10230" w14:paraId="68ED271B" w14:textId="77777777" w:rsidTr="002E7607">
        <w:trPr>
          <w:trHeight w:val="497"/>
          <w:jc w:val="center"/>
        </w:trPr>
        <w:tc>
          <w:tcPr>
            <w:tcW w:w="1079" w:type="pct"/>
            <w:shd w:val="clear" w:color="auto" w:fill="auto"/>
            <w:noWrap/>
            <w:vAlign w:val="center"/>
            <w:hideMark/>
          </w:tcPr>
          <w:p w14:paraId="75E2A3F6"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Age, mean</w:t>
            </w:r>
          </w:p>
        </w:tc>
        <w:tc>
          <w:tcPr>
            <w:tcW w:w="975" w:type="pct"/>
            <w:gridSpan w:val="2"/>
            <w:shd w:val="clear" w:color="auto" w:fill="auto"/>
            <w:noWrap/>
            <w:vAlign w:val="center"/>
            <w:hideMark/>
          </w:tcPr>
          <w:p w14:paraId="12B901B1"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59.7</w:t>
            </w:r>
          </w:p>
        </w:tc>
        <w:tc>
          <w:tcPr>
            <w:tcW w:w="986" w:type="pct"/>
            <w:gridSpan w:val="2"/>
            <w:shd w:val="clear" w:color="auto" w:fill="auto"/>
            <w:noWrap/>
            <w:vAlign w:val="center"/>
            <w:hideMark/>
          </w:tcPr>
          <w:p w14:paraId="5E829760"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56.3</w:t>
            </w:r>
          </w:p>
        </w:tc>
        <w:tc>
          <w:tcPr>
            <w:tcW w:w="981" w:type="pct"/>
            <w:gridSpan w:val="2"/>
            <w:shd w:val="clear" w:color="auto" w:fill="auto"/>
            <w:noWrap/>
            <w:vAlign w:val="center"/>
            <w:hideMark/>
          </w:tcPr>
          <w:p w14:paraId="52F620E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57.0</w:t>
            </w:r>
          </w:p>
        </w:tc>
        <w:tc>
          <w:tcPr>
            <w:tcW w:w="978" w:type="pct"/>
            <w:gridSpan w:val="2"/>
            <w:shd w:val="clear" w:color="auto" w:fill="auto"/>
            <w:noWrap/>
            <w:vAlign w:val="center"/>
            <w:hideMark/>
          </w:tcPr>
          <w:p w14:paraId="475A293F"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56.1</w:t>
            </w:r>
          </w:p>
        </w:tc>
      </w:tr>
      <w:tr w:rsidR="00F377E9" w:rsidRPr="00E10230" w14:paraId="453BF884" w14:textId="77777777" w:rsidTr="002E7607">
        <w:trPr>
          <w:trHeight w:val="497"/>
          <w:jc w:val="center"/>
        </w:trPr>
        <w:tc>
          <w:tcPr>
            <w:tcW w:w="1079" w:type="pct"/>
            <w:shd w:val="clear" w:color="auto" w:fill="auto"/>
            <w:noWrap/>
            <w:vAlign w:val="center"/>
            <w:hideMark/>
          </w:tcPr>
          <w:p w14:paraId="6D02331D"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Age</w:t>
            </w:r>
          </w:p>
        </w:tc>
        <w:tc>
          <w:tcPr>
            <w:tcW w:w="629" w:type="pct"/>
            <w:shd w:val="clear" w:color="auto" w:fill="auto"/>
            <w:noWrap/>
            <w:vAlign w:val="center"/>
            <w:hideMark/>
          </w:tcPr>
          <w:p w14:paraId="086FC67E" w14:textId="0B470C2E" w:rsidR="00F377E9" w:rsidRPr="002E7607" w:rsidRDefault="002E7607" w:rsidP="00E10230">
            <w:pPr>
              <w:spacing w:after="0" w:line="360" w:lineRule="auto"/>
              <w:jc w:val="both"/>
              <w:rPr>
                <w:rFonts w:ascii="Book Antiqua" w:eastAsia="Times New Roman" w:hAnsi="Book Antiqua" w:cs="Arial"/>
                <w:bCs/>
                <w:i/>
                <w:color w:val="000000"/>
                <w:sz w:val="24"/>
                <w:szCs w:val="24"/>
              </w:rPr>
            </w:pPr>
            <w:r w:rsidRPr="002E7607">
              <w:rPr>
                <w:rFonts w:ascii="Book Antiqua" w:eastAsia="Times New Roman" w:hAnsi="Book Antiqua" w:cs="Arial"/>
                <w:bCs/>
                <w:i/>
                <w:color w:val="000000"/>
                <w:sz w:val="24"/>
                <w:szCs w:val="24"/>
              </w:rPr>
              <w:t>n</w:t>
            </w:r>
          </w:p>
        </w:tc>
        <w:tc>
          <w:tcPr>
            <w:tcW w:w="347" w:type="pct"/>
            <w:shd w:val="clear" w:color="auto" w:fill="auto"/>
            <w:noWrap/>
            <w:vAlign w:val="center"/>
            <w:hideMark/>
          </w:tcPr>
          <w:p w14:paraId="431E7311" w14:textId="77777777" w:rsidR="00F377E9" w:rsidRPr="00E10230" w:rsidRDefault="00F377E9" w:rsidP="00E10230">
            <w:pPr>
              <w:spacing w:after="0" w:line="360" w:lineRule="auto"/>
              <w:jc w:val="both"/>
              <w:rPr>
                <w:rFonts w:ascii="Book Antiqua" w:eastAsia="Times New Roman" w:hAnsi="Book Antiqua" w:cs="Arial"/>
                <w:b/>
                <w:bCs/>
                <w:color w:val="000000"/>
                <w:sz w:val="24"/>
                <w:szCs w:val="24"/>
              </w:rPr>
            </w:pPr>
            <w:r w:rsidRPr="00E10230">
              <w:rPr>
                <w:rFonts w:ascii="Book Antiqua" w:eastAsia="Times New Roman" w:hAnsi="Book Antiqua" w:cs="Arial"/>
                <w:b/>
                <w:bCs/>
                <w:color w:val="000000"/>
                <w:sz w:val="24"/>
                <w:szCs w:val="24"/>
              </w:rPr>
              <w:t>%</w:t>
            </w:r>
          </w:p>
        </w:tc>
        <w:tc>
          <w:tcPr>
            <w:tcW w:w="525" w:type="pct"/>
            <w:shd w:val="clear" w:color="auto" w:fill="auto"/>
            <w:noWrap/>
            <w:vAlign w:val="center"/>
            <w:hideMark/>
          </w:tcPr>
          <w:p w14:paraId="02311BDC" w14:textId="1B38D4B1" w:rsidR="00F377E9" w:rsidRPr="002E7607" w:rsidRDefault="002E7607" w:rsidP="00E10230">
            <w:pPr>
              <w:spacing w:after="0" w:line="360" w:lineRule="auto"/>
              <w:jc w:val="both"/>
              <w:rPr>
                <w:rFonts w:ascii="Book Antiqua" w:eastAsia="Times New Roman" w:hAnsi="Book Antiqua" w:cs="Arial"/>
                <w:bCs/>
                <w:i/>
                <w:color w:val="000000"/>
                <w:sz w:val="24"/>
                <w:szCs w:val="24"/>
              </w:rPr>
            </w:pPr>
            <w:r w:rsidRPr="002E7607">
              <w:rPr>
                <w:rFonts w:ascii="Book Antiqua" w:eastAsia="Times New Roman" w:hAnsi="Book Antiqua" w:cs="Arial"/>
                <w:bCs/>
                <w:i/>
                <w:color w:val="000000"/>
                <w:sz w:val="24"/>
                <w:szCs w:val="24"/>
              </w:rPr>
              <w:t>n</w:t>
            </w:r>
          </w:p>
        </w:tc>
        <w:tc>
          <w:tcPr>
            <w:tcW w:w="462" w:type="pct"/>
            <w:shd w:val="clear" w:color="auto" w:fill="auto"/>
            <w:noWrap/>
            <w:vAlign w:val="center"/>
            <w:hideMark/>
          </w:tcPr>
          <w:p w14:paraId="310681BE" w14:textId="77777777" w:rsidR="00F377E9" w:rsidRPr="00E10230" w:rsidRDefault="00F377E9" w:rsidP="00E10230">
            <w:pPr>
              <w:spacing w:after="0" w:line="360" w:lineRule="auto"/>
              <w:jc w:val="both"/>
              <w:rPr>
                <w:rFonts w:ascii="Book Antiqua" w:eastAsia="Times New Roman" w:hAnsi="Book Antiqua" w:cs="Arial"/>
                <w:b/>
                <w:bCs/>
                <w:color w:val="000000"/>
                <w:sz w:val="24"/>
                <w:szCs w:val="24"/>
              </w:rPr>
            </w:pPr>
            <w:r w:rsidRPr="00E10230">
              <w:rPr>
                <w:rFonts w:ascii="Book Antiqua" w:eastAsia="Times New Roman" w:hAnsi="Book Antiqua" w:cs="Arial"/>
                <w:b/>
                <w:bCs/>
                <w:color w:val="000000"/>
                <w:sz w:val="24"/>
                <w:szCs w:val="24"/>
              </w:rPr>
              <w:t>%</w:t>
            </w:r>
          </w:p>
        </w:tc>
        <w:tc>
          <w:tcPr>
            <w:tcW w:w="521" w:type="pct"/>
            <w:shd w:val="clear" w:color="auto" w:fill="auto"/>
            <w:noWrap/>
            <w:vAlign w:val="center"/>
            <w:hideMark/>
          </w:tcPr>
          <w:p w14:paraId="61AC200E" w14:textId="4C8C9B3F" w:rsidR="00F377E9" w:rsidRPr="002E7607" w:rsidRDefault="002E7607" w:rsidP="00E10230">
            <w:pPr>
              <w:spacing w:after="0" w:line="360" w:lineRule="auto"/>
              <w:jc w:val="both"/>
              <w:rPr>
                <w:rFonts w:ascii="Book Antiqua" w:eastAsia="Times New Roman" w:hAnsi="Book Antiqua" w:cs="Arial"/>
                <w:bCs/>
                <w:i/>
                <w:color w:val="000000"/>
                <w:sz w:val="24"/>
                <w:szCs w:val="24"/>
              </w:rPr>
            </w:pPr>
            <w:r w:rsidRPr="002E7607">
              <w:rPr>
                <w:rFonts w:ascii="Book Antiqua" w:eastAsia="Times New Roman" w:hAnsi="Book Antiqua" w:cs="Arial"/>
                <w:bCs/>
                <w:i/>
                <w:color w:val="000000"/>
                <w:sz w:val="24"/>
                <w:szCs w:val="24"/>
              </w:rPr>
              <w:t>n</w:t>
            </w:r>
          </w:p>
        </w:tc>
        <w:tc>
          <w:tcPr>
            <w:tcW w:w="460" w:type="pct"/>
            <w:shd w:val="clear" w:color="auto" w:fill="auto"/>
            <w:noWrap/>
            <w:vAlign w:val="center"/>
            <w:hideMark/>
          </w:tcPr>
          <w:p w14:paraId="23569540" w14:textId="77777777" w:rsidR="00F377E9" w:rsidRPr="00E10230" w:rsidRDefault="00F377E9" w:rsidP="00E10230">
            <w:pPr>
              <w:spacing w:after="0" w:line="360" w:lineRule="auto"/>
              <w:jc w:val="both"/>
              <w:rPr>
                <w:rFonts w:ascii="Book Antiqua" w:eastAsia="Times New Roman" w:hAnsi="Book Antiqua" w:cs="Arial"/>
                <w:b/>
                <w:bCs/>
                <w:color w:val="000000"/>
                <w:sz w:val="24"/>
                <w:szCs w:val="24"/>
              </w:rPr>
            </w:pPr>
            <w:r w:rsidRPr="00E10230">
              <w:rPr>
                <w:rFonts w:ascii="Book Antiqua" w:eastAsia="Times New Roman" w:hAnsi="Book Antiqua" w:cs="Arial"/>
                <w:b/>
                <w:bCs/>
                <w:color w:val="000000"/>
                <w:sz w:val="24"/>
                <w:szCs w:val="24"/>
              </w:rPr>
              <w:t>%</w:t>
            </w:r>
          </w:p>
        </w:tc>
        <w:tc>
          <w:tcPr>
            <w:tcW w:w="519" w:type="pct"/>
            <w:shd w:val="clear" w:color="auto" w:fill="auto"/>
            <w:noWrap/>
            <w:vAlign w:val="center"/>
            <w:hideMark/>
          </w:tcPr>
          <w:p w14:paraId="4BA87BC3" w14:textId="50A4B423" w:rsidR="00F377E9" w:rsidRPr="002E7607" w:rsidRDefault="002E7607" w:rsidP="00E10230">
            <w:pPr>
              <w:spacing w:after="0" w:line="360" w:lineRule="auto"/>
              <w:jc w:val="both"/>
              <w:rPr>
                <w:rFonts w:ascii="Book Antiqua" w:eastAsia="Times New Roman" w:hAnsi="Book Antiqua" w:cs="Arial"/>
                <w:bCs/>
                <w:i/>
                <w:color w:val="000000"/>
                <w:sz w:val="24"/>
                <w:szCs w:val="24"/>
              </w:rPr>
            </w:pPr>
            <w:r w:rsidRPr="002E7607">
              <w:rPr>
                <w:rFonts w:ascii="Book Antiqua" w:eastAsia="Times New Roman" w:hAnsi="Book Antiqua" w:cs="Arial"/>
                <w:bCs/>
                <w:i/>
                <w:color w:val="000000"/>
                <w:sz w:val="24"/>
                <w:szCs w:val="24"/>
              </w:rPr>
              <w:t>n</w:t>
            </w:r>
          </w:p>
        </w:tc>
        <w:tc>
          <w:tcPr>
            <w:tcW w:w="459" w:type="pct"/>
            <w:shd w:val="clear" w:color="auto" w:fill="auto"/>
            <w:noWrap/>
            <w:vAlign w:val="center"/>
            <w:hideMark/>
          </w:tcPr>
          <w:p w14:paraId="19A0B492" w14:textId="77777777" w:rsidR="00F377E9" w:rsidRPr="00E10230" w:rsidRDefault="00F377E9" w:rsidP="00E10230">
            <w:pPr>
              <w:spacing w:after="0" w:line="360" w:lineRule="auto"/>
              <w:jc w:val="both"/>
              <w:rPr>
                <w:rFonts w:ascii="Book Antiqua" w:eastAsia="Times New Roman" w:hAnsi="Book Antiqua" w:cs="Arial"/>
                <w:b/>
                <w:bCs/>
                <w:color w:val="000000"/>
                <w:sz w:val="24"/>
                <w:szCs w:val="24"/>
              </w:rPr>
            </w:pPr>
            <w:r w:rsidRPr="00E10230">
              <w:rPr>
                <w:rFonts w:ascii="Book Antiqua" w:eastAsia="Times New Roman" w:hAnsi="Book Antiqua" w:cs="Arial"/>
                <w:b/>
                <w:bCs/>
                <w:color w:val="000000"/>
                <w:sz w:val="24"/>
                <w:szCs w:val="24"/>
              </w:rPr>
              <w:t>%</w:t>
            </w:r>
          </w:p>
        </w:tc>
      </w:tr>
      <w:tr w:rsidR="00F377E9" w:rsidRPr="00E10230" w14:paraId="1858CDAF" w14:textId="77777777" w:rsidTr="002E7607">
        <w:trPr>
          <w:trHeight w:val="497"/>
          <w:jc w:val="center"/>
        </w:trPr>
        <w:tc>
          <w:tcPr>
            <w:tcW w:w="1079" w:type="pct"/>
            <w:shd w:val="clear" w:color="auto" w:fill="auto"/>
            <w:noWrap/>
            <w:vAlign w:val="center"/>
            <w:hideMark/>
          </w:tcPr>
          <w:p w14:paraId="28B9B1A0"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18-44</w:t>
            </w:r>
          </w:p>
        </w:tc>
        <w:tc>
          <w:tcPr>
            <w:tcW w:w="629" w:type="pct"/>
            <w:shd w:val="clear" w:color="auto" w:fill="auto"/>
            <w:noWrap/>
            <w:vAlign w:val="center"/>
            <w:hideMark/>
          </w:tcPr>
          <w:p w14:paraId="76E0208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5525</w:t>
            </w:r>
          </w:p>
        </w:tc>
        <w:tc>
          <w:tcPr>
            <w:tcW w:w="347" w:type="pct"/>
            <w:shd w:val="clear" w:color="auto" w:fill="auto"/>
            <w:noWrap/>
            <w:vAlign w:val="center"/>
            <w:hideMark/>
          </w:tcPr>
          <w:p w14:paraId="0F4C362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6.9</w:t>
            </w:r>
          </w:p>
        </w:tc>
        <w:tc>
          <w:tcPr>
            <w:tcW w:w="525" w:type="pct"/>
            <w:shd w:val="clear" w:color="auto" w:fill="auto"/>
            <w:noWrap/>
            <w:vAlign w:val="center"/>
            <w:hideMark/>
          </w:tcPr>
          <w:p w14:paraId="79C74E7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945</w:t>
            </w:r>
          </w:p>
        </w:tc>
        <w:tc>
          <w:tcPr>
            <w:tcW w:w="462" w:type="pct"/>
            <w:shd w:val="clear" w:color="auto" w:fill="auto"/>
            <w:noWrap/>
            <w:vAlign w:val="center"/>
            <w:hideMark/>
          </w:tcPr>
          <w:p w14:paraId="6E19F735"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12.5</w:t>
            </w:r>
          </w:p>
        </w:tc>
        <w:tc>
          <w:tcPr>
            <w:tcW w:w="521" w:type="pct"/>
            <w:shd w:val="clear" w:color="auto" w:fill="auto"/>
            <w:noWrap/>
            <w:vAlign w:val="center"/>
            <w:hideMark/>
          </w:tcPr>
          <w:p w14:paraId="752D8D4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600</w:t>
            </w:r>
          </w:p>
        </w:tc>
        <w:tc>
          <w:tcPr>
            <w:tcW w:w="460" w:type="pct"/>
            <w:shd w:val="clear" w:color="auto" w:fill="auto"/>
            <w:noWrap/>
            <w:vAlign w:val="center"/>
            <w:hideMark/>
          </w:tcPr>
          <w:p w14:paraId="6F920C0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13.9</w:t>
            </w:r>
          </w:p>
        </w:tc>
        <w:tc>
          <w:tcPr>
            <w:tcW w:w="519" w:type="pct"/>
            <w:shd w:val="clear" w:color="auto" w:fill="auto"/>
            <w:noWrap/>
            <w:vAlign w:val="center"/>
            <w:hideMark/>
          </w:tcPr>
          <w:p w14:paraId="50E5232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425</w:t>
            </w:r>
          </w:p>
        </w:tc>
        <w:tc>
          <w:tcPr>
            <w:tcW w:w="459" w:type="pct"/>
            <w:shd w:val="clear" w:color="auto" w:fill="auto"/>
            <w:noWrap/>
            <w:vAlign w:val="center"/>
            <w:hideMark/>
          </w:tcPr>
          <w:p w14:paraId="0182F760"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10.5</w:t>
            </w:r>
          </w:p>
        </w:tc>
      </w:tr>
      <w:tr w:rsidR="00F377E9" w:rsidRPr="00E10230" w14:paraId="23A3B77F" w14:textId="77777777" w:rsidTr="002E7607">
        <w:trPr>
          <w:trHeight w:val="497"/>
          <w:jc w:val="center"/>
        </w:trPr>
        <w:tc>
          <w:tcPr>
            <w:tcW w:w="1079" w:type="pct"/>
            <w:shd w:val="clear" w:color="auto" w:fill="auto"/>
            <w:noWrap/>
            <w:vAlign w:val="center"/>
            <w:hideMark/>
          </w:tcPr>
          <w:p w14:paraId="21D761B5"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45-64</w:t>
            </w:r>
          </w:p>
        </w:tc>
        <w:tc>
          <w:tcPr>
            <w:tcW w:w="629" w:type="pct"/>
            <w:shd w:val="clear" w:color="auto" w:fill="auto"/>
            <w:noWrap/>
            <w:vAlign w:val="center"/>
            <w:hideMark/>
          </w:tcPr>
          <w:p w14:paraId="5ECC2565"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50085</w:t>
            </w:r>
          </w:p>
        </w:tc>
        <w:tc>
          <w:tcPr>
            <w:tcW w:w="347" w:type="pct"/>
            <w:shd w:val="clear" w:color="auto" w:fill="auto"/>
            <w:noWrap/>
            <w:vAlign w:val="center"/>
            <w:hideMark/>
          </w:tcPr>
          <w:p w14:paraId="58C3849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62.2</w:t>
            </w:r>
          </w:p>
        </w:tc>
        <w:tc>
          <w:tcPr>
            <w:tcW w:w="525" w:type="pct"/>
            <w:shd w:val="clear" w:color="auto" w:fill="auto"/>
            <w:noWrap/>
            <w:vAlign w:val="center"/>
            <w:hideMark/>
          </w:tcPr>
          <w:p w14:paraId="5FC1B459"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4715</w:t>
            </w:r>
          </w:p>
        </w:tc>
        <w:tc>
          <w:tcPr>
            <w:tcW w:w="462" w:type="pct"/>
            <w:shd w:val="clear" w:color="auto" w:fill="auto"/>
            <w:noWrap/>
            <w:vAlign w:val="center"/>
            <w:hideMark/>
          </w:tcPr>
          <w:p w14:paraId="253095F9"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62.5</w:t>
            </w:r>
          </w:p>
        </w:tc>
        <w:tc>
          <w:tcPr>
            <w:tcW w:w="521" w:type="pct"/>
            <w:shd w:val="clear" w:color="auto" w:fill="auto"/>
            <w:noWrap/>
            <w:vAlign w:val="center"/>
            <w:hideMark/>
          </w:tcPr>
          <w:p w14:paraId="53F62A8D"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2540</w:t>
            </w:r>
          </w:p>
        </w:tc>
        <w:tc>
          <w:tcPr>
            <w:tcW w:w="460" w:type="pct"/>
            <w:shd w:val="clear" w:color="auto" w:fill="auto"/>
            <w:noWrap/>
            <w:vAlign w:val="center"/>
            <w:hideMark/>
          </w:tcPr>
          <w:p w14:paraId="25CB4CCC"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59.0</w:t>
            </w:r>
          </w:p>
        </w:tc>
        <w:tc>
          <w:tcPr>
            <w:tcW w:w="519" w:type="pct"/>
            <w:shd w:val="clear" w:color="auto" w:fill="auto"/>
            <w:noWrap/>
            <w:vAlign w:val="center"/>
            <w:hideMark/>
          </w:tcPr>
          <w:p w14:paraId="034E055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2660</w:t>
            </w:r>
          </w:p>
        </w:tc>
        <w:tc>
          <w:tcPr>
            <w:tcW w:w="459" w:type="pct"/>
            <w:shd w:val="clear" w:color="auto" w:fill="auto"/>
            <w:noWrap/>
            <w:vAlign w:val="center"/>
            <w:hideMark/>
          </w:tcPr>
          <w:p w14:paraId="632F2B79"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65.5</w:t>
            </w:r>
          </w:p>
        </w:tc>
      </w:tr>
      <w:tr w:rsidR="00F377E9" w:rsidRPr="00E10230" w14:paraId="2A35CBD0" w14:textId="77777777" w:rsidTr="002E7607">
        <w:trPr>
          <w:trHeight w:val="497"/>
          <w:jc w:val="center"/>
        </w:trPr>
        <w:tc>
          <w:tcPr>
            <w:tcW w:w="1079" w:type="pct"/>
            <w:shd w:val="clear" w:color="auto" w:fill="auto"/>
            <w:noWrap/>
            <w:vAlign w:val="center"/>
            <w:hideMark/>
          </w:tcPr>
          <w:p w14:paraId="5AC35B40"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65-84</w:t>
            </w:r>
          </w:p>
        </w:tc>
        <w:tc>
          <w:tcPr>
            <w:tcW w:w="629" w:type="pct"/>
            <w:shd w:val="clear" w:color="auto" w:fill="auto"/>
            <w:noWrap/>
            <w:vAlign w:val="center"/>
            <w:hideMark/>
          </w:tcPr>
          <w:p w14:paraId="13909778"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23770</w:t>
            </w:r>
          </w:p>
        </w:tc>
        <w:tc>
          <w:tcPr>
            <w:tcW w:w="347" w:type="pct"/>
            <w:shd w:val="clear" w:color="auto" w:fill="auto"/>
            <w:noWrap/>
            <w:vAlign w:val="center"/>
            <w:hideMark/>
          </w:tcPr>
          <w:p w14:paraId="2D0F9BAE"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29.5</w:t>
            </w:r>
          </w:p>
        </w:tc>
        <w:tc>
          <w:tcPr>
            <w:tcW w:w="525" w:type="pct"/>
            <w:shd w:val="clear" w:color="auto" w:fill="auto"/>
            <w:noWrap/>
            <w:vAlign w:val="center"/>
            <w:hideMark/>
          </w:tcPr>
          <w:p w14:paraId="4AD427D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1680</w:t>
            </w:r>
          </w:p>
        </w:tc>
        <w:tc>
          <w:tcPr>
            <w:tcW w:w="462" w:type="pct"/>
            <w:shd w:val="clear" w:color="auto" w:fill="auto"/>
            <w:noWrap/>
            <w:vAlign w:val="center"/>
            <w:hideMark/>
          </w:tcPr>
          <w:p w14:paraId="48087350"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22.3</w:t>
            </w:r>
          </w:p>
        </w:tc>
        <w:tc>
          <w:tcPr>
            <w:tcW w:w="521" w:type="pct"/>
            <w:shd w:val="clear" w:color="auto" w:fill="auto"/>
            <w:noWrap/>
            <w:vAlign w:val="center"/>
            <w:hideMark/>
          </w:tcPr>
          <w:p w14:paraId="073C9D9B"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1000</w:t>
            </w:r>
          </w:p>
        </w:tc>
        <w:tc>
          <w:tcPr>
            <w:tcW w:w="460" w:type="pct"/>
            <w:shd w:val="clear" w:color="auto" w:fill="auto"/>
            <w:noWrap/>
            <w:vAlign w:val="center"/>
            <w:hideMark/>
          </w:tcPr>
          <w:p w14:paraId="3B76F91C"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23.2</w:t>
            </w:r>
          </w:p>
        </w:tc>
        <w:tc>
          <w:tcPr>
            <w:tcW w:w="519" w:type="pct"/>
            <w:shd w:val="clear" w:color="auto" w:fill="auto"/>
            <w:noWrap/>
            <w:vAlign w:val="center"/>
            <w:hideMark/>
          </w:tcPr>
          <w:p w14:paraId="5E3F6AAE"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885</w:t>
            </w:r>
          </w:p>
        </w:tc>
        <w:tc>
          <w:tcPr>
            <w:tcW w:w="459" w:type="pct"/>
            <w:shd w:val="clear" w:color="auto" w:fill="auto"/>
            <w:noWrap/>
            <w:vAlign w:val="center"/>
            <w:hideMark/>
          </w:tcPr>
          <w:p w14:paraId="41EC884D"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21.8</w:t>
            </w:r>
          </w:p>
        </w:tc>
      </w:tr>
      <w:tr w:rsidR="00F377E9" w:rsidRPr="00E10230" w14:paraId="3BBA0013" w14:textId="77777777" w:rsidTr="002E7607">
        <w:trPr>
          <w:trHeight w:val="497"/>
          <w:jc w:val="center"/>
        </w:trPr>
        <w:tc>
          <w:tcPr>
            <w:tcW w:w="1079" w:type="pct"/>
            <w:shd w:val="clear" w:color="auto" w:fill="auto"/>
            <w:noWrap/>
            <w:vAlign w:val="center"/>
            <w:hideMark/>
          </w:tcPr>
          <w:p w14:paraId="6CD8BC3B"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85+</w:t>
            </w:r>
          </w:p>
        </w:tc>
        <w:tc>
          <w:tcPr>
            <w:tcW w:w="629" w:type="pct"/>
            <w:shd w:val="clear" w:color="auto" w:fill="auto"/>
            <w:noWrap/>
            <w:vAlign w:val="center"/>
            <w:hideMark/>
          </w:tcPr>
          <w:p w14:paraId="51BA2330"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1080</w:t>
            </w:r>
          </w:p>
        </w:tc>
        <w:tc>
          <w:tcPr>
            <w:tcW w:w="347" w:type="pct"/>
            <w:shd w:val="clear" w:color="auto" w:fill="auto"/>
            <w:noWrap/>
            <w:vAlign w:val="center"/>
            <w:hideMark/>
          </w:tcPr>
          <w:p w14:paraId="6CE4B6BC"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1.3</w:t>
            </w:r>
          </w:p>
        </w:tc>
        <w:tc>
          <w:tcPr>
            <w:tcW w:w="525" w:type="pct"/>
            <w:shd w:val="clear" w:color="auto" w:fill="auto"/>
            <w:noWrap/>
            <w:vAlign w:val="center"/>
            <w:hideMark/>
          </w:tcPr>
          <w:p w14:paraId="1D43436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105</w:t>
            </w:r>
          </w:p>
        </w:tc>
        <w:tc>
          <w:tcPr>
            <w:tcW w:w="462" w:type="pct"/>
            <w:shd w:val="clear" w:color="auto" w:fill="auto"/>
            <w:noWrap/>
            <w:vAlign w:val="center"/>
            <w:hideMark/>
          </w:tcPr>
          <w:p w14:paraId="387CCE75"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1.4</w:t>
            </w:r>
          </w:p>
        </w:tc>
        <w:tc>
          <w:tcPr>
            <w:tcW w:w="521" w:type="pct"/>
            <w:shd w:val="clear" w:color="auto" w:fill="auto"/>
            <w:noWrap/>
            <w:vAlign w:val="center"/>
            <w:hideMark/>
          </w:tcPr>
          <w:p w14:paraId="27093FC3"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125</w:t>
            </w:r>
          </w:p>
        </w:tc>
        <w:tc>
          <w:tcPr>
            <w:tcW w:w="460" w:type="pct"/>
            <w:shd w:val="clear" w:color="auto" w:fill="auto"/>
            <w:noWrap/>
            <w:vAlign w:val="center"/>
            <w:hideMark/>
          </w:tcPr>
          <w:p w14:paraId="28DFECD7"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2.9</w:t>
            </w:r>
          </w:p>
        </w:tc>
        <w:tc>
          <w:tcPr>
            <w:tcW w:w="519" w:type="pct"/>
            <w:shd w:val="clear" w:color="auto" w:fill="auto"/>
            <w:noWrap/>
            <w:vAlign w:val="center"/>
            <w:hideMark/>
          </w:tcPr>
          <w:p w14:paraId="318DB525"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N/A</w:t>
            </w:r>
          </w:p>
        </w:tc>
        <w:tc>
          <w:tcPr>
            <w:tcW w:w="459" w:type="pct"/>
            <w:shd w:val="clear" w:color="auto" w:fill="auto"/>
            <w:noWrap/>
            <w:vAlign w:val="center"/>
            <w:hideMark/>
          </w:tcPr>
          <w:p w14:paraId="246B1965"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N/A</w:t>
            </w:r>
          </w:p>
        </w:tc>
      </w:tr>
      <w:tr w:rsidR="00F377E9" w:rsidRPr="00E10230" w14:paraId="783F5821" w14:textId="77777777" w:rsidTr="002E7607">
        <w:trPr>
          <w:trHeight w:val="497"/>
          <w:jc w:val="center"/>
        </w:trPr>
        <w:tc>
          <w:tcPr>
            <w:tcW w:w="5000" w:type="pct"/>
            <w:gridSpan w:val="9"/>
            <w:shd w:val="clear" w:color="auto" w:fill="auto"/>
            <w:noWrap/>
            <w:vAlign w:val="center"/>
            <w:hideMark/>
          </w:tcPr>
          <w:p w14:paraId="69A19E35"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Payer</w:t>
            </w:r>
          </w:p>
        </w:tc>
      </w:tr>
      <w:tr w:rsidR="00F377E9" w:rsidRPr="00E10230" w14:paraId="4E6EC023" w14:textId="77777777" w:rsidTr="002E7607">
        <w:trPr>
          <w:trHeight w:val="497"/>
          <w:jc w:val="center"/>
        </w:trPr>
        <w:tc>
          <w:tcPr>
            <w:tcW w:w="1079" w:type="pct"/>
            <w:shd w:val="clear" w:color="auto" w:fill="auto"/>
            <w:noWrap/>
            <w:vAlign w:val="center"/>
            <w:hideMark/>
          </w:tcPr>
          <w:p w14:paraId="3124D403"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Medicare</w:t>
            </w:r>
          </w:p>
        </w:tc>
        <w:tc>
          <w:tcPr>
            <w:tcW w:w="629" w:type="pct"/>
            <w:shd w:val="clear" w:color="auto" w:fill="auto"/>
            <w:noWrap/>
            <w:vAlign w:val="center"/>
            <w:hideMark/>
          </w:tcPr>
          <w:p w14:paraId="6CE651D3"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38995</w:t>
            </w:r>
          </w:p>
        </w:tc>
        <w:tc>
          <w:tcPr>
            <w:tcW w:w="347" w:type="pct"/>
            <w:shd w:val="clear" w:color="auto" w:fill="auto"/>
            <w:noWrap/>
            <w:vAlign w:val="center"/>
            <w:hideMark/>
          </w:tcPr>
          <w:p w14:paraId="5ADE0A9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48.5</w:t>
            </w:r>
          </w:p>
        </w:tc>
        <w:tc>
          <w:tcPr>
            <w:tcW w:w="525" w:type="pct"/>
            <w:shd w:val="clear" w:color="auto" w:fill="auto"/>
            <w:noWrap/>
            <w:vAlign w:val="center"/>
            <w:hideMark/>
          </w:tcPr>
          <w:p w14:paraId="1348C495"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3005</w:t>
            </w:r>
          </w:p>
        </w:tc>
        <w:tc>
          <w:tcPr>
            <w:tcW w:w="462" w:type="pct"/>
            <w:shd w:val="clear" w:color="auto" w:fill="auto"/>
            <w:noWrap/>
            <w:vAlign w:val="center"/>
            <w:hideMark/>
          </w:tcPr>
          <w:p w14:paraId="69AA426C"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39.8</w:t>
            </w:r>
          </w:p>
        </w:tc>
        <w:tc>
          <w:tcPr>
            <w:tcW w:w="521" w:type="pct"/>
            <w:shd w:val="clear" w:color="auto" w:fill="auto"/>
            <w:noWrap/>
            <w:vAlign w:val="center"/>
            <w:hideMark/>
          </w:tcPr>
          <w:p w14:paraId="43C30F36"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1445</w:t>
            </w:r>
          </w:p>
        </w:tc>
        <w:tc>
          <w:tcPr>
            <w:tcW w:w="460" w:type="pct"/>
            <w:shd w:val="clear" w:color="auto" w:fill="auto"/>
            <w:noWrap/>
            <w:vAlign w:val="center"/>
            <w:hideMark/>
          </w:tcPr>
          <w:p w14:paraId="2D2B6CA0"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33.6</w:t>
            </w:r>
          </w:p>
        </w:tc>
        <w:tc>
          <w:tcPr>
            <w:tcW w:w="519" w:type="pct"/>
            <w:shd w:val="clear" w:color="auto" w:fill="auto"/>
            <w:noWrap/>
            <w:vAlign w:val="center"/>
            <w:hideMark/>
          </w:tcPr>
          <w:p w14:paraId="75F3001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1455</w:t>
            </w:r>
          </w:p>
        </w:tc>
        <w:tc>
          <w:tcPr>
            <w:tcW w:w="459" w:type="pct"/>
            <w:shd w:val="clear" w:color="auto" w:fill="auto"/>
            <w:noWrap/>
            <w:vAlign w:val="center"/>
            <w:hideMark/>
          </w:tcPr>
          <w:p w14:paraId="0656E3D3"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35.8</w:t>
            </w:r>
          </w:p>
        </w:tc>
      </w:tr>
      <w:tr w:rsidR="00F377E9" w:rsidRPr="00E10230" w14:paraId="5258CC77" w14:textId="77777777" w:rsidTr="002E7607">
        <w:trPr>
          <w:trHeight w:val="497"/>
          <w:jc w:val="center"/>
        </w:trPr>
        <w:tc>
          <w:tcPr>
            <w:tcW w:w="1079" w:type="pct"/>
            <w:shd w:val="clear" w:color="auto" w:fill="auto"/>
            <w:noWrap/>
            <w:vAlign w:val="center"/>
            <w:hideMark/>
          </w:tcPr>
          <w:p w14:paraId="09CDD82F"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Medicaid</w:t>
            </w:r>
          </w:p>
        </w:tc>
        <w:tc>
          <w:tcPr>
            <w:tcW w:w="629" w:type="pct"/>
            <w:shd w:val="clear" w:color="auto" w:fill="auto"/>
            <w:noWrap/>
            <w:vAlign w:val="center"/>
            <w:hideMark/>
          </w:tcPr>
          <w:p w14:paraId="38EB31E8"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19545</w:t>
            </w:r>
          </w:p>
        </w:tc>
        <w:tc>
          <w:tcPr>
            <w:tcW w:w="347" w:type="pct"/>
            <w:shd w:val="clear" w:color="auto" w:fill="auto"/>
            <w:noWrap/>
            <w:vAlign w:val="center"/>
            <w:hideMark/>
          </w:tcPr>
          <w:p w14:paraId="31E658EA"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24.3</w:t>
            </w:r>
          </w:p>
        </w:tc>
        <w:tc>
          <w:tcPr>
            <w:tcW w:w="525" w:type="pct"/>
            <w:shd w:val="clear" w:color="auto" w:fill="auto"/>
            <w:noWrap/>
            <w:vAlign w:val="center"/>
            <w:hideMark/>
          </w:tcPr>
          <w:p w14:paraId="6CEDD55B"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2005</w:t>
            </w:r>
          </w:p>
        </w:tc>
        <w:tc>
          <w:tcPr>
            <w:tcW w:w="462" w:type="pct"/>
            <w:shd w:val="clear" w:color="auto" w:fill="auto"/>
            <w:noWrap/>
            <w:vAlign w:val="center"/>
            <w:hideMark/>
          </w:tcPr>
          <w:p w14:paraId="7B1F07C7"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26.6</w:t>
            </w:r>
          </w:p>
        </w:tc>
        <w:tc>
          <w:tcPr>
            <w:tcW w:w="521" w:type="pct"/>
            <w:shd w:val="clear" w:color="auto" w:fill="auto"/>
            <w:noWrap/>
            <w:vAlign w:val="center"/>
            <w:hideMark/>
          </w:tcPr>
          <w:p w14:paraId="707A6A15"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985</w:t>
            </w:r>
          </w:p>
        </w:tc>
        <w:tc>
          <w:tcPr>
            <w:tcW w:w="460" w:type="pct"/>
            <w:shd w:val="clear" w:color="auto" w:fill="auto"/>
            <w:noWrap/>
            <w:vAlign w:val="center"/>
            <w:hideMark/>
          </w:tcPr>
          <w:p w14:paraId="23448D29"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22.9</w:t>
            </w:r>
          </w:p>
        </w:tc>
        <w:tc>
          <w:tcPr>
            <w:tcW w:w="519" w:type="pct"/>
            <w:shd w:val="clear" w:color="auto" w:fill="auto"/>
            <w:noWrap/>
            <w:vAlign w:val="center"/>
            <w:hideMark/>
          </w:tcPr>
          <w:p w14:paraId="17E8162B"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990</w:t>
            </w:r>
          </w:p>
        </w:tc>
        <w:tc>
          <w:tcPr>
            <w:tcW w:w="459" w:type="pct"/>
            <w:shd w:val="clear" w:color="auto" w:fill="auto"/>
            <w:noWrap/>
            <w:vAlign w:val="center"/>
            <w:hideMark/>
          </w:tcPr>
          <w:p w14:paraId="3DA732E8"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24.4</w:t>
            </w:r>
          </w:p>
        </w:tc>
      </w:tr>
      <w:tr w:rsidR="00F377E9" w:rsidRPr="00E10230" w14:paraId="049CBA20" w14:textId="77777777" w:rsidTr="002E7607">
        <w:trPr>
          <w:trHeight w:val="497"/>
          <w:jc w:val="center"/>
        </w:trPr>
        <w:tc>
          <w:tcPr>
            <w:tcW w:w="1079" w:type="pct"/>
            <w:shd w:val="clear" w:color="auto" w:fill="auto"/>
            <w:noWrap/>
            <w:vAlign w:val="center"/>
            <w:hideMark/>
          </w:tcPr>
          <w:p w14:paraId="33A8D76F"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Private insurance</w:t>
            </w:r>
          </w:p>
        </w:tc>
        <w:tc>
          <w:tcPr>
            <w:tcW w:w="629" w:type="pct"/>
            <w:shd w:val="clear" w:color="auto" w:fill="auto"/>
            <w:noWrap/>
            <w:vAlign w:val="center"/>
            <w:hideMark/>
          </w:tcPr>
          <w:p w14:paraId="6F5D8DDF"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15745</w:t>
            </w:r>
          </w:p>
        </w:tc>
        <w:tc>
          <w:tcPr>
            <w:tcW w:w="347" w:type="pct"/>
            <w:shd w:val="clear" w:color="auto" w:fill="auto"/>
            <w:noWrap/>
            <w:vAlign w:val="center"/>
            <w:hideMark/>
          </w:tcPr>
          <w:p w14:paraId="731887F7"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19.6</w:t>
            </w:r>
          </w:p>
        </w:tc>
        <w:tc>
          <w:tcPr>
            <w:tcW w:w="525" w:type="pct"/>
            <w:shd w:val="clear" w:color="auto" w:fill="auto"/>
            <w:noWrap/>
            <w:vAlign w:val="center"/>
            <w:hideMark/>
          </w:tcPr>
          <w:p w14:paraId="0F24F490"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1940</w:t>
            </w:r>
          </w:p>
        </w:tc>
        <w:tc>
          <w:tcPr>
            <w:tcW w:w="462" w:type="pct"/>
            <w:shd w:val="clear" w:color="auto" w:fill="auto"/>
            <w:noWrap/>
            <w:vAlign w:val="center"/>
            <w:hideMark/>
          </w:tcPr>
          <w:p w14:paraId="17C6E619"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25.7</w:t>
            </w:r>
          </w:p>
        </w:tc>
        <w:tc>
          <w:tcPr>
            <w:tcW w:w="521" w:type="pct"/>
            <w:shd w:val="clear" w:color="auto" w:fill="auto"/>
            <w:noWrap/>
            <w:vAlign w:val="center"/>
            <w:hideMark/>
          </w:tcPr>
          <w:p w14:paraId="4475FFE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1225</w:t>
            </w:r>
          </w:p>
        </w:tc>
        <w:tc>
          <w:tcPr>
            <w:tcW w:w="460" w:type="pct"/>
            <w:shd w:val="clear" w:color="auto" w:fill="auto"/>
            <w:noWrap/>
            <w:vAlign w:val="center"/>
            <w:hideMark/>
          </w:tcPr>
          <w:p w14:paraId="7DE660C8"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28.5</w:t>
            </w:r>
          </w:p>
        </w:tc>
        <w:tc>
          <w:tcPr>
            <w:tcW w:w="519" w:type="pct"/>
            <w:shd w:val="clear" w:color="auto" w:fill="auto"/>
            <w:noWrap/>
            <w:vAlign w:val="center"/>
            <w:hideMark/>
          </w:tcPr>
          <w:p w14:paraId="0A1BD72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1200</w:t>
            </w:r>
          </w:p>
        </w:tc>
        <w:tc>
          <w:tcPr>
            <w:tcW w:w="459" w:type="pct"/>
            <w:shd w:val="clear" w:color="auto" w:fill="auto"/>
            <w:noWrap/>
            <w:vAlign w:val="center"/>
            <w:hideMark/>
          </w:tcPr>
          <w:p w14:paraId="69192491"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29.6</w:t>
            </w:r>
          </w:p>
        </w:tc>
      </w:tr>
      <w:tr w:rsidR="00F377E9" w:rsidRPr="00E10230" w14:paraId="6C28EF4E" w14:textId="77777777" w:rsidTr="002E7607">
        <w:trPr>
          <w:trHeight w:val="497"/>
          <w:jc w:val="center"/>
        </w:trPr>
        <w:tc>
          <w:tcPr>
            <w:tcW w:w="1079" w:type="pct"/>
            <w:shd w:val="clear" w:color="auto" w:fill="auto"/>
            <w:noWrap/>
            <w:vAlign w:val="center"/>
            <w:hideMark/>
          </w:tcPr>
          <w:p w14:paraId="0B9D233D"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Uninsured</w:t>
            </w:r>
          </w:p>
        </w:tc>
        <w:tc>
          <w:tcPr>
            <w:tcW w:w="629" w:type="pct"/>
            <w:shd w:val="clear" w:color="auto" w:fill="auto"/>
            <w:noWrap/>
            <w:vAlign w:val="center"/>
            <w:hideMark/>
          </w:tcPr>
          <w:p w14:paraId="265D84D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3240</w:t>
            </w:r>
          </w:p>
        </w:tc>
        <w:tc>
          <w:tcPr>
            <w:tcW w:w="347" w:type="pct"/>
            <w:shd w:val="clear" w:color="auto" w:fill="auto"/>
            <w:noWrap/>
            <w:vAlign w:val="center"/>
            <w:hideMark/>
          </w:tcPr>
          <w:p w14:paraId="6CBD45D3"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4.0</w:t>
            </w:r>
          </w:p>
        </w:tc>
        <w:tc>
          <w:tcPr>
            <w:tcW w:w="525" w:type="pct"/>
            <w:shd w:val="clear" w:color="auto" w:fill="auto"/>
            <w:noWrap/>
            <w:vAlign w:val="center"/>
            <w:hideMark/>
          </w:tcPr>
          <w:p w14:paraId="342CB22E"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360</w:t>
            </w:r>
          </w:p>
        </w:tc>
        <w:tc>
          <w:tcPr>
            <w:tcW w:w="462" w:type="pct"/>
            <w:shd w:val="clear" w:color="auto" w:fill="auto"/>
            <w:noWrap/>
            <w:vAlign w:val="center"/>
            <w:hideMark/>
          </w:tcPr>
          <w:p w14:paraId="31BC525F"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4.8</w:t>
            </w:r>
          </w:p>
        </w:tc>
        <w:tc>
          <w:tcPr>
            <w:tcW w:w="521" w:type="pct"/>
            <w:shd w:val="clear" w:color="auto" w:fill="auto"/>
            <w:noWrap/>
            <w:vAlign w:val="center"/>
            <w:hideMark/>
          </w:tcPr>
          <w:p w14:paraId="20B0E12D"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470</w:t>
            </w:r>
          </w:p>
        </w:tc>
        <w:tc>
          <w:tcPr>
            <w:tcW w:w="460" w:type="pct"/>
            <w:shd w:val="clear" w:color="auto" w:fill="auto"/>
            <w:noWrap/>
            <w:vAlign w:val="center"/>
            <w:hideMark/>
          </w:tcPr>
          <w:p w14:paraId="3CBB4CF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10.9</w:t>
            </w:r>
          </w:p>
        </w:tc>
        <w:tc>
          <w:tcPr>
            <w:tcW w:w="519" w:type="pct"/>
            <w:shd w:val="clear" w:color="auto" w:fill="auto"/>
            <w:noWrap/>
            <w:vAlign w:val="center"/>
            <w:hideMark/>
          </w:tcPr>
          <w:p w14:paraId="7883B255"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270</w:t>
            </w:r>
          </w:p>
        </w:tc>
        <w:tc>
          <w:tcPr>
            <w:tcW w:w="459" w:type="pct"/>
            <w:shd w:val="clear" w:color="auto" w:fill="auto"/>
            <w:noWrap/>
            <w:vAlign w:val="center"/>
            <w:hideMark/>
          </w:tcPr>
          <w:p w14:paraId="6F5D5F96"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6.7</w:t>
            </w:r>
          </w:p>
        </w:tc>
      </w:tr>
      <w:tr w:rsidR="00F377E9" w:rsidRPr="00E10230" w14:paraId="22B8ECDD" w14:textId="77777777" w:rsidTr="002E7607">
        <w:trPr>
          <w:trHeight w:val="497"/>
          <w:jc w:val="center"/>
        </w:trPr>
        <w:tc>
          <w:tcPr>
            <w:tcW w:w="1079" w:type="pct"/>
            <w:shd w:val="clear" w:color="auto" w:fill="auto"/>
            <w:noWrap/>
            <w:vAlign w:val="center"/>
            <w:hideMark/>
          </w:tcPr>
          <w:p w14:paraId="7971803D"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Other</w:t>
            </w:r>
          </w:p>
        </w:tc>
        <w:tc>
          <w:tcPr>
            <w:tcW w:w="629" w:type="pct"/>
            <w:shd w:val="clear" w:color="auto" w:fill="auto"/>
            <w:noWrap/>
            <w:vAlign w:val="center"/>
            <w:hideMark/>
          </w:tcPr>
          <w:p w14:paraId="12519C93"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2715</w:t>
            </w:r>
          </w:p>
        </w:tc>
        <w:tc>
          <w:tcPr>
            <w:tcW w:w="347" w:type="pct"/>
            <w:shd w:val="clear" w:color="auto" w:fill="auto"/>
            <w:noWrap/>
            <w:vAlign w:val="center"/>
            <w:hideMark/>
          </w:tcPr>
          <w:p w14:paraId="5FF062FB"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3.4</w:t>
            </w:r>
          </w:p>
        </w:tc>
        <w:tc>
          <w:tcPr>
            <w:tcW w:w="525" w:type="pct"/>
            <w:shd w:val="clear" w:color="auto" w:fill="auto"/>
            <w:noWrap/>
            <w:vAlign w:val="center"/>
            <w:hideMark/>
          </w:tcPr>
          <w:p w14:paraId="24121E23"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220</w:t>
            </w:r>
          </w:p>
        </w:tc>
        <w:tc>
          <w:tcPr>
            <w:tcW w:w="462" w:type="pct"/>
            <w:shd w:val="clear" w:color="auto" w:fill="auto"/>
            <w:noWrap/>
            <w:vAlign w:val="center"/>
            <w:hideMark/>
          </w:tcPr>
          <w:p w14:paraId="661AEE38"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2.9</w:t>
            </w:r>
          </w:p>
        </w:tc>
        <w:tc>
          <w:tcPr>
            <w:tcW w:w="521" w:type="pct"/>
            <w:shd w:val="clear" w:color="auto" w:fill="auto"/>
            <w:noWrap/>
            <w:vAlign w:val="center"/>
            <w:hideMark/>
          </w:tcPr>
          <w:p w14:paraId="3231BB7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175</w:t>
            </w:r>
          </w:p>
        </w:tc>
        <w:tc>
          <w:tcPr>
            <w:tcW w:w="460" w:type="pct"/>
            <w:shd w:val="clear" w:color="auto" w:fill="auto"/>
            <w:noWrap/>
            <w:vAlign w:val="center"/>
            <w:hideMark/>
          </w:tcPr>
          <w:p w14:paraId="38F1143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4.1</w:t>
            </w:r>
          </w:p>
        </w:tc>
        <w:tc>
          <w:tcPr>
            <w:tcW w:w="519" w:type="pct"/>
            <w:shd w:val="clear" w:color="auto" w:fill="auto"/>
            <w:noWrap/>
            <w:vAlign w:val="center"/>
            <w:hideMark/>
          </w:tcPr>
          <w:p w14:paraId="13A0D82C"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125</w:t>
            </w:r>
          </w:p>
        </w:tc>
        <w:tc>
          <w:tcPr>
            <w:tcW w:w="459" w:type="pct"/>
            <w:shd w:val="clear" w:color="auto" w:fill="auto"/>
            <w:noWrap/>
            <w:vAlign w:val="center"/>
            <w:hideMark/>
          </w:tcPr>
          <w:p w14:paraId="1C91DC30"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3.1</w:t>
            </w:r>
          </w:p>
        </w:tc>
      </w:tr>
      <w:tr w:rsidR="00F377E9" w:rsidRPr="00E10230" w14:paraId="7E209F78" w14:textId="77777777" w:rsidTr="002E7607">
        <w:trPr>
          <w:trHeight w:val="497"/>
          <w:jc w:val="center"/>
        </w:trPr>
        <w:tc>
          <w:tcPr>
            <w:tcW w:w="1079" w:type="pct"/>
            <w:shd w:val="clear" w:color="auto" w:fill="auto"/>
            <w:noWrap/>
            <w:vAlign w:val="center"/>
            <w:hideMark/>
          </w:tcPr>
          <w:p w14:paraId="2B63A271"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Missing</w:t>
            </w:r>
          </w:p>
        </w:tc>
        <w:tc>
          <w:tcPr>
            <w:tcW w:w="629" w:type="pct"/>
            <w:shd w:val="clear" w:color="auto" w:fill="auto"/>
            <w:noWrap/>
            <w:vAlign w:val="center"/>
            <w:hideMark/>
          </w:tcPr>
          <w:p w14:paraId="285B9FD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229.999</w:t>
            </w:r>
          </w:p>
        </w:tc>
        <w:tc>
          <w:tcPr>
            <w:tcW w:w="347" w:type="pct"/>
            <w:shd w:val="clear" w:color="auto" w:fill="auto"/>
            <w:noWrap/>
            <w:vAlign w:val="center"/>
            <w:hideMark/>
          </w:tcPr>
          <w:p w14:paraId="5E0EFBCD"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0.3</w:t>
            </w:r>
          </w:p>
        </w:tc>
        <w:tc>
          <w:tcPr>
            <w:tcW w:w="525" w:type="pct"/>
            <w:shd w:val="clear" w:color="auto" w:fill="auto"/>
            <w:noWrap/>
            <w:vAlign w:val="center"/>
            <w:hideMark/>
          </w:tcPr>
          <w:p w14:paraId="7FDED05E"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N/A</w:t>
            </w:r>
          </w:p>
        </w:tc>
        <w:tc>
          <w:tcPr>
            <w:tcW w:w="462" w:type="pct"/>
            <w:shd w:val="clear" w:color="auto" w:fill="auto"/>
            <w:noWrap/>
            <w:vAlign w:val="center"/>
            <w:hideMark/>
          </w:tcPr>
          <w:p w14:paraId="21ECB1BE"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N/A</w:t>
            </w:r>
          </w:p>
        </w:tc>
        <w:tc>
          <w:tcPr>
            <w:tcW w:w="521" w:type="pct"/>
            <w:shd w:val="clear" w:color="auto" w:fill="auto"/>
            <w:noWrap/>
            <w:vAlign w:val="center"/>
            <w:hideMark/>
          </w:tcPr>
          <w:p w14:paraId="106B88CA"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N/A</w:t>
            </w:r>
          </w:p>
        </w:tc>
        <w:tc>
          <w:tcPr>
            <w:tcW w:w="460" w:type="pct"/>
            <w:shd w:val="clear" w:color="auto" w:fill="auto"/>
            <w:noWrap/>
            <w:vAlign w:val="center"/>
            <w:hideMark/>
          </w:tcPr>
          <w:p w14:paraId="086B5ACB"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N/A</w:t>
            </w:r>
          </w:p>
        </w:tc>
        <w:tc>
          <w:tcPr>
            <w:tcW w:w="519" w:type="pct"/>
            <w:shd w:val="clear" w:color="auto" w:fill="auto"/>
            <w:noWrap/>
            <w:vAlign w:val="center"/>
            <w:hideMark/>
          </w:tcPr>
          <w:p w14:paraId="1986D41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N/A</w:t>
            </w:r>
          </w:p>
        </w:tc>
        <w:tc>
          <w:tcPr>
            <w:tcW w:w="459" w:type="pct"/>
            <w:shd w:val="clear" w:color="auto" w:fill="auto"/>
            <w:noWrap/>
            <w:vAlign w:val="center"/>
            <w:hideMark/>
          </w:tcPr>
          <w:p w14:paraId="64828476"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N/A</w:t>
            </w:r>
          </w:p>
        </w:tc>
      </w:tr>
      <w:tr w:rsidR="00F377E9" w:rsidRPr="00E10230" w14:paraId="4D130567" w14:textId="77777777" w:rsidTr="002E7607">
        <w:trPr>
          <w:trHeight w:val="497"/>
          <w:jc w:val="center"/>
        </w:trPr>
        <w:tc>
          <w:tcPr>
            <w:tcW w:w="5000" w:type="pct"/>
            <w:gridSpan w:val="9"/>
            <w:shd w:val="clear" w:color="auto" w:fill="auto"/>
            <w:noWrap/>
            <w:vAlign w:val="center"/>
            <w:hideMark/>
          </w:tcPr>
          <w:p w14:paraId="4492C16B"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Bed sizes</w:t>
            </w:r>
          </w:p>
        </w:tc>
      </w:tr>
      <w:tr w:rsidR="00F377E9" w:rsidRPr="00E10230" w14:paraId="104774FB" w14:textId="77777777" w:rsidTr="002E7607">
        <w:trPr>
          <w:trHeight w:val="497"/>
          <w:jc w:val="center"/>
        </w:trPr>
        <w:tc>
          <w:tcPr>
            <w:tcW w:w="1079" w:type="pct"/>
            <w:shd w:val="clear" w:color="auto" w:fill="auto"/>
            <w:noWrap/>
            <w:vAlign w:val="center"/>
            <w:hideMark/>
          </w:tcPr>
          <w:p w14:paraId="6DC330F5"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Small</w:t>
            </w:r>
          </w:p>
        </w:tc>
        <w:tc>
          <w:tcPr>
            <w:tcW w:w="629" w:type="pct"/>
            <w:shd w:val="clear" w:color="auto" w:fill="auto"/>
            <w:noWrap/>
            <w:vAlign w:val="center"/>
            <w:hideMark/>
          </w:tcPr>
          <w:p w14:paraId="743A2076"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13620</w:t>
            </w:r>
          </w:p>
        </w:tc>
        <w:tc>
          <w:tcPr>
            <w:tcW w:w="347" w:type="pct"/>
            <w:shd w:val="clear" w:color="auto" w:fill="auto"/>
            <w:noWrap/>
            <w:vAlign w:val="center"/>
            <w:hideMark/>
          </w:tcPr>
          <w:p w14:paraId="74FC39A3"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16.9</w:t>
            </w:r>
          </w:p>
        </w:tc>
        <w:tc>
          <w:tcPr>
            <w:tcW w:w="525" w:type="pct"/>
            <w:shd w:val="clear" w:color="auto" w:fill="auto"/>
            <w:noWrap/>
            <w:vAlign w:val="center"/>
            <w:hideMark/>
          </w:tcPr>
          <w:p w14:paraId="0B3C1C47"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1065</w:t>
            </w:r>
          </w:p>
        </w:tc>
        <w:tc>
          <w:tcPr>
            <w:tcW w:w="462" w:type="pct"/>
            <w:shd w:val="clear" w:color="auto" w:fill="auto"/>
            <w:noWrap/>
            <w:vAlign w:val="center"/>
            <w:hideMark/>
          </w:tcPr>
          <w:p w14:paraId="1C157F3A"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14.1</w:t>
            </w:r>
          </w:p>
        </w:tc>
        <w:tc>
          <w:tcPr>
            <w:tcW w:w="521" w:type="pct"/>
            <w:shd w:val="clear" w:color="auto" w:fill="auto"/>
            <w:noWrap/>
            <w:vAlign w:val="center"/>
            <w:hideMark/>
          </w:tcPr>
          <w:p w14:paraId="7FBE86B8"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830</w:t>
            </w:r>
          </w:p>
        </w:tc>
        <w:tc>
          <w:tcPr>
            <w:tcW w:w="460" w:type="pct"/>
            <w:shd w:val="clear" w:color="auto" w:fill="auto"/>
            <w:noWrap/>
            <w:vAlign w:val="center"/>
            <w:hideMark/>
          </w:tcPr>
          <w:p w14:paraId="4B4338F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19.3</w:t>
            </w:r>
          </w:p>
        </w:tc>
        <w:tc>
          <w:tcPr>
            <w:tcW w:w="519" w:type="pct"/>
            <w:shd w:val="clear" w:color="auto" w:fill="auto"/>
            <w:noWrap/>
            <w:vAlign w:val="center"/>
            <w:hideMark/>
          </w:tcPr>
          <w:p w14:paraId="6CECC91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255</w:t>
            </w:r>
          </w:p>
        </w:tc>
        <w:tc>
          <w:tcPr>
            <w:tcW w:w="459" w:type="pct"/>
            <w:shd w:val="clear" w:color="auto" w:fill="auto"/>
            <w:noWrap/>
            <w:vAlign w:val="center"/>
            <w:hideMark/>
          </w:tcPr>
          <w:p w14:paraId="52EAAEF9"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6.3</w:t>
            </w:r>
          </w:p>
        </w:tc>
      </w:tr>
      <w:tr w:rsidR="00F377E9" w:rsidRPr="00E10230" w14:paraId="0ED0C394" w14:textId="77777777" w:rsidTr="002E7607">
        <w:trPr>
          <w:trHeight w:val="497"/>
          <w:jc w:val="center"/>
        </w:trPr>
        <w:tc>
          <w:tcPr>
            <w:tcW w:w="1079" w:type="pct"/>
            <w:shd w:val="clear" w:color="auto" w:fill="auto"/>
            <w:noWrap/>
            <w:vAlign w:val="center"/>
            <w:hideMark/>
          </w:tcPr>
          <w:p w14:paraId="205F7197"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Medium</w:t>
            </w:r>
          </w:p>
        </w:tc>
        <w:tc>
          <w:tcPr>
            <w:tcW w:w="629" w:type="pct"/>
            <w:shd w:val="clear" w:color="auto" w:fill="auto"/>
            <w:noWrap/>
            <w:vAlign w:val="center"/>
            <w:hideMark/>
          </w:tcPr>
          <w:p w14:paraId="08956E5F"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23280</w:t>
            </w:r>
          </w:p>
        </w:tc>
        <w:tc>
          <w:tcPr>
            <w:tcW w:w="347" w:type="pct"/>
            <w:shd w:val="clear" w:color="auto" w:fill="auto"/>
            <w:noWrap/>
            <w:vAlign w:val="center"/>
            <w:hideMark/>
          </w:tcPr>
          <w:p w14:paraId="67B7F50C"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28.9</w:t>
            </w:r>
          </w:p>
        </w:tc>
        <w:tc>
          <w:tcPr>
            <w:tcW w:w="525" w:type="pct"/>
            <w:shd w:val="clear" w:color="auto" w:fill="auto"/>
            <w:noWrap/>
            <w:vAlign w:val="center"/>
            <w:hideMark/>
          </w:tcPr>
          <w:p w14:paraId="1740B297"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2060</w:t>
            </w:r>
          </w:p>
        </w:tc>
        <w:tc>
          <w:tcPr>
            <w:tcW w:w="462" w:type="pct"/>
            <w:shd w:val="clear" w:color="auto" w:fill="auto"/>
            <w:noWrap/>
            <w:vAlign w:val="center"/>
            <w:hideMark/>
          </w:tcPr>
          <w:p w14:paraId="28100D8B"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27.3</w:t>
            </w:r>
          </w:p>
        </w:tc>
        <w:tc>
          <w:tcPr>
            <w:tcW w:w="521" w:type="pct"/>
            <w:shd w:val="clear" w:color="auto" w:fill="auto"/>
            <w:noWrap/>
            <w:vAlign w:val="center"/>
            <w:hideMark/>
          </w:tcPr>
          <w:p w14:paraId="0AE45A4D"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1265</w:t>
            </w:r>
          </w:p>
        </w:tc>
        <w:tc>
          <w:tcPr>
            <w:tcW w:w="460" w:type="pct"/>
            <w:shd w:val="clear" w:color="auto" w:fill="auto"/>
            <w:noWrap/>
            <w:vAlign w:val="center"/>
            <w:hideMark/>
          </w:tcPr>
          <w:p w14:paraId="7568F66A"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29.4</w:t>
            </w:r>
          </w:p>
        </w:tc>
        <w:tc>
          <w:tcPr>
            <w:tcW w:w="519" w:type="pct"/>
            <w:shd w:val="clear" w:color="auto" w:fill="auto"/>
            <w:noWrap/>
            <w:vAlign w:val="center"/>
            <w:hideMark/>
          </w:tcPr>
          <w:p w14:paraId="56C2346C"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1000</w:t>
            </w:r>
          </w:p>
        </w:tc>
        <w:tc>
          <w:tcPr>
            <w:tcW w:w="459" w:type="pct"/>
            <w:shd w:val="clear" w:color="auto" w:fill="auto"/>
            <w:noWrap/>
            <w:vAlign w:val="center"/>
            <w:hideMark/>
          </w:tcPr>
          <w:p w14:paraId="7361ED1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24.6</w:t>
            </w:r>
          </w:p>
        </w:tc>
      </w:tr>
      <w:tr w:rsidR="00F377E9" w:rsidRPr="00E10230" w14:paraId="197642E6" w14:textId="77777777" w:rsidTr="002E7607">
        <w:trPr>
          <w:trHeight w:val="497"/>
          <w:jc w:val="center"/>
        </w:trPr>
        <w:tc>
          <w:tcPr>
            <w:tcW w:w="1079" w:type="pct"/>
            <w:shd w:val="clear" w:color="auto" w:fill="auto"/>
            <w:noWrap/>
            <w:vAlign w:val="center"/>
            <w:hideMark/>
          </w:tcPr>
          <w:p w14:paraId="79EBB7F0"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Large</w:t>
            </w:r>
          </w:p>
        </w:tc>
        <w:tc>
          <w:tcPr>
            <w:tcW w:w="629" w:type="pct"/>
            <w:shd w:val="clear" w:color="auto" w:fill="auto"/>
            <w:noWrap/>
            <w:vAlign w:val="center"/>
            <w:hideMark/>
          </w:tcPr>
          <w:p w14:paraId="62FC74B6"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43570</w:t>
            </w:r>
          </w:p>
        </w:tc>
        <w:tc>
          <w:tcPr>
            <w:tcW w:w="347" w:type="pct"/>
            <w:shd w:val="clear" w:color="auto" w:fill="auto"/>
            <w:noWrap/>
            <w:vAlign w:val="center"/>
            <w:hideMark/>
          </w:tcPr>
          <w:p w14:paraId="0A165425"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54.1</w:t>
            </w:r>
          </w:p>
        </w:tc>
        <w:tc>
          <w:tcPr>
            <w:tcW w:w="525" w:type="pct"/>
            <w:shd w:val="clear" w:color="auto" w:fill="auto"/>
            <w:noWrap/>
            <w:vAlign w:val="center"/>
            <w:hideMark/>
          </w:tcPr>
          <w:p w14:paraId="15A6C3BF"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4420</w:t>
            </w:r>
          </w:p>
        </w:tc>
        <w:tc>
          <w:tcPr>
            <w:tcW w:w="462" w:type="pct"/>
            <w:shd w:val="clear" w:color="auto" w:fill="auto"/>
            <w:noWrap/>
            <w:vAlign w:val="center"/>
            <w:hideMark/>
          </w:tcPr>
          <w:p w14:paraId="39B0219F"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58.6</w:t>
            </w:r>
          </w:p>
        </w:tc>
        <w:tc>
          <w:tcPr>
            <w:tcW w:w="521" w:type="pct"/>
            <w:shd w:val="clear" w:color="auto" w:fill="auto"/>
            <w:noWrap/>
            <w:vAlign w:val="center"/>
            <w:hideMark/>
          </w:tcPr>
          <w:p w14:paraId="3506A32F"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2210</w:t>
            </w:r>
          </w:p>
        </w:tc>
        <w:tc>
          <w:tcPr>
            <w:tcW w:w="460" w:type="pct"/>
            <w:shd w:val="clear" w:color="auto" w:fill="auto"/>
            <w:noWrap/>
            <w:vAlign w:val="center"/>
            <w:hideMark/>
          </w:tcPr>
          <w:p w14:paraId="5AAF146B"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51.3</w:t>
            </w:r>
          </w:p>
        </w:tc>
        <w:tc>
          <w:tcPr>
            <w:tcW w:w="519" w:type="pct"/>
            <w:shd w:val="clear" w:color="auto" w:fill="auto"/>
            <w:noWrap/>
            <w:vAlign w:val="center"/>
            <w:hideMark/>
          </w:tcPr>
          <w:p w14:paraId="09AF3E9E"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2805</w:t>
            </w:r>
          </w:p>
        </w:tc>
        <w:tc>
          <w:tcPr>
            <w:tcW w:w="459" w:type="pct"/>
            <w:shd w:val="clear" w:color="auto" w:fill="auto"/>
            <w:noWrap/>
            <w:vAlign w:val="center"/>
            <w:hideMark/>
          </w:tcPr>
          <w:p w14:paraId="2301DC89"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69.1</w:t>
            </w:r>
          </w:p>
        </w:tc>
      </w:tr>
    </w:tbl>
    <w:p w14:paraId="051281FF" w14:textId="742EBB4E" w:rsidR="00427F39" w:rsidRPr="002E7607" w:rsidRDefault="002E7607" w:rsidP="00E10230">
      <w:pPr>
        <w:spacing w:after="0" w:line="360" w:lineRule="auto"/>
        <w:jc w:val="both"/>
        <w:rPr>
          <w:rFonts w:ascii="Book Antiqua" w:eastAsiaTheme="minorEastAsia" w:hAnsi="Book Antiqua"/>
          <w:sz w:val="24"/>
          <w:szCs w:val="24"/>
          <w:lang w:eastAsia="zh-CN"/>
        </w:rPr>
      </w:pPr>
      <w:r w:rsidRPr="002E7607">
        <w:rPr>
          <w:rFonts w:ascii="Book Antiqua" w:eastAsiaTheme="minorEastAsia" w:hAnsi="Book Antiqua" w:cs="Arial" w:hint="eastAsia"/>
          <w:i/>
          <w:sz w:val="24"/>
          <w:szCs w:val="24"/>
          <w:lang w:eastAsia="zh-CN"/>
        </w:rPr>
        <w:t>n</w:t>
      </w:r>
      <w:r w:rsidR="00DC6490" w:rsidRPr="00E10230">
        <w:rPr>
          <w:rFonts w:ascii="Book Antiqua" w:hAnsi="Book Antiqua" w:cs="Arial"/>
          <w:sz w:val="24"/>
          <w:szCs w:val="24"/>
        </w:rPr>
        <w:t>: number</w:t>
      </w:r>
      <w:r>
        <w:rPr>
          <w:rFonts w:ascii="Book Antiqua" w:eastAsiaTheme="minorEastAsia" w:hAnsi="Book Antiqua" w:cs="Arial" w:hint="eastAsia"/>
          <w:sz w:val="24"/>
          <w:szCs w:val="24"/>
          <w:lang w:eastAsia="zh-CN"/>
        </w:rPr>
        <w:t>;</w:t>
      </w:r>
      <w:r w:rsidR="00DC6490" w:rsidRPr="00E10230">
        <w:rPr>
          <w:rFonts w:ascii="Book Antiqua" w:hAnsi="Book Antiqua" w:cs="Arial"/>
          <w:sz w:val="24"/>
          <w:szCs w:val="24"/>
        </w:rPr>
        <w:t xml:space="preserve"> N/A: Not available</w:t>
      </w:r>
      <w:r>
        <w:rPr>
          <w:rFonts w:ascii="Book Antiqua" w:eastAsiaTheme="minorEastAsia" w:hAnsi="Book Antiqua" w:cs="Arial" w:hint="eastAsia"/>
          <w:sz w:val="24"/>
          <w:szCs w:val="24"/>
          <w:lang w:eastAsia="zh-CN"/>
        </w:rPr>
        <w:t>;</w:t>
      </w:r>
      <w:r w:rsidR="00DC6490" w:rsidRPr="00E10230">
        <w:rPr>
          <w:rFonts w:ascii="Book Antiqua" w:hAnsi="Book Antiqua" w:cs="Arial"/>
          <w:b/>
          <w:sz w:val="24"/>
          <w:szCs w:val="24"/>
        </w:rPr>
        <w:t xml:space="preserve"> </w:t>
      </w:r>
      <w:r w:rsidR="00DC6490" w:rsidRPr="00E10230">
        <w:rPr>
          <w:rFonts w:ascii="Book Antiqua" w:hAnsi="Book Antiqua" w:cs="Arial"/>
          <w:sz w:val="24"/>
          <w:szCs w:val="24"/>
        </w:rPr>
        <w:t>HC: Hepatic coma</w:t>
      </w:r>
      <w:r>
        <w:rPr>
          <w:rFonts w:ascii="Book Antiqua" w:eastAsiaTheme="minorEastAsia" w:hAnsi="Book Antiqua" w:cs="Arial" w:hint="eastAsia"/>
          <w:sz w:val="24"/>
          <w:szCs w:val="24"/>
          <w:lang w:eastAsia="zh-CN"/>
        </w:rPr>
        <w:t>;</w:t>
      </w:r>
      <w:r w:rsidR="00DC6490" w:rsidRPr="00E10230">
        <w:rPr>
          <w:rFonts w:ascii="Book Antiqua" w:hAnsi="Book Antiqua" w:cs="Arial"/>
          <w:sz w:val="24"/>
          <w:szCs w:val="24"/>
        </w:rPr>
        <w:t xml:space="preserve"> SBP: </w:t>
      </w:r>
      <w:r w:rsidRPr="00E10230">
        <w:rPr>
          <w:rFonts w:ascii="Book Antiqua" w:hAnsi="Book Antiqua" w:cs="Arial"/>
          <w:sz w:val="24"/>
          <w:szCs w:val="24"/>
        </w:rPr>
        <w:t xml:space="preserve">Spontaneous </w:t>
      </w:r>
      <w:r w:rsidR="00DC6490" w:rsidRPr="00E10230">
        <w:rPr>
          <w:rFonts w:ascii="Book Antiqua" w:hAnsi="Book Antiqua" w:cs="Arial"/>
          <w:sz w:val="24"/>
          <w:szCs w:val="24"/>
        </w:rPr>
        <w:t>bacterial peritonitis</w:t>
      </w:r>
      <w:r>
        <w:rPr>
          <w:rFonts w:ascii="Book Antiqua" w:eastAsiaTheme="minorEastAsia" w:hAnsi="Book Antiqua" w:cs="Arial" w:hint="eastAsia"/>
          <w:sz w:val="24"/>
          <w:szCs w:val="24"/>
          <w:lang w:eastAsia="zh-CN"/>
        </w:rPr>
        <w:t>;</w:t>
      </w:r>
      <w:r w:rsidR="00DC6490" w:rsidRPr="00E10230">
        <w:rPr>
          <w:rFonts w:ascii="Book Antiqua" w:hAnsi="Book Antiqua" w:cs="Arial"/>
          <w:sz w:val="24"/>
          <w:szCs w:val="24"/>
        </w:rPr>
        <w:t xml:space="preserve"> EV: Esophageal varices</w:t>
      </w:r>
      <w:r>
        <w:rPr>
          <w:rFonts w:ascii="Book Antiqua" w:eastAsiaTheme="minorEastAsia" w:hAnsi="Book Antiqua" w:cs="Arial" w:hint="eastAsia"/>
          <w:sz w:val="24"/>
          <w:szCs w:val="24"/>
          <w:lang w:eastAsia="zh-CN"/>
        </w:rPr>
        <w:t>;</w:t>
      </w:r>
      <w:r w:rsidR="00DC6490" w:rsidRPr="00E10230">
        <w:rPr>
          <w:rFonts w:ascii="Book Antiqua" w:hAnsi="Book Antiqua" w:cs="Arial"/>
          <w:sz w:val="24"/>
          <w:szCs w:val="24"/>
        </w:rPr>
        <w:t xml:space="preserve"> TIPS: </w:t>
      </w:r>
      <w:proofErr w:type="spellStart"/>
      <w:r w:rsidRPr="00E10230">
        <w:rPr>
          <w:rFonts w:ascii="Book Antiqua" w:hAnsi="Book Antiqua" w:cs="Arial"/>
          <w:sz w:val="24"/>
          <w:szCs w:val="24"/>
        </w:rPr>
        <w:t>Transjugular</w:t>
      </w:r>
      <w:proofErr w:type="spellEnd"/>
      <w:r w:rsidRPr="00E10230">
        <w:rPr>
          <w:rFonts w:ascii="Book Antiqua" w:hAnsi="Book Antiqua" w:cs="Arial"/>
          <w:sz w:val="24"/>
          <w:szCs w:val="24"/>
        </w:rPr>
        <w:t xml:space="preserve"> </w:t>
      </w:r>
      <w:r w:rsidR="00DC6490" w:rsidRPr="00E10230">
        <w:rPr>
          <w:rFonts w:ascii="Book Antiqua" w:hAnsi="Book Antiqua" w:cs="Arial"/>
          <w:sz w:val="24"/>
          <w:szCs w:val="24"/>
        </w:rPr>
        <w:t xml:space="preserve">intrahepatic </w:t>
      </w:r>
      <w:r w:rsidR="00CB0883" w:rsidRPr="00E10230">
        <w:rPr>
          <w:rFonts w:ascii="Book Antiqua" w:hAnsi="Book Antiqua" w:cs="Arial"/>
          <w:sz w:val="24"/>
          <w:szCs w:val="24"/>
        </w:rPr>
        <w:t>portosystemic</w:t>
      </w:r>
      <w:r w:rsidR="00DC6490" w:rsidRPr="00E10230">
        <w:rPr>
          <w:rFonts w:ascii="Book Antiqua" w:hAnsi="Book Antiqua" w:cs="Arial"/>
          <w:sz w:val="24"/>
          <w:szCs w:val="24"/>
        </w:rPr>
        <w:t xml:space="preserve"> shunt.</w:t>
      </w:r>
    </w:p>
    <w:sectPr w:rsidR="00427F39" w:rsidRPr="002E7607" w:rsidSect="00276822">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49B29" w14:textId="77777777" w:rsidR="00177135" w:rsidRDefault="00177135" w:rsidP="00DC6490">
      <w:pPr>
        <w:spacing w:after="0" w:line="240" w:lineRule="auto"/>
      </w:pPr>
      <w:r>
        <w:separator/>
      </w:r>
    </w:p>
  </w:endnote>
  <w:endnote w:type="continuationSeparator" w:id="0">
    <w:p w14:paraId="59A5A1E7" w14:textId="77777777" w:rsidR="00177135" w:rsidRDefault="00177135" w:rsidP="00DC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6C83" w14:textId="10B8624F" w:rsidR="00490603" w:rsidRDefault="00490603">
    <w:pPr>
      <w:pStyle w:val="Footer"/>
      <w:jc w:val="right"/>
    </w:pPr>
    <w:r>
      <w:fldChar w:fldCharType="begin"/>
    </w:r>
    <w:r>
      <w:instrText xml:space="preserve"> PAGE   \* MERGEFORMAT </w:instrText>
    </w:r>
    <w:r>
      <w:fldChar w:fldCharType="separate"/>
    </w:r>
    <w:r>
      <w:rPr>
        <w:noProof/>
      </w:rPr>
      <w:t>16</w:t>
    </w:r>
    <w:r>
      <w:rPr>
        <w:noProof/>
      </w:rPr>
      <w:fldChar w:fldCharType="end"/>
    </w:r>
  </w:p>
  <w:p w14:paraId="1275957D" w14:textId="77777777" w:rsidR="00490603" w:rsidRDefault="00490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67C6" w14:textId="01FECA89" w:rsidR="00490603" w:rsidRDefault="00490603">
    <w:pPr>
      <w:pStyle w:val="Footer"/>
      <w:jc w:val="right"/>
    </w:pPr>
    <w:r>
      <w:fldChar w:fldCharType="begin"/>
    </w:r>
    <w:r>
      <w:instrText xml:space="preserve"> PAGE   \* MERGEFORMAT </w:instrText>
    </w:r>
    <w:r>
      <w:fldChar w:fldCharType="separate"/>
    </w:r>
    <w:r>
      <w:rPr>
        <w:noProof/>
      </w:rPr>
      <w:t>1</w:t>
    </w:r>
    <w:r>
      <w:rPr>
        <w:noProof/>
      </w:rPr>
      <w:fldChar w:fldCharType="end"/>
    </w:r>
  </w:p>
  <w:p w14:paraId="2B67D4E6" w14:textId="77777777" w:rsidR="00490603" w:rsidRDefault="00490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784C6" w14:textId="77777777" w:rsidR="00177135" w:rsidRDefault="00177135" w:rsidP="00DC6490">
      <w:pPr>
        <w:spacing w:after="0" w:line="240" w:lineRule="auto"/>
      </w:pPr>
      <w:r>
        <w:separator/>
      </w:r>
    </w:p>
  </w:footnote>
  <w:footnote w:type="continuationSeparator" w:id="0">
    <w:p w14:paraId="5A073DC1" w14:textId="77777777" w:rsidR="00177135" w:rsidRDefault="00177135" w:rsidP="00DC6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8439" w14:textId="77777777" w:rsidR="00490603" w:rsidRDefault="00490603">
    <w:pPr>
      <w:pStyle w:val="Header"/>
      <w:jc w:val="right"/>
    </w:pPr>
  </w:p>
  <w:p w14:paraId="1A004C69" w14:textId="77777777" w:rsidR="00490603" w:rsidRDefault="0049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B05"/>
    <w:multiLevelType w:val="multilevel"/>
    <w:tmpl w:val="D632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37353"/>
    <w:multiLevelType w:val="hybridMultilevel"/>
    <w:tmpl w:val="EAF4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340E"/>
    <w:multiLevelType w:val="hybridMultilevel"/>
    <w:tmpl w:val="988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73EB8"/>
    <w:multiLevelType w:val="hybridMultilevel"/>
    <w:tmpl w:val="9538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A1273"/>
    <w:multiLevelType w:val="multilevel"/>
    <w:tmpl w:val="CE34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D8"/>
    <w:rsid w:val="00000E26"/>
    <w:rsid w:val="00003D1E"/>
    <w:rsid w:val="000074EB"/>
    <w:rsid w:val="0001520C"/>
    <w:rsid w:val="00016FA5"/>
    <w:rsid w:val="00020293"/>
    <w:rsid w:val="000207F2"/>
    <w:rsid w:val="000223B8"/>
    <w:rsid w:val="00022DE8"/>
    <w:rsid w:val="00023F18"/>
    <w:rsid w:val="000257A5"/>
    <w:rsid w:val="0003006D"/>
    <w:rsid w:val="000366E5"/>
    <w:rsid w:val="00036A6B"/>
    <w:rsid w:val="00044AFD"/>
    <w:rsid w:val="00051CAF"/>
    <w:rsid w:val="00062124"/>
    <w:rsid w:val="00070113"/>
    <w:rsid w:val="0007514D"/>
    <w:rsid w:val="00081DA1"/>
    <w:rsid w:val="00081DB0"/>
    <w:rsid w:val="0009026B"/>
    <w:rsid w:val="000938F4"/>
    <w:rsid w:val="000A42CC"/>
    <w:rsid w:val="000B19FC"/>
    <w:rsid w:val="000B632F"/>
    <w:rsid w:val="000B65EE"/>
    <w:rsid w:val="000C42D8"/>
    <w:rsid w:val="000E3EA8"/>
    <w:rsid w:val="0010004A"/>
    <w:rsid w:val="0010024E"/>
    <w:rsid w:val="00100637"/>
    <w:rsid w:val="001037DF"/>
    <w:rsid w:val="001154FF"/>
    <w:rsid w:val="001156B1"/>
    <w:rsid w:val="00130C64"/>
    <w:rsid w:val="001413B1"/>
    <w:rsid w:val="00141D23"/>
    <w:rsid w:val="001425E6"/>
    <w:rsid w:val="00152773"/>
    <w:rsid w:val="0015327B"/>
    <w:rsid w:val="001563AA"/>
    <w:rsid w:val="0015697E"/>
    <w:rsid w:val="0016459E"/>
    <w:rsid w:val="00167A12"/>
    <w:rsid w:val="00174464"/>
    <w:rsid w:val="00174AA4"/>
    <w:rsid w:val="00177135"/>
    <w:rsid w:val="001772DA"/>
    <w:rsid w:val="001805D9"/>
    <w:rsid w:val="001829C9"/>
    <w:rsid w:val="001829EB"/>
    <w:rsid w:val="00183B7E"/>
    <w:rsid w:val="00185678"/>
    <w:rsid w:val="00185984"/>
    <w:rsid w:val="001878EC"/>
    <w:rsid w:val="001A46E6"/>
    <w:rsid w:val="001B63C5"/>
    <w:rsid w:val="001B6BC1"/>
    <w:rsid w:val="001C3B4E"/>
    <w:rsid w:val="001D07F5"/>
    <w:rsid w:val="001D523E"/>
    <w:rsid w:val="001E4418"/>
    <w:rsid w:val="001E4C71"/>
    <w:rsid w:val="001F1046"/>
    <w:rsid w:val="001F480E"/>
    <w:rsid w:val="001F6543"/>
    <w:rsid w:val="002208F2"/>
    <w:rsid w:val="00222F37"/>
    <w:rsid w:val="00226A4D"/>
    <w:rsid w:val="0023364C"/>
    <w:rsid w:val="002358E5"/>
    <w:rsid w:val="00242877"/>
    <w:rsid w:val="00243881"/>
    <w:rsid w:val="00243A4A"/>
    <w:rsid w:val="002446B5"/>
    <w:rsid w:val="00252406"/>
    <w:rsid w:val="002619C8"/>
    <w:rsid w:val="00273390"/>
    <w:rsid w:val="0027584F"/>
    <w:rsid w:val="00276822"/>
    <w:rsid w:val="00277D4C"/>
    <w:rsid w:val="002824D8"/>
    <w:rsid w:val="00283AAD"/>
    <w:rsid w:val="00283E17"/>
    <w:rsid w:val="002A6DE4"/>
    <w:rsid w:val="002B03A7"/>
    <w:rsid w:val="002B1A20"/>
    <w:rsid w:val="002B65FA"/>
    <w:rsid w:val="002B6E6F"/>
    <w:rsid w:val="002B7CF6"/>
    <w:rsid w:val="002C2EA4"/>
    <w:rsid w:val="002D0739"/>
    <w:rsid w:val="002D575F"/>
    <w:rsid w:val="002E71EC"/>
    <w:rsid w:val="002E7607"/>
    <w:rsid w:val="002F32C0"/>
    <w:rsid w:val="00304E4A"/>
    <w:rsid w:val="00305C5B"/>
    <w:rsid w:val="00305EEF"/>
    <w:rsid w:val="00321756"/>
    <w:rsid w:val="00321BFC"/>
    <w:rsid w:val="00322688"/>
    <w:rsid w:val="003237CA"/>
    <w:rsid w:val="00324054"/>
    <w:rsid w:val="00324276"/>
    <w:rsid w:val="00324AD6"/>
    <w:rsid w:val="00326EE8"/>
    <w:rsid w:val="0033592E"/>
    <w:rsid w:val="003410D0"/>
    <w:rsid w:val="00342C41"/>
    <w:rsid w:val="003559C5"/>
    <w:rsid w:val="00355A33"/>
    <w:rsid w:val="003568F5"/>
    <w:rsid w:val="003664ED"/>
    <w:rsid w:val="003724CA"/>
    <w:rsid w:val="00380D1F"/>
    <w:rsid w:val="003833C6"/>
    <w:rsid w:val="00392E00"/>
    <w:rsid w:val="00394254"/>
    <w:rsid w:val="003978F7"/>
    <w:rsid w:val="003A183D"/>
    <w:rsid w:val="003A458D"/>
    <w:rsid w:val="003B130A"/>
    <w:rsid w:val="003B2467"/>
    <w:rsid w:val="003B506A"/>
    <w:rsid w:val="003B6AA8"/>
    <w:rsid w:val="003C1D75"/>
    <w:rsid w:val="003F113C"/>
    <w:rsid w:val="00413A14"/>
    <w:rsid w:val="004156B2"/>
    <w:rsid w:val="00421B68"/>
    <w:rsid w:val="00422A61"/>
    <w:rsid w:val="004242DC"/>
    <w:rsid w:val="004264F1"/>
    <w:rsid w:val="00427F39"/>
    <w:rsid w:val="00430D19"/>
    <w:rsid w:val="00431F43"/>
    <w:rsid w:val="00434B94"/>
    <w:rsid w:val="00440C7B"/>
    <w:rsid w:val="00441F70"/>
    <w:rsid w:val="0044415C"/>
    <w:rsid w:val="00450400"/>
    <w:rsid w:val="0045556D"/>
    <w:rsid w:val="0045564B"/>
    <w:rsid w:val="00457546"/>
    <w:rsid w:val="00461437"/>
    <w:rsid w:val="00461E3F"/>
    <w:rsid w:val="004649A0"/>
    <w:rsid w:val="0046624F"/>
    <w:rsid w:val="00466FD0"/>
    <w:rsid w:val="00466FD2"/>
    <w:rsid w:val="00477A24"/>
    <w:rsid w:val="00481017"/>
    <w:rsid w:val="00482C89"/>
    <w:rsid w:val="004832AE"/>
    <w:rsid w:val="004868DA"/>
    <w:rsid w:val="00487AA4"/>
    <w:rsid w:val="00490603"/>
    <w:rsid w:val="004924D8"/>
    <w:rsid w:val="00492B6F"/>
    <w:rsid w:val="004A4FFC"/>
    <w:rsid w:val="004B1073"/>
    <w:rsid w:val="004B5F91"/>
    <w:rsid w:val="004B5FFD"/>
    <w:rsid w:val="004C3424"/>
    <w:rsid w:val="004C7408"/>
    <w:rsid w:val="004C7441"/>
    <w:rsid w:val="004C7BA1"/>
    <w:rsid w:val="004C7BC9"/>
    <w:rsid w:val="004D5A52"/>
    <w:rsid w:val="004D7A93"/>
    <w:rsid w:val="004E1509"/>
    <w:rsid w:val="004E19C0"/>
    <w:rsid w:val="004E367E"/>
    <w:rsid w:val="004E5AA3"/>
    <w:rsid w:val="004E7834"/>
    <w:rsid w:val="005003CE"/>
    <w:rsid w:val="00505C1B"/>
    <w:rsid w:val="00505F06"/>
    <w:rsid w:val="00507E0D"/>
    <w:rsid w:val="00515E4E"/>
    <w:rsid w:val="00520C39"/>
    <w:rsid w:val="005272FD"/>
    <w:rsid w:val="00532524"/>
    <w:rsid w:val="0053775A"/>
    <w:rsid w:val="00540461"/>
    <w:rsid w:val="0054466E"/>
    <w:rsid w:val="00544B7A"/>
    <w:rsid w:val="00544C5A"/>
    <w:rsid w:val="00561674"/>
    <w:rsid w:val="00565873"/>
    <w:rsid w:val="00565982"/>
    <w:rsid w:val="0056704A"/>
    <w:rsid w:val="00575030"/>
    <w:rsid w:val="00576C2F"/>
    <w:rsid w:val="00597D45"/>
    <w:rsid w:val="005A1552"/>
    <w:rsid w:val="005A2DF8"/>
    <w:rsid w:val="005A6953"/>
    <w:rsid w:val="005A7C9D"/>
    <w:rsid w:val="005B3326"/>
    <w:rsid w:val="005B4891"/>
    <w:rsid w:val="005B5667"/>
    <w:rsid w:val="005C394F"/>
    <w:rsid w:val="005D5847"/>
    <w:rsid w:val="005D7263"/>
    <w:rsid w:val="005E5F57"/>
    <w:rsid w:val="005F5EC3"/>
    <w:rsid w:val="0060147C"/>
    <w:rsid w:val="006124CC"/>
    <w:rsid w:val="006137FE"/>
    <w:rsid w:val="0061554C"/>
    <w:rsid w:val="00631404"/>
    <w:rsid w:val="00634C20"/>
    <w:rsid w:val="006372D8"/>
    <w:rsid w:val="006400E4"/>
    <w:rsid w:val="00642D97"/>
    <w:rsid w:val="00646201"/>
    <w:rsid w:val="0064756E"/>
    <w:rsid w:val="0065173A"/>
    <w:rsid w:val="006518EF"/>
    <w:rsid w:val="00656D94"/>
    <w:rsid w:val="0065724F"/>
    <w:rsid w:val="006574B4"/>
    <w:rsid w:val="00675918"/>
    <w:rsid w:val="00680ADC"/>
    <w:rsid w:val="00681459"/>
    <w:rsid w:val="00681C84"/>
    <w:rsid w:val="006834BD"/>
    <w:rsid w:val="0069150A"/>
    <w:rsid w:val="0069296E"/>
    <w:rsid w:val="0069426D"/>
    <w:rsid w:val="006A3480"/>
    <w:rsid w:val="006A3A06"/>
    <w:rsid w:val="006A6D1B"/>
    <w:rsid w:val="006B1C1D"/>
    <w:rsid w:val="006B7826"/>
    <w:rsid w:val="006C49EB"/>
    <w:rsid w:val="006C4A72"/>
    <w:rsid w:val="006D6A69"/>
    <w:rsid w:val="006D6C5C"/>
    <w:rsid w:val="006D7196"/>
    <w:rsid w:val="006E3977"/>
    <w:rsid w:val="006E6918"/>
    <w:rsid w:val="006E78BA"/>
    <w:rsid w:val="00702386"/>
    <w:rsid w:val="00704241"/>
    <w:rsid w:val="00707706"/>
    <w:rsid w:val="00716530"/>
    <w:rsid w:val="0073134F"/>
    <w:rsid w:val="00732004"/>
    <w:rsid w:val="00735AEF"/>
    <w:rsid w:val="00737D14"/>
    <w:rsid w:val="00744E11"/>
    <w:rsid w:val="00754575"/>
    <w:rsid w:val="00756E54"/>
    <w:rsid w:val="00762479"/>
    <w:rsid w:val="00762707"/>
    <w:rsid w:val="0076725D"/>
    <w:rsid w:val="00780475"/>
    <w:rsid w:val="00784E5A"/>
    <w:rsid w:val="0079155F"/>
    <w:rsid w:val="007976AF"/>
    <w:rsid w:val="007A019D"/>
    <w:rsid w:val="007A221F"/>
    <w:rsid w:val="007A3C52"/>
    <w:rsid w:val="007B3406"/>
    <w:rsid w:val="007B5534"/>
    <w:rsid w:val="007C0134"/>
    <w:rsid w:val="007E10F4"/>
    <w:rsid w:val="007E2A79"/>
    <w:rsid w:val="007E3D20"/>
    <w:rsid w:val="007F20BC"/>
    <w:rsid w:val="007F2501"/>
    <w:rsid w:val="007F29DC"/>
    <w:rsid w:val="00806FFE"/>
    <w:rsid w:val="00810964"/>
    <w:rsid w:val="008167AC"/>
    <w:rsid w:val="008361FB"/>
    <w:rsid w:val="00841111"/>
    <w:rsid w:val="008447E4"/>
    <w:rsid w:val="00847E5F"/>
    <w:rsid w:val="00850803"/>
    <w:rsid w:val="00854427"/>
    <w:rsid w:val="00854DBE"/>
    <w:rsid w:val="008626E4"/>
    <w:rsid w:val="0087199A"/>
    <w:rsid w:val="00877470"/>
    <w:rsid w:val="00891D84"/>
    <w:rsid w:val="008A14D1"/>
    <w:rsid w:val="008A4190"/>
    <w:rsid w:val="008A76BB"/>
    <w:rsid w:val="008B26DA"/>
    <w:rsid w:val="008B2750"/>
    <w:rsid w:val="008B3452"/>
    <w:rsid w:val="008B68C8"/>
    <w:rsid w:val="008C050C"/>
    <w:rsid w:val="008C09C6"/>
    <w:rsid w:val="008C5BC9"/>
    <w:rsid w:val="008C7366"/>
    <w:rsid w:val="008D03BE"/>
    <w:rsid w:val="008D12C2"/>
    <w:rsid w:val="008D2D2E"/>
    <w:rsid w:val="008E2914"/>
    <w:rsid w:val="008E4FD0"/>
    <w:rsid w:val="008E6AEC"/>
    <w:rsid w:val="008F0651"/>
    <w:rsid w:val="008F7A5E"/>
    <w:rsid w:val="009110B6"/>
    <w:rsid w:val="009150BD"/>
    <w:rsid w:val="0092098F"/>
    <w:rsid w:val="00923D98"/>
    <w:rsid w:val="009302E7"/>
    <w:rsid w:val="00942FD5"/>
    <w:rsid w:val="009564B3"/>
    <w:rsid w:val="0095793C"/>
    <w:rsid w:val="009634AD"/>
    <w:rsid w:val="0096723B"/>
    <w:rsid w:val="00976DBE"/>
    <w:rsid w:val="00980FB2"/>
    <w:rsid w:val="009857E2"/>
    <w:rsid w:val="00985849"/>
    <w:rsid w:val="009870AA"/>
    <w:rsid w:val="00990482"/>
    <w:rsid w:val="00997CE1"/>
    <w:rsid w:val="009A5338"/>
    <w:rsid w:val="009C2678"/>
    <w:rsid w:val="009D430B"/>
    <w:rsid w:val="009E16B5"/>
    <w:rsid w:val="009F0079"/>
    <w:rsid w:val="009F3CF1"/>
    <w:rsid w:val="009F451B"/>
    <w:rsid w:val="00A000CA"/>
    <w:rsid w:val="00A00A81"/>
    <w:rsid w:val="00A0186B"/>
    <w:rsid w:val="00A03275"/>
    <w:rsid w:val="00A11905"/>
    <w:rsid w:val="00A14FFC"/>
    <w:rsid w:val="00A153C4"/>
    <w:rsid w:val="00A211CD"/>
    <w:rsid w:val="00A26B43"/>
    <w:rsid w:val="00A44018"/>
    <w:rsid w:val="00A44156"/>
    <w:rsid w:val="00A46B12"/>
    <w:rsid w:val="00A47415"/>
    <w:rsid w:val="00A51C8A"/>
    <w:rsid w:val="00A5702E"/>
    <w:rsid w:val="00A71C4B"/>
    <w:rsid w:val="00A75DD0"/>
    <w:rsid w:val="00A76C1A"/>
    <w:rsid w:val="00A86E5F"/>
    <w:rsid w:val="00A91080"/>
    <w:rsid w:val="00AA4E84"/>
    <w:rsid w:val="00AB0446"/>
    <w:rsid w:val="00AB1176"/>
    <w:rsid w:val="00AB2557"/>
    <w:rsid w:val="00AB4C6D"/>
    <w:rsid w:val="00AC0BE4"/>
    <w:rsid w:val="00AE2224"/>
    <w:rsid w:val="00AE6C7F"/>
    <w:rsid w:val="00AE78C8"/>
    <w:rsid w:val="00AF0195"/>
    <w:rsid w:val="00AF73DA"/>
    <w:rsid w:val="00B00F69"/>
    <w:rsid w:val="00B03BE2"/>
    <w:rsid w:val="00B04FFD"/>
    <w:rsid w:val="00B05716"/>
    <w:rsid w:val="00B13533"/>
    <w:rsid w:val="00B14942"/>
    <w:rsid w:val="00B37D3F"/>
    <w:rsid w:val="00B43097"/>
    <w:rsid w:val="00B53BFD"/>
    <w:rsid w:val="00B540CE"/>
    <w:rsid w:val="00B54F14"/>
    <w:rsid w:val="00B60AA1"/>
    <w:rsid w:val="00B62D02"/>
    <w:rsid w:val="00B636CC"/>
    <w:rsid w:val="00B65DB2"/>
    <w:rsid w:val="00B67925"/>
    <w:rsid w:val="00B724D5"/>
    <w:rsid w:val="00B754DA"/>
    <w:rsid w:val="00B77439"/>
    <w:rsid w:val="00B7764E"/>
    <w:rsid w:val="00B9014A"/>
    <w:rsid w:val="00B948C3"/>
    <w:rsid w:val="00B950D9"/>
    <w:rsid w:val="00BA26CF"/>
    <w:rsid w:val="00BA52BE"/>
    <w:rsid w:val="00BA5884"/>
    <w:rsid w:val="00BB6BBD"/>
    <w:rsid w:val="00BC6BEF"/>
    <w:rsid w:val="00BD3795"/>
    <w:rsid w:val="00BE08A9"/>
    <w:rsid w:val="00BE48FC"/>
    <w:rsid w:val="00BE4AA7"/>
    <w:rsid w:val="00BF2D67"/>
    <w:rsid w:val="00BF55B0"/>
    <w:rsid w:val="00C0386A"/>
    <w:rsid w:val="00C03A15"/>
    <w:rsid w:val="00C10688"/>
    <w:rsid w:val="00C136C0"/>
    <w:rsid w:val="00C13F69"/>
    <w:rsid w:val="00C15170"/>
    <w:rsid w:val="00C173DD"/>
    <w:rsid w:val="00C20F84"/>
    <w:rsid w:val="00C20FC5"/>
    <w:rsid w:val="00C211AE"/>
    <w:rsid w:val="00C2215F"/>
    <w:rsid w:val="00C266F8"/>
    <w:rsid w:val="00C33A14"/>
    <w:rsid w:val="00C35701"/>
    <w:rsid w:val="00C36AD0"/>
    <w:rsid w:val="00C37119"/>
    <w:rsid w:val="00C37994"/>
    <w:rsid w:val="00C37B69"/>
    <w:rsid w:val="00C42C4B"/>
    <w:rsid w:val="00C44A45"/>
    <w:rsid w:val="00C56640"/>
    <w:rsid w:val="00C6120C"/>
    <w:rsid w:val="00C61907"/>
    <w:rsid w:val="00C64291"/>
    <w:rsid w:val="00C64579"/>
    <w:rsid w:val="00C724DB"/>
    <w:rsid w:val="00C73607"/>
    <w:rsid w:val="00C73A94"/>
    <w:rsid w:val="00C7497D"/>
    <w:rsid w:val="00C763ED"/>
    <w:rsid w:val="00C850CB"/>
    <w:rsid w:val="00C867E3"/>
    <w:rsid w:val="00C914E5"/>
    <w:rsid w:val="00C91EAA"/>
    <w:rsid w:val="00C963AE"/>
    <w:rsid w:val="00CA1DBF"/>
    <w:rsid w:val="00CA2629"/>
    <w:rsid w:val="00CA5DF1"/>
    <w:rsid w:val="00CA7F26"/>
    <w:rsid w:val="00CB0883"/>
    <w:rsid w:val="00CB0CD2"/>
    <w:rsid w:val="00CC1621"/>
    <w:rsid w:val="00CC5BC9"/>
    <w:rsid w:val="00CD4529"/>
    <w:rsid w:val="00CE097D"/>
    <w:rsid w:val="00CE1E8E"/>
    <w:rsid w:val="00CE570C"/>
    <w:rsid w:val="00CE6265"/>
    <w:rsid w:val="00CE6AFF"/>
    <w:rsid w:val="00CF02CB"/>
    <w:rsid w:val="00CF308B"/>
    <w:rsid w:val="00CF3DC8"/>
    <w:rsid w:val="00CF3F33"/>
    <w:rsid w:val="00CF6CA4"/>
    <w:rsid w:val="00D04F59"/>
    <w:rsid w:val="00D12312"/>
    <w:rsid w:val="00D22B5B"/>
    <w:rsid w:val="00D233B7"/>
    <w:rsid w:val="00D270D0"/>
    <w:rsid w:val="00D32646"/>
    <w:rsid w:val="00D419C0"/>
    <w:rsid w:val="00D4373F"/>
    <w:rsid w:val="00D454C3"/>
    <w:rsid w:val="00D561AE"/>
    <w:rsid w:val="00D57048"/>
    <w:rsid w:val="00D572CF"/>
    <w:rsid w:val="00D63FA6"/>
    <w:rsid w:val="00D66E3A"/>
    <w:rsid w:val="00D752A7"/>
    <w:rsid w:val="00D91FC3"/>
    <w:rsid w:val="00DA52C5"/>
    <w:rsid w:val="00DA6214"/>
    <w:rsid w:val="00DC23D7"/>
    <w:rsid w:val="00DC24F4"/>
    <w:rsid w:val="00DC4477"/>
    <w:rsid w:val="00DC6490"/>
    <w:rsid w:val="00DD319B"/>
    <w:rsid w:val="00DE7E75"/>
    <w:rsid w:val="00DF1D42"/>
    <w:rsid w:val="00E04181"/>
    <w:rsid w:val="00E10230"/>
    <w:rsid w:val="00E10CB9"/>
    <w:rsid w:val="00E13228"/>
    <w:rsid w:val="00E239A2"/>
    <w:rsid w:val="00E27D0C"/>
    <w:rsid w:val="00E43AB7"/>
    <w:rsid w:val="00E45304"/>
    <w:rsid w:val="00E5775F"/>
    <w:rsid w:val="00E6134C"/>
    <w:rsid w:val="00E61B63"/>
    <w:rsid w:val="00E75EF9"/>
    <w:rsid w:val="00E81D18"/>
    <w:rsid w:val="00E84094"/>
    <w:rsid w:val="00E920A7"/>
    <w:rsid w:val="00EA16A5"/>
    <w:rsid w:val="00EA16F1"/>
    <w:rsid w:val="00EA224E"/>
    <w:rsid w:val="00EA3EAB"/>
    <w:rsid w:val="00EA65FE"/>
    <w:rsid w:val="00EB3BCE"/>
    <w:rsid w:val="00EB5FFF"/>
    <w:rsid w:val="00EC5EEF"/>
    <w:rsid w:val="00EE35EF"/>
    <w:rsid w:val="00EF0B05"/>
    <w:rsid w:val="00EF161C"/>
    <w:rsid w:val="00EF3B3B"/>
    <w:rsid w:val="00F00F22"/>
    <w:rsid w:val="00F06F02"/>
    <w:rsid w:val="00F301CA"/>
    <w:rsid w:val="00F36CB7"/>
    <w:rsid w:val="00F377E9"/>
    <w:rsid w:val="00F37C00"/>
    <w:rsid w:val="00F4408A"/>
    <w:rsid w:val="00F46C3C"/>
    <w:rsid w:val="00F55AD1"/>
    <w:rsid w:val="00F60BE3"/>
    <w:rsid w:val="00F64C94"/>
    <w:rsid w:val="00F66CE7"/>
    <w:rsid w:val="00F71C40"/>
    <w:rsid w:val="00F83FF0"/>
    <w:rsid w:val="00F84A39"/>
    <w:rsid w:val="00F86024"/>
    <w:rsid w:val="00F86319"/>
    <w:rsid w:val="00F87273"/>
    <w:rsid w:val="00F91FB9"/>
    <w:rsid w:val="00F97522"/>
    <w:rsid w:val="00FA3844"/>
    <w:rsid w:val="00FA465D"/>
    <w:rsid w:val="00FA7394"/>
    <w:rsid w:val="00FB1910"/>
    <w:rsid w:val="00FB3816"/>
    <w:rsid w:val="00FC1CA6"/>
    <w:rsid w:val="00FC36A8"/>
    <w:rsid w:val="00FC3799"/>
    <w:rsid w:val="00FC402C"/>
    <w:rsid w:val="00FC7D4A"/>
    <w:rsid w:val="00FD2544"/>
    <w:rsid w:val="00FD2B2A"/>
    <w:rsid w:val="00FE3CFC"/>
    <w:rsid w:val="00FE5BDF"/>
    <w:rsid w:val="00FE6FFD"/>
    <w:rsid w:val="00FF2339"/>
    <w:rsid w:val="00FF2442"/>
    <w:rsid w:val="00FF506C"/>
    <w:rsid w:val="00FF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62D44"/>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910"/>
    <w:pPr>
      <w:spacing w:after="160" w:line="259"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B1910"/>
    <w:rPr>
      <w:sz w:val="16"/>
      <w:szCs w:val="16"/>
    </w:rPr>
  </w:style>
  <w:style w:type="paragraph" w:styleId="CommentText">
    <w:name w:val="annotation text"/>
    <w:basedOn w:val="Normal"/>
    <w:link w:val="CommentTextChar"/>
    <w:uiPriority w:val="99"/>
    <w:unhideWhenUsed/>
    <w:qFormat/>
    <w:rsid w:val="00FB1910"/>
    <w:pPr>
      <w:spacing w:line="240" w:lineRule="auto"/>
    </w:pPr>
    <w:rPr>
      <w:sz w:val="20"/>
      <w:szCs w:val="20"/>
    </w:rPr>
  </w:style>
  <w:style w:type="character" w:customStyle="1" w:styleId="CommentTextChar">
    <w:name w:val="Comment Text Char"/>
    <w:link w:val="CommentText"/>
    <w:uiPriority w:val="99"/>
    <w:qFormat/>
    <w:rsid w:val="00FB1910"/>
    <w:rPr>
      <w:sz w:val="20"/>
      <w:szCs w:val="20"/>
    </w:rPr>
  </w:style>
  <w:style w:type="paragraph" w:styleId="CommentSubject">
    <w:name w:val="annotation subject"/>
    <w:basedOn w:val="CommentText"/>
    <w:next w:val="CommentText"/>
    <w:link w:val="CommentSubjectChar"/>
    <w:uiPriority w:val="99"/>
    <w:semiHidden/>
    <w:unhideWhenUsed/>
    <w:rsid w:val="00FB1910"/>
    <w:rPr>
      <w:b/>
      <w:bCs/>
    </w:rPr>
  </w:style>
  <w:style w:type="character" w:customStyle="1" w:styleId="CommentSubjectChar">
    <w:name w:val="Comment Subject Char"/>
    <w:link w:val="CommentSubject"/>
    <w:uiPriority w:val="99"/>
    <w:semiHidden/>
    <w:rsid w:val="00FB1910"/>
    <w:rPr>
      <w:b/>
      <w:bCs/>
      <w:sz w:val="20"/>
      <w:szCs w:val="20"/>
    </w:rPr>
  </w:style>
  <w:style w:type="paragraph" w:styleId="BalloonText">
    <w:name w:val="Balloon Text"/>
    <w:basedOn w:val="Normal"/>
    <w:link w:val="BalloonTextChar"/>
    <w:uiPriority w:val="99"/>
    <w:semiHidden/>
    <w:unhideWhenUsed/>
    <w:rsid w:val="00FB191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1910"/>
    <w:rPr>
      <w:rFonts w:ascii="Segoe UI" w:hAnsi="Segoe UI" w:cs="Segoe UI"/>
      <w:sz w:val="18"/>
      <w:szCs w:val="18"/>
    </w:rPr>
  </w:style>
  <w:style w:type="character" w:styleId="Hyperlink">
    <w:name w:val="Hyperlink"/>
    <w:uiPriority w:val="99"/>
    <w:unhideWhenUsed/>
    <w:rsid w:val="00B00F69"/>
    <w:rPr>
      <w:color w:val="0563C1"/>
      <w:u w:val="single"/>
    </w:rPr>
  </w:style>
  <w:style w:type="character" w:customStyle="1" w:styleId="UnresolvedMention1">
    <w:name w:val="Unresolved Mention1"/>
    <w:uiPriority w:val="99"/>
    <w:semiHidden/>
    <w:unhideWhenUsed/>
    <w:rsid w:val="00B00F69"/>
    <w:rPr>
      <w:color w:val="808080"/>
      <w:shd w:val="clear" w:color="auto" w:fill="E6E6E6"/>
    </w:rPr>
  </w:style>
  <w:style w:type="character" w:styleId="Emphasis">
    <w:name w:val="Emphasis"/>
    <w:uiPriority w:val="20"/>
    <w:qFormat/>
    <w:rsid w:val="00B00F69"/>
    <w:rPr>
      <w:i/>
      <w:iCs/>
    </w:rPr>
  </w:style>
  <w:style w:type="character" w:styleId="Strong">
    <w:name w:val="Strong"/>
    <w:uiPriority w:val="22"/>
    <w:qFormat/>
    <w:rsid w:val="00B00F69"/>
    <w:rPr>
      <w:b/>
      <w:bCs/>
    </w:rPr>
  </w:style>
  <w:style w:type="paragraph" w:customStyle="1" w:styleId="ColorfulList-Accent11">
    <w:name w:val="Colorful List - Accent 11"/>
    <w:basedOn w:val="Normal"/>
    <w:uiPriority w:val="34"/>
    <w:qFormat/>
    <w:rsid w:val="00A0186B"/>
    <w:pPr>
      <w:ind w:left="720"/>
      <w:contextualSpacing/>
    </w:pPr>
  </w:style>
  <w:style w:type="character" w:styleId="FollowedHyperlink">
    <w:name w:val="FollowedHyperlink"/>
    <w:uiPriority w:val="99"/>
    <w:semiHidden/>
    <w:unhideWhenUsed/>
    <w:rsid w:val="00681C84"/>
    <w:rPr>
      <w:color w:val="954F72"/>
      <w:u w:val="single"/>
    </w:rPr>
  </w:style>
  <w:style w:type="paragraph" w:styleId="Header">
    <w:name w:val="header"/>
    <w:basedOn w:val="Normal"/>
    <w:link w:val="HeaderChar"/>
    <w:uiPriority w:val="99"/>
    <w:unhideWhenUsed/>
    <w:rsid w:val="00DC6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490"/>
  </w:style>
  <w:style w:type="paragraph" w:styleId="Footer">
    <w:name w:val="footer"/>
    <w:basedOn w:val="Normal"/>
    <w:link w:val="FooterChar"/>
    <w:uiPriority w:val="99"/>
    <w:unhideWhenUsed/>
    <w:rsid w:val="00DC6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490"/>
  </w:style>
  <w:style w:type="character" w:customStyle="1" w:styleId="UnresolvedMention2">
    <w:name w:val="Unresolved Mention2"/>
    <w:uiPriority w:val="99"/>
    <w:semiHidden/>
    <w:unhideWhenUsed/>
    <w:rsid w:val="00544B7A"/>
    <w:rPr>
      <w:color w:val="808080"/>
      <w:shd w:val="clear" w:color="auto" w:fill="E6E6E6"/>
    </w:rPr>
  </w:style>
  <w:style w:type="character" w:styleId="LineNumber">
    <w:name w:val="line number"/>
    <w:uiPriority w:val="99"/>
    <w:semiHidden/>
    <w:unhideWhenUsed/>
    <w:rsid w:val="00062124"/>
  </w:style>
  <w:style w:type="paragraph" w:customStyle="1" w:styleId="1">
    <w:name w:val="正文1"/>
    <w:uiPriority w:val="99"/>
    <w:rsid w:val="005A1552"/>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5471">
      <w:bodyDiv w:val="1"/>
      <w:marLeft w:val="0"/>
      <w:marRight w:val="0"/>
      <w:marTop w:val="0"/>
      <w:marBottom w:val="0"/>
      <w:divBdr>
        <w:top w:val="none" w:sz="0" w:space="0" w:color="auto"/>
        <w:left w:val="none" w:sz="0" w:space="0" w:color="auto"/>
        <w:bottom w:val="none" w:sz="0" w:space="0" w:color="auto"/>
        <w:right w:val="none" w:sz="0" w:space="0" w:color="auto"/>
      </w:divBdr>
    </w:div>
    <w:div w:id="295993077">
      <w:bodyDiv w:val="1"/>
      <w:marLeft w:val="0"/>
      <w:marRight w:val="0"/>
      <w:marTop w:val="0"/>
      <w:marBottom w:val="0"/>
      <w:divBdr>
        <w:top w:val="none" w:sz="0" w:space="0" w:color="auto"/>
        <w:left w:val="none" w:sz="0" w:space="0" w:color="auto"/>
        <w:bottom w:val="none" w:sz="0" w:space="0" w:color="auto"/>
        <w:right w:val="none" w:sz="0" w:space="0" w:color="auto"/>
      </w:divBdr>
    </w:div>
    <w:div w:id="551696558">
      <w:bodyDiv w:val="1"/>
      <w:marLeft w:val="0"/>
      <w:marRight w:val="0"/>
      <w:marTop w:val="0"/>
      <w:marBottom w:val="0"/>
      <w:divBdr>
        <w:top w:val="none" w:sz="0" w:space="0" w:color="auto"/>
        <w:left w:val="none" w:sz="0" w:space="0" w:color="auto"/>
        <w:bottom w:val="none" w:sz="0" w:space="0" w:color="auto"/>
        <w:right w:val="none" w:sz="0" w:space="0" w:color="auto"/>
      </w:divBdr>
    </w:div>
    <w:div w:id="843741026">
      <w:bodyDiv w:val="1"/>
      <w:marLeft w:val="0"/>
      <w:marRight w:val="0"/>
      <w:marTop w:val="0"/>
      <w:marBottom w:val="0"/>
      <w:divBdr>
        <w:top w:val="none" w:sz="0" w:space="0" w:color="auto"/>
        <w:left w:val="none" w:sz="0" w:space="0" w:color="auto"/>
        <w:bottom w:val="none" w:sz="0" w:space="0" w:color="auto"/>
        <w:right w:val="none" w:sz="0" w:space="0" w:color="auto"/>
      </w:divBdr>
    </w:div>
    <w:div w:id="1882017420">
      <w:bodyDiv w:val="1"/>
      <w:marLeft w:val="120"/>
      <w:marRight w:val="120"/>
      <w:marTop w:val="0"/>
      <w:marBottom w:val="0"/>
      <w:divBdr>
        <w:top w:val="none" w:sz="0" w:space="0" w:color="auto"/>
        <w:left w:val="none" w:sz="0" w:space="0" w:color="auto"/>
        <w:bottom w:val="none" w:sz="0" w:space="0" w:color="auto"/>
        <w:right w:val="none" w:sz="0" w:space="0" w:color="auto"/>
      </w:divBdr>
      <w:divsChild>
        <w:div w:id="1781338520">
          <w:marLeft w:val="0"/>
          <w:marRight w:val="0"/>
          <w:marTop w:val="0"/>
          <w:marBottom w:val="0"/>
          <w:divBdr>
            <w:top w:val="none" w:sz="0" w:space="0" w:color="auto"/>
            <w:left w:val="none" w:sz="0" w:space="0" w:color="auto"/>
            <w:bottom w:val="none" w:sz="0" w:space="0" w:color="auto"/>
            <w:right w:val="none" w:sz="0" w:space="0" w:color="auto"/>
          </w:divBdr>
          <w:divsChild>
            <w:div w:id="374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mpoku@hawaii.edu" TargetMode="External"/><Relationship Id="rId13" Type="http://schemas.openxmlformats.org/officeDocument/2006/relationships/image" Target="media/image5.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5D345-DCFB-0844-B735-C0B2F582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26189</Words>
  <Characters>149281</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175120</CharactersWithSpaces>
  <SharedDoc>false</SharedDoc>
  <HLinks>
    <vt:vector size="6" baseType="variant">
      <vt:variant>
        <vt:i4>5308530</vt:i4>
      </vt:variant>
      <vt:variant>
        <vt:i4>0</vt:i4>
      </vt:variant>
      <vt:variant>
        <vt:i4>0</vt:i4>
      </vt:variant>
      <vt:variant>
        <vt:i4>5</vt:i4>
      </vt:variant>
      <vt:variant>
        <vt:lpwstr>mailto:tsempoku@hawaii.edu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Tomoki Sempokuya</dc:creator>
  <cp:lastModifiedBy>Li Ma</cp:lastModifiedBy>
  <cp:revision>4</cp:revision>
  <cp:lastPrinted>2018-03-02T02:03:00Z</cp:lastPrinted>
  <dcterms:created xsi:type="dcterms:W3CDTF">2019-01-09T18:13:00Z</dcterms:created>
  <dcterms:modified xsi:type="dcterms:W3CDTF">2019-01-09T18:31:00Z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http://www.zotero.org/styles/jama</vt:lpwstr>
  </property>
  <property fmtid="{D5CDD505-2E9C-101B-9397-08002B2CF9AE}" pid="17" name="Mendeley Recent Style Name 7_1">
    <vt:lpwstr>JAMA (The Journal of the American Medical Association)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08b717a6-32f6-3a3f-8276-106342c225e1</vt:lpwstr>
  </property>
  <property fmtid="{D5CDD505-2E9C-101B-9397-08002B2CF9AE}" pid="24" name="Mendeley Citation Style_1">
    <vt:lpwstr>http://www.zotero.org/styles/world-journal-of-gastroenterology</vt:lpwstr>
  </property>
</Properties>
</file>