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D0" w:rsidRDefault="00CC5D84">
      <w:pPr>
        <w:ind w:left="120"/>
        <w:rPr>
          <w:sz w:val="20"/>
          <w:szCs w:val="20"/>
        </w:rPr>
      </w:pPr>
      <w:bookmarkStart w:id="0" w:name="page1"/>
      <w:bookmarkEnd w:id="0"/>
      <w:r>
        <w:rPr>
          <w:rFonts w:eastAsia="Times New Roman"/>
          <w:sz w:val="24"/>
          <w:szCs w:val="24"/>
        </w:rPr>
        <w:t>STROBE Statement—checklist of items that should be included in reports of observational studies</w:t>
      </w:r>
    </w:p>
    <w:p w:rsidR="004319D0" w:rsidRDefault="004319D0">
      <w:pPr>
        <w:spacing w:line="200" w:lineRule="exact"/>
        <w:rPr>
          <w:sz w:val="24"/>
          <w:szCs w:val="24"/>
        </w:rPr>
      </w:pPr>
    </w:p>
    <w:p w:rsidR="004319D0" w:rsidRDefault="004319D0">
      <w:pPr>
        <w:spacing w:line="227" w:lineRule="exact"/>
        <w:rPr>
          <w:sz w:val="24"/>
          <w:szCs w:val="24"/>
        </w:rPr>
      </w:pPr>
    </w:p>
    <w:tbl>
      <w:tblPr>
        <w:tblW w:w="9860" w:type="dxa"/>
        <w:tblLayout w:type="fixed"/>
        <w:tblCellMar>
          <w:left w:w="0" w:type="dxa"/>
          <w:right w:w="0" w:type="dxa"/>
        </w:tblCellMar>
        <w:tblLook w:val="04A0" w:firstRow="1" w:lastRow="0" w:firstColumn="1" w:lastColumn="0" w:noHBand="0" w:noVBand="1"/>
      </w:tblPr>
      <w:tblGrid>
        <w:gridCol w:w="2100"/>
        <w:gridCol w:w="780"/>
        <w:gridCol w:w="6980"/>
      </w:tblGrid>
      <w:tr w:rsidR="004319D0" w:rsidTr="005964B1">
        <w:trPr>
          <w:trHeight w:val="230"/>
        </w:trPr>
        <w:tc>
          <w:tcPr>
            <w:tcW w:w="2100" w:type="dxa"/>
            <w:vAlign w:val="bottom"/>
          </w:tcPr>
          <w:p w:rsidR="004319D0" w:rsidRDefault="004319D0">
            <w:pPr>
              <w:rPr>
                <w:sz w:val="19"/>
                <w:szCs w:val="19"/>
              </w:rPr>
            </w:pPr>
          </w:p>
        </w:tc>
        <w:tc>
          <w:tcPr>
            <w:tcW w:w="780" w:type="dxa"/>
            <w:vAlign w:val="bottom"/>
          </w:tcPr>
          <w:p w:rsidR="004319D0" w:rsidRDefault="00CC5D84">
            <w:pPr>
              <w:jc w:val="center"/>
              <w:rPr>
                <w:sz w:val="20"/>
                <w:szCs w:val="20"/>
              </w:rPr>
            </w:pPr>
            <w:r>
              <w:rPr>
                <w:rFonts w:eastAsia="Times New Roman"/>
                <w:b/>
                <w:bCs/>
                <w:sz w:val="20"/>
                <w:szCs w:val="20"/>
              </w:rPr>
              <w:t>Item</w:t>
            </w:r>
          </w:p>
        </w:tc>
        <w:tc>
          <w:tcPr>
            <w:tcW w:w="6980" w:type="dxa"/>
            <w:vAlign w:val="bottom"/>
          </w:tcPr>
          <w:p w:rsidR="004319D0" w:rsidRDefault="004319D0">
            <w:pPr>
              <w:rPr>
                <w:sz w:val="19"/>
                <w:szCs w:val="19"/>
              </w:rPr>
            </w:pPr>
          </w:p>
        </w:tc>
      </w:tr>
      <w:tr w:rsidR="004319D0" w:rsidTr="005964B1">
        <w:trPr>
          <w:trHeight w:val="232"/>
        </w:trPr>
        <w:tc>
          <w:tcPr>
            <w:tcW w:w="2100" w:type="dxa"/>
            <w:tcBorders>
              <w:bottom w:val="single" w:sz="8" w:space="0" w:color="auto"/>
            </w:tcBorders>
            <w:vAlign w:val="bottom"/>
          </w:tcPr>
          <w:p w:rsidR="004319D0" w:rsidRDefault="004319D0">
            <w:pPr>
              <w:rPr>
                <w:sz w:val="20"/>
                <w:szCs w:val="20"/>
              </w:rPr>
            </w:pPr>
          </w:p>
        </w:tc>
        <w:tc>
          <w:tcPr>
            <w:tcW w:w="780" w:type="dxa"/>
            <w:tcBorders>
              <w:bottom w:val="single" w:sz="8" w:space="0" w:color="auto"/>
            </w:tcBorders>
            <w:vAlign w:val="bottom"/>
          </w:tcPr>
          <w:p w:rsidR="004319D0" w:rsidRDefault="00CC5D84">
            <w:pPr>
              <w:jc w:val="center"/>
              <w:rPr>
                <w:sz w:val="20"/>
                <w:szCs w:val="20"/>
              </w:rPr>
            </w:pPr>
            <w:r>
              <w:rPr>
                <w:rFonts w:eastAsia="Times New Roman"/>
                <w:b/>
                <w:bCs/>
                <w:w w:val="97"/>
                <w:sz w:val="20"/>
                <w:szCs w:val="20"/>
              </w:rPr>
              <w:t>No</w:t>
            </w:r>
          </w:p>
        </w:tc>
        <w:tc>
          <w:tcPr>
            <w:tcW w:w="6980" w:type="dxa"/>
            <w:tcBorders>
              <w:bottom w:val="single" w:sz="8" w:space="0" w:color="auto"/>
            </w:tcBorders>
            <w:vAlign w:val="bottom"/>
          </w:tcPr>
          <w:p w:rsidR="004319D0" w:rsidRDefault="00CC5D84">
            <w:pPr>
              <w:ind w:left="2740"/>
              <w:rPr>
                <w:sz w:val="20"/>
                <w:szCs w:val="20"/>
              </w:rPr>
            </w:pPr>
            <w:r>
              <w:rPr>
                <w:rFonts w:eastAsia="Times New Roman"/>
                <w:b/>
                <w:bCs/>
                <w:sz w:val="20"/>
                <w:szCs w:val="20"/>
              </w:rPr>
              <w:t>Recommendation</w:t>
            </w:r>
          </w:p>
        </w:tc>
      </w:tr>
      <w:tr w:rsidR="004319D0" w:rsidRPr="001D7267" w:rsidTr="005964B1">
        <w:trPr>
          <w:trHeight w:val="282"/>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Title and abstract</w:t>
            </w:r>
          </w:p>
        </w:tc>
        <w:tc>
          <w:tcPr>
            <w:tcW w:w="78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w:t>
            </w:r>
          </w:p>
        </w:tc>
        <w:tc>
          <w:tcPr>
            <w:tcW w:w="6980" w:type="dxa"/>
            <w:tcBorders>
              <w:bottom w:val="single" w:sz="8" w:space="0" w:color="auto"/>
            </w:tcBorders>
            <w:vAlign w:val="bottom"/>
          </w:tcPr>
          <w:p w:rsidR="001B6507" w:rsidRPr="001D7267" w:rsidRDefault="00922C58" w:rsidP="004322A2">
            <w:pPr>
              <w:pStyle w:val="ListParagraph"/>
              <w:ind w:left="90"/>
              <w:jc w:val="both"/>
              <w:rPr>
                <w:rFonts w:asciiTheme="majorBidi" w:hAnsiTheme="majorBidi" w:cstheme="majorBidi"/>
                <w:sz w:val="20"/>
                <w:szCs w:val="20"/>
              </w:rPr>
            </w:pPr>
            <w:r w:rsidRPr="001D7267">
              <w:rPr>
                <w:rFonts w:asciiTheme="majorBidi" w:hAnsiTheme="majorBidi" w:cstheme="majorBidi"/>
                <w:color w:val="FF0000"/>
                <w:sz w:val="20"/>
                <w:szCs w:val="20"/>
                <w:bdr w:val="none" w:sz="0" w:space="0" w:color="auto" w:frame="1"/>
              </w:rPr>
              <w:t>Title:</w:t>
            </w:r>
            <w:r w:rsidR="00FB6E0E" w:rsidRPr="001D7267">
              <w:rPr>
                <w:rFonts w:asciiTheme="majorBidi" w:hAnsiTheme="majorBidi" w:cstheme="majorBidi"/>
                <w:color w:val="404040"/>
                <w:sz w:val="20"/>
                <w:szCs w:val="20"/>
              </w:rPr>
              <w:t xml:space="preserve"> </w:t>
            </w:r>
            <w:r w:rsidR="00DD221E" w:rsidRPr="001D7267">
              <w:rPr>
                <w:rFonts w:asciiTheme="majorBidi" w:hAnsiTheme="majorBidi" w:cstheme="majorBidi"/>
                <w:color w:val="FF0000"/>
                <w:sz w:val="20"/>
                <w:szCs w:val="20"/>
              </w:rPr>
              <w:t>C</w:t>
            </w:r>
            <w:r w:rsidR="00FB6E0E" w:rsidRPr="001D7267">
              <w:rPr>
                <w:rFonts w:asciiTheme="majorBidi" w:hAnsiTheme="majorBidi" w:cstheme="majorBidi"/>
                <w:color w:val="FF0000"/>
                <w:sz w:val="20"/>
                <w:szCs w:val="20"/>
              </w:rPr>
              <w:t xml:space="preserve">ase–control study </w:t>
            </w:r>
            <w:r w:rsidR="000802D0" w:rsidRPr="001D7267">
              <w:rPr>
                <w:rFonts w:asciiTheme="majorBidi" w:hAnsiTheme="majorBidi" w:cstheme="majorBidi"/>
                <w:color w:val="FF0000"/>
                <w:sz w:val="20"/>
                <w:szCs w:val="20"/>
              </w:rPr>
              <w:t xml:space="preserve">of </w:t>
            </w:r>
            <w:r w:rsidR="000802D0" w:rsidRPr="001D7267">
              <w:rPr>
                <w:rStyle w:val="apple-converted-space"/>
                <w:rFonts w:asciiTheme="majorBidi" w:hAnsiTheme="majorBidi" w:cstheme="majorBidi"/>
                <w:color w:val="FF0000"/>
                <w:sz w:val="20"/>
                <w:szCs w:val="20"/>
              </w:rPr>
              <w:t>Diffusion</w:t>
            </w:r>
            <w:r w:rsidR="001B6507" w:rsidRPr="001D7267">
              <w:rPr>
                <w:rFonts w:asciiTheme="majorBidi" w:hAnsiTheme="majorBidi" w:cstheme="majorBidi"/>
                <w:color w:val="FF0000"/>
                <w:sz w:val="20"/>
                <w:szCs w:val="20"/>
                <w:bdr w:val="none" w:sz="0" w:space="0" w:color="auto" w:frame="1"/>
              </w:rPr>
              <w:t>-weighted Magnetic Resonance Imaging (MRI) and micro-RNA in diagnosis and staging of hepatic fibrosis in chronic hepatitis C virus infection</w:t>
            </w:r>
            <w:r w:rsidR="00DD221E" w:rsidRPr="001D7267">
              <w:rPr>
                <w:rFonts w:asciiTheme="majorBidi" w:hAnsiTheme="majorBidi" w:cstheme="majorBidi"/>
                <w:color w:val="FF0000"/>
                <w:sz w:val="20"/>
                <w:szCs w:val="20"/>
                <w:bdr w:val="none" w:sz="0" w:space="0" w:color="auto" w:frame="1"/>
              </w:rPr>
              <w:t>.</w:t>
            </w:r>
          </w:p>
        </w:tc>
      </w:tr>
      <w:tr w:rsidR="004319D0" w:rsidRPr="001D7267" w:rsidTr="005964B1">
        <w:trPr>
          <w:trHeight w:val="281"/>
        </w:trPr>
        <w:tc>
          <w:tcPr>
            <w:tcW w:w="2100" w:type="dxa"/>
            <w:vAlign w:val="bottom"/>
          </w:tcPr>
          <w:p w:rsidR="004319D0" w:rsidRPr="001D7267" w:rsidRDefault="004319D0">
            <w:pPr>
              <w:rPr>
                <w:rFonts w:asciiTheme="majorBidi" w:hAnsiTheme="majorBidi" w:cstheme="majorBidi"/>
                <w:sz w:val="20"/>
                <w:szCs w:val="20"/>
              </w:rPr>
            </w:pPr>
          </w:p>
        </w:tc>
        <w:tc>
          <w:tcPr>
            <w:tcW w:w="780" w:type="dxa"/>
            <w:vAlign w:val="bottom"/>
          </w:tcPr>
          <w:p w:rsidR="004319D0" w:rsidRPr="001D7267" w:rsidRDefault="004319D0">
            <w:pPr>
              <w:rPr>
                <w:rFonts w:asciiTheme="majorBidi" w:hAnsiTheme="majorBidi" w:cstheme="majorBidi"/>
                <w:sz w:val="20"/>
                <w:szCs w:val="20"/>
              </w:rPr>
            </w:pPr>
          </w:p>
        </w:tc>
        <w:tc>
          <w:tcPr>
            <w:tcW w:w="6980" w:type="dxa"/>
            <w:vAlign w:val="bottom"/>
          </w:tcPr>
          <w:p w:rsidR="004319D0" w:rsidRPr="001D7267" w:rsidRDefault="004319D0" w:rsidP="00C32EA4">
            <w:pPr>
              <w:rPr>
                <w:rFonts w:asciiTheme="majorBidi" w:hAnsiTheme="majorBidi" w:cstheme="majorBidi"/>
                <w:sz w:val="20"/>
                <w:szCs w:val="20"/>
              </w:rPr>
            </w:pPr>
          </w:p>
        </w:tc>
      </w:tr>
      <w:tr w:rsidR="004319D0" w:rsidRPr="001D7267" w:rsidTr="005964B1">
        <w:trPr>
          <w:trHeight w:val="309"/>
        </w:trPr>
        <w:tc>
          <w:tcPr>
            <w:tcW w:w="21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D91015" w:rsidRPr="001D7267" w:rsidRDefault="00B60499" w:rsidP="00C32EA4">
            <w:pPr>
              <w:suppressAutoHyphens/>
              <w:autoSpaceDE w:val="0"/>
              <w:autoSpaceDN w:val="0"/>
              <w:adjustRightInd w:val="0"/>
              <w:jc w:val="both"/>
              <w:rPr>
                <w:rFonts w:asciiTheme="majorBidi" w:eastAsia="Times New Roman" w:hAnsiTheme="majorBidi" w:cstheme="majorBidi"/>
                <w:b/>
                <w:bCs/>
                <w:color w:val="FF0000"/>
                <w:sz w:val="20"/>
                <w:szCs w:val="20"/>
              </w:rPr>
            </w:pPr>
            <w:r w:rsidRPr="001D7267">
              <w:rPr>
                <w:rFonts w:asciiTheme="majorBidi" w:hAnsiTheme="majorBidi" w:cstheme="majorBidi"/>
                <w:b/>
                <w:bCs/>
                <w:color w:val="FF0000"/>
                <w:sz w:val="20"/>
                <w:szCs w:val="20"/>
              </w:rPr>
              <w:t>Objective:</w:t>
            </w:r>
            <w:r w:rsidR="00D91015" w:rsidRPr="001D7267">
              <w:rPr>
                <w:rFonts w:asciiTheme="majorBidi" w:eastAsia="Times New Roman" w:hAnsiTheme="majorBidi" w:cstheme="majorBidi"/>
                <w:b/>
                <w:bCs/>
                <w:color w:val="FF0000"/>
                <w:sz w:val="20"/>
                <w:szCs w:val="20"/>
              </w:rPr>
              <w:t xml:space="preserve"> </w:t>
            </w:r>
            <w:r w:rsidR="00D91015" w:rsidRPr="001D7267">
              <w:rPr>
                <w:rFonts w:asciiTheme="majorBidi" w:hAnsiTheme="majorBidi" w:cstheme="majorBidi"/>
                <w:color w:val="FF0000"/>
                <w:sz w:val="20"/>
                <w:szCs w:val="20"/>
              </w:rPr>
              <w:t>To assess diffusion-weighted MR imaging (DWI) and micro-RNAs (</w:t>
            </w:r>
            <w:proofErr w:type="spellStart"/>
            <w:r w:rsidR="00D91015" w:rsidRPr="001D7267">
              <w:rPr>
                <w:rFonts w:asciiTheme="majorBidi" w:hAnsiTheme="majorBidi" w:cstheme="majorBidi"/>
                <w:color w:val="FF0000"/>
                <w:sz w:val="20"/>
                <w:szCs w:val="20"/>
              </w:rPr>
              <w:t>miR</w:t>
            </w:r>
            <w:proofErr w:type="spellEnd"/>
            <w:r w:rsidR="00D91015" w:rsidRPr="001D7267">
              <w:rPr>
                <w:rFonts w:asciiTheme="majorBidi" w:hAnsiTheme="majorBidi" w:cstheme="majorBidi"/>
                <w:color w:val="FF0000"/>
                <w:sz w:val="20"/>
                <w:szCs w:val="20"/>
              </w:rPr>
              <w:t xml:space="preserve">) in diagnosis and staging of hepatic </w:t>
            </w:r>
            <w:r w:rsidR="00D91015" w:rsidRPr="001D7267">
              <w:rPr>
                <w:rFonts w:asciiTheme="majorBidi" w:eastAsia="Times New Roman" w:hAnsiTheme="majorBidi" w:cstheme="majorBidi"/>
                <w:color w:val="FF0000"/>
                <w:sz w:val="20"/>
                <w:szCs w:val="20"/>
              </w:rPr>
              <w:t>fibrosis in patients with chronic hepatitis C.</w:t>
            </w:r>
          </w:p>
          <w:p w:rsidR="00D91015" w:rsidRPr="001D7267" w:rsidRDefault="00D91015" w:rsidP="00814381">
            <w:pPr>
              <w:suppressAutoHyphens/>
              <w:autoSpaceDE w:val="0"/>
              <w:autoSpaceDN w:val="0"/>
              <w:adjustRightInd w:val="0"/>
              <w:ind w:left="90"/>
              <w:jc w:val="both"/>
              <w:rPr>
                <w:rFonts w:asciiTheme="majorBidi" w:eastAsia="Times New Roman" w:hAnsiTheme="majorBidi" w:cstheme="majorBidi"/>
                <w:b/>
                <w:bCs/>
                <w:color w:val="FF0000"/>
                <w:sz w:val="20"/>
                <w:szCs w:val="20"/>
              </w:rPr>
            </w:pPr>
            <w:r w:rsidRPr="001D7267">
              <w:rPr>
                <w:rFonts w:asciiTheme="majorBidi" w:eastAsia="Times New Roman" w:hAnsiTheme="majorBidi" w:cstheme="majorBidi"/>
                <w:b/>
                <w:bCs/>
                <w:color w:val="FF0000"/>
                <w:sz w:val="20"/>
                <w:szCs w:val="20"/>
              </w:rPr>
              <w:t xml:space="preserve">Methods: </w:t>
            </w:r>
            <w:r w:rsidR="005E7304" w:rsidRPr="001D7267">
              <w:rPr>
                <w:rFonts w:asciiTheme="majorBidi" w:eastAsia="Times New Roman" w:hAnsiTheme="majorBidi" w:cstheme="majorBidi"/>
                <w:color w:val="FF0000"/>
                <w:sz w:val="20"/>
                <w:szCs w:val="20"/>
              </w:rPr>
              <w:t>Th</w:t>
            </w:r>
            <w:r w:rsidR="00814381" w:rsidRPr="001D7267">
              <w:rPr>
                <w:rFonts w:asciiTheme="majorBidi" w:eastAsia="Times New Roman" w:hAnsiTheme="majorBidi" w:cstheme="majorBidi"/>
                <w:color w:val="FF0000"/>
                <w:sz w:val="20"/>
                <w:szCs w:val="20"/>
              </w:rPr>
              <w:t>is</w:t>
            </w:r>
            <w:r w:rsidRPr="001D7267">
              <w:rPr>
                <w:rFonts w:asciiTheme="majorBidi" w:eastAsia="Times New Roman" w:hAnsiTheme="majorBidi" w:cstheme="majorBidi"/>
                <w:color w:val="FF0000"/>
                <w:sz w:val="20"/>
                <w:szCs w:val="20"/>
              </w:rPr>
              <w:t xml:space="preserve"> study was conducted upon 208 patients and 82 age and sex matched controls underwent DWI of the abdomen, </w:t>
            </w:r>
            <w:proofErr w:type="spellStart"/>
            <w:r w:rsidRPr="001D7267">
              <w:rPr>
                <w:rFonts w:asciiTheme="majorBidi" w:eastAsia="Times New Roman" w:hAnsiTheme="majorBidi" w:cstheme="majorBidi"/>
                <w:color w:val="FF0000"/>
                <w:sz w:val="20"/>
                <w:szCs w:val="20"/>
              </w:rPr>
              <w:t>miR</w:t>
            </w:r>
            <w:proofErr w:type="spellEnd"/>
            <w:r w:rsidRPr="001D7267">
              <w:rPr>
                <w:rFonts w:asciiTheme="majorBidi" w:eastAsia="Times New Roman" w:hAnsiTheme="majorBidi" w:cstheme="majorBidi"/>
                <w:color w:val="FF0000"/>
                <w:sz w:val="20"/>
                <w:szCs w:val="20"/>
              </w:rPr>
              <w:t xml:space="preserve"> and liver biopsy. The pathological score was classified according to METAVIR scoring system. The ADC and </w:t>
            </w:r>
            <w:proofErr w:type="spellStart"/>
            <w:r w:rsidRPr="001D7267">
              <w:rPr>
                <w:rFonts w:asciiTheme="majorBidi" w:eastAsia="Times New Roman" w:hAnsiTheme="majorBidi" w:cstheme="majorBidi"/>
                <w:color w:val="FF0000"/>
                <w:sz w:val="20"/>
                <w:szCs w:val="20"/>
              </w:rPr>
              <w:t>miR</w:t>
            </w:r>
            <w:proofErr w:type="spellEnd"/>
            <w:r w:rsidRPr="001D7267">
              <w:rPr>
                <w:rFonts w:asciiTheme="majorBidi" w:eastAsia="Times New Roman" w:hAnsiTheme="majorBidi" w:cstheme="majorBidi"/>
                <w:color w:val="FF0000"/>
                <w:sz w:val="20"/>
                <w:szCs w:val="20"/>
              </w:rPr>
              <w:t xml:space="preserve"> were calculated and correlated with pathological scoring.</w:t>
            </w:r>
          </w:p>
          <w:p w:rsidR="00D91015" w:rsidRPr="001D7267" w:rsidRDefault="00D91015" w:rsidP="00D91015">
            <w:pPr>
              <w:suppressAutoHyphens/>
              <w:autoSpaceDE w:val="0"/>
              <w:autoSpaceDN w:val="0"/>
              <w:adjustRightInd w:val="0"/>
              <w:ind w:left="90"/>
              <w:jc w:val="both"/>
              <w:rPr>
                <w:rFonts w:asciiTheme="majorBidi" w:eastAsia="Times New Roman" w:hAnsiTheme="majorBidi" w:cstheme="majorBidi"/>
                <w:b/>
                <w:bCs/>
                <w:color w:val="FF0000"/>
                <w:sz w:val="20"/>
                <w:szCs w:val="20"/>
              </w:rPr>
            </w:pPr>
            <w:r w:rsidRPr="001D7267">
              <w:rPr>
                <w:rFonts w:asciiTheme="majorBidi" w:eastAsia="Times New Roman" w:hAnsiTheme="majorBidi" w:cstheme="majorBidi"/>
                <w:b/>
                <w:bCs/>
                <w:color w:val="FF0000"/>
                <w:sz w:val="20"/>
                <w:szCs w:val="20"/>
              </w:rPr>
              <w:t xml:space="preserve">Results: </w:t>
            </w:r>
            <w:r w:rsidRPr="001D7267">
              <w:rPr>
                <w:rFonts w:asciiTheme="majorBidi" w:eastAsia="Times New Roman" w:hAnsiTheme="majorBidi" w:cstheme="majorBidi"/>
                <w:color w:val="FF0000"/>
                <w:sz w:val="20"/>
                <w:szCs w:val="20"/>
              </w:rPr>
              <w:t xml:space="preserve">The </w:t>
            </w:r>
            <w:r w:rsidRPr="001D7267">
              <w:rPr>
                <w:rFonts w:asciiTheme="majorBidi" w:eastAsia="Times New Roman" w:hAnsiTheme="majorBidi" w:cstheme="majorBidi"/>
                <w:color w:val="FF0000"/>
                <w:kern w:val="1"/>
                <w:sz w:val="20"/>
                <w:szCs w:val="20"/>
                <w:lang w:eastAsia="hi-IN" w:bidi="hi-IN"/>
              </w:rPr>
              <w:t>apparent diffusion coefficient</w:t>
            </w:r>
            <w:r w:rsidRPr="001D7267">
              <w:rPr>
                <w:rFonts w:asciiTheme="majorBidi" w:eastAsia="Times New Roman" w:hAnsiTheme="majorBidi" w:cstheme="majorBidi"/>
                <w:color w:val="FF0000"/>
                <w:sz w:val="20"/>
                <w:szCs w:val="20"/>
              </w:rPr>
              <w:t xml:space="preserve"> (ADC) value was decreased significantly from controls (F0), patients with early fibrosis (F1 and F2) and those with late fibrosis (F3 and F4), (median 1.92, 1.53 and 1.25 x 10</w:t>
            </w:r>
            <w:r w:rsidRPr="001D7267">
              <w:rPr>
                <w:rFonts w:asciiTheme="majorBidi" w:eastAsia="Times New Roman" w:hAnsiTheme="majorBidi" w:cstheme="majorBidi"/>
                <w:color w:val="FF0000"/>
                <w:sz w:val="20"/>
                <w:szCs w:val="20"/>
                <w:vertAlign w:val="superscript"/>
              </w:rPr>
              <w:t>-3</w:t>
            </w:r>
            <w:r w:rsidRPr="001D7267">
              <w:rPr>
                <w:rFonts w:asciiTheme="majorBidi" w:eastAsia="Times New Roman" w:hAnsiTheme="majorBidi" w:cstheme="majorBidi"/>
                <w:color w:val="FF0000"/>
                <w:sz w:val="20"/>
                <w:szCs w:val="20"/>
              </w:rPr>
              <w:t>mm</w:t>
            </w:r>
            <w:r w:rsidRPr="001D7267">
              <w:rPr>
                <w:rFonts w:asciiTheme="majorBidi" w:eastAsia="Times New Roman" w:hAnsiTheme="majorBidi" w:cstheme="majorBidi"/>
                <w:color w:val="FF0000"/>
                <w:sz w:val="20"/>
                <w:szCs w:val="20"/>
                <w:vertAlign w:val="superscript"/>
              </w:rPr>
              <w:t>2</w:t>
            </w:r>
            <w:r w:rsidRPr="001D7267">
              <w:rPr>
                <w:rFonts w:asciiTheme="majorBidi" w:eastAsia="Times New Roman" w:hAnsiTheme="majorBidi" w:cstheme="majorBidi"/>
                <w:color w:val="FF0000"/>
                <w:sz w:val="20"/>
                <w:szCs w:val="20"/>
              </w:rPr>
              <w:t>/s) respectively (</w:t>
            </w:r>
            <w:r w:rsidRPr="001D7267">
              <w:rPr>
                <w:rFonts w:asciiTheme="majorBidi" w:eastAsia="Times New Roman" w:hAnsiTheme="majorBidi" w:cstheme="majorBidi"/>
                <w:i/>
                <w:iCs/>
                <w:color w:val="FF0000"/>
                <w:sz w:val="20"/>
                <w:szCs w:val="20"/>
              </w:rPr>
              <w:t>P</w:t>
            </w:r>
            <w:r w:rsidRPr="001D7267">
              <w:rPr>
                <w:rFonts w:asciiTheme="majorBidi" w:eastAsia="Times New Roman" w:hAnsiTheme="majorBidi" w:cstheme="majorBidi"/>
                <w:color w:val="FF0000"/>
                <w:sz w:val="20"/>
                <w:szCs w:val="20"/>
              </w:rPr>
              <w:t xml:space="preserve"> = 0.001). The cutoff ADC value used to differentiate patients from controls was (1.83 x 10</w:t>
            </w:r>
            <w:r w:rsidRPr="001D7267">
              <w:rPr>
                <w:rFonts w:asciiTheme="majorBidi" w:eastAsia="Times New Roman" w:hAnsiTheme="majorBidi" w:cstheme="majorBidi"/>
                <w:color w:val="FF0000"/>
                <w:sz w:val="20"/>
                <w:szCs w:val="20"/>
                <w:vertAlign w:val="superscript"/>
              </w:rPr>
              <w:t>-3</w:t>
            </w:r>
            <w:r w:rsidRPr="001D7267">
              <w:rPr>
                <w:rFonts w:asciiTheme="majorBidi" w:eastAsia="Times New Roman" w:hAnsiTheme="majorBidi" w:cstheme="majorBidi"/>
                <w:color w:val="FF0000"/>
                <w:sz w:val="20"/>
                <w:szCs w:val="20"/>
              </w:rPr>
              <w:t xml:space="preserve"> mm</w:t>
            </w:r>
            <w:r w:rsidRPr="001D7267">
              <w:rPr>
                <w:rFonts w:asciiTheme="majorBidi" w:eastAsia="Times New Roman" w:hAnsiTheme="majorBidi" w:cstheme="majorBidi"/>
                <w:color w:val="FF0000"/>
                <w:sz w:val="20"/>
                <w:szCs w:val="20"/>
                <w:vertAlign w:val="superscript"/>
              </w:rPr>
              <w:t>2</w:t>
            </w:r>
            <w:r w:rsidRPr="001D7267">
              <w:rPr>
                <w:rFonts w:asciiTheme="majorBidi" w:eastAsia="Times New Roman" w:hAnsiTheme="majorBidi" w:cstheme="majorBidi"/>
                <w:color w:val="FF0000"/>
                <w:sz w:val="20"/>
                <w:szCs w:val="20"/>
              </w:rPr>
              <w:t>/s) with area under curve (AUC) of 0.992. Combined ADC and miR-200 revealed highest AUC (0.995) for differentiating patients from controls with accuracy (96.9%). The cutoff ADC used to differentiate early fibrosis from late fibrosis was 1.54 x 10</w:t>
            </w:r>
            <w:r w:rsidRPr="001D7267">
              <w:rPr>
                <w:rFonts w:asciiTheme="majorBidi" w:eastAsia="Times New Roman" w:hAnsiTheme="majorBidi" w:cstheme="majorBidi"/>
                <w:color w:val="FF0000"/>
                <w:sz w:val="20"/>
                <w:szCs w:val="20"/>
                <w:vertAlign w:val="superscript"/>
              </w:rPr>
              <w:t>-3</w:t>
            </w:r>
            <w:r w:rsidRPr="001D7267">
              <w:rPr>
                <w:rFonts w:asciiTheme="majorBidi" w:eastAsia="Times New Roman" w:hAnsiTheme="majorBidi" w:cstheme="majorBidi"/>
                <w:color w:val="FF0000"/>
                <w:sz w:val="20"/>
                <w:szCs w:val="20"/>
              </w:rPr>
              <w:t xml:space="preserve"> mm</w:t>
            </w:r>
            <w:r w:rsidRPr="001D7267">
              <w:rPr>
                <w:rFonts w:asciiTheme="majorBidi" w:eastAsia="Times New Roman" w:hAnsiTheme="majorBidi" w:cstheme="majorBidi"/>
                <w:color w:val="FF0000"/>
                <w:sz w:val="20"/>
                <w:szCs w:val="20"/>
                <w:vertAlign w:val="superscript"/>
              </w:rPr>
              <w:t>2</w:t>
            </w:r>
            <w:r w:rsidRPr="001D7267">
              <w:rPr>
                <w:rFonts w:asciiTheme="majorBidi" w:eastAsia="Times New Roman" w:hAnsiTheme="majorBidi" w:cstheme="majorBidi"/>
                <w:color w:val="FF0000"/>
                <w:sz w:val="20"/>
                <w:szCs w:val="20"/>
              </w:rPr>
              <w:t xml:space="preserve">/s with AUC of 0.866. Combined ADC and miR-200 revealed best AUC (0.925) for differentiating early fibrosis from late fibrosis with accuracy (80.2%). </w:t>
            </w:r>
            <w:r w:rsidRPr="001D7267">
              <w:rPr>
                <w:rFonts w:asciiTheme="majorBidi" w:hAnsiTheme="majorBidi" w:cstheme="majorBidi"/>
                <w:color w:val="FF0000"/>
                <w:sz w:val="20"/>
                <w:szCs w:val="20"/>
              </w:rPr>
              <w:t>The ADC correlated with</w:t>
            </w:r>
            <w:r w:rsidRPr="001D7267">
              <w:rPr>
                <w:rFonts w:asciiTheme="majorBidi" w:hAnsiTheme="majorBidi" w:cstheme="majorBidi"/>
                <w:b/>
                <w:bCs/>
                <w:color w:val="FF0000"/>
                <w:sz w:val="20"/>
                <w:szCs w:val="20"/>
              </w:rPr>
              <w:t xml:space="preserve"> </w:t>
            </w:r>
            <w:r w:rsidRPr="001D7267">
              <w:rPr>
                <w:rFonts w:asciiTheme="majorBidi" w:hAnsiTheme="majorBidi" w:cstheme="majorBidi"/>
                <w:color w:val="FF0000"/>
                <w:sz w:val="20"/>
                <w:szCs w:val="20"/>
              </w:rPr>
              <w:t>miR-200 (</w:t>
            </w:r>
            <w:r w:rsidRPr="001D7267">
              <w:rPr>
                <w:rFonts w:asciiTheme="majorBidi" w:hAnsiTheme="majorBidi" w:cstheme="majorBidi"/>
                <w:i/>
                <w:iCs/>
                <w:color w:val="FF0000"/>
                <w:sz w:val="20"/>
                <w:szCs w:val="20"/>
              </w:rPr>
              <w:t>r</w:t>
            </w:r>
            <w:r w:rsidRPr="001D7267">
              <w:rPr>
                <w:rFonts w:asciiTheme="majorBidi" w:hAnsiTheme="majorBidi" w:cstheme="majorBidi"/>
                <w:color w:val="FF0000"/>
                <w:sz w:val="20"/>
                <w:szCs w:val="20"/>
              </w:rPr>
              <w:t xml:space="preserve"> = -0.61, </w:t>
            </w:r>
            <w:r w:rsidRPr="001D7267">
              <w:rPr>
                <w:rFonts w:asciiTheme="majorBidi" w:hAnsiTheme="majorBidi" w:cstheme="majorBidi"/>
                <w:i/>
                <w:iCs/>
                <w:color w:val="FF0000"/>
                <w:sz w:val="20"/>
                <w:szCs w:val="20"/>
              </w:rPr>
              <w:t>P</w:t>
            </w:r>
            <w:r w:rsidRPr="001D7267">
              <w:rPr>
                <w:rFonts w:asciiTheme="majorBidi" w:hAnsiTheme="majorBidi" w:cstheme="majorBidi"/>
                <w:color w:val="FF0000"/>
                <w:sz w:val="20"/>
                <w:szCs w:val="20"/>
              </w:rPr>
              <w:t xml:space="preserve"> = 0.001), miR-21 (</w:t>
            </w:r>
            <w:r w:rsidRPr="001D7267">
              <w:rPr>
                <w:rFonts w:asciiTheme="majorBidi" w:hAnsiTheme="majorBidi" w:cstheme="majorBidi"/>
                <w:i/>
                <w:iCs/>
                <w:color w:val="FF0000"/>
                <w:sz w:val="20"/>
                <w:szCs w:val="20"/>
              </w:rPr>
              <w:t>r</w:t>
            </w:r>
            <w:r w:rsidRPr="001D7267">
              <w:rPr>
                <w:rFonts w:asciiTheme="majorBidi" w:hAnsiTheme="majorBidi" w:cstheme="majorBidi"/>
                <w:color w:val="FF0000"/>
                <w:sz w:val="20"/>
                <w:szCs w:val="20"/>
              </w:rPr>
              <w:t xml:space="preserve"> = -0.62, </w:t>
            </w:r>
            <w:r w:rsidRPr="001D7267">
              <w:rPr>
                <w:rFonts w:asciiTheme="majorBidi" w:hAnsiTheme="majorBidi" w:cstheme="majorBidi"/>
                <w:i/>
                <w:iCs/>
                <w:color w:val="FF0000"/>
                <w:sz w:val="20"/>
                <w:szCs w:val="20"/>
              </w:rPr>
              <w:t>P</w:t>
            </w:r>
            <w:r w:rsidRPr="001D7267">
              <w:rPr>
                <w:rFonts w:asciiTheme="majorBidi" w:hAnsiTheme="majorBidi" w:cstheme="majorBidi"/>
                <w:color w:val="FF0000"/>
                <w:sz w:val="20"/>
                <w:szCs w:val="20"/>
              </w:rPr>
              <w:t xml:space="preserve"> = 0.001) and miR-29 (</w:t>
            </w:r>
            <w:r w:rsidRPr="001D7267">
              <w:rPr>
                <w:rFonts w:asciiTheme="majorBidi" w:hAnsiTheme="majorBidi" w:cstheme="majorBidi"/>
                <w:i/>
                <w:iCs/>
                <w:color w:val="FF0000"/>
                <w:sz w:val="20"/>
                <w:szCs w:val="20"/>
              </w:rPr>
              <w:t>r</w:t>
            </w:r>
            <w:r w:rsidRPr="001D7267">
              <w:rPr>
                <w:rFonts w:asciiTheme="majorBidi" w:hAnsiTheme="majorBidi" w:cstheme="majorBidi"/>
                <w:color w:val="FF0000"/>
                <w:sz w:val="20"/>
                <w:szCs w:val="20"/>
              </w:rPr>
              <w:t xml:space="preserve"> = 0.52, </w:t>
            </w:r>
            <w:r w:rsidRPr="001D7267">
              <w:rPr>
                <w:rFonts w:asciiTheme="majorBidi" w:hAnsiTheme="majorBidi" w:cstheme="majorBidi"/>
                <w:i/>
                <w:iCs/>
                <w:color w:val="FF0000"/>
                <w:sz w:val="20"/>
                <w:szCs w:val="20"/>
              </w:rPr>
              <w:t>P</w:t>
            </w:r>
            <w:r w:rsidRPr="001D7267">
              <w:rPr>
                <w:rFonts w:asciiTheme="majorBidi" w:hAnsiTheme="majorBidi" w:cstheme="majorBidi"/>
                <w:color w:val="FF0000"/>
                <w:sz w:val="20"/>
                <w:szCs w:val="20"/>
              </w:rPr>
              <w:t xml:space="preserve"> = 0.001).  </w:t>
            </w:r>
          </w:p>
          <w:p w:rsidR="00D91015" w:rsidRPr="001D7267" w:rsidRDefault="00D91015" w:rsidP="0005760A">
            <w:pPr>
              <w:suppressAutoHyphens/>
              <w:autoSpaceDE w:val="0"/>
              <w:autoSpaceDN w:val="0"/>
              <w:adjustRightInd w:val="0"/>
              <w:ind w:left="90"/>
              <w:jc w:val="both"/>
              <w:rPr>
                <w:rFonts w:asciiTheme="majorBidi" w:hAnsiTheme="majorBidi" w:cstheme="majorBidi"/>
                <w:sz w:val="20"/>
                <w:szCs w:val="20"/>
              </w:rPr>
            </w:pPr>
            <w:r w:rsidRPr="001D7267">
              <w:rPr>
                <w:rFonts w:asciiTheme="majorBidi" w:eastAsia="Times New Roman" w:hAnsiTheme="majorBidi" w:cstheme="majorBidi"/>
                <w:b/>
                <w:bCs/>
                <w:color w:val="FF0000"/>
                <w:sz w:val="20"/>
                <w:szCs w:val="20"/>
              </w:rPr>
              <w:t xml:space="preserve">Conclusion: </w:t>
            </w:r>
            <w:r w:rsidRPr="001D7267">
              <w:rPr>
                <w:rFonts w:asciiTheme="majorBidi" w:eastAsia="Times New Roman" w:hAnsiTheme="majorBidi" w:cstheme="majorBidi"/>
                <w:color w:val="FF0000"/>
                <w:sz w:val="20"/>
                <w:szCs w:val="20"/>
              </w:rPr>
              <w:t xml:space="preserve">Combined ADC and </w:t>
            </w:r>
            <w:proofErr w:type="spellStart"/>
            <w:r w:rsidRPr="001D7267">
              <w:rPr>
                <w:rFonts w:asciiTheme="majorBidi" w:eastAsia="Times New Roman" w:hAnsiTheme="majorBidi" w:cstheme="majorBidi"/>
                <w:color w:val="FF0000"/>
                <w:sz w:val="20"/>
                <w:szCs w:val="20"/>
              </w:rPr>
              <w:t>miR</w:t>
            </w:r>
            <w:proofErr w:type="spellEnd"/>
            <w:r w:rsidRPr="001D7267">
              <w:rPr>
                <w:rFonts w:asciiTheme="majorBidi" w:eastAsia="Times New Roman" w:hAnsiTheme="majorBidi" w:cstheme="majorBidi"/>
                <w:color w:val="FF0000"/>
                <w:sz w:val="20"/>
                <w:szCs w:val="20"/>
              </w:rPr>
              <w:t xml:space="preserve"> offer an alternative surrogate noninvasive diagnostic tool for diagnosis and staging of hepatic fibrosis in patients with chronic hepatitis C.</w:t>
            </w:r>
          </w:p>
        </w:tc>
      </w:tr>
      <w:tr w:rsidR="004319D0" w:rsidRPr="001D7267" w:rsidTr="005964B1">
        <w:trPr>
          <w:trHeight w:val="348"/>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Introduction</w:t>
            </w: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4319D0" w:rsidP="000324A1">
            <w:pPr>
              <w:autoSpaceDE w:val="0"/>
              <w:autoSpaceDN w:val="0"/>
              <w:adjustRightInd w:val="0"/>
              <w:jc w:val="both"/>
              <w:rPr>
                <w:rFonts w:asciiTheme="majorBidi" w:hAnsiTheme="majorBidi" w:cstheme="majorBidi"/>
                <w:sz w:val="20"/>
                <w:szCs w:val="20"/>
              </w:rPr>
            </w:pPr>
          </w:p>
        </w:tc>
      </w:tr>
      <w:tr w:rsidR="004319D0" w:rsidRPr="001D7267" w:rsidTr="005964B1">
        <w:trPr>
          <w:trHeight w:val="284"/>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Background/rationale</w:t>
            </w:r>
          </w:p>
        </w:tc>
        <w:tc>
          <w:tcPr>
            <w:tcW w:w="78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2</w:t>
            </w:r>
          </w:p>
        </w:tc>
        <w:tc>
          <w:tcPr>
            <w:tcW w:w="6980" w:type="dxa"/>
            <w:tcBorders>
              <w:bottom w:val="single" w:sz="8" w:space="0" w:color="auto"/>
            </w:tcBorders>
            <w:vAlign w:val="bottom"/>
          </w:tcPr>
          <w:p w:rsidR="009F6373" w:rsidRPr="001D7267" w:rsidRDefault="009F6373" w:rsidP="00543A58">
            <w:pPr>
              <w:ind w:left="100"/>
              <w:jc w:val="both"/>
              <w:rPr>
                <w:rFonts w:asciiTheme="majorBidi" w:eastAsiaTheme="minorHAnsi" w:hAnsiTheme="majorBidi" w:cstheme="majorBidi"/>
                <w:color w:val="FF0000"/>
                <w:sz w:val="20"/>
                <w:szCs w:val="20"/>
              </w:rPr>
            </w:pPr>
            <w:r w:rsidRPr="001D7267">
              <w:rPr>
                <w:rFonts w:asciiTheme="majorBidi" w:eastAsiaTheme="minorHAnsi" w:hAnsiTheme="majorBidi" w:cstheme="majorBidi"/>
                <w:color w:val="FF0000"/>
                <w:sz w:val="20"/>
                <w:szCs w:val="20"/>
              </w:rPr>
              <w:t xml:space="preserve">The diagnosis of hepatic ﬁbrosis in patients with chronic hepatitis is essential for therapeutic and prognostic implications. </w:t>
            </w:r>
            <w:r w:rsidR="004E1EF4" w:rsidRPr="001D7267">
              <w:rPr>
                <w:rFonts w:asciiTheme="majorBidi" w:eastAsiaTheme="minorHAnsi" w:hAnsiTheme="majorBidi" w:cstheme="majorBidi"/>
                <w:color w:val="FF0000"/>
                <w:sz w:val="20"/>
                <w:szCs w:val="20"/>
              </w:rPr>
              <w:t xml:space="preserve">Liver biopsy has been used as the gold standard for characterization of hepatic fibrosis; however, biopsy has several inherent problems, including sampling error, high cost, morbidity, and low patient acceptance. Biopsy is also too invasive for frequent monitoring to follow treatment response to expensive, and potentially toxic, </w:t>
            </w:r>
            <w:proofErr w:type="spellStart"/>
            <w:r w:rsidR="004E1EF4" w:rsidRPr="001D7267">
              <w:rPr>
                <w:rFonts w:asciiTheme="majorBidi" w:eastAsiaTheme="minorHAnsi" w:hAnsiTheme="majorBidi" w:cstheme="majorBidi"/>
                <w:color w:val="FF0000"/>
                <w:sz w:val="20"/>
                <w:szCs w:val="20"/>
              </w:rPr>
              <w:t>antifibrotic</w:t>
            </w:r>
            <w:proofErr w:type="spellEnd"/>
            <w:r w:rsidR="004E1EF4" w:rsidRPr="001D7267">
              <w:rPr>
                <w:rFonts w:asciiTheme="majorBidi" w:eastAsiaTheme="minorHAnsi" w:hAnsiTheme="majorBidi" w:cstheme="majorBidi"/>
                <w:color w:val="FF0000"/>
                <w:sz w:val="20"/>
                <w:szCs w:val="20"/>
              </w:rPr>
              <w:t xml:space="preserve"> therapy. An equally reliable, reproducible, and noninvasive alternative for the diagnosis and staging of fibrosis would potentially have greater clinical </w:t>
            </w:r>
            <w:proofErr w:type="spellStart"/>
            <w:r w:rsidR="004E1EF4" w:rsidRPr="001D7267">
              <w:rPr>
                <w:rFonts w:asciiTheme="majorBidi" w:eastAsiaTheme="minorHAnsi" w:hAnsiTheme="majorBidi" w:cstheme="majorBidi"/>
                <w:color w:val="FF0000"/>
                <w:sz w:val="20"/>
                <w:szCs w:val="20"/>
              </w:rPr>
              <w:t>utility.</w:t>
            </w:r>
            <w:r w:rsidRPr="001D7267">
              <w:rPr>
                <w:rFonts w:asciiTheme="majorBidi" w:eastAsiaTheme="minorHAnsi" w:hAnsiTheme="majorBidi" w:cstheme="majorBidi"/>
                <w:color w:val="FF0000"/>
                <w:sz w:val="20"/>
                <w:szCs w:val="20"/>
              </w:rPr>
              <w:t>Diffusion</w:t>
            </w:r>
            <w:proofErr w:type="spellEnd"/>
            <w:r w:rsidRPr="001D7267">
              <w:rPr>
                <w:rFonts w:asciiTheme="majorBidi" w:eastAsiaTheme="minorHAnsi" w:hAnsiTheme="majorBidi" w:cstheme="majorBidi"/>
                <w:color w:val="FF0000"/>
                <w:sz w:val="20"/>
                <w:szCs w:val="20"/>
              </w:rPr>
              <w:t xml:space="preserve">-weighted MR imaging </w:t>
            </w:r>
            <w:r w:rsidR="004E1EF4" w:rsidRPr="001D7267">
              <w:rPr>
                <w:rFonts w:asciiTheme="majorBidi" w:eastAsiaTheme="minorHAnsi" w:hAnsiTheme="majorBidi" w:cstheme="majorBidi"/>
                <w:color w:val="FF0000"/>
                <w:sz w:val="20"/>
                <w:szCs w:val="20"/>
              </w:rPr>
              <w:t xml:space="preserve">and </w:t>
            </w:r>
            <w:r w:rsidR="004E1EF4" w:rsidRPr="001D7267">
              <w:rPr>
                <w:rFonts w:asciiTheme="majorBidi" w:hAnsiTheme="majorBidi" w:cstheme="majorBidi"/>
                <w:color w:val="FF0000"/>
                <w:sz w:val="20"/>
                <w:szCs w:val="20"/>
                <w:bdr w:val="none" w:sz="0" w:space="0" w:color="auto" w:frame="1"/>
              </w:rPr>
              <w:t xml:space="preserve">micro-RNA </w:t>
            </w:r>
            <w:r w:rsidRPr="001D7267">
              <w:rPr>
                <w:rFonts w:asciiTheme="majorBidi" w:eastAsiaTheme="minorHAnsi" w:hAnsiTheme="majorBidi" w:cstheme="majorBidi"/>
                <w:color w:val="FF0000"/>
                <w:sz w:val="20"/>
                <w:szCs w:val="20"/>
              </w:rPr>
              <w:t>ha</w:t>
            </w:r>
            <w:r w:rsidR="004E1EF4" w:rsidRPr="001D7267">
              <w:rPr>
                <w:rFonts w:asciiTheme="majorBidi" w:eastAsiaTheme="minorHAnsi" w:hAnsiTheme="majorBidi" w:cstheme="majorBidi"/>
                <w:color w:val="FF0000"/>
                <w:sz w:val="20"/>
                <w:szCs w:val="20"/>
              </w:rPr>
              <w:t>ve</w:t>
            </w:r>
            <w:r w:rsidRPr="001D7267">
              <w:rPr>
                <w:rFonts w:asciiTheme="majorBidi" w:eastAsiaTheme="minorHAnsi" w:hAnsiTheme="majorBidi" w:cstheme="majorBidi"/>
                <w:color w:val="FF0000"/>
                <w:sz w:val="20"/>
                <w:szCs w:val="20"/>
              </w:rPr>
              <w:t xml:space="preserve"> shown promise in the detection and quantiﬁcation of hepatic ﬁbrosis</w:t>
            </w:r>
          </w:p>
        </w:tc>
      </w:tr>
      <w:tr w:rsidR="004319D0" w:rsidRPr="001D7267" w:rsidTr="005964B1">
        <w:trPr>
          <w:trHeight w:val="290"/>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Objectives</w:t>
            </w:r>
          </w:p>
        </w:tc>
        <w:tc>
          <w:tcPr>
            <w:tcW w:w="78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3</w:t>
            </w:r>
          </w:p>
        </w:tc>
        <w:tc>
          <w:tcPr>
            <w:tcW w:w="6980" w:type="dxa"/>
            <w:tcBorders>
              <w:bottom w:val="single" w:sz="8" w:space="0" w:color="auto"/>
            </w:tcBorders>
            <w:vAlign w:val="bottom"/>
          </w:tcPr>
          <w:p w:rsidR="006D65A9" w:rsidRPr="001D7267" w:rsidRDefault="00AB69F3" w:rsidP="00166EF5">
            <w:pPr>
              <w:ind w:left="100"/>
              <w:jc w:val="both"/>
              <w:rPr>
                <w:rFonts w:asciiTheme="majorBidi" w:eastAsia="Times New Roman" w:hAnsiTheme="majorBidi" w:cstheme="majorBidi"/>
                <w:sz w:val="20"/>
                <w:szCs w:val="20"/>
              </w:rPr>
            </w:pPr>
            <w:r w:rsidRPr="001D7267">
              <w:rPr>
                <w:rFonts w:asciiTheme="majorBidi" w:hAnsiTheme="majorBidi" w:cstheme="majorBidi"/>
                <w:color w:val="FF0000"/>
                <w:sz w:val="20"/>
                <w:szCs w:val="20"/>
                <w:shd w:val="clear" w:color="auto" w:fill="F9F9F9"/>
              </w:rPr>
              <w:t xml:space="preserve">The objective of this study was to </w:t>
            </w:r>
            <w:r w:rsidR="006D65A9" w:rsidRPr="001D7267">
              <w:rPr>
                <w:rFonts w:asciiTheme="majorBidi" w:hAnsiTheme="majorBidi" w:cstheme="majorBidi"/>
                <w:color w:val="FF0000"/>
                <w:sz w:val="20"/>
                <w:szCs w:val="20"/>
              </w:rPr>
              <w:t>assess diffusion-weighted MR imaging (DWI) and micro-RNAs (</w:t>
            </w:r>
            <w:proofErr w:type="spellStart"/>
            <w:r w:rsidR="006D65A9" w:rsidRPr="001D7267">
              <w:rPr>
                <w:rFonts w:asciiTheme="majorBidi" w:hAnsiTheme="majorBidi" w:cstheme="majorBidi"/>
                <w:color w:val="FF0000"/>
                <w:sz w:val="20"/>
                <w:szCs w:val="20"/>
              </w:rPr>
              <w:t>miR</w:t>
            </w:r>
            <w:proofErr w:type="spellEnd"/>
            <w:r w:rsidR="006D65A9" w:rsidRPr="001D7267">
              <w:rPr>
                <w:rFonts w:asciiTheme="majorBidi" w:hAnsiTheme="majorBidi" w:cstheme="majorBidi"/>
                <w:color w:val="FF0000"/>
                <w:sz w:val="20"/>
                <w:szCs w:val="20"/>
              </w:rPr>
              <w:t xml:space="preserve">) in diagnosis and staging of hepatic </w:t>
            </w:r>
            <w:r w:rsidR="006D65A9" w:rsidRPr="001D7267">
              <w:rPr>
                <w:rFonts w:asciiTheme="majorBidi" w:eastAsia="Times New Roman" w:hAnsiTheme="majorBidi" w:cstheme="majorBidi"/>
                <w:color w:val="FF0000"/>
                <w:sz w:val="20"/>
                <w:szCs w:val="20"/>
              </w:rPr>
              <w:t>fibrosis in patients with chronic hepatitis C</w:t>
            </w:r>
          </w:p>
        </w:tc>
      </w:tr>
      <w:tr w:rsidR="004319D0" w:rsidRPr="001D7267" w:rsidTr="005964B1">
        <w:trPr>
          <w:trHeight w:val="347"/>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Methods</w:t>
            </w: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r>
      <w:tr w:rsidR="0015201F" w:rsidRPr="001D7267" w:rsidTr="005964B1">
        <w:trPr>
          <w:trHeight w:val="282"/>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Study design</w:t>
            </w:r>
          </w:p>
        </w:tc>
        <w:tc>
          <w:tcPr>
            <w:tcW w:w="78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4</w:t>
            </w:r>
          </w:p>
        </w:tc>
        <w:tc>
          <w:tcPr>
            <w:tcW w:w="6980" w:type="dxa"/>
            <w:tcBorders>
              <w:bottom w:val="single" w:sz="8" w:space="0" w:color="auto"/>
            </w:tcBorders>
            <w:vAlign w:val="bottom"/>
          </w:tcPr>
          <w:p w:rsidR="0015201F" w:rsidRPr="001D7267" w:rsidRDefault="0015201F" w:rsidP="002718B0">
            <w:pPr>
              <w:ind w:left="100"/>
              <w:jc w:val="both"/>
              <w:rPr>
                <w:rFonts w:asciiTheme="majorBidi" w:hAnsiTheme="majorBidi" w:cstheme="majorBidi"/>
                <w:color w:val="FF0000"/>
                <w:sz w:val="20"/>
                <w:szCs w:val="20"/>
              </w:rPr>
            </w:pPr>
            <w:r w:rsidRPr="001D7267">
              <w:rPr>
                <w:rFonts w:asciiTheme="majorBidi" w:eastAsia="Liberation Sans" w:hAnsiTheme="majorBidi" w:cstheme="majorBidi"/>
                <w:color w:val="FF0000"/>
                <w:kern w:val="1"/>
                <w:sz w:val="20"/>
                <w:szCs w:val="20"/>
                <w:lang w:eastAsia="hi-IN" w:bidi="hi-IN"/>
              </w:rPr>
              <w:t>The study assessed 215 consecutive patients with biopsy-proven CHC. Patients were included if they had a histological diagnosis of CHC on a liver biopsy. The patients were defined by the presence of serum anti-HCV and HCV-RNA</w:t>
            </w:r>
            <w:proofErr w:type="gramStart"/>
            <w:r w:rsidRPr="001D7267">
              <w:rPr>
                <w:rFonts w:asciiTheme="majorBidi" w:eastAsia="Liberation Sans" w:hAnsiTheme="majorBidi" w:cstheme="majorBidi"/>
                <w:color w:val="FF0000"/>
                <w:kern w:val="1"/>
                <w:sz w:val="20"/>
                <w:szCs w:val="20"/>
                <w:lang w:eastAsia="hi-IN" w:bidi="hi-IN"/>
              </w:rPr>
              <w:t>..</w:t>
            </w:r>
            <w:proofErr w:type="gramEnd"/>
            <w:r w:rsidRPr="001D7267">
              <w:rPr>
                <w:rFonts w:asciiTheme="majorBidi" w:eastAsia="Liberation Sans" w:hAnsiTheme="majorBidi" w:cstheme="majorBidi"/>
                <w:color w:val="FF0000"/>
                <w:kern w:val="1"/>
                <w:sz w:val="20"/>
                <w:szCs w:val="20"/>
                <w:lang w:eastAsia="hi-IN" w:bidi="hi-IN"/>
              </w:rPr>
              <w:t xml:space="preserve"> </w:t>
            </w:r>
          </w:p>
        </w:tc>
      </w:tr>
      <w:tr w:rsidR="004319D0" w:rsidRPr="001D7267" w:rsidTr="005964B1">
        <w:trPr>
          <w:trHeight w:val="281"/>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Setting</w:t>
            </w:r>
          </w:p>
        </w:tc>
        <w:tc>
          <w:tcPr>
            <w:tcW w:w="78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5</w:t>
            </w:r>
          </w:p>
        </w:tc>
        <w:tc>
          <w:tcPr>
            <w:tcW w:w="6980" w:type="dxa"/>
            <w:vAlign w:val="bottom"/>
          </w:tcPr>
          <w:p w:rsidR="004319D0" w:rsidRPr="001D7267" w:rsidRDefault="004319D0">
            <w:pPr>
              <w:ind w:left="100"/>
              <w:rPr>
                <w:rFonts w:asciiTheme="majorBidi" w:hAnsiTheme="majorBidi" w:cstheme="majorBidi"/>
                <w:sz w:val="20"/>
                <w:szCs w:val="20"/>
              </w:rPr>
            </w:pPr>
          </w:p>
        </w:tc>
      </w:tr>
      <w:tr w:rsidR="004319D0" w:rsidRPr="001D7267" w:rsidTr="005964B1">
        <w:trPr>
          <w:trHeight w:val="309"/>
        </w:trPr>
        <w:tc>
          <w:tcPr>
            <w:tcW w:w="21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874E0E" w:rsidRPr="001D7267" w:rsidRDefault="001F0215" w:rsidP="009B6548">
            <w:pPr>
              <w:ind w:right="-19"/>
              <w:jc w:val="both"/>
              <w:rPr>
                <w:rFonts w:asciiTheme="majorBidi" w:hAnsiTheme="majorBidi" w:cstheme="majorBidi"/>
                <w:sz w:val="20"/>
                <w:szCs w:val="20"/>
              </w:rPr>
            </w:pPr>
            <w:r w:rsidRPr="001D7267">
              <w:rPr>
                <w:rFonts w:asciiTheme="majorBidi" w:hAnsiTheme="majorBidi" w:cstheme="majorBidi"/>
                <w:color w:val="FF0000"/>
                <w:sz w:val="20"/>
                <w:szCs w:val="20"/>
                <w:shd w:val="clear" w:color="auto" w:fill="F9F9F9"/>
              </w:rPr>
              <w:t>This study was conducted in</w:t>
            </w:r>
            <w:r w:rsidRPr="001D7267">
              <w:rPr>
                <w:rFonts w:asciiTheme="majorBidi" w:eastAsia="Liberation Sans" w:hAnsiTheme="majorBidi" w:cstheme="majorBidi"/>
                <w:color w:val="FF0000"/>
                <w:kern w:val="1"/>
                <w:sz w:val="20"/>
                <w:szCs w:val="20"/>
                <w:lang w:eastAsia="hi-IN" w:bidi="hi-IN"/>
              </w:rPr>
              <w:t xml:space="preserve"> Mansoura University Hospital, Mansoura University; Mansoura Egypt assessed 215 consecutive patients with biopsy-proven CHC. Patients were included in the study if they had a histological diagnosis of CHC on a liver biopsy. The patients were defined by the presence of serum anti-HCV and HCV-RNA. Seven patients were excluded from our study due to presence of hepatocellular carcinoma (</w:t>
            </w:r>
            <w:r w:rsidRPr="001D7267">
              <w:rPr>
                <w:rFonts w:asciiTheme="majorBidi" w:eastAsia="Liberation Sans" w:hAnsiTheme="majorBidi" w:cstheme="majorBidi"/>
                <w:i/>
                <w:iCs/>
                <w:color w:val="FF0000"/>
                <w:kern w:val="1"/>
                <w:sz w:val="20"/>
                <w:szCs w:val="20"/>
                <w:lang w:eastAsia="hi-IN" w:bidi="hi-IN"/>
              </w:rPr>
              <w:t>n</w:t>
            </w:r>
            <w:r w:rsidRPr="001D7267">
              <w:rPr>
                <w:rFonts w:asciiTheme="majorBidi" w:eastAsia="Liberation Sans" w:hAnsiTheme="majorBidi" w:cstheme="majorBidi"/>
                <w:color w:val="FF0000"/>
                <w:kern w:val="1"/>
                <w:sz w:val="20"/>
                <w:szCs w:val="20"/>
                <w:lang w:eastAsia="hi-IN" w:bidi="hi-IN"/>
              </w:rPr>
              <w:t xml:space="preserve"> = 3), cardiac cirrhosis (</w:t>
            </w:r>
            <w:r w:rsidRPr="001D7267">
              <w:rPr>
                <w:rFonts w:asciiTheme="majorBidi" w:eastAsia="Liberation Sans" w:hAnsiTheme="majorBidi" w:cstheme="majorBidi"/>
                <w:i/>
                <w:iCs/>
                <w:color w:val="FF0000"/>
                <w:kern w:val="1"/>
                <w:sz w:val="20"/>
                <w:szCs w:val="20"/>
                <w:lang w:eastAsia="hi-IN" w:bidi="hi-IN"/>
              </w:rPr>
              <w:t xml:space="preserve">n </w:t>
            </w:r>
            <w:r w:rsidRPr="001D7267">
              <w:rPr>
                <w:rFonts w:asciiTheme="majorBidi" w:eastAsia="Liberation Sans" w:hAnsiTheme="majorBidi" w:cstheme="majorBidi"/>
                <w:color w:val="FF0000"/>
                <w:kern w:val="1"/>
                <w:sz w:val="20"/>
                <w:szCs w:val="20"/>
                <w:lang w:eastAsia="hi-IN" w:bidi="hi-IN"/>
              </w:rPr>
              <w:t>= 2) and hepatic metastasis (</w:t>
            </w:r>
            <w:r w:rsidRPr="001D7267">
              <w:rPr>
                <w:rFonts w:asciiTheme="majorBidi" w:eastAsia="Liberation Sans" w:hAnsiTheme="majorBidi" w:cstheme="majorBidi"/>
                <w:i/>
                <w:iCs/>
                <w:color w:val="FF0000"/>
                <w:kern w:val="1"/>
                <w:sz w:val="20"/>
                <w:szCs w:val="20"/>
                <w:lang w:eastAsia="hi-IN" w:bidi="hi-IN"/>
              </w:rPr>
              <w:t>n</w:t>
            </w:r>
            <w:r w:rsidRPr="001D7267">
              <w:rPr>
                <w:rFonts w:asciiTheme="majorBidi" w:eastAsia="Liberation Sans" w:hAnsiTheme="majorBidi" w:cstheme="majorBidi"/>
                <w:color w:val="FF0000"/>
                <w:kern w:val="1"/>
                <w:sz w:val="20"/>
                <w:szCs w:val="20"/>
                <w:lang w:eastAsia="hi-IN" w:bidi="hi-IN"/>
              </w:rPr>
              <w:t xml:space="preserve"> = 2). The final number of patients was 208, median age was 36.3±9.3, (129 male and 79 female). Age and sex matched 82 volunteers underwent MR imaging for reasons other than abdominal abnormalities; the median age was 38.3±10.2 years (47 male and 35 female). </w:t>
            </w:r>
            <w:r w:rsidRPr="001D7267">
              <w:rPr>
                <w:rFonts w:asciiTheme="majorBidi" w:hAnsiTheme="majorBidi" w:cstheme="majorBidi"/>
                <w:color w:val="FF0000"/>
                <w:sz w:val="20"/>
                <w:szCs w:val="20"/>
              </w:rPr>
              <w:t xml:space="preserve">The patients and controls included in the study from October 2012 to December 2015 who underwent DWI for the abdomen, </w:t>
            </w:r>
            <w:proofErr w:type="spellStart"/>
            <w:r w:rsidRPr="001D7267">
              <w:rPr>
                <w:rFonts w:asciiTheme="majorBidi" w:hAnsiTheme="majorBidi" w:cstheme="majorBidi"/>
                <w:color w:val="FF0000"/>
                <w:sz w:val="20"/>
                <w:szCs w:val="20"/>
              </w:rPr>
              <w:t>miR</w:t>
            </w:r>
            <w:proofErr w:type="spellEnd"/>
            <w:r w:rsidRPr="001D7267">
              <w:rPr>
                <w:rFonts w:asciiTheme="majorBidi" w:hAnsiTheme="majorBidi" w:cstheme="majorBidi"/>
                <w:color w:val="FF0000"/>
                <w:sz w:val="20"/>
                <w:szCs w:val="20"/>
              </w:rPr>
              <w:t xml:space="preserve"> tests and liver biopsy.</w:t>
            </w:r>
          </w:p>
        </w:tc>
      </w:tr>
      <w:tr w:rsidR="004319D0" w:rsidRPr="001D7267" w:rsidTr="005964B1">
        <w:trPr>
          <w:trHeight w:val="300"/>
        </w:trPr>
        <w:tc>
          <w:tcPr>
            <w:tcW w:w="2100" w:type="dxa"/>
            <w:vAlign w:val="bottom"/>
          </w:tcPr>
          <w:p w:rsidR="004319D0" w:rsidRPr="001D7267" w:rsidRDefault="005964B1">
            <w:pPr>
              <w:rPr>
                <w:rFonts w:asciiTheme="majorBidi" w:hAnsiTheme="majorBidi" w:cstheme="majorBidi"/>
                <w:sz w:val="20"/>
                <w:szCs w:val="20"/>
              </w:rPr>
            </w:pPr>
            <w:r w:rsidRPr="001D7267">
              <w:rPr>
                <w:rFonts w:asciiTheme="majorBidi" w:eastAsia="Times New Roman" w:hAnsiTheme="majorBidi" w:cstheme="majorBidi"/>
                <w:sz w:val="20"/>
                <w:szCs w:val="20"/>
              </w:rPr>
              <w:t>Participants</w:t>
            </w:r>
          </w:p>
        </w:tc>
        <w:tc>
          <w:tcPr>
            <w:tcW w:w="780" w:type="dxa"/>
            <w:vAlign w:val="bottom"/>
          </w:tcPr>
          <w:p w:rsidR="004319D0" w:rsidRPr="001D7267" w:rsidRDefault="005964B1">
            <w:pPr>
              <w:rPr>
                <w:rFonts w:asciiTheme="majorBidi" w:hAnsiTheme="majorBidi" w:cstheme="majorBidi"/>
                <w:sz w:val="20"/>
                <w:szCs w:val="20"/>
              </w:rPr>
            </w:pPr>
            <w:r>
              <w:rPr>
                <w:rFonts w:asciiTheme="majorBidi" w:hAnsiTheme="majorBidi" w:cstheme="majorBidi"/>
                <w:sz w:val="20"/>
                <w:szCs w:val="20"/>
              </w:rPr>
              <w:t>6</w:t>
            </w:r>
          </w:p>
        </w:tc>
        <w:tc>
          <w:tcPr>
            <w:tcW w:w="6980" w:type="dxa"/>
            <w:vAlign w:val="bottom"/>
          </w:tcPr>
          <w:p w:rsidR="005964B1" w:rsidRDefault="005964B1" w:rsidP="004A0BEF">
            <w:pPr>
              <w:ind w:right="-19"/>
              <w:jc w:val="both"/>
              <w:rPr>
                <w:rFonts w:asciiTheme="majorBidi" w:eastAsia="Times New Roman" w:hAnsiTheme="majorBidi" w:cstheme="majorBidi"/>
                <w:sz w:val="20"/>
                <w:szCs w:val="20"/>
              </w:rPr>
            </w:pPr>
          </w:p>
          <w:p w:rsidR="004A0BEF" w:rsidRPr="001D7267" w:rsidRDefault="004A0BEF" w:rsidP="004A0BEF">
            <w:pPr>
              <w:ind w:right="-19"/>
              <w:jc w:val="both"/>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 xml:space="preserve">Patients were included in the study if they had a histological diagnosis of CHC on a liver biopsy. The patients were defined by the presence of serum anti-HCV and HCV-RNA. </w:t>
            </w:r>
          </w:p>
          <w:p w:rsidR="00206AFE" w:rsidRPr="001D7267" w:rsidRDefault="004A0BEF" w:rsidP="00FC6883">
            <w:pPr>
              <w:ind w:right="-19"/>
              <w:jc w:val="both"/>
              <w:rPr>
                <w:rFonts w:asciiTheme="majorBidi" w:hAnsiTheme="majorBidi" w:cstheme="majorBidi"/>
                <w:sz w:val="20"/>
                <w:szCs w:val="20"/>
              </w:rPr>
            </w:pPr>
            <w:r w:rsidRPr="001D7267">
              <w:rPr>
                <w:rFonts w:asciiTheme="majorBidi" w:eastAsia="Liberation Sans" w:hAnsiTheme="majorBidi" w:cstheme="majorBidi"/>
                <w:color w:val="FF0000"/>
                <w:kern w:val="1"/>
                <w:sz w:val="20"/>
                <w:szCs w:val="20"/>
                <w:lang w:eastAsia="hi-IN" w:bidi="hi-IN"/>
              </w:rPr>
              <w:t>Control:</w:t>
            </w:r>
            <w:r w:rsidR="00FC6883" w:rsidRPr="001D7267">
              <w:rPr>
                <w:rFonts w:asciiTheme="majorBidi" w:eastAsia="Liberation Sans" w:hAnsiTheme="majorBidi" w:cstheme="majorBidi"/>
                <w:color w:val="FF0000"/>
                <w:kern w:val="1"/>
                <w:sz w:val="20"/>
                <w:szCs w:val="20"/>
                <w:lang w:eastAsia="hi-IN" w:bidi="hi-IN"/>
              </w:rPr>
              <w:t xml:space="preserve"> </w:t>
            </w:r>
            <w:r w:rsidRPr="001D7267">
              <w:rPr>
                <w:rFonts w:asciiTheme="majorBidi" w:eastAsia="Liberation Sans" w:hAnsiTheme="majorBidi" w:cstheme="majorBidi"/>
                <w:color w:val="FF0000"/>
                <w:kern w:val="1"/>
                <w:sz w:val="20"/>
                <w:szCs w:val="20"/>
                <w:lang w:eastAsia="hi-IN" w:bidi="hi-IN"/>
              </w:rPr>
              <w:t xml:space="preserve">Age and sex matched 82 volunteers underwent MR imaging for reasons other than abdominal abnormalities; the median age was 38.3±10.2 years (47 male and 35 </w:t>
            </w:r>
            <w:r w:rsidRPr="001D7267">
              <w:rPr>
                <w:rFonts w:asciiTheme="majorBidi" w:eastAsia="Liberation Sans" w:hAnsiTheme="majorBidi" w:cstheme="majorBidi"/>
                <w:color w:val="FF0000"/>
                <w:kern w:val="1"/>
                <w:sz w:val="20"/>
                <w:szCs w:val="20"/>
                <w:lang w:eastAsia="hi-IN" w:bidi="hi-IN"/>
              </w:rPr>
              <w:lastRenderedPageBreak/>
              <w:t xml:space="preserve">female). </w:t>
            </w:r>
          </w:p>
        </w:tc>
      </w:tr>
      <w:tr w:rsidR="00DD6F2C" w:rsidRPr="001D7267" w:rsidTr="00304DFD">
        <w:trPr>
          <w:trHeight w:val="283"/>
        </w:trPr>
        <w:tc>
          <w:tcPr>
            <w:tcW w:w="2100" w:type="dxa"/>
            <w:vAlign w:val="bottom"/>
          </w:tcPr>
          <w:p w:rsidR="00DD6F2C" w:rsidRDefault="00DD6F2C">
            <w:pPr>
              <w:ind w:left="120"/>
              <w:rPr>
                <w:rFonts w:asciiTheme="majorBidi" w:eastAsia="Times New Roman" w:hAnsiTheme="majorBidi" w:cstheme="majorBidi"/>
                <w:sz w:val="20"/>
                <w:szCs w:val="20"/>
              </w:rPr>
            </w:pPr>
          </w:p>
          <w:p w:rsidR="00DD6F2C" w:rsidRDefault="00DD6F2C">
            <w:pPr>
              <w:ind w:left="120"/>
              <w:rPr>
                <w:rFonts w:asciiTheme="majorBidi" w:eastAsia="Times New Roman" w:hAnsiTheme="majorBidi" w:cstheme="majorBidi"/>
                <w:sz w:val="20"/>
                <w:szCs w:val="20"/>
              </w:rPr>
            </w:pPr>
          </w:p>
          <w:p w:rsidR="00DD6F2C" w:rsidRPr="001D7267" w:rsidRDefault="00DD6F2C">
            <w:pPr>
              <w:ind w:left="120"/>
              <w:rPr>
                <w:rFonts w:asciiTheme="majorBidi" w:hAnsiTheme="majorBidi" w:cstheme="majorBidi"/>
                <w:sz w:val="20"/>
                <w:szCs w:val="20"/>
              </w:rPr>
            </w:pPr>
            <w:r w:rsidRPr="001D7267">
              <w:rPr>
                <w:rFonts w:asciiTheme="majorBidi" w:eastAsia="Times New Roman" w:hAnsiTheme="majorBidi" w:cstheme="majorBidi"/>
                <w:sz w:val="20"/>
                <w:szCs w:val="20"/>
              </w:rPr>
              <w:t>Variables</w:t>
            </w:r>
          </w:p>
        </w:tc>
        <w:tc>
          <w:tcPr>
            <w:tcW w:w="780" w:type="dxa"/>
            <w:vAlign w:val="bottom"/>
          </w:tcPr>
          <w:p w:rsidR="00DD6F2C" w:rsidRPr="001D7267" w:rsidRDefault="00DD6F2C">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7</w:t>
            </w:r>
          </w:p>
        </w:tc>
        <w:tc>
          <w:tcPr>
            <w:tcW w:w="6980" w:type="dxa"/>
          </w:tcPr>
          <w:p w:rsidR="00DD6F2C" w:rsidRDefault="00DD6F2C"/>
          <w:p w:rsidR="00DD6F2C" w:rsidRDefault="00DD6F2C" w:rsidP="00DD6F2C">
            <w:pPr>
              <w:jc w:val="both"/>
            </w:pPr>
            <w:r w:rsidRPr="00DD6F2C">
              <w:rPr>
                <w:color w:val="FF0000"/>
              </w:rPr>
              <w:t>In the current study it was found that there was significant decrease in ADC values starting from controls, then patients with early hepatic fibrosis then those with late fibrosis. When th</w:t>
            </w:r>
            <w:bookmarkStart w:id="1" w:name="_GoBack"/>
            <w:bookmarkEnd w:id="1"/>
            <w:r w:rsidRPr="00DD6F2C">
              <w:rPr>
                <w:color w:val="FF0000"/>
              </w:rPr>
              <w:t xml:space="preserve">e ADC results combined with the </w:t>
            </w:r>
            <w:proofErr w:type="spellStart"/>
            <w:r w:rsidRPr="00DD6F2C">
              <w:rPr>
                <w:color w:val="FF0000"/>
              </w:rPr>
              <w:t>miRs</w:t>
            </w:r>
            <w:proofErr w:type="spellEnd"/>
            <w:r w:rsidRPr="00DD6F2C">
              <w:rPr>
                <w:color w:val="FF0000"/>
              </w:rPr>
              <w:t xml:space="preserve"> (200b, 21 and 29b) this provides highly sensitive, specific and accurate tool to differentiate patients with hepatic fibrosis from normal control patients. When the results of ADC combined with miR-200b, this was the best in differentiating patients from controls with (96.9%) accuracy also it can differentiate early from late fibrosis with (80.2%) accuracy.  </w:t>
            </w:r>
          </w:p>
        </w:tc>
      </w:tr>
      <w:tr w:rsidR="00DD6F2C" w:rsidRPr="001D7267" w:rsidTr="00304DFD">
        <w:trPr>
          <w:trHeight w:val="309"/>
        </w:trPr>
        <w:tc>
          <w:tcPr>
            <w:tcW w:w="2100" w:type="dxa"/>
            <w:tcBorders>
              <w:bottom w:val="single" w:sz="8" w:space="0" w:color="auto"/>
            </w:tcBorders>
            <w:vAlign w:val="bottom"/>
          </w:tcPr>
          <w:p w:rsidR="00DD6F2C" w:rsidRPr="001D7267" w:rsidRDefault="00DD6F2C">
            <w:pPr>
              <w:rPr>
                <w:rFonts w:asciiTheme="majorBidi" w:hAnsiTheme="majorBidi" w:cstheme="majorBidi"/>
                <w:sz w:val="20"/>
                <w:szCs w:val="20"/>
              </w:rPr>
            </w:pPr>
          </w:p>
        </w:tc>
        <w:tc>
          <w:tcPr>
            <w:tcW w:w="780" w:type="dxa"/>
            <w:tcBorders>
              <w:bottom w:val="single" w:sz="8" w:space="0" w:color="auto"/>
            </w:tcBorders>
            <w:vAlign w:val="bottom"/>
          </w:tcPr>
          <w:p w:rsidR="00DD6F2C" w:rsidRPr="001D7267" w:rsidRDefault="00DD6F2C">
            <w:pPr>
              <w:rPr>
                <w:rFonts w:asciiTheme="majorBidi" w:hAnsiTheme="majorBidi" w:cstheme="majorBidi"/>
                <w:sz w:val="20"/>
                <w:szCs w:val="20"/>
              </w:rPr>
            </w:pPr>
          </w:p>
        </w:tc>
        <w:tc>
          <w:tcPr>
            <w:tcW w:w="6980" w:type="dxa"/>
            <w:tcBorders>
              <w:bottom w:val="single" w:sz="8" w:space="0" w:color="auto"/>
            </w:tcBorders>
          </w:tcPr>
          <w:p w:rsidR="00DD6F2C" w:rsidRDefault="00DD6F2C"/>
        </w:tc>
      </w:tr>
      <w:tr w:rsidR="004319D0" w:rsidRPr="001D7267" w:rsidTr="005964B1">
        <w:trPr>
          <w:trHeight w:val="281"/>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Data sources/</w:t>
            </w:r>
          </w:p>
        </w:tc>
        <w:tc>
          <w:tcPr>
            <w:tcW w:w="78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8*</w:t>
            </w:r>
          </w:p>
        </w:tc>
        <w:tc>
          <w:tcPr>
            <w:tcW w:w="6980" w:type="dxa"/>
            <w:vAlign w:val="bottom"/>
          </w:tcPr>
          <w:p w:rsidR="004319D0" w:rsidRPr="001D7267" w:rsidRDefault="00CC5D84">
            <w:pPr>
              <w:ind w:left="160"/>
              <w:rPr>
                <w:rFonts w:asciiTheme="majorBidi" w:hAnsiTheme="majorBidi" w:cstheme="majorBidi"/>
                <w:sz w:val="20"/>
                <w:szCs w:val="20"/>
              </w:rPr>
            </w:pPr>
            <w:r w:rsidRPr="001D7267">
              <w:rPr>
                <w:rFonts w:asciiTheme="majorBidi" w:eastAsia="Times New Roman" w:hAnsiTheme="majorBidi" w:cstheme="majorBidi"/>
                <w:sz w:val="20"/>
                <w:szCs w:val="20"/>
              </w:rPr>
              <w:t>For each variable of interest, give sources of data and details of methods of</w:t>
            </w:r>
          </w:p>
        </w:tc>
      </w:tr>
      <w:tr w:rsidR="004319D0" w:rsidRPr="001D7267" w:rsidTr="005964B1">
        <w:trPr>
          <w:trHeight w:val="300"/>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measurement</w:t>
            </w:r>
          </w:p>
        </w:tc>
        <w:tc>
          <w:tcPr>
            <w:tcW w:w="780" w:type="dxa"/>
            <w:vAlign w:val="bottom"/>
          </w:tcPr>
          <w:p w:rsidR="004319D0" w:rsidRPr="001D7267" w:rsidRDefault="004319D0">
            <w:pPr>
              <w:rPr>
                <w:rFonts w:asciiTheme="majorBidi" w:hAnsiTheme="majorBidi" w:cstheme="majorBidi"/>
                <w:sz w:val="20"/>
                <w:szCs w:val="20"/>
              </w:rPr>
            </w:pPr>
          </w:p>
        </w:tc>
        <w:tc>
          <w:tcPr>
            <w:tcW w:w="6980" w:type="dxa"/>
            <w:vAlign w:val="bottom"/>
          </w:tcPr>
          <w:p w:rsidR="004319D0" w:rsidRPr="001D7267" w:rsidRDefault="00CC5D84">
            <w:pPr>
              <w:ind w:left="100"/>
              <w:rPr>
                <w:rFonts w:asciiTheme="majorBidi" w:hAnsiTheme="majorBidi" w:cstheme="majorBidi"/>
                <w:sz w:val="20"/>
                <w:szCs w:val="20"/>
              </w:rPr>
            </w:pPr>
            <w:proofErr w:type="gramStart"/>
            <w:r w:rsidRPr="001D7267">
              <w:rPr>
                <w:rFonts w:asciiTheme="majorBidi" w:eastAsia="Times New Roman" w:hAnsiTheme="majorBidi" w:cstheme="majorBidi"/>
                <w:sz w:val="20"/>
                <w:szCs w:val="20"/>
              </w:rPr>
              <w:t>assessment</w:t>
            </w:r>
            <w:proofErr w:type="gramEnd"/>
            <w:r w:rsidRPr="001D7267">
              <w:rPr>
                <w:rFonts w:asciiTheme="majorBidi" w:eastAsia="Times New Roman" w:hAnsiTheme="majorBidi" w:cstheme="majorBidi"/>
                <w:sz w:val="20"/>
                <w:szCs w:val="20"/>
              </w:rPr>
              <w:t xml:space="preserve"> (measurement). Describe comparability of assessment methods if there</w:t>
            </w:r>
          </w:p>
        </w:tc>
      </w:tr>
      <w:tr w:rsidR="004319D0" w:rsidRPr="001D7267" w:rsidTr="005964B1">
        <w:trPr>
          <w:trHeight w:val="309"/>
        </w:trPr>
        <w:tc>
          <w:tcPr>
            <w:tcW w:w="21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is more than one group</w:t>
            </w:r>
          </w:p>
        </w:tc>
      </w:tr>
      <w:tr w:rsidR="004319D0" w:rsidRPr="001D7267" w:rsidTr="005964B1">
        <w:trPr>
          <w:trHeight w:val="290"/>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Bias</w:t>
            </w:r>
          </w:p>
        </w:tc>
        <w:tc>
          <w:tcPr>
            <w:tcW w:w="78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9</w:t>
            </w:r>
          </w:p>
        </w:tc>
        <w:tc>
          <w:tcPr>
            <w:tcW w:w="6980" w:type="dxa"/>
            <w:tcBorders>
              <w:bottom w:val="single" w:sz="8" w:space="0" w:color="auto"/>
            </w:tcBorders>
            <w:vAlign w:val="bottom"/>
          </w:tcPr>
          <w:p w:rsidR="004319D0" w:rsidRPr="001D7267" w:rsidRDefault="00CC5D84">
            <w:pPr>
              <w:ind w:left="10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Describe any efforts to address potential sources of bias</w:t>
            </w:r>
          </w:p>
          <w:p w:rsidR="004B412D" w:rsidRPr="001D7267" w:rsidRDefault="004B412D">
            <w:pPr>
              <w:ind w:left="100"/>
              <w:rPr>
                <w:rFonts w:asciiTheme="majorBidi" w:hAnsiTheme="majorBidi" w:cstheme="majorBidi"/>
                <w:sz w:val="20"/>
                <w:szCs w:val="20"/>
              </w:rPr>
            </w:pPr>
          </w:p>
        </w:tc>
      </w:tr>
      <w:tr w:rsidR="004319D0" w:rsidRPr="001D7267" w:rsidTr="005964B1">
        <w:trPr>
          <w:trHeight w:val="290"/>
        </w:trPr>
        <w:tc>
          <w:tcPr>
            <w:tcW w:w="21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Study size</w:t>
            </w:r>
          </w:p>
        </w:tc>
        <w:tc>
          <w:tcPr>
            <w:tcW w:w="78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10</w:t>
            </w:r>
          </w:p>
        </w:tc>
        <w:tc>
          <w:tcPr>
            <w:tcW w:w="6980" w:type="dxa"/>
            <w:tcBorders>
              <w:bottom w:val="single" w:sz="8" w:space="0" w:color="auto"/>
            </w:tcBorders>
            <w:vAlign w:val="bottom"/>
          </w:tcPr>
          <w:p w:rsidR="004319D0" w:rsidRPr="001D7267" w:rsidRDefault="00CC5D84">
            <w:pPr>
              <w:ind w:left="10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Explain how the study size was arrived at</w:t>
            </w:r>
          </w:p>
          <w:p w:rsidR="004B412D" w:rsidRPr="001D7267" w:rsidRDefault="004B412D">
            <w:pPr>
              <w:ind w:left="100"/>
              <w:rPr>
                <w:rFonts w:asciiTheme="majorBidi" w:hAnsiTheme="majorBidi" w:cstheme="majorBidi"/>
                <w:sz w:val="20"/>
                <w:szCs w:val="20"/>
              </w:rPr>
            </w:pPr>
          </w:p>
        </w:tc>
      </w:tr>
      <w:tr w:rsidR="004319D0" w:rsidRPr="001D7267" w:rsidTr="005964B1">
        <w:trPr>
          <w:trHeight w:val="281"/>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Quantitative variables</w:t>
            </w:r>
          </w:p>
        </w:tc>
        <w:tc>
          <w:tcPr>
            <w:tcW w:w="78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11</w:t>
            </w:r>
          </w:p>
        </w:tc>
        <w:tc>
          <w:tcPr>
            <w:tcW w:w="6980" w:type="dxa"/>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Explain how quantitative variables were handled in the analyses. If applicable,</w:t>
            </w:r>
          </w:p>
        </w:tc>
      </w:tr>
      <w:tr w:rsidR="004319D0" w:rsidRPr="001D7267" w:rsidTr="005964B1">
        <w:trPr>
          <w:trHeight w:val="309"/>
        </w:trPr>
        <w:tc>
          <w:tcPr>
            <w:tcW w:w="21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describe which groupings were chosen and why</w:t>
            </w:r>
          </w:p>
        </w:tc>
      </w:tr>
      <w:tr w:rsidR="004319D0" w:rsidRPr="001D7267" w:rsidTr="005964B1">
        <w:trPr>
          <w:trHeight w:val="290"/>
        </w:trPr>
        <w:tc>
          <w:tcPr>
            <w:tcW w:w="21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Statistical methods</w:t>
            </w:r>
          </w:p>
        </w:tc>
        <w:tc>
          <w:tcPr>
            <w:tcW w:w="78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12</w:t>
            </w:r>
          </w:p>
        </w:tc>
        <w:tc>
          <w:tcPr>
            <w:tcW w:w="6980" w:type="dxa"/>
            <w:tcBorders>
              <w:bottom w:val="single" w:sz="8" w:space="0" w:color="auto"/>
            </w:tcBorders>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a</w:t>
            </w:r>
            <w:r w:rsidRPr="001D7267">
              <w:rPr>
                <w:rFonts w:asciiTheme="majorBidi" w:eastAsia="Times New Roman" w:hAnsiTheme="majorBidi" w:cstheme="majorBidi"/>
                <w:sz w:val="20"/>
                <w:szCs w:val="20"/>
              </w:rPr>
              <w:t>) Describe all statistical methods, including those used to control for confounding</w:t>
            </w:r>
          </w:p>
        </w:tc>
      </w:tr>
      <w:tr w:rsidR="004319D0" w:rsidRPr="001D7267" w:rsidTr="005964B1">
        <w:trPr>
          <w:trHeight w:val="292"/>
        </w:trPr>
        <w:tc>
          <w:tcPr>
            <w:tcW w:w="2100" w:type="dxa"/>
            <w:vAlign w:val="bottom"/>
          </w:tcPr>
          <w:p w:rsidR="004319D0" w:rsidRPr="001D7267" w:rsidRDefault="004319D0">
            <w:pPr>
              <w:rPr>
                <w:rFonts w:asciiTheme="majorBidi" w:hAnsiTheme="majorBidi" w:cstheme="majorBidi"/>
                <w:sz w:val="20"/>
                <w:szCs w:val="20"/>
              </w:rPr>
            </w:pPr>
          </w:p>
        </w:tc>
        <w:tc>
          <w:tcPr>
            <w:tcW w:w="780" w:type="dxa"/>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b</w:t>
            </w:r>
            <w:r w:rsidRPr="001D7267">
              <w:rPr>
                <w:rFonts w:asciiTheme="majorBidi" w:eastAsia="Times New Roman" w:hAnsiTheme="majorBidi" w:cstheme="majorBidi"/>
                <w:sz w:val="20"/>
                <w:szCs w:val="20"/>
              </w:rPr>
              <w:t>) Describe any methods used to examine subgroups and interactions</w:t>
            </w:r>
          </w:p>
        </w:tc>
      </w:tr>
      <w:tr w:rsidR="004319D0" w:rsidRPr="001D7267" w:rsidTr="005964B1">
        <w:trPr>
          <w:trHeight w:val="290"/>
        </w:trPr>
        <w:tc>
          <w:tcPr>
            <w:tcW w:w="2100" w:type="dxa"/>
            <w:vAlign w:val="bottom"/>
          </w:tcPr>
          <w:p w:rsidR="004319D0" w:rsidRPr="001D7267" w:rsidRDefault="004319D0">
            <w:pPr>
              <w:rPr>
                <w:rFonts w:asciiTheme="majorBidi" w:hAnsiTheme="majorBidi" w:cstheme="majorBidi"/>
                <w:sz w:val="20"/>
                <w:szCs w:val="20"/>
              </w:rPr>
            </w:pPr>
          </w:p>
        </w:tc>
        <w:tc>
          <w:tcPr>
            <w:tcW w:w="780" w:type="dxa"/>
            <w:vAlign w:val="bottom"/>
          </w:tcPr>
          <w:p w:rsidR="004319D0" w:rsidRPr="001D7267" w:rsidRDefault="004319D0">
            <w:pPr>
              <w:rPr>
                <w:rFonts w:asciiTheme="majorBidi" w:hAnsiTheme="majorBidi" w:cstheme="majorBidi"/>
                <w:sz w:val="20"/>
                <w:szCs w:val="20"/>
              </w:rPr>
            </w:pPr>
          </w:p>
        </w:tc>
        <w:tc>
          <w:tcPr>
            <w:tcW w:w="6980" w:type="dxa"/>
            <w:tcBorders>
              <w:bottom w:val="single" w:sz="8" w:space="0" w:color="auto"/>
            </w:tcBorders>
            <w:vAlign w:val="bottom"/>
          </w:tcPr>
          <w:p w:rsidR="004319D0" w:rsidRPr="001D7267" w:rsidRDefault="00CC5D84">
            <w:pPr>
              <w:ind w:left="10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c</w:t>
            </w:r>
            <w:r w:rsidRPr="001D7267">
              <w:rPr>
                <w:rFonts w:asciiTheme="majorBidi" w:eastAsia="Times New Roman" w:hAnsiTheme="majorBidi" w:cstheme="majorBidi"/>
                <w:sz w:val="20"/>
                <w:szCs w:val="20"/>
              </w:rPr>
              <w:t>) Explain how missing data were addressed</w:t>
            </w:r>
          </w:p>
        </w:tc>
      </w:tr>
    </w:tbl>
    <w:p w:rsidR="004319D0" w:rsidRPr="001D7267" w:rsidRDefault="004319D0">
      <w:pPr>
        <w:spacing w:line="63" w:lineRule="exact"/>
        <w:rPr>
          <w:rFonts w:asciiTheme="majorBidi" w:hAnsiTheme="majorBidi" w:cstheme="majorBidi"/>
          <w:sz w:val="20"/>
          <w:szCs w:val="20"/>
        </w:rPr>
      </w:pPr>
    </w:p>
    <w:p w:rsidR="004319D0" w:rsidRPr="001D7267" w:rsidRDefault="00CC5D84">
      <w:pPr>
        <w:spacing w:line="307" w:lineRule="auto"/>
        <w:ind w:left="2980" w:right="20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d</w:t>
      </w:r>
      <w:r w:rsidRPr="001D7267">
        <w:rPr>
          <w:rFonts w:asciiTheme="majorBidi" w:eastAsia="Times New Roman" w:hAnsiTheme="majorBidi" w:cstheme="majorBidi"/>
          <w:sz w:val="20"/>
          <w:szCs w:val="20"/>
        </w:rPr>
        <w:t xml:space="preserve">) </w:t>
      </w:r>
      <w:r w:rsidRPr="001D7267">
        <w:rPr>
          <w:rFonts w:asciiTheme="majorBidi" w:eastAsia="Times New Roman" w:hAnsiTheme="majorBidi" w:cstheme="majorBidi"/>
          <w:i/>
          <w:iCs/>
          <w:sz w:val="20"/>
          <w:szCs w:val="20"/>
        </w:rPr>
        <w:t>Cohort study</w:t>
      </w:r>
      <w:r w:rsidRPr="001D7267">
        <w:rPr>
          <w:rFonts w:asciiTheme="majorBidi" w:eastAsia="Times New Roman" w:hAnsiTheme="majorBidi" w:cstheme="majorBidi"/>
          <w:sz w:val="20"/>
          <w:szCs w:val="20"/>
        </w:rPr>
        <w:t xml:space="preserve">—If applicable, explain how loss to follow-up was addressed </w:t>
      </w:r>
      <w:r w:rsidRPr="001D7267">
        <w:rPr>
          <w:rFonts w:asciiTheme="majorBidi" w:eastAsia="Times New Roman" w:hAnsiTheme="majorBidi" w:cstheme="majorBidi"/>
          <w:i/>
          <w:iCs/>
          <w:sz w:val="20"/>
          <w:szCs w:val="20"/>
        </w:rPr>
        <w:t>Case-control study</w:t>
      </w:r>
      <w:r w:rsidRPr="001D7267">
        <w:rPr>
          <w:rFonts w:asciiTheme="majorBidi" w:eastAsia="Times New Roman" w:hAnsiTheme="majorBidi" w:cstheme="majorBidi"/>
          <w:sz w:val="20"/>
          <w:szCs w:val="20"/>
        </w:rPr>
        <w:t>—If applicable, explain how matching of cases and controls was</w:t>
      </w:r>
      <w:r w:rsidRPr="001D7267">
        <w:rPr>
          <w:rFonts w:asciiTheme="majorBidi" w:eastAsia="Times New Roman" w:hAnsiTheme="majorBidi" w:cstheme="majorBidi"/>
          <w:i/>
          <w:iCs/>
          <w:sz w:val="20"/>
          <w:szCs w:val="20"/>
        </w:rPr>
        <w:t xml:space="preserve"> </w:t>
      </w:r>
      <w:r w:rsidRPr="001D7267">
        <w:rPr>
          <w:rFonts w:asciiTheme="majorBidi" w:eastAsia="Times New Roman" w:hAnsiTheme="majorBidi" w:cstheme="majorBidi"/>
          <w:sz w:val="20"/>
          <w:szCs w:val="20"/>
        </w:rPr>
        <w:t>addressed</w:t>
      </w:r>
    </w:p>
    <w:p w:rsidR="004319D0" w:rsidRPr="001D7267" w:rsidRDefault="004319D0">
      <w:pPr>
        <w:spacing w:line="18" w:lineRule="exact"/>
        <w:rPr>
          <w:rFonts w:asciiTheme="majorBidi" w:hAnsiTheme="majorBidi" w:cstheme="majorBidi"/>
          <w:sz w:val="20"/>
          <w:szCs w:val="20"/>
        </w:rPr>
      </w:pPr>
    </w:p>
    <w:p w:rsidR="004319D0" w:rsidRPr="001D7267" w:rsidRDefault="00CC5D84">
      <w:pPr>
        <w:spacing w:line="301" w:lineRule="auto"/>
        <w:ind w:left="2980" w:right="180"/>
        <w:rPr>
          <w:rFonts w:asciiTheme="majorBidi" w:hAnsiTheme="majorBidi" w:cstheme="majorBidi"/>
          <w:sz w:val="20"/>
          <w:szCs w:val="20"/>
        </w:rPr>
      </w:pPr>
      <w:r w:rsidRPr="001D7267">
        <w:rPr>
          <w:rFonts w:asciiTheme="majorBidi" w:eastAsia="Times New Roman" w:hAnsiTheme="majorBidi" w:cstheme="majorBidi"/>
          <w:i/>
          <w:iCs/>
          <w:sz w:val="20"/>
          <w:szCs w:val="20"/>
        </w:rPr>
        <w:t>Cross-sectional study</w:t>
      </w:r>
      <w:r w:rsidRPr="001D7267">
        <w:rPr>
          <w:rFonts w:asciiTheme="majorBidi" w:eastAsia="Times New Roman" w:hAnsiTheme="majorBidi" w:cstheme="majorBidi"/>
          <w:sz w:val="20"/>
          <w:szCs w:val="20"/>
        </w:rPr>
        <w:t>—</w:t>
      </w:r>
      <w:proofErr w:type="gramStart"/>
      <w:r w:rsidRPr="001D7267">
        <w:rPr>
          <w:rFonts w:asciiTheme="majorBidi" w:eastAsia="Times New Roman" w:hAnsiTheme="majorBidi" w:cstheme="majorBidi"/>
          <w:sz w:val="20"/>
          <w:szCs w:val="20"/>
        </w:rPr>
        <w:t>If</w:t>
      </w:r>
      <w:proofErr w:type="gramEnd"/>
      <w:r w:rsidRPr="001D7267">
        <w:rPr>
          <w:rFonts w:asciiTheme="majorBidi" w:eastAsia="Times New Roman" w:hAnsiTheme="majorBidi" w:cstheme="majorBidi"/>
          <w:sz w:val="20"/>
          <w:szCs w:val="20"/>
        </w:rPr>
        <w:t xml:space="preserve"> applicable, describe analytical methods taking account of</w:t>
      </w:r>
      <w:r w:rsidRPr="001D7267">
        <w:rPr>
          <w:rFonts w:asciiTheme="majorBidi" w:eastAsia="Times New Roman" w:hAnsiTheme="majorBidi" w:cstheme="majorBidi"/>
          <w:i/>
          <w:iCs/>
          <w:sz w:val="20"/>
          <w:szCs w:val="20"/>
        </w:rPr>
        <w:t xml:space="preserve"> </w:t>
      </w:r>
      <w:r w:rsidRPr="001D7267">
        <w:rPr>
          <w:rFonts w:asciiTheme="majorBidi" w:eastAsia="Times New Roman" w:hAnsiTheme="majorBidi" w:cstheme="majorBidi"/>
          <w:sz w:val="20"/>
          <w:szCs w:val="20"/>
        </w:rPr>
        <w:t>sampling strategy</w:t>
      </w:r>
    </w:p>
    <w:p w:rsidR="004319D0" w:rsidRPr="001D7267" w:rsidRDefault="00CC5D84">
      <w:pPr>
        <w:spacing w:line="20" w:lineRule="exact"/>
        <w:rPr>
          <w:rFonts w:asciiTheme="majorBidi" w:hAnsiTheme="majorBidi" w:cstheme="majorBidi"/>
          <w:sz w:val="20"/>
          <w:szCs w:val="20"/>
        </w:rPr>
      </w:pPr>
      <w:r w:rsidRPr="001D7267">
        <w:rPr>
          <w:rFonts w:asciiTheme="majorBidi" w:hAnsiTheme="majorBidi" w:cstheme="majorBidi"/>
          <w:noProof/>
          <w:sz w:val="20"/>
          <w:szCs w:val="20"/>
        </w:rPr>
        <mc:AlternateContent>
          <mc:Choice Requires="wps">
            <w:drawing>
              <wp:anchor distT="0" distB="0" distL="114300" distR="114300" simplePos="0" relativeHeight="251657216" behindDoc="1" locked="0" layoutInCell="0" allowOverlap="1" wp14:anchorId="18D2418B" wp14:editId="55292439">
                <wp:simplePos x="0" y="0"/>
                <wp:positionH relativeFrom="column">
                  <wp:posOffset>1826260</wp:posOffset>
                </wp:positionH>
                <wp:positionV relativeFrom="paragraph">
                  <wp:posOffset>-21590</wp:posOffset>
                </wp:positionV>
                <wp:extent cx="44373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7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8pt,-1.6999pt" to="493.2pt,-1.6999pt" o:allowincell="f" strokecolor="#000000" strokeweight="0.4799pt"/>
            </w:pict>
          </mc:Fallback>
        </mc:AlternateContent>
      </w:r>
    </w:p>
    <w:p w:rsidR="004319D0" w:rsidRPr="001D7267" w:rsidRDefault="004319D0">
      <w:pPr>
        <w:spacing w:line="2" w:lineRule="exact"/>
        <w:rPr>
          <w:rFonts w:asciiTheme="majorBidi" w:hAnsiTheme="majorBidi" w:cstheme="majorBidi"/>
          <w:sz w:val="20"/>
          <w:szCs w:val="20"/>
        </w:rPr>
      </w:pPr>
    </w:p>
    <w:p w:rsidR="004319D0" w:rsidRPr="001D7267" w:rsidRDefault="00CC5D84">
      <w:pPr>
        <w:ind w:left="298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u w:val="single"/>
        </w:rPr>
        <w:t>e</w:t>
      </w:r>
      <w:r w:rsidRPr="001D7267">
        <w:rPr>
          <w:rFonts w:asciiTheme="majorBidi" w:eastAsia="Times New Roman" w:hAnsiTheme="majorBidi" w:cstheme="majorBidi"/>
          <w:sz w:val="20"/>
          <w:szCs w:val="20"/>
        </w:rPr>
        <w:t>) Describe any sensitivity analyses</w:t>
      </w:r>
    </w:p>
    <w:p w:rsidR="004319D0" w:rsidRPr="001D7267" w:rsidRDefault="004319D0">
      <w:pPr>
        <w:spacing w:line="108" w:lineRule="exact"/>
        <w:rPr>
          <w:rFonts w:asciiTheme="majorBidi" w:hAnsiTheme="majorBidi" w:cstheme="majorBidi"/>
          <w:sz w:val="20"/>
          <w:szCs w:val="20"/>
        </w:rPr>
      </w:pPr>
    </w:p>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Continued on next page</w:t>
      </w:r>
    </w:p>
    <w:p w:rsidR="004319D0" w:rsidRPr="001D7267" w:rsidRDefault="004319D0">
      <w:pPr>
        <w:rPr>
          <w:rFonts w:asciiTheme="majorBidi" w:hAnsiTheme="majorBidi" w:cstheme="majorBidi"/>
          <w:sz w:val="20"/>
          <w:szCs w:val="20"/>
        </w:rPr>
        <w:sectPr w:rsidR="004319D0" w:rsidRPr="001D7267">
          <w:pgSz w:w="11900" w:h="16834"/>
          <w:pgMar w:top="1146" w:right="1029" w:bottom="150" w:left="1020" w:header="0" w:footer="0" w:gutter="0"/>
          <w:cols w:space="720" w:equalWidth="0">
            <w:col w:w="9860"/>
          </w:cols>
        </w:sect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300" w:lineRule="exact"/>
        <w:rPr>
          <w:rFonts w:asciiTheme="majorBidi" w:hAnsiTheme="majorBidi" w:cstheme="majorBidi"/>
          <w:sz w:val="20"/>
          <w:szCs w:val="20"/>
        </w:rPr>
      </w:pPr>
    </w:p>
    <w:p w:rsidR="004319D0" w:rsidRPr="001D7267" w:rsidRDefault="00CC5D84">
      <w:pPr>
        <w:ind w:right="-19"/>
        <w:jc w:val="center"/>
        <w:rPr>
          <w:rFonts w:asciiTheme="majorBidi" w:hAnsiTheme="majorBidi" w:cstheme="majorBidi"/>
          <w:sz w:val="20"/>
          <w:szCs w:val="20"/>
        </w:rPr>
      </w:pPr>
      <w:r w:rsidRPr="001D7267">
        <w:rPr>
          <w:rFonts w:asciiTheme="majorBidi" w:eastAsia="Arial" w:hAnsiTheme="majorBidi" w:cstheme="majorBidi"/>
          <w:sz w:val="20"/>
          <w:szCs w:val="20"/>
        </w:rPr>
        <w:t>1</w:t>
      </w:r>
    </w:p>
    <w:p w:rsidR="004319D0" w:rsidRPr="001D7267" w:rsidRDefault="004319D0">
      <w:pPr>
        <w:rPr>
          <w:rFonts w:asciiTheme="majorBidi" w:hAnsiTheme="majorBidi" w:cstheme="majorBidi"/>
          <w:sz w:val="20"/>
          <w:szCs w:val="20"/>
        </w:rPr>
        <w:sectPr w:rsidR="004319D0" w:rsidRPr="001D7267">
          <w:type w:val="continuous"/>
          <w:pgSz w:w="11900" w:h="16834"/>
          <w:pgMar w:top="1146" w:right="1029" w:bottom="150" w:left="1020" w:header="0" w:footer="0" w:gutter="0"/>
          <w:cols w:space="720" w:equalWidth="0">
            <w:col w:w="9860"/>
          </w:cols>
        </w:sectPr>
      </w:pPr>
    </w:p>
    <w:p w:rsidR="004319D0" w:rsidRPr="001D7267" w:rsidRDefault="004319D0">
      <w:pPr>
        <w:spacing w:line="110" w:lineRule="exact"/>
        <w:rPr>
          <w:rFonts w:asciiTheme="majorBidi" w:hAnsiTheme="majorBidi" w:cstheme="majorBidi"/>
          <w:sz w:val="20"/>
          <w:szCs w:val="20"/>
        </w:rPr>
      </w:pPr>
      <w:bookmarkStart w:id="2" w:name="page2"/>
      <w:bookmarkEnd w:id="2"/>
    </w:p>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Results</w:t>
      </w:r>
    </w:p>
    <w:p w:rsidR="004319D0" w:rsidRPr="001D7267" w:rsidRDefault="00CC5D84">
      <w:pPr>
        <w:spacing w:line="20" w:lineRule="exact"/>
        <w:rPr>
          <w:rFonts w:asciiTheme="majorBidi" w:hAnsiTheme="majorBidi" w:cstheme="majorBidi"/>
          <w:sz w:val="20"/>
          <w:szCs w:val="20"/>
        </w:rPr>
      </w:pPr>
      <w:r w:rsidRPr="001D7267">
        <w:rPr>
          <w:rFonts w:asciiTheme="majorBidi" w:hAnsiTheme="majorBidi" w:cstheme="majorBidi"/>
          <w:noProof/>
          <w:sz w:val="20"/>
          <w:szCs w:val="20"/>
        </w:rPr>
        <mc:AlternateContent>
          <mc:Choice Requires="wps">
            <w:drawing>
              <wp:anchor distT="0" distB="0" distL="114300" distR="114300" simplePos="0" relativeHeight="251658240" behindDoc="1" locked="0" layoutInCell="0" allowOverlap="1" wp14:anchorId="265F776D" wp14:editId="37754679">
                <wp:simplePos x="0" y="0"/>
                <wp:positionH relativeFrom="column">
                  <wp:posOffset>2540</wp:posOffset>
                </wp:positionH>
                <wp:positionV relativeFrom="paragraph">
                  <wp:posOffset>5080</wp:posOffset>
                </wp:positionV>
                <wp:extent cx="62611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4pt" to="493.2pt,0.4pt" o:allowincell="f" strokecolor="#000000" strokeweight="0.48pt"/>
            </w:pict>
          </mc:Fallback>
        </mc:AlternateContent>
      </w:r>
    </w:p>
    <w:p w:rsidR="004319D0" w:rsidRPr="001D7267" w:rsidRDefault="004319D0">
      <w:pPr>
        <w:spacing w:line="46" w:lineRule="exact"/>
        <w:rPr>
          <w:rFonts w:asciiTheme="majorBidi" w:hAnsiTheme="majorBidi" w:cstheme="majorBidi"/>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520"/>
        <w:gridCol w:w="7840"/>
      </w:tblGrid>
      <w:tr w:rsidR="004319D0" w:rsidRPr="001D7267">
        <w:trPr>
          <w:trHeight w:val="230"/>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Participants</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13*</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(a) Report numbers of individuals at each stage of study—eg numbers potentially eligible,</w:t>
            </w:r>
          </w:p>
        </w:tc>
      </w:tr>
      <w:tr w:rsidR="004319D0" w:rsidRPr="001D7267">
        <w:trPr>
          <w:trHeight w:val="300"/>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examined for eligibility, confirmed eligible, included in the study, completing follow-up, and</w:t>
            </w:r>
          </w:p>
        </w:tc>
      </w:tr>
      <w:tr w:rsidR="004319D0" w:rsidRPr="001D7267">
        <w:trPr>
          <w:trHeight w:val="309"/>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74790D">
            <w:pPr>
              <w:ind w:left="120"/>
              <w:rPr>
                <w:rFonts w:asciiTheme="majorBidi" w:eastAsia="Times New Roman" w:hAnsiTheme="majorBidi" w:cstheme="majorBidi"/>
                <w:sz w:val="20"/>
                <w:szCs w:val="20"/>
              </w:rPr>
            </w:pPr>
            <w:proofErr w:type="spellStart"/>
            <w:r w:rsidRPr="001D7267">
              <w:rPr>
                <w:rFonts w:asciiTheme="majorBidi" w:eastAsia="Times New Roman" w:hAnsiTheme="majorBidi" w:cstheme="majorBidi"/>
                <w:sz w:val="20"/>
                <w:szCs w:val="20"/>
              </w:rPr>
              <w:t>A</w:t>
            </w:r>
            <w:r w:rsidR="00CC5D84" w:rsidRPr="001D7267">
              <w:rPr>
                <w:rFonts w:asciiTheme="majorBidi" w:eastAsia="Times New Roman" w:hAnsiTheme="majorBidi" w:cstheme="majorBidi"/>
                <w:sz w:val="20"/>
                <w:szCs w:val="20"/>
              </w:rPr>
              <w:t>nalysed</w:t>
            </w:r>
            <w:proofErr w:type="spellEnd"/>
          </w:p>
          <w:p w:rsidR="00FC4644" w:rsidRPr="001D7267" w:rsidRDefault="00FC4644" w:rsidP="00D83D6E">
            <w:pPr>
              <w:ind w:left="140"/>
              <w:jc w:val="both"/>
              <w:rPr>
                <w:rFonts w:asciiTheme="majorBidi" w:eastAsia="Liberation Sans" w:hAnsiTheme="majorBidi" w:cstheme="majorBidi"/>
                <w:color w:val="FF0000"/>
                <w:kern w:val="1"/>
                <w:sz w:val="20"/>
                <w:szCs w:val="20"/>
                <w:lang w:eastAsia="hi-IN" w:bidi="hi-IN"/>
              </w:rPr>
            </w:pPr>
            <w:proofErr w:type="spellStart"/>
            <w:r w:rsidRPr="001D7267">
              <w:rPr>
                <w:rFonts w:asciiTheme="majorBidi" w:eastAsia="Liberation Sans" w:hAnsiTheme="majorBidi" w:cstheme="majorBidi"/>
                <w:color w:val="FF0000"/>
                <w:kern w:val="1"/>
                <w:sz w:val="20"/>
                <w:szCs w:val="20"/>
                <w:lang w:eastAsia="hi-IN" w:bidi="hi-IN"/>
              </w:rPr>
              <w:t>Patients</w:t>
            </w:r>
            <w:proofErr w:type="gramStart"/>
            <w:r w:rsidRPr="001D7267">
              <w:rPr>
                <w:rFonts w:asciiTheme="majorBidi" w:eastAsia="Liberation Sans" w:hAnsiTheme="majorBidi" w:cstheme="majorBidi"/>
                <w:color w:val="FF0000"/>
                <w:kern w:val="1"/>
                <w:sz w:val="20"/>
                <w:szCs w:val="20"/>
                <w:lang w:eastAsia="hi-IN" w:bidi="hi-IN"/>
              </w:rPr>
              <w:t>:</w:t>
            </w:r>
            <w:r w:rsidR="0074790D" w:rsidRPr="001D7267">
              <w:rPr>
                <w:rFonts w:asciiTheme="majorBidi" w:eastAsia="Liberation Sans" w:hAnsiTheme="majorBidi" w:cstheme="majorBidi"/>
                <w:color w:val="FF0000"/>
                <w:kern w:val="1"/>
                <w:sz w:val="20"/>
                <w:szCs w:val="20"/>
                <w:lang w:eastAsia="hi-IN" w:bidi="hi-IN"/>
              </w:rPr>
              <w:t>The</w:t>
            </w:r>
            <w:proofErr w:type="spellEnd"/>
            <w:proofErr w:type="gramEnd"/>
            <w:r w:rsidR="0074790D" w:rsidRPr="001D7267">
              <w:rPr>
                <w:rFonts w:asciiTheme="majorBidi" w:eastAsia="Liberation Sans" w:hAnsiTheme="majorBidi" w:cstheme="majorBidi"/>
                <w:color w:val="FF0000"/>
                <w:kern w:val="1"/>
                <w:sz w:val="20"/>
                <w:szCs w:val="20"/>
                <w:lang w:eastAsia="hi-IN" w:bidi="hi-IN"/>
              </w:rPr>
              <w:t xml:space="preserve"> study assessed 215 consecutive patients .Seven patients were excluded from our study due to presence of hepatocellular carcinoma (</w:t>
            </w:r>
            <w:r w:rsidR="0074790D" w:rsidRPr="001D7267">
              <w:rPr>
                <w:rFonts w:asciiTheme="majorBidi" w:eastAsia="Liberation Sans" w:hAnsiTheme="majorBidi" w:cstheme="majorBidi"/>
                <w:i/>
                <w:iCs/>
                <w:color w:val="FF0000"/>
                <w:kern w:val="1"/>
                <w:sz w:val="20"/>
                <w:szCs w:val="20"/>
                <w:lang w:eastAsia="hi-IN" w:bidi="hi-IN"/>
              </w:rPr>
              <w:t>n</w:t>
            </w:r>
            <w:r w:rsidR="0074790D" w:rsidRPr="001D7267">
              <w:rPr>
                <w:rFonts w:asciiTheme="majorBidi" w:eastAsia="Liberation Sans" w:hAnsiTheme="majorBidi" w:cstheme="majorBidi"/>
                <w:color w:val="FF0000"/>
                <w:kern w:val="1"/>
                <w:sz w:val="20"/>
                <w:szCs w:val="20"/>
                <w:lang w:eastAsia="hi-IN" w:bidi="hi-IN"/>
              </w:rPr>
              <w:t xml:space="preserve"> = 3), cardiac cirrhosis (</w:t>
            </w:r>
            <w:r w:rsidR="0074790D" w:rsidRPr="001D7267">
              <w:rPr>
                <w:rFonts w:asciiTheme="majorBidi" w:eastAsia="Liberation Sans" w:hAnsiTheme="majorBidi" w:cstheme="majorBidi"/>
                <w:i/>
                <w:iCs/>
                <w:color w:val="FF0000"/>
                <w:kern w:val="1"/>
                <w:sz w:val="20"/>
                <w:szCs w:val="20"/>
                <w:lang w:eastAsia="hi-IN" w:bidi="hi-IN"/>
              </w:rPr>
              <w:t xml:space="preserve">n </w:t>
            </w:r>
            <w:r w:rsidR="0074790D" w:rsidRPr="001D7267">
              <w:rPr>
                <w:rFonts w:asciiTheme="majorBidi" w:eastAsia="Liberation Sans" w:hAnsiTheme="majorBidi" w:cstheme="majorBidi"/>
                <w:color w:val="FF0000"/>
                <w:kern w:val="1"/>
                <w:sz w:val="20"/>
                <w:szCs w:val="20"/>
                <w:lang w:eastAsia="hi-IN" w:bidi="hi-IN"/>
              </w:rPr>
              <w:t>= 2) and hepatic metastasis (</w:t>
            </w:r>
            <w:r w:rsidR="0074790D" w:rsidRPr="001D7267">
              <w:rPr>
                <w:rFonts w:asciiTheme="majorBidi" w:eastAsia="Liberation Sans" w:hAnsiTheme="majorBidi" w:cstheme="majorBidi"/>
                <w:i/>
                <w:iCs/>
                <w:color w:val="FF0000"/>
                <w:kern w:val="1"/>
                <w:sz w:val="20"/>
                <w:szCs w:val="20"/>
                <w:lang w:eastAsia="hi-IN" w:bidi="hi-IN"/>
              </w:rPr>
              <w:t>n</w:t>
            </w:r>
            <w:r w:rsidR="0074790D" w:rsidRPr="001D7267">
              <w:rPr>
                <w:rFonts w:asciiTheme="majorBidi" w:eastAsia="Liberation Sans" w:hAnsiTheme="majorBidi" w:cstheme="majorBidi"/>
                <w:color w:val="FF0000"/>
                <w:kern w:val="1"/>
                <w:sz w:val="20"/>
                <w:szCs w:val="20"/>
                <w:lang w:eastAsia="hi-IN" w:bidi="hi-IN"/>
              </w:rPr>
              <w:t xml:space="preserve"> = 2). The final number of patients was 208, median age was 36.3±9.3, (129 male and 79 female). </w:t>
            </w:r>
          </w:p>
          <w:p w:rsidR="0074790D" w:rsidRPr="001D7267" w:rsidRDefault="00FC4644" w:rsidP="00D83D6E">
            <w:pPr>
              <w:ind w:left="140"/>
              <w:jc w:val="both"/>
              <w:rPr>
                <w:rFonts w:asciiTheme="majorBidi" w:hAnsiTheme="majorBidi" w:cstheme="majorBidi"/>
                <w:sz w:val="20"/>
                <w:szCs w:val="20"/>
              </w:rPr>
            </w:pPr>
            <w:r w:rsidRPr="001D7267">
              <w:rPr>
                <w:rFonts w:asciiTheme="majorBidi" w:eastAsia="Liberation Sans" w:hAnsiTheme="majorBidi" w:cstheme="majorBidi"/>
                <w:color w:val="FF0000"/>
                <w:kern w:val="1"/>
                <w:sz w:val="20"/>
                <w:szCs w:val="20"/>
                <w:lang w:eastAsia="hi-IN" w:bidi="hi-IN"/>
              </w:rPr>
              <w:t xml:space="preserve">Control: </w:t>
            </w:r>
            <w:r w:rsidR="0074790D" w:rsidRPr="001D7267">
              <w:rPr>
                <w:rFonts w:asciiTheme="majorBidi" w:eastAsia="Liberation Sans" w:hAnsiTheme="majorBidi" w:cstheme="majorBidi"/>
                <w:color w:val="FF0000"/>
                <w:kern w:val="1"/>
                <w:sz w:val="20"/>
                <w:szCs w:val="20"/>
                <w:lang w:eastAsia="hi-IN" w:bidi="hi-IN"/>
              </w:rPr>
              <w:t>Age and sex matched 82 volunteers underwent MR imaging for reasons other than abdominal abnormalities; the median age was 38.3±10.2 years (47 male and 35 female).</w:t>
            </w:r>
          </w:p>
        </w:tc>
      </w:tr>
      <w:tr w:rsidR="004319D0" w:rsidRPr="001D7267">
        <w:trPr>
          <w:trHeight w:val="292"/>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(b) Give reasons for non-participation at each stage</w:t>
            </w:r>
          </w:p>
        </w:tc>
      </w:tr>
      <w:tr w:rsidR="004319D0" w:rsidRPr="001D7267">
        <w:trPr>
          <w:trHeight w:val="290"/>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(c) Consider use of a flow diagram</w:t>
            </w:r>
          </w:p>
        </w:tc>
      </w:tr>
      <w:tr w:rsidR="004319D0" w:rsidRPr="001D7267">
        <w:trPr>
          <w:trHeight w:val="281"/>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Descriptive</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14*</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(a) Give characteristics of study participants (eg demographic, clinical, social) and information</w:t>
            </w:r>
          </w:p>
        </w:tc>
      </w:tr>
      <w:tr w:rsidR="00757B15" w:rsidRPr="001D7267">
        <w:trPr>
          <w:trHeight w:val="309"/>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data</w:t>
            </w: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on exposures and potential confounders</w:t>
            </w:r>
          </w:p>
          <w:p w:rsidR="00A032C2" w:rsidRPr="001D7267" w:rsidRDefault="00A032C2" w:rsidP="00A032C2">
            <w:pPr>
              <w:autoSpaceDE w:val="0"/>
              <w:autoSpaceDN w:val="0"/>
              <w:adjustRightInd w:val="0"/>
              <w:spacing w:line="360" w:lineRule="auto"/>
              <w:ind w:left="360" w:hanging="310"/>
              <w:jc w:val="both"/>
              <w:rPr>
                <w:rFonts w:asciiTheme="majorBidi" w:eastAsiaTheme="minorHAnsi" w:hAnsiTheme="majorBidi" w:cstheme="majorBidi"/>
                <w:b/>
                <w:bCs/>
                <w:color w:val="FF0000"/>
                <w:sz w:val="20"/>
                <w:szCs w:val="20"/>
              </w:rPr>
            </w:pPr>
            <w:r w:rsidRPr="00A032C2">
              <w:rPr>
                <w:rFonts w:asciiTheme="majorBidi" w:eastAsia="Liberation Sans" w:hAnsiTheme="majorBidi" w:cstheme="majorBidi"/>
                <w:b/>
                <w:bCs/>
                <w:color w:val="FF0000"/>
                <w:kern w:val="1"/>
                <w:sz w:val="20"/>
                <w:szCs w:val="20"/>
                <w:lang w:eastAsia="hi-IN" w:bidi="hi-IN"/>
              </w:rPr>
              <w:t>Table (</w:t>
            </w:r>
            <w:r w:rsidRPr="001D7267">
              <w:rPr>
                <w:rFonts w:asciiTheme="majorBidi" w:eastAsia="Liberation Sans" w:hAnsiTheme="majorBidi" w:cstheme="majorBidi"/>
                <w:b/>
                <w:bCs/>
                <w:color w:val="FF0000"/>
                <w:kern w:val="1"/>
                <w:sz w:val="20"/>
                <w:szCs w:val="20"/>
                <w:lang w:eastAsia="hi-IN" w:bidi="hi-IN"/>
              </w:rPr>
              <w:t>1</w:t>
            </w:r>
            <w:r w:rsidRPr="00A032C2">
              <w:rPr>
                <w:rFonts w:asciiTheme="majorBidi" w:eastAsia="Liberation Sans" w:hAnsiTheme="majorBidi" w:cstheme="majorBidi"/>
                <w:b/>
                <w:bCs/>
                <w:color w:val="FF0000"/>
                <w:kern w:val="1"/>
                <w:sz w:val="20"/>
                <w:szCs w:val="20"/>
                <w:lang w:eastAsia="hi-IN" w:bidi="hi-IN"/>
              </w:rPr>
              <w:t xml:space="preserve">):  </w:t>
            </w:r>
            <w:r w:rsidRPr="001D7267">
              <w:rPr>
                <w:rFonts w:asciiTheme="majorBidi" w:eastAsiaTheme="minorHAnsi" w:hAnsiTheme="majorBidi" w:cstheme="majorBidi"/>
                <w:b/>
                <w:bCs/>
                <w:color w:val="FF0000"/>
                <w:sz w:val="20"/>
                <w:szCs w:val="20"/>
              </w:rPr>
              <w:t>Demographic and laboratory tests of patients and controls</w:t>
            </w:r>
          </w:p>
          <w:tbl>
            <w:tblPr>
              <w:tblStyle w:val="TableGrid1"/>
              <w:tblW w:w="8658" w:type="dxa"/>
              <w:tblLayout w:type="fixed"/>
              <w:tblLook w:val="04A0" w:firstRow="1" w:lastRow="0" w:firstColumn="1" w:lastColumn="0" w:noHBand="0" w:noVBand="1"/>
            </w:tblPr>
            <w:tblGrid>
              <w:gridCol w:w="1305"/>
              <w:gridCol w:w="1710"/>
              <w:gridCol w:w="1800"/>
              <w:gridCol w:w="1710"/>
              <w:gridCol w:w="2133"/>
            </w:tblGrid>
            <w:tr w:rsidR="008C1ACA" w:rsidRPr="001D7267" w:rsidTr="008C1ACA">
              <w:trPr>
                <w:trHeight w:val="530"/>
              </w:trPr>
              <w:tc>
                <w:tcPr>
                  <w:tcW w:w="1305" w:type="dxa"/>
                </w:tcPr>
                <w:p w:rsidR="00757C28" w:rsidRPr="001D7267" w:rsidRDefault="00757C28" w:rsidP="00251489">
                  <w:pPr>
                    <w:suppressAutoHyphens/>
                    <w:spacing w:line="360" w:lineRule="auto"/>
                    <w:ind w:left="360" w:hanging="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Parameters </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Control </w:t>
                  </w:r>
                </w:p>
                <w:p w:rsidR="00757C28" w:rsidRPr="001D7267" w:rsidRDefault="00757C28"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(n=82)</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Early Fibrosis (n= 112)</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Late Fibrosis </w:t>
                  </w:r>
                </w:p>
                <w:p w:rsidR="00757C28" w:rsidRPr="001D7267" w:rsidRDefault="00757C28"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(n = 96)</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P value</w:t>
                  </w:r>
                </w:p>
              </w:tc>
            </w:tr>
            <w:tr w:rsidR="008C1ACA" w:rsidRPr="001D7267" w:rsidTr="008C1ACA">
              <w:trPr>
                <w:trHeight w:val="53"/>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Age</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38.3±10.2</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34.1±8.9</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41.4±7.8</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431"/>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 xml:space="preserve">Gender </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47:35</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69:43</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60:36</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w:t>
                  </w:r>
                </w:p>
              </w:tc>
            </w:tr>
            <w:tr w:rsidR="008C1ACA" w:rsidRPr="001D7267" w:rsidTr="008C1ACA">
              <w:trPr>
                <w:trHeight w:val="359"/>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ALT</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36.29±17.24</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52±36.07</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57.17±36.88</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341"/>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AST</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35±15.71</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49±25.12</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58±35.12</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359"/>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Albumin</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4.1±0.45</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4.2±0.44</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3.8±0.69</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341"/>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Bilirubin</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0.88±0.48</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0.81±0.26</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1.02±0.46</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359"/>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PCR</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95746±10111</w:t>
                  </w:r>
                </w:p>
              </w:tc>
              <w:tc>
                <w:tcPr>
                  <w:tcW w:w="1800" w:type="dxa"/>
                </w:tcPr>
                <w:p w:rsidR="00757C28" w:rsidRPr="001D7267" w:rsidRDefault="00757C28" w:rsidP="008C1ACA">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391000±213876</w:t>
                  </w:r>
                </w:p>
              </w:tc>
              <w:tc>
                <w:tcPr>
                  <w:tcW w:w="1710" w:type="dxa"/>
                </w:tcPr>
                <w:p w:rsidR="00757C28" w:rsidRPr="001D7267" w:rsidRDefault="00757C28" w:rsidP="008C1ACA">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254500±129314</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8C1ACA" w:rsidRPr="001D7267" w:rsidTr="008C1ACA">
              <w:trPr>
                <w:trHeight w:val="341"/>
              </w:trPr>
              <w:tc>
                <w:tcPr>
                  <w:tcW w:w="1305"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AFP</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7.5±1.57</w:t>
                  </w:r>
                </w:p>
              </w:tc>
              <w:tc>
                <w:tcPr>
                  <w:tcW w:w="180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5.007±2.95</w:t>
                  </w:r>
                </w:p>
              </w:tc>
              <w:tc>
                <w:tcPr>
                  <w:tcW w:w="1710" w:type="dxa"/>
                </w:tcPr>
                <w:p w:rsidR="00757C28" w:rsidRPr="001D7267" w:rsidRDefault="00757C28"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10.47±6.78</w:t>
                  </w:r>
                </w:p>
              </w:tc>
              <w:tc>
                <w:tcPr>
                  <w:tcW w:w="2133" w:type="dxa"/>
                </w:tcPr>
                <w:p w:rsidR="00757C28" w:rsidRPr="001D7267" w:rsidRDefault="00757C28"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bl>
          <w:p w:rsidR="00BE3AA7" w:rsidRPr="001D7267" w:rsidRDefault="00BE3AA7">
            <w:pPr>
              <w:ind w:left="120"/>
              <w:rPr>
                <w:rFonts w:asciiTheme="majorBidi" w:hAnsiTheme="majorBidi" w:cstheme="majorBidi"/>
                <w:color w:val="FF0000"/>
                <w:sz w:val="20"/>
                <w:szCs w:val="20"/>
              </w:rPr>
            </w:pPr>
          </w:p>
        </w:tc>
      </w:tr>
      <w:tr w:rsidR="004319D0" w:rsidRPr="001D7267">
        <w:trPr>
          <w:trHeight w:val="290"/>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(b) Indicate number of participants with missing data for each variable of interest</w:t>
            </w:r>
          </w:p>
        </w:tc>
      </w:tr>
      <w:tr w:rsidR="004319D0" w:rsidRPr="001D7267">
        <w:trPr>
          <w:trHeight w:val="290"/>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 xml:space="preserve">(c) </w:t>
            </w:r>
            <w:r w:rsidRPr="001D7267">
              <w:rPr>
                <w:rFonts w:asciiTheme="majorBidi" w:eastAsia="Times New Roman" w:hAnsiTheme="majorBidi" w:cstheme="majorBidi"/>
                <w:i/>
                <w:iCs/>
                <w:sz w:val="20"/>
                <w:szCs w:val="20"/>
              </w:rPr>
              <w:t>Cohort study</w:t>
            </w:r>
            <w:r w:rsidRPr="001D7267">
              <w:rPr>
                <w:rFonts w:asciiTheme="majorBidi" w:eastAsia="Times New Roman" w:hAnsiTheme="majorBidi" w:cstheme="majorBidi"/>
                <w:sz w:val="20"/>
                <w:szCs w:val="20"/>
              </w:rPr>
              <w:t>—Summarise follow-up time (eg, average and total amount)</w:t>
            </w:r>
          </w:p>
        </w:tc>
      </w:tr>
      <w:tr w:rsidR="004319D0" w:rsidRPr="001D7267">
        <w:trPr>
          <w:trHeight w:val="290"/>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Outcome data</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15*</w:t>
            </w: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i/>
                <w:iCs/>
                <w:sz w:val="20"/>
                <w:szCs w:val="20"/>
              </w:rPr>
              <w:t>Cohort study</w:t>
            </w:r>
            <w:r w:rsidRPr="001D7267">
              <w:rPr>
                <w:rFonts w:asciiTheme="majorBidi" w:eastAsia="Times New Roman" w:hAnsiTheme="majorBidi" w:cstheme="majorBidi"/>
                <w:sz w:val="20"/>
                <w:szCs w:val="20"/>
              </w:rPr>
              <w:t>—Report numbers of outcome events or summary measures over time</w:t>
            </w:r>
          </w:p>
        </w:tc>
      </w:tr>
      <w:tr w:rsidR="004319D0" w:rsidRPr="001D7267">
        <w:trPr>
          <w:trHeight w:val="283"/>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i/>
                <w:iCs/>
                <w:sz w:val="20"/>
                <w:szCs w:val="20"/>
              </w:rPr>
              <w:t>Case-control study—</w:t>
            </w:r>
            <w:r w:rsidRPr="001D7267">
              <w:rPr>
                <w:rFonts w:asciiTheme="majorBidi" w:eastAsia="Times New Roman" w:hAnsiTheme="majorBidi" w:cstheme="majorBidi"/>
                <w:sz w:val="20"/>
                <w:szCs w:val="20"/>
              </w:rPr>
              <w:t>Report numbers in each exposure category, or summary measures of</w:t>
            </w:r>
          </w:p>
        </w:tc>
      </w:tr>
      <w:tr w:rsidR="004319D0" w:rsidRPr="001D7267">
        <w:trPr>
          <w:trHeight w:val="309"/>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A032C2">
            <w:pPr>
              <w:ind w:left="12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E</w:t>
            </w:r>
            <w:r w:rsidR="00CC5D84" w:rsidRPr="001D7267">
              <w:rPr>
                <w:rFonts w:asciiTheme="majorBidi" w:eastAsia="Times New Roman" w:hAnsiTheme="majorBidi" w:cstheme="majorBidi"/>
                <w:sz w:val="20"/>
                <w:szCs w:val="20"/>
              </w:rPr>
              <w:t>xposure</w:t>
            </w:r>
          </w:p>
          <w:p w:rsidR="00A032C2" w:rsidRPr="001D7267" w:rsidRDefault="00A032C2" w:rsidP="00A032C2">
            <w:pPr>
              <w:suppressAutoHyphens/>
              <w:spacing w:line="360" w:lineRule="auto"/>
              <w:ind w:left="360" w:hanging="310"/>
              <w:rPr>
                <w:rFonts w:asciiTheme="majorBidi" w:eastAsia="Liberation Sans" w:hAnsiTheme="majorBidi" w:cstheme="majorBidi"/>
                <w:b/>
                <w:bCs/>
                <w:color w:val="FF0000"/>
                <w:kern w:val="1"/>
                <w:sz w:val="20"/>
                <w:szCs w:val="20"/>
                <w:lang w:eastAsia="hi-IN" w:bidi="hi-IN"/>
              </w:rPr>
            </w:pPr>
            <w:r w:rsidRPr="00A032C2">
              <w:rPr>
                <w:rFonts w:asciiTheme="majorBidi" w:eastAsia="Liberation Sans" w:hAnsiTheme="majorBidi" w:cstheme="majorBidi"/>
                <w:b/>
                <w:bCs/>
                <w:color w:val="FF0000"/>
                <w:kern w:val="1"/>
                <w:sz w:val="20"/>
                <w:szCs w:val="20"/>
                <w:lang w:eastAsia="hi-IN" w:bidi="hi-IN"/>
              </w:rPr>
              <w:t>Table (2):  The median ADC and micro-RNA of patients versus controls</w:t>
            </w:r>
          </w:p>
          <w:tbl>
            <w:tblPr>
              <w:tblStyle w:val="TableGrid1"/>
              <w:tblW w:w="7488" w:type="dxa"/>
              <w:tblLayout w:type="fixed"/>
              <w:tblLook w:val="04A0" w:firstRow="1" w:lastRow="0" w:firstColumn="1" w:lastColumn="0" w:noHBand="0" w:noVBand="1"/>
            </w:tblPr>
            <w:tblGrid>
              <w:gridCol w:w="1728"/>
              <w:gridCol w:w="2250"/>
              <w:gridCol w:w="1980"/>
              <w:gridCol w:w="1530"/>
            </w:tblGrid>
            <w:tr w:rsidR="00954218" w:rsidRPr="001D7267" w:rsidTr="00251489">
              <w:trPr>
                <w:trHeight w:val="294"/>
              </w:trPr>
              <w:tc>
                <w:tcPr>
                  <w:tcW w:w="1728" w:type="dxa"/>
                </w:tcPr>
                <w:p w:rsidR="00A032C2" w:rsidRPr="001D7267" w:rsidRDefault="00A032C2"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Parameters</w:t>
                  </w:r>
                </w:p>
              </w:tc>
              <w:tc>
                <w:tcPr>
                  <w:tcW w:w="2250" w:type="dxa"/>
                </w:tcPr>
                <w:p w:rsidR="00A032C2" w:rsidRPr="001D7267" w:rsidRDefault="00A032C2"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Fibrosis (n = 208)</w:t>
                  </w:r>
                </w:p>
              </w:tc>
              <w:tc>
                <w:tcPr>
                  <w:tcW w:w="1980" w:type="dxa"/>
                </w:tcPr>
                <w:p w:rsidR="00A032C2" w:rsidRPr="001D7267" w:rsidRDefault="00A032C2"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Control (n = 82)</w:t>
                  </w:r>
                </w:p>
              </w:tc>
              <w:tc>
                <w:tcPr>
                  <w:tcW w:w="1530" w:type="dxa"/>
                </w:tcPr>
                <w:p w:rsidR="00A032C2" w:rsidRPr="001D7267" w:rsidRDefault="00A032C2" w:rsidP="00251489">
                  <w:pPr>
                    <w:suppressAutoHyphens/>
                    <w:spacing w:line="360" w:lineRule="auto"/>
                    <w:ind w:left="360"/>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i/>
                      <w:iCs/>
                      <w:color w:val="FF0000"/>
                      <w:kern w:val="1"/>
                      <w:sz w:val="20"/>
                      <w:szCs w:val="20"/>
                      <w:lang w:eastAsia="hi-IN" w:bidi="hi-IN"/>
                    </w:rPr>
                    <w:t xml:space="preserve">P </w:t>
                  </w:r>
                  <w:r w:rsidRPr="001D7267">
                    <w:rPr>
                      <w:rFonts w:asciiTheme="majorBidi" w:eastAsia="Liberation Sans" w:hAnsiTheme="majorBidi" w:cstheme="majorBidi"/>
                      <w:b/>
                      <w:bCs/>
                      <w:color w:val="FF0000"/>
                      <w:kern w:val="1"/>
                      <w:sz w:val="20"/>
                      <w:szCs w:val="20"/>
                      <w:lang w:eastAsia="hi-IN" w:bidi="hi-IN"/>
                    </w:rPr>
                    <w:t>value</w:t>
                  </w:r>
                </w:p>
              </w:tc>
            </w:tr>
            <w:tr w:rsidR="00954218" w:rsidRPr="001D7267" w:rsidTr="00251489">
              <w:trPr>
                <w:trHeight w:val="1027"/>
              </w:trPr>
              <w:tc>
                <w:tcPr>
                  <w:tcW w:w="1728" w:type="dxa"/>
                </w:tcPr>
                <w:p w:rsidR="00A032C2" w:rsidRPr="001D7267" w:rsidRDefault="00A032C2"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ADC </w:t>
                  </w:r>
                </w:p>
                <w:p w:rsidR="00A032C2" w:rsidRPr="001D7267" w:rsidRDefault="00A032C2"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miR-200 </w:t>
                  </w:r>
                </w:p>
                <w:p w:rsidR="00A032C2" w:rsidRPr="001D7267" w:rsidRDefault="00A032C2"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 xml:space="preserve">miR-21 </w:t>
                  </w:r>
                </w:p>
                <w:p w:rsidR="00A032C2" w:rsidRPr="001D7267" w:rsidRDefault="00A032C2" w:rsidP="00251489">
                  <w:pPr>
                    <w:suppressAutoHyphens/>
                    <w:spacing w:line="360" w:lineRule="auto"/>
                    <w:ind w:left="360"/>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miR-29</w:t>
                  </w:r>
                </w:p>
              </w:tc>
              <w:tc>
                <w:tcPr>
                  <w:tcW w:w="2250" w:type="dxa"/>
                </w:tcPr>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1.43± 0.22</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4.61± 1.21</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2.70± 1.30</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0.58± 0.26</w:t>
                  </w:r>
                </w:p>
              </w:tc>
              <w:tc>
                <w:tcPr>
                  <w:tcW w:w="1980" w:type="dxa"/>
                </w:tcPr>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1.92± 0.08</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1.20± 0.81</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1.29± 0.40</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0.98± 0.16</w:t>
                  </w:r>
                </w:p>
              </w:tc>
              <w:tc>
                <w:tcPr>
                  <w:tcW w:w="1530" w:type="dxa"/>
                </w:tcPr>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p w:rsidR="00A032C2" w:rsidRPr="001D7267" w:rsidRDefault="00A032C2" w:rsidP="00251489">
                  <w:pPr>
                    <w:suppressAutoHyphens/>
                    <w:spacing w:line="360" w:lineRule="auto"/>
                    <w:ind w:left="360"/>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bl>
          <w:p w:rsidR="00A032C2" w:rsidRPr="001D7267" w:rsidRDefault="00A032C2">
            <w:pPr>
              <w:ind w:left="120"/>
              <w:rPr>
                <w:rFonts w:asciiTheme="majorBidi" w:hAnsiTheme="majorBidi" w:cstheme="majorBidi"/>
                <w:sz w:val="20"/>
                <w:szCs w:val="20"/>
              </w:rPr>
            </w:pPr>
          </w:p>
        </w:tc>
      </w:tr>
      <w:tr w:rsidR="004319D0" w:rsidRPr="001D7267">
        <w:trPr>
          <w:trHeight w:val="290"/>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9A3DCB" w:rsidRPr="009A3DCB" w:rsidRDefault="009A3DCB" w:rsidP="009A3DCB">
            <w:pPr>
              <w:suppressAutoHyphens/>
              <w:spacing w:line="360" w:lineRule="auto"/>
              <w:ind w:left="360"/>
              <w:jc w:val="both"/>
              <w:rPr>
                <w:rFonts w:asciiTheme="majorBidi" w:eastAsia="Times New Roman" w:hAnsiTheme="majorBidi" w:cstheme="majorBidi"/>
                <w:b/>
                <w:bCs/>
                <w:color w:val="FF0000"/>
                <w:kern w:val="1"/>
                <w:sz w:val="20"/>
                <w:szCs w:val="20"/>
                <w:lang w:eastAsia="hi-IN" w:bidi="hi-IN"/>
              </w:rPr>
            </w:pPr>
            <w:r w:rsidRPr="009A3DCB">
              <w:rPr>
                <w:rFonts w:asciiTheme="majorBidi" w:eastAsia="Times New Roman" w:hAnsiTheme="majorBidi" w:cstheme="majorBidi"/>
                <w:b/>
                <w:bCs/>
                <w:color w:val="FF0000"/>
                <w:kern w:val="1"/>
                <w:sz w:val="20"/>
                <w:szCs w:val="20"/>
                <w:lang w:eastAsia="hi-IN" w:bidi="hi-IN"/>
              </w:rPr>
              <w:t>Table (3):  The ROC curve results with cut-off values of ADC and serum markers of patients and controls</w:t>
            </w:r>
          </w:p>
          <w:tbl>
            <w:tblPr>
              <w:tblStyle w:val="TableGrid1"/>
              <w:tblW w:w="8208" w:type="dxa"/>
              <w:tblLayout w:type="fixed"/>
              <w:tblLook w:val="04A0" w:firstRow="1" w:lastRow="0" w:firstColumn="1" w:lastColumn="0" w:noHBand="0" w:noVBand="1"/>
            </w:tblPr>
            <w:tblGrid>
              <w:gridCol w:w="1818"/>
              <w:gridCol w:w="990"/>
              <w:gridCol w:w="1440"/>
              <w:gridCol w:w="1350"/>
              <w:gridCol w:w="1350"/>
              <w:gridCol w:w="1260"/>
            </w:tblGrid>
            <w:tr w:rsidR="00C0508B" w:rsidRPr="001D7267" w:rsidTr="00251489">
              <w:trPr>
                <w:trHeight w:val="242"/>
              </w:trPr>
              <w:tc>
                <w:tcPr>
                  <w:tcW w:w="1818" w:type="dxa"/>
                </w:tcPr>
                <w:p w:rsidR="009A3DCB" w:rsidRPr="001D7267" w:rsidRDefault="009A3DCB" w:rsidP="00251489">
                  <w:pPr>
                    <w:suppressAutoHyphens/>
                    <w:spacing w:line="360" w:lineRule="auto"/>
                    <w:ind w:left="360"/>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Parameter</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AUC</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Cut-off point</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Sensitivity</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Specificity</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Accuracy</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0.992</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1.825</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98.6%</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97.0%</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97.1%</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miR-200</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0.925</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1.65</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92.3%</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82.2%</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91.2%</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miR-21</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0.865</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1.35</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82.2%</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76.0%</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84.2%</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miR-29</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0.937</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0.91</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92.3%</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81.7%</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91.o%</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miR-200</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0.995</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100%</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96.0%</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96.9%</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miR-21</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0.992</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100%</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95.0%</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96.2%</w:t>
                  </w:r>
                </w:p>
              </w:tc>
            </w:tr>
            <w:tr w:rsidR="00C0508B" w:rsidRPr="001D7267" w:rsidTr="00251489">
              <w:tc>
                <w:tcPr>
                  <w:tcW w:w="1818" w:type="dxa"/>
                </w:tcPr>
                <w:p w:rsidR="009A3DCB" w:rsidRPr="001D7267" w:rsidRDefault="009A3DCB"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miR-29</w:t>
                  </w:r>
                </w:p>
              </w:tc>
              <w:tc>
                <w:tcPr>
                  <w:tcW w:w="99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0.992</w:t>
                  </w:r>
                </w:p>
              </w:tc>
              <w:tc>
                <w:tcPr>
                  <w:tcW w:w="144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100%</w:t>
                  </w:r>
                </w:p>
              </w:tc>
              <w:tc>
                <w:tcPr>
                  <w:tcW w:w="135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95.9%</w:t>
                  </w:r>
                </w:p>
              </w:tc>
              <w:tc>
                <w:tcPr>
                  <w:tcW w:w="1260" w:type="dxa"/>
                </w:tcPr>
                <w:p w:rsidR="009A3DCB" w:rsidRPr="001D7267" w:rsidRDefault="009A3DCB"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95.9%</w:t>
                  </w:r>
                </w:p>
              </w:tc>
            </w:tr>
          </w:tbl>
          <w:p w:rsidR="00C813D4" w:rsidRPr="00C813D4" w:rsidRDefault="00C813D4" w:rsidP="00C813D4">
            <w:pPr>
              <w:spacing w:after="200"/>
              <w:ind w:left="50" w:hanging="50"/>
              <w:jc w:val="both"/>
              <w:rPr>
                <w:rFonts w:asciiTheme="majorBidi" w:eastAsia="Liberation Sans" w:hAnsiTheme="majorBidi" w:cstheme="majorBidi"/>
                <w:b/>
                <w:bCs/>
                <w:color w:val="FF0000"/>
                <w:kern w:val="1"/>
                <w:sz w:val="20"/>
                <w:szCs w:val="20"/>
              </w:rPr>
            </w:pPr>
            <w:r w:rsidRPr="00C813D4">
              <w:rPr>
                <w:rFonts w:asciiTheme="majorBidi" w:eastAsia="Liberation Sans" w:hAnsiTheme="majorBidi" w:cstheme="majorBidi"/>
                <w:b/>
                <w:bCs/>
                <w:color w:val="FF0000"/>
                <w:kern w:val="1"/>
                <w:sz w:val="20"/>
                <w:szCs w:val="20"/>
              </w:rPr>
              <w:t xml:space="preserve">Table (4): The median, minimum and maximum of ADC and serum markers of patients </w:t>
            </w:r>
            <w:r w:rsidRPr="00C813D4">
              <w:rPr>
                <w:rFonts w:asciiTheme="majorBidi" w:eastAsia="Liberation Sans" w:hAnsiTheme="majorBidi" w:cstheme="majorBidi"/>
                <w:b/>
                <w:bCs/>
                <w:color w:val="FF0000"/>
                <w:kern w:val="1"/>
                <w:sz w:val="20"/>
                <w:szCs w:val="20"/>
              </w:rPr>
              <w:lastRenderedPageBreak/>
              <w:t>with early and late fibrosis</w:t>
            </w:r>
          </w:p>
          <w:tbl>
            <w:tblPr>
              <w:tblStyle w:val="TableGrid1"/>
              <w:tblW w:w="0" w:type="auto"/>
              <w:tblLayout w:type="fixed"/>
              <w:tblLook w:val="04A0" w:firstRow="1" w:lastRow="0" w:firstColumn="1" w:lastColumn="0" w:noHBand="0" w:noVBand="1"/>
            </w:tblPr>
            <w:tblGrid>
              <w:gridCol w:w="1188"/>
              <w:gridCol w:w="2610"/>
              <w:gridCol w:w="2070"/>
              <w:gridCol w:w="1080"/>
            </w:tblGrid>
            <w:tr w:rsidR="00C813D4" w:rsidRPr="001D7267" w:rsidTr="00251489">
              <w:tc>
                <w:tcPr>
                  <w:tcW w:w="1188" w:type="dxa"/>
                </w:tcPr>
                <w:p w:rsidR="00C813D4" w:rsidRPr="001D7267" w:rsidRDefault="00C813D4"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Variables</w:t>
                  </w:r>
                </w:p>
              </w:tc>
              <w:tc>
                <w:tcPr>
                  <w:tcW w:w="2610" w:type="dxa"/>
                </w:tcPr>
                <w:p w:rsidR="00C813D4" w:rsidRPr="001D7267" w:rsidRDefault="00C813D4" w:rsidP="00251489">
                  <w:pPr>
                    <w:suppressAutoHyphens/>
                    <w:spacing w:line="360" w:lineRule="auto"/>
                    <w:ind w:left="72"/>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Early Fibrosis (n=112)</w:t>
                  </w:r>
                </w:p>
              </w:tc>
              <w:tc>
                <w:tcPr>
                  <w:tcW w:w="2070" w:type="dxa"/>
                </w:tcPr>
                <w:p w:rsidR="00C813D4" w:rsidRPr="001D7267" w:rsidRDefault="00C813D4"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Late Fibrosis</w:t>
                  </w:r>
                </w:p>
                <w:p w:rsidR="00C813D4" w:rsidRPr="001D7267" w:rsidRDefault="00C813D4"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(n=96)</w:t>
                  </w:r>
                </w:p>
              </w:tc>
              <w:tc>
                <w:tcPr>
                  <w:tcW w:w="1080" w:type="dxa"/>
                </w:tcPr>
                <w:p w:rsidR="00C813D4" w:rsidRPr="001D7267" w:rsidRDefault="00C813D4" w:rsidP="00251489">
                  <w:pPr>
                    <w:suppressAutoHyphens/>
                    <w:spacing w:line="360" w:lineRule="auto"/>
                    <w:ind w:hanging="18"/>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i/>
                      <w:iCs/>
                      <w:color w:val="FF0000"/>
                      <w:kern w:val="1"/>
                      <w:sz w:val="20"/>
                      <w:szCs w:val="20"/>
                      <w:lang w:eastAsia="hi-IN" w:bidi="hi-IN"/>
                    </w:rPr>
                    <w:t>P</w:t>
                  </w:r>
                  <w:r w:rsidRPr="001D7267">
                    <w:rPr>
                      <w:rFonts w:asciiTheme="majorBidi" w:eastAsia="Liberation Sans" w:hAnsiTheme="majorBidi" w:cstheme="majorBidi"/>
                      <w:b/>
                      <w:bCs/>
                      <w:color w:val="FF0000"/>
                      <w:kern w:val="1"/>
                      <w:sz w:val="20"/>
                      <w:szCs w:val="20"/>
                      <w:lang w:eastAsia="hi-IN" w:bidi="hi-IN"/>
                    </w:rPr>
                    <w:t xml:space="preserve"> value</w:t>
                  </w:r>
                </w:p>
              </w:tc>
            </w:tr>
            <w:tr w:rsidR="00C813D4" w:rsidRPr="001D7267" w:rsidTr="00251489">
              <w:tc>
                <w:tcPr>
                  <w:tcW w:w="1188" w:type="dxa"/>
                </w:tcPr>
                <w:p w:rsidR="00C813D4" w:rsidRPr="001D7267" w:rsidRDefault="00C813D4"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w:t>
                  </w:r>
                </w:p>
              </w:tc>
              <w:tc>
                <w:tcPr>
                  <w:tcW w:w="2610" w:type="dxa"/>
                </w:tcPr>
                <w:p w:rsidR="00C813D4" w:rsidRPr="001D7267" w:rsidRDefault="00C813D4"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1.5±0.2(1-1.9)</w:t>
                  </w:r>
                </w:p>
              </w:tc>
              <w:tc>
                <w:tcPr>
                  <w:tcW w:w="2070" w:type="dxa"/>
                </w:tcPr>
                <w:p w:rsidR="00C813D4" w:rsidRPr="001D7267" w:rsidRDefault="00C813D4"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1.25±0.17(0.9-1.5)</w:t>
                  </w:r>
                </w:p>
              </w:tc>
              <w:tc>
                <w:tcPr>
                  <w:tcW w:w="1080" w:type="dxa"/>
                </w:tcPr>
                <w:p w:rsidR="00C813D4" w:rsidRPr="001D7267" w:rsidRDefault="00C813D4"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C813D4" w:rsidRPr="001D7267" w:rsidTr="00251489">
              <w:tc>
                <w:tcPr>
                  <w:tcW w:w="1188" w:type="dxa"/>
                </w:tcPr>
                <w:p w:rsidR="00C813D4" w:rsidRPr="001D7267" w:rsidRDefault="00C813D4"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miR-200</w:t>
                  </w:r>
                </w:p>
              </w:tc>
              <w:tc>
                <w:tcPr>
                  <w:tcW w:w="2610" w:type="dxa"/>
                </w:tcPr>
                <w:p w:rsidR="00C813D4" w:rsidRPr="001D7267" w:rsidRDefault="00C813D4"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3.43±1.71(1.0-1.4)</w:t>
                  </w:r>
                </w:p>
              </w:tc>
              <w:tc>
                <w:tcPr>
                  <w:tcW w:w="2070" w:type="dxa"/>
                </w:tcPr>
                <w:p w:rsidR="00C813D4" w:rsidRPr="001D7267" w:rsidRDefault="00C813D4"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10.17±4.81 (1-28.4)</w:t>
                  </w:r>
                </w:p>
              </w:tc>
              <w:tc>
                <w:tcPr>
                  <w:tcW w:w="1080" w:type="dxa"/>
                </w:tcPr>
                <w:p w:rsidR="00C813D4" w:rsidRPr="001D7267" w:rsidRDefault="00C813D4"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C813D4" w:rsidRPr="001D7267" w:rsidTr="00251489">
              <w:tc>
                <w:tcPr>
                  <w:tcW w:w="1188" w:type="dxa"/>
                </w:tcPr>
                <w:p w:rsidR="00C813D4" w:rsidRPr="001D7267" w:rsidRDefault="00C813D4"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miR-21</w:t>
                  </w:r>
                </w:p>
              </w:tc>
              <w:tc>
                <w:tcPr>
                  <w:tcW w:w="2610" w:type="dxa"/>
                </w:tcPr>
                <w:p w:rsidR="00C813D4" w:rsidRPr="001D7267" w:rsidRDefault="00C813D4"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1.9±0.7 (1.0-4.2)</w:t>
                  </w:r>
                </w:p>
              </w:tc>
              <w:tc>
                <w:tcPr>
                  <w:tcW w:w="2070" w:type="dxa"/>
                </w:tcPr>
                <w:p w:rsidR="00C813D4" w:rsidRPr="001D7267" w:rsidRDefault="00C813D4"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3.6±1.17 (1.0-6.34)</w:t>
                  </w:r>
                </w:p>
              </w:tc>
              <w:tc>
                <w:tcPr>
                  <w:tcW w:w="1080" w:type="dxa"/>
                </w:tcPr>
                <w:p w:rsidR="00C813D4" w:rsidRPr="001D7267" w:rsidRDefault="00C813D4"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r w:rsidR="00C813D4" w:rsidRPr="001D7267" w:rsidTr="00251489">
              <w:tc>
                <w:tcPr>
                  <w:tcW w:w="1188" w:type="dxa"/>
                </w:tcPr>
                <w:p w:rsidR="00C813D4" w:rsidRPr="001D7267" w:rsidRDefault="00C813D4" w:rsidP="00251489">
                  <w:pPr>
                    <w:suppressAutoHyphens/>
                    <w:spacing w:line="360" w:lineRule="auto"/>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miR-29</w:t>
                  </w:r>
                </w:p>
              </w:tc>
              <w:tc>
                <w:tcPr>
                  <w:tcW w:w="2610" w:type="dxa"/>
                </w:tcPr>
                <w:p w:rsidR="00C813D4" w:rsidRPr="001D7267" w:rsidRDefault="00C813D4"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0.7±0.18(0.12-1.00)</w:t>
                  </w:r>
                </w:p>
              </w:tc>
              <w:tc>
                <w:tcPr>
                  <w:tcW w:w="2070" w:type="dxa"/>
                </w:tcPr>
                <w:p w:rsidR="00C813D4" w:rsidRPr="001D7267" w:rsidRDefault="00C813D4"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0.4±0.2(0.07-1.0)</w:t>
                  </w:r>
                </w:p>
              </w:tc>
              <w:tc>
                <w:tcPr>
                  <w:tcW w:w="1080" w:type="dxa"/>
                </w:tcPr>
                <w:p w:rsidR="00C813D4" w:rsidRPr="001D7267" w:rsidRDefault="00C813D4"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0.001</w:t>
                  </w:r>
                </w:p>
              </w:tc>
            </w:tr>
          </w:tbl>
          <w:p w:rsidR="00C813D4" w:rsidRPr="001D7267" w:rsidRDefault="00C813D4">
            <w:pPr>
              <w:ind w:left="120"/>
              <w:rPr>
                <w:rFonts w:asciiTheme="majorBidi" w:eastAsia="Times New Roman" w:hAnsiTheme="majorBidi" w:cstheme="majorBidi"/>
                <w:i/>
                <w:iCs/>
                <w:color w:val="FF0000"/>
                <w:sz w:val="20"/>
                <w:szCs w:val="20"/>
              </w:rPr>
            </w:pPr>
          </w:p>
          <w:p w:rsidR="00637A39" w:rsidRPr="00637A39" w:rsidRDefault="00637A39" w:rsidP="00637A39">
            <w:pPr>
              <w:suppressAutoHyphens/>
              <w:ind w:left="50"/>
              <w:jc w:val="both"/>
              <w:rPr>
                <w:rFonts w:asciiTheme="majorBidi" w:eastAsia="Times New Roman" w:hAnsiTheme="majorBidi" w:cstheme="majorBidi"/>
                <w:b/>
                <w:bCs/>
                <w:color w:val="FF0000"/>
                <w:kern w:val="1"/>
                <w:sz w:val="20"/>
                <w:szCs w:val="20"/>
                <w:lang w:eastAsia="hi-IN" w:bidi="hi-IN"/>
              </w:rPr>
            </w:pPr>
            <w:r w:rsidRPr="00637A39">
              <w:rPr>
                <w:rFonts w:asciiTheme="majorBidi" w:eastAsia="Times New Roman" w:hAnsiTheme="majorBidi" w:cstheme="majorBidi"/>
                <w:b/>
                <w:bCs/>
                <w:color w:val="FF0000"/>
                <w:kern w:val="1"/>
                <w:sz w:val="20"/>
                <w:szCs w:val="20"/>
                <w:lang w:eastAsia="hi-IN" w:bidi="hi-IN"/>
              </w:rPr>
              <w:t xml:space="preserve">Table (5):  The cut-off values of ADC, </w:t>
            </w:r>
            <w:proofErr w:type="spellStart"/>
            <w:r w:rsidRPr="00637A39">
              <w:rPr>
                <w:rFonts w:asciiTheme="majorBidi" w:eastAsia="Times New Roman" w:hAnsiTheme="majorBidi" w:cstheme="majorBidi"/>
                <w:b/>
                <w:bCs/>
                <w:color w:val="FF0000"/>
                <w:kern w:val="1"/>
                <w:sz w:val="20"/>
                <w:szCs w:val="20"/>
                <w:lang w:eastAsia="hi-IN" w:bidi="hi-IN"/>
              </w:rPr>
              <w:t>miR</w:t>
            </w:r>
            <w:proofErr w:type="spellEnd"/>
            <w:r w:rsidRPr="00637A39">
              <w:rPr>
                <w:rFonts w:asciiTheme="majorBidi" w:eastAsia="Times New Roman" w:hAnsiTheme="majorBidi" w:cstheme="majorBidi"/>
                <w:b/>
                <w:bCs/>
                <w:color w:val="FF0000"/>
                <w:kern w:val="1"/>
                <w:sz w:val="20"/>
                <w:szCs w:val="20"/>
                <w:lang w:eastAsia="hi-IN" w:bidi="hi-IN"/>
              </w:rPr>
              <w:t xml:space="preserve"> used to differentiate early from late fibrosis with area under the curve, sensitivity, specificity &amp; accuracy</w:t>
            </w:r>
          </w:p>
          <w:p w:rsidR="00637A39" w:rsidRPr="001D7267" w:rsidRDefault="00637A39">
            <w:pPr>
              <w:ind w:left="120"/>
              <w:rPr>
                <w:rFonts w:asciiTheme="majorBidi" w:eastAsia="Times New Roman" w:hAnsiTheme="majorBidi" w:cstheme="majorBidi"/>
                <w:i/>
                <w:iCs/>
                <w:color w:val="FF0000"/>
                <w:sz w:val="20"/>
                <w:szCs w:val="20"/>
              </w:rPr>
            </w:pPr>
          </w:p>
          <w:tbl>
            <w:tblPr>
              <w:tblStyle w:val="TableGrid1"/>
              <w:tblW w:w="8028" w:type="dxa"/>
              <w:tblLayout w:type="fixed"/>
              <w:tblLook w:val="04A0" w:firstRow="1" w:lastRow="0" w:firstColumn="1" w:lastColumn="0" w:noHBand="0" w:noVBand="1"/>
            </w:tblPr>
            <w:tblGrid>
              <w:gridCol w:w="1818"/>
              <w:gridCol w:w="900"/>
              <w:gridCol w:w="1440"/>
              <w:gridCol w:w="1350"/>
              <w:gridCol w:w="1260"/>
              <w:gridCol w:w="1260"/>
            </w:tblGrid>
            <w:tr w:rsidR="00637A39" w:rsidRPr="001D7267" w:rsidTr="00251489">
              <w:trPr>
                <w:trHeight w:val="269"/>
              </w:trPr>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Parameter</w:t>
                  </w:r>
                </w:p>
              </w:tc>
              <w:tc>
                <w:tcPr>
                  <w:tcW w:w="900" w:type="dxa"/>
                </w:tcPr>
                <w:p w:rsidR="00637A39" w:rsidRPr="001D7267" w:rsidRDefault="00637A39"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AUC</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Cut-off point</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Sensitivity</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Specificity</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Accuracy</w:t>
                  </w:r>
                </w:p>
              </w:tc>
            </w:tr>
            <w:tr w:rsidR="00637A39" w:rsidRPr="001D7267" w:rsidTr="00251489">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w:t>
                  </w:r>
                </w:p>
              </w:tc>
              <w:tc>
                <w:tcPr>
                  <w:tcW w:w="900" w:type="dxa"/>
                </w:tcPr>
                <w:p w:rsidR="00637A39" w:rsidRPr="001D7267" w:rsidRDefault="00637A39" w:rsidP="00251489">
                  <w:pPr>
                    <w:suppressAutoHyphens/>
                    <w:spacing w:line="360" w:lineRule="auto"/>
                    <w:ind w:left="325" w:hanging="371"/>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0.866</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1.53</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99%</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67%</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81.7%</w:t>
                  </w:r>
                </w:p>
              </w:tc>
            </w:tr>
            <w:tr w:rsidR="00637A39" w:rsidRPr="001D7267" w:rsidTr="00251489">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miR-200</w:t>
                  </w:r>
                </w:p>
              </w:tc>
              <w:tc>
                <w:tcPr>
                  <w:tcW w:w="900" w:type="dxa"/>
                </w:tcPr>
                <w:p w:rsidR="00637A39" w:rsidRPr="001D7267" w:rsidRDefault="00637A39" w:rsidP="00251489">
                  <w:pPr>
                    <w:suppressAutoHyphens/>
                    <w:spacing w:line="360" w:lineRule="auto"/>
                    <w:ind w:firstLine="37"/>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0.888</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3.55</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90.6%</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59.5%</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73.5%</w:t>
                  </w:r>
                </w:p>
              </w:tc>
            </w:tr>
            <w:tr w:rsidR="00637A39" w:rsidRPr="001D7267" w:rsidTr="00251489">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miR-21</w:t>
                  </w:r>
                </w:p>
              </w:tc>
              <w:tc>
                <w:tcPr>
                  <w:tcW w:w="90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0.877</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2.38</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91.7%</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70.3%</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80.2%</w:t>
                  </w:r>
                </w:p>
              </w:tc>
            </w:tr>
            <w:tr w:rsidR="00637A39" w:rsidRPr="001D7267" w:rsidTr="00251489">
              <w:trPr>
                <w:trHeight w:val="108"/>
              </w:trPr>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miR-29</w:t>
                  </w:r>
                </w:p>
              </w:tc>
              <w:tc>
                <w:tcPr>
                  <w:tcW w:w="90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0.832</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0.70</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87.5%</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60.7%</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73%</w:t>
                  </w:r>
                </w:p>
              </w:tc>
            </w:tr>
            <w:tr w:rsidR="00637A39" w:rsidRPr="001D7267" w:rsidTr="00251489">
              <w:trPr>
                <w:trHeight w:val="108"/>
              </w:trPr>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miR-200</w:t>
                  </w:r>
                </w:p>
              </w:tc>
              <w:tc>
                <w:tcPr>
                  <w:tcW w:w="90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0.925</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71.7%</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97.2%</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80.2%</w:t>
                  </w:r>
                </w:p>
              </w:tc>
            </w:tr>
            <w:tr w:rsidR="00637A39" w:rsidRPr="001D7267" w:rsidTr="00251489">
              <w:trPr>
                <w:trHeight w:val="108"/>
              </w:trPr>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miR-21</w:t>
                  </w:r>
                </w:p>
              </w:tc>
              <w:tc>
                <w:tcPr>
                  <w:tcW w:w="90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0.88</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72.3%</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97.5%</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83.2%</w:t>
                  </w:r>
                </w:p>
              </w:tc>
            </w:tr>
            <w:tr w:rsidR="00637A39" w:rsidRPr="001D7267" w:rsidTr="00251489">
              <w:trPr>
                <w:trHeight w:val="108"/>
              </w:trPr>
              <w:tc>
                <w:tcPr>
                  <w:tcW w:w="1818" w:type="dxa"/>
                </w:tcPr>
                <w:p w:rsidR="00637A39" w:rsidRPr="001D7267" w:rsidRDefault="00637A39" w:rsidP="00251489">
                  <w:pPr>
                    <w:suppressAutoHyphens/>
                    <w:spacing w:line="360" w:lineRule="auto"/>
                    <w:jc w:val="both"/>
                    <w:rPr>
                      <w:rFonts w:asciiTheme="majorBidi" w:eastAsia="Liberation Sans" w:hAnsiTheme="majorBidi" w:cstheme="majorBidi"/>
                      <w:b/>
                      <w:bCs/>
                      <w:color w:val="FF0000"/>
                      <w:kern w:val="1"/>
                      <w:sz w:val="20"/>
                      <w:szCs w:val="20"/>
                      <w:lang w:eastAsia="hi-IN" w:bidi="hi-IN"/>
                    </w:rPr>
                  </w:pPr>
                  <w:r w:rsidRPr="001D7267">
                    <w:rPr>
                      <w:rFonts w:asciiTheme="majorBidi" w:eastAsia="Liberation Sans" w:hAnsiTheme="majorBidi" w:cstheme="majorBidi"/>
                      <w:b/>
                      <w:bCs/>
                      <w:color w:val="FF0000"/>
                      <w:kern w:val="1"/>
                      <w:sz w:val="20"/>
                      <w:szCs w:val="20"/>
                      <w:lang w:eastAsia="hi-IN" w:bidi="hi-IN"/>
                    </w:rPr>
                    <w:t>ADC &amp; miR-29</w:t>
                  </w:r>
                </w:p>
              </w:tc>
              <w:tc>
                <w:tcPr>
                  <w:tcW w:w="90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0.879</w:t>
                  </w:r>
                </w:p>
              </w:tc>
              <w:tc>
                <w:tcPr>
                  <w:tcW w:w="144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w:t>
                  </w:r>
                </w:p>
              </w:tc>
              <w:tc>
                <w:tcPr>
                  <w:tcW w:w="1350" w:type="dxa"/>
                </w:tcPr>
                <w:p w:rsidR="00637A39" w:rsidRPr="001D7267" w:rsidRDefault="00637A39" w:rsidP="00251489">
                  <w:pPr>
                    <w:suppressAutoHyphens/>
                    <w:spacing w:line="360" w:lineRule="auto"/>
                    <w:ind w:hanging="18"/>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74%</w:t>
                  </w:r>
                </w:p>
              </w:tc>
              <w:tc>
                <w:tcPr>
                  <w:tcW w:w="1260" w:type="dxa"/>
                </w:tcPr>
                <w:p w:rsidR="00637A39" w:rsidRPr="001D7267" w:rsidRDefault="00637A39" w:rsidP="00251489">
                  <w:pPr>
                    <w:suppressAutoHyphens/>
                    <w:spacing w:line="360" w:lineRule="auto"/>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96.5%</w:t>
                  </w:r>
                </w:p>
              </w:tc>
              <w:tc>
                <w:tcPr>
                  <w:tcW w:w="1260" w:type="dxa"/>
                </w:tcPr>
                <w:p w:rsidR="00637A39" w:rsidRPr="001D7267" w:rsidRDefault="00637A39" w:rsidP="00251489">
                  <w:pPr>
                    <w:suppressAutoHyphens/>
                    <w:spacing w:line="360" w:lineRule="auto"/>
                    <w:ind w:left="72"/>
                    <w:jc w:val="center"/>
                    <w:rPr>
                      <w:rFonts w:asciiTheme="majorBidi" w:eastAsia="Liberation Sans" w:hAnsiTheme="majorBidi" w:cstheme="majorBidi"/>
                      <w:color w:val="FF0000"/>
                      <w:kern w:val="1"/>
                      <w:sz w:val="20"/>
                      <w:szCs w:val="20"/>
                      <w:lang w:eastAsia="hi-IN" w:bidi="hi-IN"/>
                    </w:rPr>
                  </w:pPr>
                  <w:r w:rsidRPr="001D7267">
                    <w:rPr>
                      <w:rFonts w:asciiTheme="majorBidi" w:eastAsia="Liberation Sans" w:hAnsiTheme="majorBidi" w:cstheme="majorBidi"/>
                      <w:color w:val="FF0000"/>
                      <w:kern w:val="1"/>
                      <w:sz w:val="20"/>
                      <w:szCs w:val="20"/>
                      <w:lang w:eastAsia="hi-IN" w:bidi="hi-IN"/>
                    </w:rPr>
                    <w:t>85.1%</w:t>
                  </w:r>
                </w:p>
              </w:tc>
            </w:tr>
          </w:tbl>
          <w:p w:rsidR="00637A39" w:rsidRPr="001D7267" w:rsidRDefault="00637A39">
            <w:pPr>
              <w:ind w:left="120"/>
              <w:rPr>
                <w:rFonts w:asciiTheme="majorBidi" w:eastAsia="Times New Roman" w:hAnsiTheme="majorBidi" w:cstheme="majorBidi"/>
                <w:i/>
                <w:iCs/>
                <w:color w:val="FF0000"/>
                <w:sz w:val="20"/>
                <w:szCs w:val="20"/>
              </w:rPr>
            </w:pPr>
          </w:p>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i/>
                <w:iCs/>
                <w:sz w:val="20"/>
                <w:szCs w:val="20"/>
              </w:rPr>
              <w:t>Cross-sectional study—</w:t>
            </w:r>
            <w:r w:rsidRPr="001D7267">
              <w:rPr>
                <w:rFonts w:asciiTheme="majorBidi" w:eastAsia="Times New Roman" w:hAnsiTheme="majorBidi" w:cstheme="majorBidi"/>
                <w:sz w:val="20"/>
                <w:szCs w:val="20"/>
              </w:rPr>
              <w:t>Report numbers of outcome events or summary measures</w:t>
            </w:r>
          </w:p>
        </w:tc>
      </w:tr>
      <w:tr w:rsidR="004319D0" w:rsidRPr="001D7267">
        <w:trPr>
          <w:trHeight w:val="281"/>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lastRenderedPageBreak/>
              <w:t>Main results</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16</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a</w:t>
            </w:r>
            <w:r w:rsidRPr="001D7267">
              <w:rPr>
                <w:rFonts w:asciiTheme="majorBidi" w:eastAsia="Times New Roman" w:hAnsiTheme="majorBidi" w:cstheme="majorBidi"/>
                <w:sz w:val="20"/>
                <w:szCs w:val="20"/>
              </w:rPr>
              <w:t>) Give unadjusted estimates and, if applicable, confounder-adjusted estimates and their</w:t>
            </w:r>
          </w:p>
        </w:tc>
      </w:tr>
      <w:tr w:rsidR="004319D0" w:rsidRPr="001D7267">
        <w:trPr>
          <w:trHeight w:val="300"/>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vAlign w:val="bottom"/>
          </w:tcPr>
          <w:p w:rsidR="004319D0" w:rsidRPr="001D7267" w:rsidRDefault="00CC5D84">
            <w:pPr>
              <w:ind w:left="120"/>
              <w:rPr>
                <w:rFonts w:asciiTheme="majorBidi" w:hAnsiTheme="majorBidi" w:cstheme="majorBidi"/>
                <w:sz w:val="20"/>
                <w:szCs w:val="20"/>
              </w:rPr>
            </w:pPr>
            <w:proofErr w:type="gramStart"/>
            <w:r w:rsidRPr="001D7267">
              <w:rPr>
                <w:rFonts w:asciiTheme="majorBidi" w:eastAsia="Times New Roman" w:hAnsiTheme="majorBidi" w:cstheme="majorBidi"/>
                <w:sz w:val="20"/>
                <w:szCs w:val="20"/>
              </w:rPr>
              <w:t>precision</w:t>
            </w:r>
            <w:proofErr w:type="gramEnd"/>
            <w:r w:rsidRPr="001D7267">
              <w:rPr>
                <w:rFonts w:asciiTheme="majorBidi" w:eastAsia="Times New Roman" w:hAnsiTheme="majorBidi" w:cstheme="majorBidi"/>
                <w:sz w:val="20"/>
                <w:szCs w:val="20"/>
              </w:rPr>
              <w:t xml:space="preserve"> (eg, 95% confidence interval). Make clear which confounders were adjusted for and</w:t>
            </w:r>
          </w:p>
        </w:tc>
      </w:tr>
      <w:tr w:rsidR="004319D0" w:rsidRPr="001D7267">
        <w:trPr>
          <w:trHeight w:val="309"/>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why they were included</w:t>
            </w:r>
          </w:p>
        </w:tc>
      </w:tr>
      <w:tr w:rsidR="004319D0" w:rsidRPr="001D7267">
        <w:trPr>
          <w:trHeight w:val="290"/>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b</w:t>
            </w:r>
            <w:r w:rsidRPr="001D7267">
              <w:rPr>
                <w:rFonts w:asciiTheme="majorBidi" w:eastAsia="Times New Roman" w:hAnsiTheme="majorBidi" w:cstheme="majorBidi"/>
                <w:sz w:val="20"/>
                <w:szCs w:val="20"/>
              </w:rPr>
              <w:t>) Report category boundaries when continuous variables were categorized</w:t>
            </w:r>
          </w:p>
        </w:tc>
      </w:tr>
      <w:tr w:rsidR="004319D0" w:rsidRPr="001D7267">
        <w:trPr>
          <w:trHeight w:val="281"/>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w:t>
            </w:r>
            <w:r w:rsidRPr="001D7267">
              <w:rPr>
                <w:rFonts w:asciiTheme="majorBidi" w:eastAsia="Times New Roman" w:hAnsiTheme="majorBidi" w:cstheme="majorBidi"/>
                <w:i/>
                <w:iCs/>
                <w:sz w:val="20"/>
                <w:szCs w:val="20"/>
              </w:rPr>
              <w:t>c</w:t>
            </w:r>
            <w:r w:rsidRPr="001D7267">
              <w:rPr>
                <w:rFonts w:asciiTheme="majorBidi" w:eastAsia="Times New Roman" w:hAnsiTheme="majorBidi" w:cstheme="majorBidi"/>
                <w:sz w:val="20"/>
                <w:szCs w:val="20"/>
              </w:rPr>
              <w:t>) If relevant, consider translating estimates of relative risk into absolute risk for a meaningful</w:t>
            </w:r>
          </w:p>
        </w:tc>
      </w:tr>
      <w:tr w:rsidR="004319D0" w:rsidRPr="001D7267">
        <w:trPr>
          <w:trHeight w:val="309"/>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time period</w:t>
            </w:r>
          </w:p>
        </w:tc>
      </w:tr>
      <w:tr w:rsidR="004319D0" w:rsidRPr="001D7267">
        <w:trPr>
          <w:trHeight w:val="281"/>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Other analyses</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17</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Report other analyses done—eg analyses of subgroups and interactions, and sensitivity</w:t>
            </w:r>
          </w:p>
        </w:tc>
      </w:tr>
      <w:tr w:rsidR="004319D0" w:rsidRPr="001D7267">
        <w:trPr>
          <w:trHeight w:val="309"/>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analyses</w:t>
            </w:r>
          </w:p>
        </w:tc>
      </w:tr>
      <w:tr w:rsidR="004319D0" w:rsidRPr="001D7267">
        <w:trPr>
          <w:trHeight w:val="348"/>
        </w:trPr>
        <w:tc>
          <w:tcPr>
            <w:tcW w:w="15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Discussion</w:t>
            </w: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4319D0">
            <w:pPr>
              <w:rPr>
                <w:rFonts w:asciiTheme="majorBidi" w:hAnsiTheme="majorBidi" w:cstheme="majorBidi"/>
                <w:sz w:val="20"/>
                <w:szCs w:val="20"/>
              </w:rPr>
            </w:pPr>
          </w:p>
        </w:tc>
      </w:tr>
      <w:tr w:rsidR="004319D0" w:rsidRPr="001D7267">
        <w:trPr>
          <w:trHeight w:val="284"/>
        </w:trPr>
        <w:tc>
          <w:tcPr>
            <w:tcW w:w="15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Key results</w:t>
            </w:r>
          </w:p>
        </w:tc>
        <w:tc>
          <w:tcPr>
            <w:tcW w:w="52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18</w:t>
            </w:r>
          </w:p>
        </w:tc>
        <w:tc>
          <w:tcPr>
            <w:tcW w:w="7840" w:type="dxa"/>
            <w:tcBorders>
              <w:bottom w:val="single" w:sz="8" w:space="0" w:color="auto"/>
            </w:tcBorders>
            <w:vAlign w:val="bottom"/>
          </w:tcPr>
          <w:p w:rsidR="004319D0" w:rsidRPr="001D7267" w:rsidRDefault="00CC5D84">
            <w:pPr>
              <w:ind w:left="12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Summarise key results with reference to study objectives</w:t>
            </w:r>
          </w:p>
          <w:p w:rsidR="00F96DD0" w:rsidRPr="001D7267" w:rsidRDefault="00F96DD0" w:rsidP="00F96DD0">
            <w:pPr>
              <w:suppressAutoHyphens/>
              <w:autoSpaceDE w:val="0"/>
              <w:autoSpaceDN w:val="0"/>
              <w:adjustRightInd w:val="0"/>
              <w:ind w:left="90"/>
              <w:jc w:val="both"/>
              <w:rPr>
                <w:rFonts w:asciiTheme="majorBidi" w:hAnsiTheme="majorBidi" w:cstheme="majorBidi"/>
                <w:sz w:val="20"/>
                <w:szCs w:val="20"/>
              </w:rPr>
            </w:pPr>
            <w:r w:rsidRPr="001D7267">
              <w:rPr>
                <w:rFonts w:asciiTheme="majorBidi" w:hAnsiTheme="majorBidi" w:cstheme="majorBidi"/>
                <w:color w:val="FF0000"/>
                <w:sz w:val="20"/>
                <w:szCs w:val="20"/>
              </w:rPr>
              <w:t>This study aimed to evaluate diffusion-weighted MR imaging (DWI) and micro-RNAs (</w:t>
            </w:r>
            <w:proofErr w:type="spellStart"/>
            <w:r w:rsidRPr="001D7267">
              <w:rPr>
                <w:rFonts w:asciiTheme="majorBidi" w:hAnsiTheme="majorBidi" w:cstheme="majorBidi"/>
                <w:color w:val="FF0000"/>
                <w:sz w:val="20"/>
                <w:szCs w:val="20"/>
              </w:rPr>
              <w:t>miR</w:t>
            </w:r>
            <w:proofErr w:type="spellEnd"/>
            <w:r w:rsidRPr="001D7267">
              <w:rPr>
                <w:rFonts w:asciiTheme="majorBidi" w:hAnsiTheme="majorBidi" w:cstheme="majorBidi"/>
                <w:color w:val="FF0000"/>
                <w:sz w:val="20"/>
                <w:szCs w:val="20"/>
              </w:rPr>
              <w:t xml:space="preserve">) in diagnosis and staging of hepatic </w:t>
            </w:r>
            <w:r w:rsidRPr="001D7267">
              <w:rPr>
                <w:rFonts w:asciiTheme="majorBidi" w:eastAsia="Times New Roman" w:hAnsiTheme="majorBidi" w:cstheme="majorBidi"/>
                <w:color w:val="FF0000"/>
                <w:sz w:val="20"/>
                <w:szCs w:val="20"/>
              </w:rPr>
              <w:t>fibrosis in patients with chronic hepatitis C.</w:t>
            </w:r>
            <w:r w:rsidRPr="001D7267">
              <w:rPr>
                <w:rFonts w:asciiTheme="majorBidi" w:eastAsia="Times New Roman" w:hAnsiTheme="majorBidi" w:cstheme="majorBidi"/>
                <w:b/>
                <w:bCs/>
                <w:color w:val="FF0000"/>
                <w:sz w:val="20"/>
                <w:szCs w:val="20"/>
              </w:rPr>
              <w:t xml:space="preserve"> </w:t>
            </w:r>
            <w:r w:rsidRPr="001D7267">
              <w:rPr>
                <w:rFonts w:asciiTheme="majorBidi" w:eastAsia="Times New Roman" w:hAnsiTheme="majorBidi" w:cstheme="majorBidi"/>
                <w:color w:val="FF0000"/>
                <w:sz w:val="20"/>
                <w:szCs w:val="20"/>
              </w:rPr>
              <w:t>T</w:t>
            </w:r>
            <w:r w:rsidRPr="0042368C">
              <w:rPr>
                <w:rFonts w:asciiTheme="majorBidi" w:eastAsia="Times New Roman" w:hAnsiTheme="majorBidi" w:cstheme="majorBidi"/>
                <w:color w:val="FF0000"/>
                <w:sz w:val="20"/>
                <w:szCs w:val="20"/>
              </w:rPr>
              <w:t xml:space="preserve">he ADC value </w:t>
            </w:r>
            <w:r w:rsidRPr="001D7267">
              <w:rPr>
                <w:rFonts w:asciiTheme="majorBidi" w:eastAsia="Times New Roman" w:hAnsiTheme="majorBidi" w:cstheme="majorBidi"/>
                <w:color w:val="FF0000"/>
                <w:sz w:val="20"/>
                <w:szCs w:val="20"/>
              </w:rPr>
              <w:t>was</w:t>
            </w:r>
            <w:r w:rsidRPr="0042368C">
              <w:rPr>
                <w:rFonts w:asciiTheme="majorBidi" w:eastAsia="Times New Roman" w:hAnsiTheme="majorBidi" w:cstheme="majorBidi"/>
                <w:color w:val="FF0000"/>
                <w:sz w:val="20"/>
                <w:szCs w:val="20"/>
              </w:rPr>
              <w:t xml:space="preserve"> decreased significantly from controls, patients with early fibrosis and those with late fibrosis, combined ADC and miR-200 is the best predictor for differentiating patients from controls with accuracy (96.9%) and combined ADC and miR-200 is the best predictor for differentiating early fibrosis from late fibrosis with accuracy (80.2%)</w:t>
            </w:r>
            <w:r w:rsidRPr="0042368C">
              <w:rPr>
                <w:rFonts w:asciiTheme="majorBidi" w:eastAsiaTheme="minorHAnsi" w:hAnsiTheme="majorBidi" w:cstheme="majorBidi"/>
                <w:color w:val="FF0000"/>
                <w:sz w:val="20"/>
                <w:szCs w:val="20"/>
              </w:rPr>
              <w:t xml:space="preserve">. </w:t>
            </w:r>
            <w:r w:rsidRPr="0042368C">
              <w:rPr>
                <w:rFonts w:asciiTheme="majorBidi" w:eastAsiaTheme="minorHAnsi" w:hAnsiTheme="majorBidi" w:cstheme="majorBidi"/>
                <w:color w:val="000000" w:themeColor="text1"/>
                <w:sz w:val="20"/>
                <w:szCs w:val="20"/>
              </w:rPr>
              <w:t xml:space="preserve"> </w:t>
            </w:r>
          </w:p>
        </w:tc>
      </w:tr>
      <w:tr w:rsidR="004319D0" w:rsidRPr="001D7267">
        <w:trPr>
          <w:trHeight w:val="281"/>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Limitations</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19</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Discuss limitations of the study, taking into account sources of potential bias or imprecision.</w:t>
            </w:r>
          </w:p>
        </w:tc>
      </w:tr>
      <w:tr w:rsidR="004319D0" w:rsidRPr="001D7267">
        <w:trPr>
          <w:trHeight w:val="309"/>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eastAsia="Times New Roman" w:hAnsiTheme="majorBidi" w:cstheme="majorBidi"/>
                <w:sz w:val="20"/>
                <w:szCs w:val="20"/>
              </w:rPr>
            </w:pPr>
            <w:r w:rsidRPr="001D7267">
              <w:rPr>
                <w:rFonts w:asciiTheme="majorBidi" w:eastAsia="Times New Roman" w:hAnsiTheme="majorBidi" w:cstheme="majorBidi"/>
                <w:sz w:val="20"/>
                <w:szCs w:val="20"/>
              </w:rPr>
              <w:t>Discuss both direction and magnitude of any potential bias</w:t>
            </w:r>
          </w:p>
          <w:p w:rsidR="00C7792F" w:rsidRPr="001D7267" w:rsidRDefault="00C7792F" w:rsidP="00D83D6E">
            <w:pPr>
              <w:suppressAutoHyphens/>
              <w:autoSpaceDE w:val="0"/>
              <w:autoSpaceDN w:val="0"/>
              <w:adjustRightInd w:val="0"/>
              <w:ind w:left="140"/>
              <w:jc w:val="both"/>
              <w:rPr>
                <w:rFonts w:asciiTheme="majorBidi" w:hAnsiTheme="majorBidi" w:cstheme="majorBidi"/>
                <w:sz w:val="20"/>
                <w:szCs w:val="20"/>
              </w:rPr>
            </w:pPr>
            <w:r w:rsidRPr="00725B01">
              <w:rPr>
                <w:rFonts w:asciiTheme="majorBidi" w:eastAsia="Times New Roman" w:hAnsiTheme="majorBidi" w:cstheme="majorBidi"/>
                <w:color w:val="FF0000"/>
                <w:sz w:val="20"/>
                <w:szCs w:val="20"/>
              </w:rPr>
              <w:t xml:space="preserve">Few limitations are reported in the current study. The first, there is small number of patients that limits the statistical power. </w:t>
            </w:r>
            <w:r w:rsidR="008A2A3C" w:rsidRPr="001D7267">
              <w:rPr>
                <w:rFonts w:asciiTheme="majorBidi" w:hAnsiTheme="majorBidi" w:cstheme="majorBidi"/>
                <w:color w:val="FF0000"/>
                <w:sz w:val="20"/>
                <w:szCs w:val="20"/>
                <w:shd w:val="clear" w:color="auto" w:fill="FFFFFF"/>
              </w:rPr>
              <w:t xml:space="preserve">Therefore, further studies </w:t>
            </w:r>
            <w:r w:rsidR="008A2A3C" w:rsidRPr="001D7267">
              <w:rPr>
                <w:rFonts w:asciiTheme="majorBidi" w:eastAsiaTheme="minorHAnsi" w:hAnsiTheme="majorBidi" w:cstheme="majorBidi"/>
                <w:color w:val="FF0000"/>
                <w:sz w:val="20"/>
                <w:szCs w:val="20"/>
              </w:rPr>
              <w:t xml:space="preserve">are needed </w:t>
            </w:r>
            <w:r w:rsidR="008A2A3C" w:rsidRPr="001D7267">
              <w:rPr>
                <w:rFonts w:asciiTheme="majorBidi" w:hAnsiTheme="majorBidi" w:cstheme="majorBidi"/>
                <w:color w:val="FF0000"/>
                <w:sz w:val="20"/>
                <w:szCs w:val="20"/>
                <w:shd w:val="clear" w:color="auto" w:fill="FFFFFF"/>
              </w:rPr>
              <w:t>at a larger scale</w:t>
            </w:r>
            <w:r w:rsidR="008A2A3C" w:rsidRPr="001D7267">
              <w:rPr>
                <w:rFonts w:asciiTheme="majorBidi" w:hAnsiTheme="majorBidi" w:cstheme="majorBidi"/>
                <w:color w:val="FF0000"/>
                <w:sz w:val="20"/>
                <w:szCs w:val="20"/>
                <w:bdr w:val="none" w:sz="0" w:space="0" w:color="auto" w:frame="1"/>
              </w:rPr>
              <w:t xml:space="preserve"> to confirm the results of this work.</w:t>
            </w:r>
            <w:r w:rsidR="008A2A3C" w:rsidRPr="001D7267">
              <w:rPr>
                <w:rFonts w:asciiTheme="majorBidi" w:eastAsia="Times New Roman" w:hAnsiTheme="majorBidi" w:cstheme="majorBidi"/>
                <w:color w:val="FF0000"/>
                <w:sz w:val="20"/>
                <w:szCs w:val="20"/>
              </w:rPr>
              <w:t xml:space="preserve"> </w:t>
            </w:r>
            <w:r w:rsidRPr="00725B01">
              <w:rPr>
                <w:rFonts w:asciiTheme="majorBidi" w:eastAsia="Times New Roman" w:hAnsiTheme="majorBidi" w:cstheme="majorBidi"/>
                <w:color w:val="FF0000"/>
                <w:sz w:val="20"/>
                <w:szCs w:val="20"/>
              </w:rPr>
              <w:t xml:space="preserve">The second, this study applied diffusion weighted MR imaging. Further studies applied advanced diffusion modules such as diffusion kurtosis imaging and diffusion tensor imaging at 3-tesla will improve the results. Third, this study applied region of interest for localization. Further studies applied advanced post processing method such as machine learning and histogram analysis </w:t>
            </w:r>
          </w:p>
        </w:tc>
      </w:tr>
      <w:tr w:rsidR="004319D0" w:rsidRPr="001D7267">
        <w:trPr>
          <w:trHeight w:val="281"/>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Interpretation</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20</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Give a cautious overall interpretation of results considering objectives, limitations, multiplicity</w:t>
            </w:r>
          </w:p>
        </w:tc>
      </w:tr>
      <w:tr w:rsidR="004319D0" w:rsidRPr="001D7267">
        <w:trPr>
          <w:trHeight w:val="309"/>
        </w:trPr>
        <w:tc>
          <w:tcPr>
            <w:tcW w:w="150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520" w:type="dxa"/>
            <w:tcBorders>
              <w:bottom w:val="single" w:sz="8" w:space="0" w:color="auto"/>
            </w:tcBorders>
            <w:vAlign w:val="bottom"/>
          </w:tcPr>
          <w:p w:rsidR="004319D0" w:rsidRPr="001D7267" w:rsidRDefault="004319D0">
            <w:pPr>
              <w:rPr>
                <w:rFonts w:asciiTheme="majorBidi" w:hAnsiTheme="majorBidi" w:cstheme="majorBidi"/>
                <w:sz w:val="20"/>
                <w:szCs w:val="20"/>
              </w:rPr>
            </w:pP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of analyses, results from similar studies, and other relevant evidence</w:t>
            </w:r>
          </w:p>
        </w:tc>
      </w:tr>
      <w:tr w:rsidR="004319D0" w:rsidRPr="001D7267">
        <w:trPr>
          <w:trHeight w:val="290"/>
        </w:trPr>
        <w:tc>
          <w:tcPr>
            <w:tcW w:w="150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Generalisability</w:t>
            </w:r>
          </w:p>
        </w:tc>
        <w:tc>
          <w:tcPr>
            <w:tcW w:w="520" w:type="dxa"/>
            <w:tcBorders>
              <w:bottom w:val="single" w:sz="8" w:space="0" w:color="auto"/>
            </w:tcBorders>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21</w:t>
            </w:r>
          </w:p>
        </w:tc>
        <w:tc>
          <w:tcPr>
            <w:tcW w:w="7840" w:type="dxa"/>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Discuss the generalisability (external validity) of the study results</w:t>
            </w:r>
          </w:p>
        </w:tc>
      </w:tr>
      <w:tr w:rsidR="004319D0" w:rsidRPr="001D7267">
        <w:trPr>
          <w:trHeight w:val="347"/>
        </w:trPr>
        <w:tc>
          <w:tcPr>
            <w:tcW w:w="2020" w:type="dxa"/>
            <w:gridSpan w:val="2"/>
            <w:tcBorders>
              <w:bottom w:val="single" w:sz="8" w:space="0" w:color="auto"/>
            </w:tcBorders>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b/>
                <w:bCs/>
                <w:sz w:val="20"/>
                <w:szCs w:val="20"/>
              </w:rPr>
              <w:t>Other information</w:t>
            </w:r>
          </w:p>
        </w:tc>
        <w:tc>
          <w:tcPr>
            <w:tcW w:w="7840" w:type="dxa"/>
            <w:tcBorders>
              <w:bottom w:val="single" w:sz="8" w:space="0" w:color="auto"/>
            </w:tcBorders>
            <w:vAlign w:val="bottom"/>
          </w:tcPr>
          <w:p w:rsidR="004319D0" w:rsidRPr="001D7267" w:rsidRDefault="004319D0">
            <w:pPr>
              <w:rPr>
                <w:rFonts w:asciiTheme="majorBidi" w:hAnsiTheme="majorBidi" w:cstheme="majorBidi"/>
                <w:sz w:val="20"/>
                <w:szCs w:val="20"/>
              </w:rPr>
            </w:pPr>
          </w:p>
        </w:tc>
      </w:tr>
      <w:tr w:rsidR="004319D0" w:rsidRPr="001D7267">
        <w:trPr>
          <w:trHeight w:val="273"/>
        </w:trPr>
        <w:tc>
          <w:tcPr>
            <w:tcW w:w="150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Funding</w:t>
            </w:r>
          </w:p>
        </w:tc>
        <w:tc>
          <w:tcPr>
            <w:tcW w:w="520" w:type="dxa"/>
            <w:vAlign w:val="bottom"/>
          </w:tcPr>
          <w:p w:rsidR="004319D0" w:rsidRPr="001D7267" w:rsidRDefault="00CC5D84">
            <w:pPr>
              <w:jc w:val="center"/>
              <w:rPr>
                <w:rFonts w:asciiTheme="majorBidi" w:hAnsiTheme="majorBidi" w:cstheme="majorBidi"/>
                <w:sz w:val="20"/>
                <w:szCs w:val="20"/>
              </w:rPr>
            </w:pPr>
            <w:r w:rsidRPr="001D7267">
              <w:rPr>
                <w:rFonts w:asciiTheme="majorBidi" w:eastAsia="Times New Roman" w:hAnsiTheme="majorBidi" w:cstheme="majorBidi"/>
                <w:w w:val="99"/>
                <w:sz w:val="20"/>
                <w:szCs w:val="20"/>
              </w:rPr>
              <w:t>22</w:t>
            </w: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Give the source of funding and the role of the funders for the present study and, if applicable,</w:t>
            </w:r>
          </w:p>
        </w:tc>
      </w:tr>
      <w:tr w:rsidR="004319D0" w:rsidRPr="001D7267">
        <w:trPr>
          <w:trHeight w:val="300"/>
        </w:trPr>
        <w:tc>
          <w:tcPr>
            <w:tcW w:w="1500" w:type="dxa"/>
            <w:vAlign w:val="bottom"/>
          </w:tcPr>
          <w:p w:rsidR="004319D0" w:rsidRPr="001D7267" w:rsidRDefault="004319D0">
            <w:pPr>
              <w:rPr>
                <w:rFonts w:asciiTheme="majorBidi" w:hAnsiTheme="majorBidi" w:cstheme="majorBidi"/>
                <w:sz w:val="20"/>
                <w:szCs w:val="20"/>
              </w:rPr>
            </w:pPr>
          </w:p>
        </w:tc>
        <w:tc>
          <w:tcPr>
            <w:tcW w:w="520" w:type="dxa"/>
            <w:vAlign w:val="bottom"/>
          </w:tcPr>
          <w:p w:rsidR="004319D0" w:rsidRPr="001D7267" w:rsidRDefault="004319D0">
            <w:pPr>
              <w:rPr>
                <w:rFonts w:asciiTheme="majorBidi" w:hAnsiTheme="majorBidi" w:cstheme="majorBidi"/>
                <w:sz w:val="20"/>
                <w:szCs w:val="20"/>
              </w:rPr>
            </w:pPr>
          </w:p>
        </w:tc>
        <w:tc>
          <w:tcPr>
            <w:tcW w:w="7840" w:type="dxa"/>
            <w:vAlign w:val="bottom"/>
          </w:tcPr>
          <w:p w:rsidR="004319D0" w:rsidRPr="001D7267" w:rsidRDefault="00CC5D84">
            <w:pPr>
              <w:ind w:left="120"/>
              <w:rPr>
                <w:rFonts w:asciiTheme="majorBidi" w:hAnsiTheme="majorBidi" w:cstheme="majorBidi"/>
                <w:sz w:val="20"/>
                <w:szCs w:val="20"/>
              </w:rPr>
            </w:pPr>
            <w:r w:rsidRPr="001D7267">
              <w:rPr>
                <w:rFonts w:asciiTheme="majorBidi" w:eastAsia="Times New Roman" w:hAnsiTheme="majorBidi" w:cstheme="majorBidi"/>
                <w:sz w:val="20"/>
                <w:szCs w:val="20"/>
              </w:rPr>
              <w:t>for the original study on which the present article is based</w:t>
            </w:r>
          </w:p>
        </w:tc>
      </w:tr>
    </w:tbl>
    <w:p w:rsidR="004319D0" w:rsidRPr="001D7267" w:rsidRDefault="004319D0">
      <w:pPr>
        <w:spacing w:line="381" w:lineRule="exact"/>
        <w:rPr>
          <w:rFonts w:asciiTheme="majorBidi" w:hAnsiTheme="majorBidi" w:cstheme="majorBidi"/>
          <w:sz w:val="20"/>
          <w:szCs w:val="20"/>
        </w:rPr>
      </w:pPr>
    </w:p>
    <w:p w:rsidR="004319D0" w:rsidRPr="001D7267" w:rsidRDefault="00CC5D84">
      <w:pPr>
        <w:spacing w:line="301" w:lineRule="auto"/>
        <w:ind w:left="120" w:right="960"/>
        <w:rPr>
          <w:rFonts w:asciiTheme="majorBidi" w:hAnsiTheme="majorBidi" w:cstheme="majorBidi"/>
          <w:sz w:val="20"/>
          <w:szCs w:val="20"/>
        </w:rPr>
      </w:pPr>
      <w:r w:rsidRPr="001D7267">
        <w:rPr>
          <w:rFonts w:asciiTheme="majorBidi" w:eastAsia="Times New Roman" w:hAnsiTheme="majorBidi" w:cstheme="majorBidi"/>
          <w:sz w:val="20"/>
          <w:szCs w:val="20"/>
        </w:rPr>
        <w:t>*Give information separately for cases and controls in case-control studies and, if applicable, for exposed and unexposed groups in cohort and cross-sectional studies.</w:t>
      </w:r>
    </w:p>
    <w:p w:rsidR="004319D0" w:rsidRPr="001D7267" w:rsidRDefault="004319D0">
      <w:pPr>
        <w:spacing w:line="323" w:lineRule="exact"/>
        <w:rPr>
          <w:rFonts w:asciiTheme="majorBidi" w:hAnsiTheme="majorBidi" w:cstheme="majorBidi"/>
          <w:sz w:val="20"/>
          <w:szCs w:val="20"/>
        </w:rPr>
      </w:pPr>
    </w:p>
    <w:p w:rsidR="004319D0" w:rsidRPr="001D7267" w:rsidRDefault="00CC5D84">
      <w:pPr>
        <w:spacing w:line="310" w:lineRule="auto"/>
        <w:ind w:left="120" w:right="200"/>
        <w:rPr>
          <w:rFonts w:asciiTheme="majorBidi" w:hAnsiTheme="majorBidi" w:cstheme="majorBidi"/>
          <w:sz w:val="20"/>
          <w:szCs w:val="20"/>
        </w:rPr>
      </w:pPr>
      <w:r w:rsidRPr="001D7267">
        <w:rPr>
          <w:rFonts w:asciiTheme="majorBidi" w:eastAsia="Times New Roman" w:hAnsiTheme="majorBidi" w:cstheme="majorBidi"/>
          <w:b/>
          <w:bCs/>
          <w:sz w:val="20"/>
          <w:szCs w:val="20"/>
        </w:rPr>
        <w:t xml:space="preserve">Note: </w:t>
      </w:r>
      <w:r w:rsidRPr="001D7267">
        <w:rPr>
          <w:rFonts w:asciiTheme="majorBidi" w:eastAsia="Times New Roman" w:hAnsiTheme="majorBidi" w:cstheme="majorBidi"/>
          <w:sz w:val="20"/>
          <w:szCs w:val="20"/>
        </w:rPr>
        <w:t>An Explanation and Elaboration article discusses each checklist item and gives methodological background and</w:t>
      </w:r>
      <w:r w:rsidRPr="001D7267">
        <w:rPr>
          <w:rFonts w:asciiTheme="majorBidi" w:eastAsia="Times New Roman" w:hAnsiTheme="majorBidi" w:cstheme="majorBidi"/>
          <w:b/>
          <w:bCs/>
          <w:sz w:val="20"/>
          <w:szCs w:val="20"/>
        </w:rPr>
        <w:t xml:space="preserve"> </w:t>
      </w:r>
      <w:r w:rsidRPr="001D7267">
        <w:rPr>
          <w:rFonts w:asciiTheme="majorBidi" w:eastAsia="Times New Roman" w:hAnsiTheme="majorBidi" w:cstheme="majorBidi"/>
          <w:sz w:val="20"/>
          <w:szCs w:val="20"/>
        </w:rPr>
        <w:t>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200" w:lineRule="exact"/>
        <w:rPr>
          <w:rFonts w:asciiTheme="majorBidi" w:hAnsiTheme="majorBidi" w:cstheme="majorBidi"/>
          <w:sz w:val="20"/>
          <w:szCs w:val="20"/>
        </w:rPr>
      </w:pPr>
    </w:p>
    <w:p w:rsidR="004319D0" w:rsidRPr="001D7267" w:rsidRDefault="004319D0">
      <w:pPr>
        <w:spacing w:line="357" w:lineRule="exact"/>
        <w:rPr>
          <w:rFonts w:asciiTheme="majorBidi" w:hAnsiTheme="majorBidi" w:cstheme="majorBidi"/>
          <w:sz w:val="20"/>
          <w:szCs w:val="20"/>
        </w:rPr>
      </w:pPr>
    </w:p>
    <w:p w:rsidR="004319D0" w:rsidRPr="001D7267" w:rsidRDefault="00CC5D84">
      <w:pPr>
        <w:ind w:right="-19"/>
        <w:jc w:val="center"/>
        <w:rPr>
          <w:rFonts w:asciiTheme="majorBidi" w:hAnsiTheme="majorBidi" w:cstheme="majorBidi"/>
          <w:sz w:val="20"/>
          <w:szCs w:val="20"/>
        </w:rPr>
      </w:pPr>
      <w:r w:rsidRPr="001D7267">
        <w:rPr>
          <w:rFonts w:asciiTheme="majorBidi" w:eastAsia="Arial" w:hAnsiTheme="majorBidi" w:cstheme="majorBidi"/>
          <w:sz w:val="20"/>
          <w:szCs w:val="20"/>
        </w:rPr>
        <w:t>2</w:t>
      </w:r>
    </w:p>
    <w:sectPr w:rsidR="004319D0" w:rsidRPr="001D7267">
      <w:pgSz w:w="11900" w:h="16834"/>
      <w:pgMar w:top="1440" w:right="1029" w:bottom="150" w:left="1020" w:header="0" w:footer="0" w:gutter="0"/>
      <w:cols w:space="720"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035CD"/>
    <w:multiLevelType w:val="hybridMultilevel"/>
    <w:tmpl w:val="2104F52E"/>
    <w:lvl w:ilvl="0" w:tplc="4CEC632C">
      <w:start w:val="1"/>
      <w:numFmt w:val="lowerLetter"/>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D0"/>
    <w:rsid w:val="00003635"/>
    <w:rsid w:val="000055DF"/>
    <w:rsid w:val="00026125"/>
    <w:rsid w:val="000324A1"/>
    <w:rsid w:val="00052804"/>
    <w:rsid w:val="0005760A"/>
    <w:rsid w:val="000802D0"/>
    <w:rsid w:val="000A1087"/>
    <w:rsid w:val="0015201F"/>
    <w:rsid w:val="00166EF5"/>
    <w:rsid w:val="00185C3C"/>
    <w:rsid w:val="001B2BC3"/>
    <w:rsid w:val="001B6507"/>
    <w:rsid w:val="001C0683"/>
    <w:rsid w:val="001C228C"/>
    <w:rsid w:val="001D7267"/>
    <w:rsid w:val="001F0215"/>
    <w:rsid w:val="00206AFE"/>
    <w:rsid w:val="002718B0"/>
    <w:rsid w:val="003E0E01"/>
    <w:rsid w:val="00405012"/>
    <w:rsid w:val="00405745"/>
    <w:rsid w:val="004319D0"/>
    <w:rsid w:val="004322A2"/>
    <w:rsid w:val="004456B8"/>
    <w:rsid w:val="00492AFB"/>
    <w:rsid w:val="004A0BEF"/>
    <w:rsid w:val="004B412D"/>
    <w:rsid w:val="004D3437"/>
    <w:rsid w:val="004E0A83"/>
    <w:rsid w:val="004E1EF4"/>
    <w:rsid w:val="00543A58"/>
    <w:rsid w:val="005964B1"/>
    <w:rsid w:val="00597988"/>
    <w:rsid w:val="005E7304"/>
    <w:rsid w:val="00637A39"/>
    <w:rsid w:val="006D65A9"/>
    <w:rsid w:val="006E4EC5"/>
    <w:rsid w:val="0074790D"/>
    <w:rsid w:val="00757B15"/>
    <w:rsid w:val="00757C28"/>
    <w:rsid w:val="0077082F"/>
    <w:rsid w:val="00785A89"/>
    <w:rsid w:val="00814381"/>
    <w:rsid w:val="00816583"/>
    <w:rsid w:val="00874E0E"/>
    <w:rsid w:val="008A2A3C"/>
    <w:rsid w:val="008C1ACA"/>
    <w:rsid w:val="00922C58"/>
    <w:rsid w:val="00954218"/>
    <w:rsid w:val="00957364"/>
    <w:rsid w:val="009A3DCB"/>
    <w:rsid w:val="009B6548"/>
    <w:rsid w:val="009F6373"/>
    <w:rsid w:val="00A032C2"/>
    <w:rsid w:val="00AB69F3"/>
    <w:rsid w:val="00AD575A"/>
    <w:rsid w:val="00AE6B75"/>
    <w:rsid w:val="00B07BF9"/>
    <w:rsid w:val="00B114A6"/>
    <w:rsid w:val="00B17B7C"/>
    <w:rsid w:val="00B60499"/>
    <w:rsid w:val="00B85CC5"/>
    <w:rsid w:val="00BB53AE"/>
    <w:rsid w:val="00BE3AA7"/>
    <w:rsid w:val="00C0508B"/>
    <w:rsid w:val="00C14B25"/>
    <w:rsid w:val="00C32EA4"/>
    <w:rsid w:val="00C7792F"/>
    <w:rsid w:val="00C813D4"/>
    <w:rsid w:val="00CC051A"/>
    <w:rsid w:val="00CC46F5"/>
    <w:rsid w:val="00CC5D84"/>
    <w:rsid w:val="00CD5584"/>
    <w:rsid w:val="00D23AC0"/>
    <w:rsid w:val="00D343A2"/>
    <w:rsid w:val="00D83D6E"/>
    <w:rsid w:val="00D91015"/>
    <w:rsid w:val="00DD221E"/>
    <w:rsid w:val="00DD6F2C"/>
    <w:rsid w:val="00DF091F"/>
    <w:rsid w:val="00DF5D48"/>
    <w:rsid w:val="00E82293"/>
    <w:rsid w:val="00EB1BA8"/>
    <w:rsid w:val="00F64EA5"/>
    <w:rsid w:val="00F96DD0"/>
    <w:rsid w:val="00FB6E0E"/>
    <w:rsid w:val="00FC4644"/>
    <w:rsid w:val="00FC6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07"/>
    <w:pPr>
      <w:ind w:left="720"/>
      <w:contextualSpacing/>
    </w:pPr>
  </w:style>
  <w:style w:type="character" w:customStyle="1" w:styleId="apple-converted-space">
    <w:name w:val="apple-converted-space"/>
    <w:basedOn w:val="DefaultParagraphFont"/>
    <w:rsid w:val="00003635"/>
  </w:style>
  <w:style w:type="table" w:customStyle="1" w:styleId="TableGrid1">
    <w:name w:val="Table Grid1"/>
    <w:basedOn w:val="TableNormal"/>
    <w:next w:val="TableGrid"/>
    <w:uiPriority w:val="59"/>
    <w:rsid w:val="00757C28"/>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57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07"/>
    <w:pPr>
      <w:ind w:left="720"/>
      <w:contextualSpacing/>
    </w:pPr>
  </w:style>
  <w:style w:type="character" w:customStyle="1" w:styleId="apple-converted-space">
    <w:name w:val="apple-converted-space"/>
    <w:basedOn w:val="DefaultParagraphFont"/>
    <w:rsid w:val="00003635"/>
  </w:style>
  <w:style w:type="table" w:customStyle="1" w:styleId="TableGrid1">
    <w:name w:val="Table Grid1"/>
    <w:basedOn w:val="TableNormal"/>
    <w:next w:val="TableGrid"/>
    <w:uiPriority w:val="59"/>
    <w:rsid w:val="00757C28"/>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57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gigasoft</cp:lastModifiedBy>
  <cp:revision>93</cp:revision>
  <dcterms:created xsi:type="dcterms:W3CDTF">2019-01-18T11:35:00Z</dcterms:created>
  <dcterms:modified xsi:type="dcterms:W3CDTF">2019-01-20T10:01:00Z</dcterms:modified>
</cp:coreProperties>
</file>