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F024F" w14:textId="77777777" w:rsidR="00105C83" w:rsidRPr="00451CB3" w:rsidRDefault="00105C8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Name of Journal: </w:t>
      </w:r>
      <w:r w:rsidRPr="00451CB3">
        <w:rPr>
          <w:rFonts w:ascii="Book Antiqua" w:hAnsi="Book Antiqua"/>
          <w:b/>
          <w:i/>
          <w:color w:val="000000" w:themeColor="text1"/>
          <w:szCs w:val="24"/>
        </w:rPr>
        <w:t>World Journal of Gastroenterology</w:t>
      </w:r>
      <w:r w:rsidRPr="00451CB3">
        <w:rPr>
          <w:rFonts w:ascii="Book Antiqua" w:hAnsi="Book Antiqua"/>
          <w:b/>
          <w:color w:val="000000" w:themeColor="text1"/>
          <w:szCs w:val="24"/>
        </w:rPr>
        <w:t xml:space="preserve"> </w:t>
      </w:r>
    </w:p>
    <w:p w14:paraId="03185FAD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Manuscript NO: 45390</w:t>
      </w:r>
    </w:p>
    <w:p w14:paraId="591B348E" w14:textId="77777777" w:rsidR="00105C83" w:rsidRPr="00451CB3" w:rsidRDefault="00105C8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Manuscript Type: CASE REPORT</w:t>
      </w:r>
    </w:p>
    <w:p w14:paraId="03BC1B16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6267C9E5" w14:textId="77777777" w:rsidR="00805F26" w:rsidRPr="00451CB3" w:rsidRDefault="0012656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  <w:lang w:eastAsia="zh-CN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olon perforation </w:t>
      </w:r>
      <w:r w:rsidR="007516EC" w:rsidRPr="00451CB3">
        <w:rPr>
          <w:rFonts w:ascii="Book Antiqua" w:hAnsi="Book Antiqua"/>
          <w:b/>
          <w:color w:val="000000" w:themeColor="text1"/>
          <w:szCs w:val="24"/>
        </w:rPr>
        <w:t>due to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 antigenemia</w:t>
      </w:r>
      <w:r w:rsidR="007516EC" w:rsidRPr="00451CB3">
        <w:rPr>
          <w:rFonts w:ascii="Book Antiqua" w:hAnsi="Book Antiqua"/>
          <w:b/>
          <w:color w:val="000000" w:themeColor="text1"/>
          <w:szCs w:val="24"/>
        </w:rPr>
        <w:t>-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>negative</w:t>
      </w:r>
      <w:r w:rsidR="00CD02E5" w:rsidRPr="00451CB3">
        <w:rPr>
          <w:rFonts w:ascii="Book Antiqua" w:hAnsi="Book Antiqua"/>
          <w:b/>
          <w:color w:val="000000" w:themeColor="text1"/>
          <w:szCs w:val="24"/>
        </w:rPr>
        <w:t xml:space="preserve"> cytomegalovirus 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>gastroenteritis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 after</w:t>
      </w:r>
      <w:r w:rsidR="009F27C3" w:rsidRPr="00451CB3">
        <w:rPr>
          <w:rFonts w:ascii="Book Antiqua" w:hAnsi="Book Antiqua"/>
          <w:b/>
          <w:color w:val="000000" w:themeColor="text1"/>
          <w:szCs w:val="24"/>
        </w:rPr>
        <w:t xml:space="preserve"> liver transplantation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 xml:space="preserve">: </w:t>
      </w:r>
      <w:r w:rsidR="00A83BB3" w:rsidRPr="004C73DD">
        <w:rPr>
          <w:rFonts w:ascii="Book Antiqua" w:hAnsi="Book Antiqua"/>
          <w:b/>
          <w:color w:val="000000" w:themeColor="text1"/>
          <w:szCs w:val="24"/>
        </w:rPr>
        <w:t xml:space="preserve">A </w:t>
      </w:r>
      <w:r w:rsidR="008B5643" w:rsidRPr="004C73DD">
        <w:rPr>
          <w:rFonts w:ascii="Book Antiqua" w:hAnsi="Book Antiqua"/>
          <w:b/>
          <w:color w:val="000000" w:themeColor="text1"/>
          <w:szCs w:val="24"/>
        </w:rPr>
        <w:t>c</w:t>
      </w:r>
      <w:r w:rsidR="00532B32" w:rsidRPr="004C73DD">
        <w:rPr>
          <w:rFonts w:ascii="Book Antiqua" w:hAnsi="Book Antiqua"/>
          <w:b/>
          <w:color w:val="000000" w:themeColor="text1"/>
          <w:szCs w:val="24"/>
        </w:rPr>
        <w:t>ase re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>port</w:t>
      </w:r>
      <w:r w:rsidR="00451CB3" w:rsidRPr="00451CB3">
        <w:rPr>
          <w:rFonts w:ascii="Book Antiqua" w:hAnsi="Book Antiqua"/>
          <w:b/>
          <w:color w:val="000000" w:themeColor="text1"/>
          <w:szCs w:val="24"/>
        </w:rPr>
        <w:t xml:space="preserve"> and review of literature</w:t>
      </w:r>
    </w:p>
    <w:p w14:paraId="42B94B28" w14:textId="77777777" w:rsidR="00D1509F" w:rsidRPr="00451CB3" w:rsidRDefault="00D1509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98505C3" w14:textId="4713A7CD" w:rsidR="001528AD" w:rsidRPr="00451CB3" w:rsidRDefault="009F27C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</w:t>
      </w:r>
      <w:r w:rsidRPr="00451CB3">
        <w:rPr>
          <w:rFonts w:ascii="Book Antiqua" w:hAnsi="Book Antiqua"/>
          <w:i/>
          <w:color w:val="000000" w:themeColor="text1"/>
          <w:szCs w:val="24"/>
        </w:rPr>
        <w:t>et al</w:t>
      </w:r>
      <w:r w:rsidRPr="00451CB3">
        <w:rPr>
          <w:rFonts w:ascii="Book Antiqua" w:hAnsi="Book Antiqua"/>
          <w:color w:val="000000" w:themeColor="text1"/>
          <w:szCs w:val="24"/>
        </w:rPr>
        <w:t xml:space="preserve">. </w:t>
      </w:r>
      <w:r w:rsidR="00451CB3" w:rsidRPr="00451CB3">
        <w:rPr>
          <w:rFonts w:ascii="Book Antiqua" w:hAnsi="Book Antiqua"/>
          <w:color w:val="000000" w:themeColor="text1"/>
          <w:szCs w:val="24"/>
        </w:rPr>
        <w:t>AG</w:t>
      </w:r>
      <w:r w:rsidR="00633FCA" w:rsidRPr="00451CB3">
        <w:rPr>
          <w:rFonts w:ascii="Book Antiqua" w:hAnsi="Book Antiqua"/>
          <w:color w:val="000000" w:themeColor="text1"/>
          <w:szCs w:val="24"/>
        </w:rPr>
        <w:t>-</w:t>
      </w:r>
      <w:r w:rsidR="00532B32" w:rsidRPr="00451CB3">
        <w:rPr>
          <w:rFonts w:ascii="Book Antiqua" w:hAnsi="Book Antiqua"/>
          <w:color w:val="000000" w:themeColor="text1"/>
          <w:szCs w:val="24"/>
        </w:rPr>
        <w:t xml:space="preserve">negative </w:t>
      </w:r>
      <w:r w:rsidR="00451CB3" w:rsidRPr="00451CB3">
        <w:rPr>
          <w:rFonts w:ascii="Book Antiqua" w:hAnsi="Book Antiqua"/>
          <w:color w:val="000000" w:themeColor="text1"/>
          <w:szCs w:val="24"/>
        </w:rPr>
        <w:t>CMV</w:t>
      </w:r>
      <w:r w:rsidR="00532B32" w:rsidRPr="00451CB3">
        <w:rPr>
          <w:rFonts w:ascii="Book Antiqua" w:hAnsi="Book Antiqua"/>
          <w:color w:val="000000" w:themeColor="text1"/>
          <w:szCs w:val="24"/>
        </w:rPr>
        <w:t xml:space="preserve"> gastroenteritis after </w:t>
      </w:r>
      <w:r w:rsidR="00C54895">
        <w:rPr>
          <w:rFonts w:ascii="Book Antiqua" w:hAnsi="Book Antiqua"/>
          <w:color w:val="000000" w:themeColor="text1"/>
          <w:szCs w:val="24"/>
        </w:rPr>
        <w:t>liver transplantation</w:t>
      </w:r>
    </w:p>
    <w:p w14:paraId="5F3AE793" w14:textId="77777777" w:rsidR="00D1509F" w:rsidRPr="00451CB3" w:rsidRDefault="00D1509F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71D2D528" w14:textId="77777777" w:rsidR="009C5DD7" w:rsidRDefault="000B5DCD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Hideaki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Masahiro Shinoda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Yutaka Nakano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Minoru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Hiroshi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Yagi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Yuta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Abe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Yamada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Matsubara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Go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Hori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Higashi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Yuki Masuda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Masanori Hayashi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Takehiko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Mori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Miho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Takumi Fujimura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Ken Hoshino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Kaori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Tatsuo Kuroda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Yuko Kitagawa</w:t>
      </w:r>
    </w:p>
    <w:p w14:paraId="404848CE" w14:textId="77777777" w:rsidR="00451CB3" w:rsidRPr="00451CB3" w:rsidRDefault="00451CB3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301DE89E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Hideaki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Masahiro Shinoda, Yutaka Nakano, Minoru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Kitago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Hiroshi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Yagi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Yuta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Abe,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Yamada,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Matsubara, Go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Oshima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Hori,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Ibuki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Higashi, Yuki Masuda, Masanori Hayashi, Takumi Fujimura, Ken Hoshino, Tatsuo Kuroda, Yuko Kitagawa, </w:t>
      </w:r>
      <w:r w:rsidRPr="00451CB3">
        <w:rPr>
          <w:rFonts w:ascii="Book Antiqua" w:hAnsi="Book Antiqua"/>
          <w:color w:val="000000" w:themeColor="text1"/>
          <w:szCs w:val="24"/>
        </w:rPr>
        <w:t>Department of Surgery, Keio University School of</w:t>
      </w:r>
      <w:r w:rsidR="00451CB3">
        <w:rPr>
          <w:rFonts w:ascii="Book Antiqua" w:hAnsi="Book Antiqua"/>
          <w:color w:val="000000" w:themeColor="text1"/>
          <w:szCs w:val="24"/>
        </w:rPr>
        <w:t xml:space="preserve"> Medicine, Tokyo 1608582, Japan</w:t>
      </w:r>
    </w:p>
    <w:p w14:paraId="0671D0D1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764861D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Takehiko Mori, </w:t>
      </w:r>
      <w:r w:rsidRPr="00451CB3">
        <w:rPr>
          <w:rFonts w:ascii="Book Antiqua" w:hAnsi="Book Antiqua"/>
          <w:color w:val="000000" w:themeColor="text1"/>
          <w:szCs w:val="24"/>
        </w:rPr>
        <w:t xml:space="preserve">Division of Hematology, Department of Medicine, Keio University School of </w:t>
      </w:r>
      <w:r w:rsidR="00451CB3">
        <w:rPr>
          <w:rFonts w:ascii="Book Antiqua" w:hAnsi="Book Antiqua"/>
          <w:color w:val="000000" w:themeColor="text1"/>
          <w:szCs w:val="24"/>
        </w:rPr>
        <w:t>Medicine, Tokyo 1608582, Japan</w:t>
      </w:r>
    </w:p>
    <w:p w14:paraId="4679FC79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0D7840D" w14:textId="77777777" w:rsidR="00451CB3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Miho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Kawaida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Kaori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Kameyama</w:t>
      </w:r>
      <w:proofErr w:type="spellEnd"/>
      <w:r w:rsidRPr="00235136">
        <w:rPr>
          <w:rFonts w:ascii="Book Antiqua" w:hAnsi="Book Antiqua"/>
          <w:b/>
          <w:color w:val="000000" w:themeColor="text1"/>
          <w:szCs w:val="24"/>
        </w:rPr>
        <w:t>,</w:t>
      </w:r>
      <w:r w:rsidRPr="00451CB3">
        <w:rPr>
          <w:rFonts w:ascii="Book Antiqua" w:hAnsi="Book Antiqua"/>
          <w:color w:val="000000" w:themeColor="text1"/>
          <w:szCs w:val="24"/>
        </w:rPr>
        <w:t xml:space="preserve"> Department of Pathology, Keio University School of</w:t>
      </w:r>
      <w:r w:rsidR="00451CB3">
        <w:rPr>
          <w:rFonts w:ascii="Book Antiqua" w:hAnsi="Book Antiqua"/>
          <w:color w:val="000000" w:themeColor="text1"/>
          <w:szCs w:val="24"/>
        </w:rPr>
        <w:t xml:space="preserve"> Medicine, Tokyo 1608582, Japan</w:t>
      </w:r>
    </w:p>
    <w:p w14:paraId="76F1B53F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color w:val="000000" w:themeColor="text1"/>
          <w:szCs w:val="24"/>
        </w:rPr>
        <w:lastRenderedPageBreak/>
        <w:t xml:space="preserve"> </w:t>
      </w:r>
    </w:p>
    <w:p w14:paraId="31C31984" w14:textId="01B2DC31" w:rsidR="001B2C62" w:rsidRPr="00451CB3" w:rsidRDefault="001B2C62" w:rsidP="009A3D9A">
      <w:pPr>
        <w:tabs>
          <w:tab w:val="left" w:pos="2427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ORCID number: </w:t>
      </w:r>
      <w:r w:rsidRPr="00451CB3">
        <w:rPr>
          <w:rFonts w:ascii="Book Antiqua" w:hAnsi="Book Antiqua"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(0000-0001-6946-280X); Hideaki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(0000-0001-6740-2715); Masahiro Shinoda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(0000-0002-4315-9244); Yutaka Nakano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(0000-0003-3228-3474); Minoru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(0000-0002-4909-1199); Hiroshi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Yagi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(0000-0002-9897-8108);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Yuta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Abe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(0000-0003-4746-0584);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Yamada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(0000-0001-6059-7660);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Matsubara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(0000-0002-6438-6040); Go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(0000-0002-3325-7115);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Hori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(0000-0001-9213-0758);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(0000-0002-1315-0484);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Higashi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(0000-0002-8767-802X); Yuki Masuda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(0000-0002-6081-7587); Masanori Hayashi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(0000-0002-1099-3654); Takehiko Mori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(0000-0002-8176-4760); Miho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(0000-0003-0353-4246); Takumi Fujimura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(0000-0002-7078-6542); Ken Hoshino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(0000-0002-3021-3029); Kaori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(0000-0003-2069-3249); Tatsuo Kuroda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(0000-0001-7183-2830); Yuko Kitagawa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(0000-0001-6469-2155</w:t>
      </w:r>
      <w:r w:rsidR="00235136">
        <w:rPr>
          <w:rFonts w:ascii="Book Antiqua" w:hAnsi="Book Antiqua"/>
          <w:color w:val="000000" w:themeColor="text1"/>
          <w:szCs w:val="24"/>
        </w:rPr>
        <w:t>).</w:t>
      </w:r>
    </w:p>
    <w:p w14:paraId="24B69886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0C060FAB" w14:textId="064A73F3" w:rsidR="001B2C62" w:rsidRPr="00451CB3" w:rsidRDefault="001B2C62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Author contributions: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Shinoda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M, Yagi H, Matsubara K,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G, Nakano Y,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S,</w:t>
      </w:r>
      <w:r w:rsidR="00235136">
        <w:rPr>
          <w:rFonts w:ascii="Book Antiqua" w:hAnsi="Book Antiqua"/>
          <w:color w:val="000000" w:themeColor="text1"/>
          <w:szCs w:val="24"/>
        </w:rPr>
        <w:t xml:space="preserve"> Higashi H, Masuda Y, Hayashi M</w:t>
      </w:r>
      <w:r w:rsidRPr="00451CB3">
        <w:rPr>
          <w:rFonts w:ascii="Book Antiqua" w:hAnsi="Book Antiqua"/>
          <w:color w:val="000000" w:themeColor="text1"/>
          <w:szCs w:val="24"/>
        </w:rPr>
        <w:t xml:space="preserve"> and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performed surgery.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wrote and coordinated this manuscript. Kitagawa Y, Kuroda T, Hoshino K,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M, Abe Y, Yamada Y,</w:t>
      </w:r>
      <w:r w:rsidR="004C73DD">
        <w:rPr>
          <w:rFonts w:ascii="Book Antiqua" w:hAnsi="Book Antiqua"/>
          <w:color w:val="000000" w:themeColor="text1"/>
          <w:szCs w:val="24"/>
        </w:rPr>
        <w:t xml:space="preserve"> Fujimura T</w:t>
      </w:r>
      <w:r w:rsidRPr="00451CB3">
        <w:rPr>
          <w:rFonts w:ascii="Book Antiqua" w:hAnsi="Book Antiqua"/>
          <w:color w:val="000000" w:themeColor="text1"/>
          <w:szCs w:val="24"/>
        </w:rPr>
        <w:t xml:space="preserve"> and Hori S helped to draft the manuscript. Mori T </w:t>
      </w:r>
      <w:r w:rsidR="004C73DD">
        <w:rPr>
          <w:rFonts w:ascii="Book Antiqua" w:hAnsi="Book Antiqua"/>
          <w:color w:val="000000" w:themeColor="text1"/>
          <w:szCs w:val="24"/>
        </w:rPr>
        <w:t>helped to treatment especially c</w:t>
      </w:r>
      <w:r w:rsidRPr="00451CB3">
        <w:rPr>
          <w:rFonts w:ascii="Book Antiqua" w:hAnsi="Book Antiqua"/>
          <w:color w:val="000000" w:themeColor="text1"/>
          <w:szCs w:val="24"/>
        </w:rPr>
        <w:t xml:space="preserve">ytomegalovirus infection and thrombotic microangiopathy.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K and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 performed pathological analysis. All authors read and approved the final manuscript.</w:t>
      </w:r>
    </w:p>
    <w:p w14:paraId="5F93D56E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6E17565A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Informed consent statement:</w:t>
      </w:r>
      <w:r w:rsidRPr="00451CB3">
        <w:rPr>
          <w:rFonts w:ascii="Book Antiqua" w:hAnsi="Book Antiqua"/>
          <w:color w:val="000000" w:themeColor="text1"/>
          <w:szCs w:val="24"/>
        </w:rPr>
        <w:t xml:space="preserve"> Consent was obtained from the patient for publication of this report and any accompanying images.</w:t>
      </w:r>
    </w:p>
    <w:p w14:paraId="1058ACBD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34E793D2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Conflict-of-interest statement: </w:t>
      </w:r>
      <w:r w:rsidRPr="00451CB3">
        <w:rPr>
          <w:rFonts w:ascii="Book Antiqua" w:hAnsi="Book Antiqua"/>
          <w:color w:val="000000" w:themeColor="text1"/>
          <w:szCs w:val="24"/>
        </w:rPr>
        <w:t xml:space="preserve">The authors declare that they have no </w:t>
      </w:r>
      <w:r w:rsidRPr="00451CB3">
        <w:rPr>
          <w:rFonts w:ascii="Book Antiqua" w:hAnsi="Book Antiqua"/>
          <w:color w:val="000000" w:themeColor="text1"/>
          <w:szCs w:val="24"/>
        </w:rPr>
        <w:lastRenderedPageBreak/>
        <w:t>conflicts of interest.</w:t>
      </w:r>
    </w:p>
    <w:p w14:paraId="331EABDE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3AB42F8D" w14:textId="0B242E6B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CARE Checklist (2016)</w:t>
      </w:r>
      <w:r w:rsidR="002C2C18">
        <w:rPr>
          <w:rFonts w:ascii="Book Antiqua" w:hAnsi="Book Antiqua"/>
          <w:b/>
          <w:color w:val="000000" w:themeColor="text1"/>
          <w:szCs w:val="24"/>
        </w:rPr>
        <w:t xml:space="preserve"> statement</w:t>
      </w:r>
      <w:r w:rsidRPr="00451CB3">
        <w:rPr>
          <w:rFonts w:ascii="Book Antiqua" w:hAnsi="Book Antiqua"/>
          <w:b/>
          <w:color w:val="000000" w:themeColor="text1"/>
          <w:szCs w:val="24"/>
        </w:rPr>
        <w:t>:</w:t>
      </w:r>
      <w:r w:rsidRPr="00451CB3">
        <w:rPr>
          <w:rFonts w:ascii="Book Antiqua" w:hAnsi="Book Antiqua"/>
          <w:color w:val="000000" w:themeColor="text1"/>
          <w:szCs w:val="24"/>
        </w:rPr>
        <w:t xml:space="preserve"> The authors have read the CARE Checklist (2016), and the manuscript was prepared and revised according to the CARE Checklist (2016).</w:t>
      </w:r>
    </w:p>
    <w:p w14:paraId="0615732D" w14:textId="77777777" w:rsidR="002C2C18" w:rsidRDefault="002C2C1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D88C9B6" w14:textId="77777777" w:rsidR="002C2C18" w:rsidRPr="002C2C18" w:rsidRDefault="002C2C18" w:rsidP="009A3D9A">
      <w:pPr>
        <w:snapToGrid w:val="0"/>
        <w:spacing w:line="360" w:lineRule="auto"/>
        <w:rPr>
          <w:rFonts w:ascii="Book Antiqua" w:eastAsia="宋体" w:hAnsi="Book Antiqua" w:cs="Times New Roman"/>
          <w:kern w:val="0"/>
          <w:szCs w:val="24"/>
          <w:lang w:eastAsia="zh-CN"/>
        </w:rPr>
      </w:pPr>
      <w:bookmarkStart w:id="0" w:name="OLE_LINK25"/>
      <w:bookmarkStart w:id="1" w:name="OLE_LINK26"/>
      <w:bookmarkStart w:id="2" w:name="OLE_LINK375"/>
      <w:bookmarkStart w:id="3" w:name="OLE_LINK32"/>
      <w:bookmarkStart w:id="4" w:name="OLE_LINK381"/>
      <w:bookmarkStart w:id="5" w:name="OLE_LINK413"/>
      <w:r w:rsidRPr="002C2C18">
        <w:rPr>
          <w:rFonts w:ascii="Book Antiqua" w:eastAsia="宋体" w:hAnsi="Book Antiqua" w:cs="Times New Roman"/>
          <w:b/>
          <w:color w:val="000000"/>
          <w:kern w:val="0"/>
          <w:szCs w:val="24"/>
          <w:lang w:eastAsia="zh-CN"/>
        </w:rPr>
        <w:t xml:space="preserve">Open-Access: </w:t>
      </w:r>
      <w:r w:rsidRPr="002C2C18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This is an </w:t>
      </w:r>
      <w:r w:rsidRPr="002C2C18">
        <w:rPr>
          <w:rFonts w:ascii="Book Antiqua" w:eastAsia="宋体" w:hAnsi="Book Antiqua" w:cs="宋体"/>
          <w:kern w:val="0"/>
          <w:szCs w:val="24"/>
          <w:lang w:eastAsia="zh-CN"/>
        </w:rPr>
        <w:t xml:space="preserve">open-access article that was </w:t>
      </w:r>
      <w:r w:rsidRPr="002C2C18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selected by an in-house editor and fully peer-reviewed by external reviewers. It is </w:t>
      </w:r>
      <w:r w:rsidRPr="002C2C18">
        <w:rPr>
          <w:rFonts w:ascii="Book Antiqua" w:eastAsia="宋体" w:hAnsi="Book Antiqua" w:cs="宋体"/>
          <w:kern w:val="0"/>
          <w:szCs w:val="24"/>
          <w:lang w:eastAsia="zh-CN"/>
        </w:rPr>
        <w:t xml:space="preserve">distributed in accordance with </w:t>
      </w:r>
      <w:r w:rsidRPr="002C2C18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2C2C18">
          <w:rPr>
            <w:rFonts w:ascii="Book Antiqua" w:eastAsia="宋体" w:hAnsi="Book Antiqua" w:cs="Times New Roman"/>
            <w:color w:val="0000FF"/>
            <w:kern w:val="0"/>
            <w:szCs w:val="24"/>
            <w:u w:val="single"/>
            <w:lang w:eastAsia="zh-CN"/>
          </w:rPr>
          <w:t>http://creativecommons.org/licenses/by-nc/4.0/</w:t>
        </w:r>
      </w:hyperlink>
    </w:p>
    <w:p w14:paraId="63AF31C4" w14:textId="77777777" w:rsidR="002C2C18" w:rsidRPr="002C2C18" w:rsidRDefault="002C2C18" w:rsidP="009A3D9A">
      <w:pPr>
        <w:snapToGrid w:val="0"/>
        <w:spacing w:line="360" w:lineRule="auto"/>
        <w:rPr>
          <w:rFonts w:ascii="Book Antiqua" w:eastAsia="宋体" w:hAnsi="Book Antiqua" w:cs="Times New Roman"/>
          <w:kern w:val="0"/>
          <w:szCs w:val="24"/>
          <w:lang w:eastAsia="zh-CN"/>
        </w:rPr>
      </w:pPr>
    </w:p>
    <w:p w14:paraId="7FF03094" w14:textId="5315268F" w:rsidR="002C2C18" w:rsidRPr="00451CB3" w:rsidRDefault="002C2C18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bookmarkStart w:id="6" w:name="OLE_LINK11"/>
      <w:r w:rsidRPr="002C2C18">
        <w:rPr>
          <w:rFonts w:ascii="Book Antiqua" w:eastAsia="宋体" w:hAnsi="Book Antiqua" w:cs="Times New Roman"/>
          <w:b/>
          <w:bCs/>
          <w:kern w:val="0"/>
          <w:szCs w:val="24"/>
          <w:highlight w:val="white"/>
          <w:lang w:eastAsia="zh-CN"/>
        </w:rPr>
        <w:t>Manuscript source:</w:t>
      </w:r>
      <w:r w:rsidRPr="002C2C18">
        <w:rPr>
          <w:rFonts w:ascii="Book Antiqua" w:eastAsia="宋体" w:hAnsi="Book Antiqua" w:cs="Times New Roman" w:hint="eastAsia"/>
          <w:b/>
          <w:bCs/>
          <w:kern w:val="0"/>
          <w:szCs w:val="24"/>
          <w:highlight w:val="white"/>
          <w:lang w:eastAsia="zh-CN"/>
        </w:rPr>
        <w:t xml:space="preserve"> </w:t>
      </w:r>
      <w:r w:rsidRPr="002C2C18">
        <w:rPr>
          <w:rFonts w:ascii="Book Antiqua" w:eastAsia="宋体" w:hAnsi="Book Antiqua" w:cs="Times New Roman"/>
          <w:bCs/>
          <w:kern w:val="0"/>
          <w:szCs w:val="24"/>
          <w:highlight w:val="white"/>
          <w:lang w:eastAsia="zh-CN"/>
        </w:rPr>
        <w:t>Unsolicited manuscript</w:t>
      </w:r>
      <w:bookmarkEnd w:id="0"/>
      <w:bookmarkEnd w:id="1"/>
      <w:bookmarkEnd w:id="2"/>
      <w:bookmarkEnd w:id="3"/>
      <w:bookmarkEnd w:id="4"/>
      <w:bookmarkEnd w:id="5"/>
      <w:bookmarkEnd w:id="6"/>
    </w:p>
    <w:p w14:paraId="2D910E23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30D82D5B" w14:textId="5E118B2B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321CE">
        <w:rPr>
          <w:rFonts w:ascii="Book Antiqua" w:hAnsi="Book Antiqua"/>
          <w:b/>
          <w:color w:val="000000" w:themeColor="text1"/>
          <w:szCs w:val="24"/>
        </w:rPr>
        <w:t>Corresponding author:</w:t>
      </w:r>
      <w:r w:rsidRPr="00451CB3">
        <w:rPr>
          <w:rFonts w:ascii="Book Antiqua" w:hAnsi="Book Antiqua"/>
          <w:b/>
          <w:color w:val="000000" w:themeColor="text1"/>
          <w:szCs w:val="24"/>
        </w:rPr>
        <w:t xml:space="preserve"> Hideaki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MD, PhD,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Associate Professor,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Doctor,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Surgeon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Department of Surgery, Keio University School of Medicine, 35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Shinanomachi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>, Shinjuku-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>, Tokyo 1608582, Japan. obara.z3@keio.jp</w:t>
      </w:r>
    </w:p>
    <w:p w14:paraId="7050D153" w14:textId="258EFB9B" w:rsidR="001B2C62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hAnsi="Book Antiqua"/>
          <w:b/>
          <w:color w:val="000000" w:themeColor="text1"/>
          <w:szCs w:val="24"/>
        </w:rPr>
        <w:t>Telephone:</w:t>
      </w:r>
      <w:r>
        <w:rPr>
          <w:rFonts w:ascii="Book Antiqua" w:hAnsi="Book Antiqua"/>
          <w:color w:val="000000" w:themeColor="text1"/>
          <w:szCs w:val="24"/>
        </w:rPr>
        <w:t xml:space="preserve"> +81-3-3353</w:t>
      </w:r>
      <w:r w:rsidR="001B2C62" w:rsidRPr="00451CB3">
        <w:rPr>
          <w:rFonts w:ascii="Book Antiqua" w:hAnsi="Book Antiqua"/>
          <w:color w:val="000000" w:themeColor="text1"/>
          <w:szCs w:val="24"/>
        </w:rPr>
        <w:t>1211</w:t>
      </w:r>
    </w:p>
    <w:p w14:paraId="677B521D" w14:textId="435A7665" w:rsidR="001B2C62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hAnsi="Book Antiqua"/>
          <w:b/>
          <w:color w:val="000000" w:themeColor="text1"/>
          <w:szCs w:val="24"/>
        </w:rPr>
        <w:t xml:space="preserve">Fax: </w:t>
      </w:r>
      <w:r>
        <w:rPr>
          <w:rFonts w:ascii="Book Antiqua" w:hAnsi="Book Antiqua"/>
          <w:color w:val="000000" w:themeColor="text1"/>
          <w:szCs w:val="24"/>
        </w:rPr>
        <w:t>+81-3-3355</w:t>
      </w:r>
      <w:r w:rsidR="001B2C62" w:rsidRPr="00451CB3">
        <w:rPr>
          <w:rFonts w:ascii="Book Antiqua" w:hAnsi="Book Antiqua"/>
          <w:color w:val="000000" w:themeColor="text1"/>
          <w:szCs w:val="24"/>
        </w:rPr>
        <w:t>4707</w:t>
      </w:r>
    </w:p>
    <w:p w14:paraId="010A1135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18E837F9" w14:textId="12A43456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宋体" w:hAnsi="Book Antiqua" w:cs="Times New Roman"/>
          <w:b/>
          <w:kern w:val="0"/>
          <w:szCs w:val="24"/>
          <w:lang w:eastAsia="zh-CN"/>
        </w:rPr>
      </w:pPr>
      <w:bookmarkStart w:id="7" w:name="OLE_LINK14"/>
      <w:bookmarkStart w:id="8" w:name="OLE_LINK16"/>
      <w:bookmarkStart w:id="9" w:name="OLE_LINK51"/>
      <w:bookmarkStart w:id="10" w:name="OLE_LINK27"/>
      <w:bookmarkStart w:id="11" w:name="OLE_LINK382"/>
      <w:bookmarkStart w:id="12" w:name="OLE_LINK30"/>
      <w:bookmarkStart w:id="13" w:name="OLE_LINK376"/>
      <w:bookmarkStart w:id="14" w:name="OLE_LINK35"/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Received: </w:t>
      </w:r>
      <w:r w:rsidR="00956A82">
        <w:rPr>
          <w:rFonts w:ascii="Book Antiqua" w:eastAsia="宋体" w:hAnsi="Book Antiqua" w:cs="Times New Roman"/>
          <w:kern w:val="0"/>
          <w:szCs w:val="24"/>
          <w:lang w:eastAsia="zh-CN"/>
        </w:rPr>
        <w:t>January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11</w:t>
      </w:r>
      <w:r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1FB8199C" w14:textId="3B4DAC91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DengXia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>Peer-review started:</w:t>
      </w:r>
      <w:r w:rsidRPr="00E01BA4">
        <w:rPr>
          <w:rFonts w:ascii="Book Antiqua" w:eastAsia="DengXian" w:hAnsi="Book Antiqua" w:cs="Times New Roman"/>
          <w:b/>
          <w:kern w:val="0"/>
          <w:szCs w:val="24"/>
          <w:lang w:eastAsia="zh-CN"/>
        </w:rPr>
        <w:t xml:space="preserve"> </w:t>
      </w:r>
      <w:r w:rsidR="00956A82">
        <w:rPr>
          <w:rFonts w:ascii="Book Antiqua" w:eastAsia="宋体" w:hAnsi="Book Antiqua" w:cs="Times New Roman"/>
          <w:kern w:val="0"/>
          <w:szCs w:val="24"/>
          <w:lang w:eastAsia="zh-CN"/>
        </w:rPr>
        <w:t>January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11</w:t>
      </w:r>
      <w:r w:rsidR="00956A82"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74BB3A74" w14:textId="571F39A5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DengXia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>First decision:</w:t>
      </w:r>
      <w:r w:rsidRPr="00E01BA4">
        <w:rPr>
          <w:rFonts w:ascii="Book Antiqua" w:eastAsia="DengXian" w:hAnsi="Book Antiqua" w:cs="Times New Roman"/>
          <w:b/>
          <w:kern w:val="0"/>
          <w:szCs w:val="24"/>
          <w:lang w:eastAsia="zh-CN"/>
        </w:rPr>
        <w:t xml:space="preserve"> </w:t>
      </w:r>
      <w:bookmarkStart w:id="15" w:name="OLE_LINK31"/>
      <w:r w:rsidR="00956A82">
        <w:rPr>
          <w:rFonts w:ascii="Book Antiqua" w:eastAsia="宋体" w:hAnsi="Book Antiqua" w:cs="Times New Roman"/>
          <w:kern w:val="0"/>
          <w:szCs w:val="24"/>
          <w:lang w:eastAsia="zh-CN"/>
        </w:rPr>
        <w:t>February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13</w:t>
      </w:r>
      <w:r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  <w:bookmarkEnd w:id="15"/>
    </w:p>
    <w:p w14:paraId="4DBE6A9A" w14:textId="3ED40768" w:rsidR="00E01BA4" w:rsidRPr="00E01BA4" w:rsidRDefault="00E01BA4" w:rsidP="009A3D9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Revised: </w:t>
      </w:r>
      <w:r w:rsidR="00956A82">
        <w:rPr>
          <w:rFonts w:ascii="Book Antiqua" w:eastAsia="宋体" w:hAnsi="Book Antiqua" w:cs="Times New Roman"/>
          <w:kern w:val="0"/>
          <w:szCs w:val="24"/>
          <w:lang w:eastAsia="zh-CN"/>
        </w:rPr>
        <w:t>March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3</w:t>
      </w:r>
      <w:r w:rsidR="00956A82"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1D0C7688" w14:textId="1801E218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宋体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>Accepted:</w:t>
      </w:r>
      <w:r w:rsidR="00F7306E" w:rsidRPr="00F7306E">
        <w:t xml:space="preserve"> </w:t>
      </w:r>
      <w:r w:rsidR="00F7306E" w:rsidRPr="00F7306E">
        <w:rPr>
          <w:rFonts w:ascii="Book Antiqua" w:eastAsia="宋体" w:hAnsi="Book Antiqua" w:cs="Times New Roman"/>
          <w:kern w:val="0"/>
          <w:szCs w:val="24"/>
          <w:lang w:eastAsia="zh-CN"/>
        </w:rPr>
        <w:t>March 15, 2019</w:t>
      </w: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 </w:t>
      </w:r>
    </w:p>
    <w:p w14:paraId="022BF80E" w14:textId="68F46CBD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宋体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t>Article in press:</w:t>
      </w:r>
      <w:r w:rsidR="00114892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 </w:t>
      </w:r>
      <w:r w:rsidR="00114892" w:rsidRPr="00F7306E">
        <w:rPr>
          <w:rFonts w:ascii="Book Antiqua" w:eastAsia="宋体" w:hAnsi="Book Antiqua" w:cs="Times New Roman"/>
          <w:kern w:val="0"/>
          <w:szCs w:val="24"/>
          <w:lang w:eastAsia="zh-CN"/>
        </w:rPr>
        <w:t>March 1</w:t>
      </w:r>
      <w:r w:rsidR="00114892">
        <w:rPr>
          <w:rFonts w:ascii="Book Antiqua" w:eastAsia="宋体" w:hAnsi="Book Antiqua" w:cs="Times New Roman"/>
          <w:kern w:val="0"/>
          <w:szCs w:val="24"/>
          <w:lang w:eastAsia="zh-CN"/>
        </w:rPr>
        <w:t>6</w:t>
      </w:r>
      <w:r w:rsidR="00114892" w:rsidRPr="00F7306E">
        <w:rPr>
          <w:rFonts w:ascii="Book Antiqua" w:eastAsia="宋体" w:hAnsi="Book Antiqua" w:cs="Times New Roman"/>
          <w:kern w:val="0"/>
          <w:szCs w:val="24"/>
          <w:lang w:eastAsia="zh-CN"/>
        </w:rPr>
        <w:t>, 2019</w:t>
      </w:r>
    </w:p>
    <w:p w14:paraId="6BD7F0D9" w14:textId="7742A18E" w:rsidR="00E01BA4" w:rsidRPr="00E01BA4" w:rsidRDefault="00E01BA4" w:rsidP="009A3D9A">
      <w:pPr>
        <w:snapToGrid w:val="0"/>
        <w:spacing w:line="360" w:lineRule="auto"/>
        <w:outlineLvl w:val="0"/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</w:pPr>
      <w:r w:rsidRPr="00E01BA4">
        <w:rPr>
          <w:rFonts w:ascii="Book Antiqua" w:eastAsia="宋体" w:hAnsi="Book Antiqua" w:cs="Times New Roman"/>
          <w:b/>
          <w:kern w:val="0"/>
          <w:szCs w:val="24"/>
          <w:lang w:eastAsia="zh-CN"/>
        </w:rPr>
        <w:lastRenderedPageBreak/>
        <w:t>Published online:</w:t>
      </w:r>
      <w:bookmarkEnd w:id="7"/>
      <w:bookmarkEnd w:id="8"/>
      <w:bookmarkEnd w:id="9"/>
      <w:bookmarkEnd w:id="10"/>
      <w:bookmarkEnd w:id="11"/>
      <w:r w:rsidR="00114892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 </w:t>
      </w:r>
      <w:r w:rsidR="00114892">
        <w:rPr>
          <w:rFonts w:ascii="Book Antiqua" w:eastAsia="宋体" w:hAnsi="Book Antiqua" w:cs="Times New Roman"/>
          <w:kern w:val="0"/>
          <w:szCs w:val="24"/>
          <w:lang w:eastAsia="zh-CN"/>
        </w:rPr>
        <w:t>April</w:t>
      </w:r>
      <w:r w:rsidR="00114892" w:rsidRPr="00F7306E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 </w:t>
      </w:r>
      <w:r w:rsidR="00114892">
        <w:rPr>
          <w:rFonts w:ascii="Book Antiqua" w:eastAsia="宋体" w:hAnsi="Book Antiqua" w:cs="Times New Roman"/>
          <w:kern w:val="0"/>
          <w:szCs w:val="24"/>
          <w:lang w:eastAsia="zh-CN"/>
        </w:rPr>
        <w:t>21</w:t>
      </w:r>
      <w:r w:rsidR="00114892" w:rsidRPr="00F7306E">
        <w:rPr>
          <w:rFonts w:ascii="Book Antiqua" w:eastAsia="宋体" w:hAnsi="Book Antiqua" w:cs="Times New Roman"/>
          <w:kern w:val="0"/>
          <w:szCs w:val="24"/>
          <w:lang w:eastAsia="zh-CN"/>
        </w:rPr>
        <w:t>, 2019</w:t>
      </w:r>
    </w:p>
    <w:bookmarkEnd w:id="12"/>
    <w:bookmarkEnd w:id="13"/>
    <w:bookmarkEnd w:id="14"/>
    <w:p w14:paraId="007CE673" w14:textId="563FA4C7" w:rsidR="00E01BA4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eastAsia="宋体" w:hAnsi="Book Antiqua" w:cs="Times New Roman"/>
          <w:kern w:val="0"/>
          <w:szCs w:val="24"/>
          <w:lang w:eastAsia="zh-CN"/>
        </w:rPr>
        <w:br w:type="page"/>
      </w:r>
    </w:p>
    <w:p w14:paraId="7A42DC97" w14:textId="77777777" w:rsidR="00633FCA" w:rsidRPr="00CA521F" w:rsidRDefault="000B5DCD" w:rsidP="009A3D9A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</w:rPr>
      </w:pPr>
      <w:r w:rsidRPr="00CA521F">
        <w:rPr>
          <w:rFonts w:ascii="Book Antiqua" w:hAnsi="Book Antiqua"/>
          <w:b/>
        </w:rPr>
        <w:lastRenderedPageBreak/>
        <w:t>Abstract</w:t>
      </w:r>
    </w:p>
    <w:p w14:paraId="721591DA" w14:textId="1EB9599A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BACKGROUND</w:t>
      </w:r>
    </w:p>
    <w:p w14:paraId="40894D75" w14:textId="77777777" w:rsidR="00633FCA" w:rsidRPr="00CA521F" w:rsidRDefault="0064190C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bookmarkStart w:id="16" w:name="OLE_LINK33"/>
      <w:r w:rsidRPr="00CA521F">
        <w:rPr>
          <w:rFonts w:ascii="Book Antiqua" w:hAnsi="Book Antiqua"/>
          <w:color w:val="000000" w:themeColor="text1"/>
          <w:szCs w:val="24"/>
        </w:rPr>
        <w:t>Cytomegalovirus</w:t>
      </w:r>
      <w:bookmarkEnd w:id="16"/>
      <w:r w:rsidRPr="00CA521F">
        <w:rPr>
          <w:rFonts w:ascii="Book Antiqua" w:hAnsi="Book Antiqua"/>
          <w:color w:val="000000" w:themeColor="text1"/>
          <w:szCs w:val="24"/>
        </w:rPr>
        <w:t xml:space="preserve"> (CMV) remains a </w:t>
      </w:r>
      <w:r w:rsidR="002C594F" w:rsidRPr="00CA521F">
        <w:rPr>
          <w:rFonts w:ascii="Book Antiqua" w:hAnsi="Book Antiqua"/>
          <w:color w:val="000000" w:themeColor="text1"/>
          <w:szCs w:val="24"/>
        </w:rPr>
        <w:t>critical</w:t>
      </w:r>
      <w:r w:rsidRPr="00CA521F">
        <w:rPr>
          <w:rFonts w:ascii="Book Antiqua" w:hAnsi="Book Antiqua"/>
          <w:color w:val="000000" w:themeColor="text1"/>
          <w:szCs w:val="24"/>
        </w:rPr>
        <w:t xml:space="preserve"> complication after solid</w:t>
      </w:r>
      <w:r w:rsidR="008B5643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 xml:space="preserve">organ transplantation. </w:t>
      </w:r>
      <w:r w:rsidR="008B5643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CMV antigenemia (AG) test is useful for monitoring CMV infection. Although the AG-positiv</w:t>
      </w:r>
      <w:r w:rsidR="008B5643" w:rsidRPr="00CA521F">
        <w:rPr>
          <w:rFonts w:ascii="Book Antiqua" w:hAnsi="Book Antiqua"/>
          <w:color w:val="000000" w:themeColor="text1"/>
          <w:szCs w:val="24"/>
        </w:rPr>
        <w:t>ity</w:t>
      </w:r>
      <w:r w:rsidRPr="00CA521F">
        <w:rPr>
          <w:rFonts w:ascii="Book Antiqua" w:hAnsi="Book Antiqua"/>
          <w:color w:val="000000" w:themeColor="text1"/>
          <w:szCs w:val="24"/>
        </w:rPr>
        <w:t xml:space="preserve"> rate in CMV gastroenteritis is known to be low at onset, almost </w:t>
      </w:r>
      <w:r w:rsidR="008B5643" w:rsidRPr="00CA521F">
        <w:rPr>
          <w:rFonts w:ascii="Book Antiqua" w:hAnsi="Book Antiqua"/>
          <w:color w:val="000000" w:themeColor="text1"/>
          <w:szCs w:val="24"/>
        </w:rPr>
        <w:t xml:space="preserve">all </w:t>
      </w:r>
      <w:r w:rsidRPr="00CA521F">
        <w:rPr>
          <w:rFonts w:ascii="Book Antiqua" w:hAnsi="Book Antiqua"/>
          <w:color w:val="000000" w:themeColor="text1"/>
          <w:szCs w:val="24"/>
        </w:rPr>
        <w:t xml:space="preserve">cases become positive during the disease course. We treated a </w:t>
      </w:r>
      <w:r w:rsidR="008B5643" w:rsidRPr="00CA521F">
        <w:rPr>
          <w:rFonts w:ascii="Book Antiqua" w:hAnsi="Book Antiqua"/>
          <w:color w:val="000000" w:themeColor="text1"/>
          <w:szCs w:val="24"/>
        </w:rPr>
        <w:t>patient with</w:t>
      </w:r>
      <w:r w:rsidRPr="00CA521F">
        <w:rPr>
          <w:rFonts w:ascii="Book Antiqua" w:hAnsi="Book Antiqua"/>
          <w:color w:val="000000" w:themeColor="text1"/>
          <w:szCs w:val="24"/>
        </w:rPr>
        <w:t xml:space="preserve"> transverse colon perforation due to AG-negative CMV gastroenteritis, following a living donor liver transplantation (LDLT).</w:t>
      </w:r>
    </w:p>
    <w:p w14:paraId="6E6D65AE" w14:textId="77777777" w:rsidR="0064190C" w:rsidRPr="009A3D9A" w:rsidRDefault="0064190C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  <w:lang w:eastAsia="zh-CN"/>
        </w:rPr>
      </w:pPr>
    </w:p>
    <w:p w14:paraId="45548058" w14:textId="77777777" w:rsid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CASE SUMMARY</w:t>
      </w:r>
    </w:p>
    <w:p w14:paraId="16BE51E2" w14:textId="55CC8E61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 patient was a 52-year-old woman with decompensated liver</w:t>
      </w:r>
      <w:r w:rsidRPr="00451CB3">
        <w:rPr>
          <w:rFonts w:ascii="Book Antiqua" w:hAnsi="Book Antiqua"/>
          <w:color w:val="000000" w:themeColor="text1"/>
          <w:szCs w:val="24"/>
        </w:rPr>
        <w:t xml:space="preserve"> cirrhosis </w:t>
      </w:r>
      <w:r w:rsidR="008B5643" w:rsidRPr="00451CB3">
        <w:rPr>
          <w:rFonts w:ascii="Book Antiqua" w:hAnsi="Book Antiqua"/>
          <w:color w:val="000000" w:themeColor="text1"/>
          <w:szCs w:val="24"/>
        </w:rPr>
        <w:t>as</w:t>
      </w:r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a result of </w:t>
      </w:r>
      <w:r w:rsidRPr="00451CB3">
        <w:rPr>
          <w:rFonts w:ascii="Book Antiqua" w:hAnsi="Book Antiqua"/>
          <w:color w:val="000000" w:themeColor="text1"/>
          <w:szCs w:val="24"/>
        </w:rPr>
        <w:t xml:space="preserve">autoimmune hepatitis who </w:t>
      </w:r>
      <w:r w:rsidR="0064190C" w:rsidRPr="00451CB3">
        <w:rPr>
          <w:rFonts w:ascii="Book Antiqua" w:hAnsi="Book Antiqua"/>
          <w:color w:val="000000" w:themeColor="text1"/>
          <w:szCs w:val="24"/>
        </w:rPr>
        <w:t>underwent a blood-type compatible LDLT with her second son as the donor.</w:t>
      </w:r>
      <w:r w:rsidRPr="00451CB3">
        <w:rPr>
          <w:rFonts w:ascii="Book Antiqua" w:hAnsi="Book Antiqua"/>
          <w:color w:val="000000" w:themeColor="text1"/>
          <w:szCs w:val="24"/>
        </w:rPr>
        <w:t xml:space="preserve"> On </w:t>
      </w:r>
      <w:r w:rsidR="008B5643" w:rsidRPr="00451CB3">
        <w:rPr>
          <w:rFonts w:ascii="Book Antiqua" w:hAnsi="Book Antiqua"/>
          <w:color w:val="000000" w:themeColor="text1"/>
          <w:szCs w:val="24"/>
        </w:rPr>
        <w:t>d</w:t>
      </w:r>
      <w:r w:rsidRPr="00451CB3">
        <w:rPr>
          <w:rFonts w:ascii="Book Antiqua" w:hAnsi="Book Antiqua"/>
          <w:color w:val="000000" w:themeColor="text1"/>
          <w:szCs w:val="24"/>
        </w:rPr>
        <w:t>ay 20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after surgery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="008B5643" w:rsidRPr="00451CB3">
        <w:rPr>
          <w:rFonts w:ascii="Book Antiqua" w:hAnsi="Book Antiqua"/>
          <w:color w:val="000000" w:themeColor="text1"/>
          <w:szCs w:val="24"/>
        </w:rPr>
        <w:t>u</w:t>
      </w:r>
      <w:r w:rsidRPr="00451CB3">
        <w:rPr>
          <w:rFonts w:ascii="Book Antiqua" w:hAnsi="Book Antiqua"/>
          <w:color w:val="000000" w:themeColor="text1"/>
          <w:szCs w:val="24"/>
        </w:rPr>
        <w:t>pper and lower gastrointestinal endoscopy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(GE)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multiple gastric ulcers and transverse colon ulcer</w:t>
      </w:r>
      <w:r w:rsidR="005616F2" w:rsidRPr="00451CB3">
        <w:rPr>
          <w:rFonts w:ascii="Book Antiqua" w:hAnsi="Book Antiqua"/>
          <w:color w:val="000000" w:themeColor="text1"/>
          <w:szCs w:val="24"/>
        </w:rPr>
        <w:t>s</w:t>
      </w:r>
      <w:r w:rsidRPr="00451CB3">
        <w:rPr>
          <w:rFonts w:ascii="Book Antiqua" w:hAnsi="Book Antiqua"/>
          <w:color w:val="000000" w:themeColor="text1"/>
          <w:szCs w:val="24"/>
        </w:rPr>
        <w:t xml:space="preserve">. The biopsy tissue immunostaining confirmed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a diagnosis of </w:t>
      </w:r>
      <w:r w:rsidRPr="00451CB3">
        <w:rPr>
          <w:rFonts w:ascii="Book Antiqua" w:hAnsi="Book Antiqua"/>
          <w:color w:val="000000" w:themeColor="text1"/>
          <w:szCs w:val="24"/>
        </w:rPr>
        <w:t xml:space="preserve">CMV gastroenteritis. On </w:t>
      </w:r>
      <w:r w:rsidR="008B5643" w:rsidRPr="00451CB3">
        <w:rPr>
          <w:rFonts w:ascii="Book Antiqua" w:hAnsi="Book Antiqua"/>
          <w:color w:val="000000" w:themeColor="text1"/>
          <w:szCs w:val="24"/>
        </w:rPr>
        <w:t>d</w:t>
      </w:r>
      <w:r w:rsidRPr="00451CB3">
        <w:rPr>
          <w:rFonts w:ascii="Book Antiqua" w:hAnsi="Book Antiqua"/>
          <w:color w:val="000000" w:themeColor="text1"/>
          <w:szCs w:val="24"/>
        </w:rPr>
        <w:t>ay 28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after surgery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="0064190C" w:rsidRPr="00451CB3">
        <w:rPr>
          <w:rFonts w:ascii="Book Antiqua" w:hAnsi="Book Antiqua"/>
          <w:color w:val="000000" w:themeColor="text1"/>
          <w:szCs w:val="24"/>
        </w:rPr>
        <w:t>a</w:t>
      </w:r>
      <w:r w:rsidR="005616F2" w:rsidRPr="00451CB3">
        <w:rPr>
          <w:rFonts w:ascii="Book Antiqua" w:hAnsi="Book Antiqua"/>
          <w:color w:val="000000" w:themeColor="text1"/>
          <w:szCs w:val="24"/>
        </w:rPr>
        <w:t>n a</w:t>
      </w:r>
      <w:r w:rsidRPr="00451CB3">
        <w:rPr>
          <w:rFonts w:ascii="Book Antiqua" w:hAnsi="Book Antiqua"/>
          <w:color w:val="000000" w:themeColor="text1"/>
          <w:szCs w:val="24"/>
        </w:rPr>
        <w:t xml:space="preserve">bdominal </w:t>
      </w:r>
      <w:r w:rsidR="005616F2" w:rsidRPr="00451CB3">
        <w:rPr>
          <w:rFonts w:ascii="Book Antiqua" w:hAnsi="Book Antiqua"/>
          <w:color w:val="000000" w:themeColor="text1"/>
          <w:szCs w:val="24"/>
        </w:rPr>
        <w:t>computed tomography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transverse colon perforation, and simple lavage and drainage </w:t>
      </w:r>
      <w:r w:rsidR="008B5643" w:rsidRPr="00451CB3">
        <w:rPr>
          <w:rFonts w:ascii="Book Antiqua" w:hAnsi="Book Antiqua"/>
          <w:color w:val="000000" w:themeColor="text1"/>
          <w:szCs w:val="24"/>
        </w:rPr>
        <w:t>were</w:t>
      </w:r>
      <w:r w:rsidRPr="00451CB3">
        <w:rPr>
          <w:rFonts w:ascii="Book Antiqua" w:hAnsi="Book Antiqua"/>
          <w:color w:val="000000" w:themeColor="text1"/>
          <w:szCs w:val="24"/>
        </w:rPr>
        <w:t xml:space="preserve"> performed along with an urgent ileostomy. Although the repeated remission and aggravation of CMV </w:t>
      </w:r>
      <w:r w:rsidR="008B5643" w:rsidRPr="00451CB3">
        <w:rPr>
          <w:rFonts w:ascii="Book Antiqua" w:hAnsi="Book Antiqua"/>
          <w:color w:val="000000" w:themeColor="text1"/>
          <w:szCs w:val="24"/>
        </w:rPr>
        <w:t>gastro</w:t>
      </w:r>
      <w:r w:rsidRPr="00451CB3">
        <w:rPr>
          <w:rFonts w:ascii="Book Antiqua" w:hAnsi="Book Antiqua"/>
          <w:color w:val="000000" w:themeColor="text1"/>
          <w:szCs w:val="24"/>
        </w:rPr>
        <w:t xml:space="preserve">enteritis and </w:t>
      </w:r>
      <w:r w:rsidR="005616F2" w:rsidRPr="00451CB3">
        <w:rPr>
          <w:rFonts w:ascii="Book Antiqua" w:hAnsi="Book Antiqua"/>
          <w:color w:val="000000" w:themeColor="text1"/>
          <w:szCs w:val="24"/>
        </w:rPr>
        <w:t>acute cellular rejection</w:t>
      </w:r>
      <w:r w:rsidRPr="00451CB3">
        <w:rPr>
          <w:rFonts w:ascii="Book Antiqua" w:hAnsi="Book Antiqua"/>
          <w:color w:val="000000" w:themeColor="text1"/>
          <w:szCs w:val="24"/>
        </w:rPr>
        <w:t xml:space="preserve"> made the control of immunosuppression difficult, the upper </w:t>
      </w:r>
      <w:r w:rsidR="0064190C" w:rsidRPr="00451CB3">
        <w:rPr>
          <w:rFonts w:ascii="Book Antiqua" w:hAnsi="Book Antiqua"/>
          <w:color w:val="000000" w:themeColor="text1"/>
          <w:szCs w:val="24"/>
        </w:rPr>
        <w:t>GE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eventually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an improvement in the gastric ulcers, and the biopsy samples were negative for CMV.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The CMV-AG test remained negative, therefore</w:t>
      </w:r>
      <w:r w:rsidR="008B5643" w:rsidRPr="00451CB3">
        <w:rPr>
          <w:rFonts w:ascii="Book Antiqua" w:hAnsi="Book Antiqua"/>
          <w:color w:val="000000" w:themeColor="text1"/>
          <w:szCs w:val="24"/>
        </w:rPr>
        <w:t>,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we had to evaluate the status of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the 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CMV infection on the basis of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the </w:t>
      </w:r>
      <w:r w:rsidR="0064190C" w:rsidRPr="00451CB3">
        <w:rPr>
          <w:rFonts w:ascii="Book Antiqua" w:hAnsi="Book Antiqua"/>
          <w:color w:val="000000" w:themeColor="text1"/>
          <w:szCs w:val="24"/>
        </w:rPr>
        <w:t>clinical symptoms and GE.</w:t>
      </w:r>
    </w:p>
    <w:p w14:paraId="1E580061" w14:textId="77777777" w:rsidR="0039244C" w:rsidRPr="00451CB3" w:rsidRDefault="0039244C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31134256" w14:textId="237EF3FC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CONCLUSION</w:t>
      </w:r>
    </w:p>
    <w:p w14:paraId="4AE4A074" w14:textId="77777777" w:rsidR="00633FCA" w:rsidRPr="00CA521F" w:rsidRDefault="00633FCA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This case report </w:t>
      </w:r>
      <w:r w:rsidR="002C594F" w:rsidRPr="00CA521F">
        <w:rPr>
          <w:rFonts w:ascii="Book Antiqua" w:hAnsi="Book Antiqua"/>
          <w:color w:val="000000" w:themeColor="text1"/>
          <w:szCs w:val="24"/>
        </w:rPr>
        <w:t>suggest</w:t>
      </w:r>
      <w:r w:rsidR="00E75546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a monitoring method </w:t>
      </w:r>
      <w:r w:rsidR="00E75546" w:rsidRPr="00CA521F">
        <w:rPr>
          <w:rFonts w:ascii="Book Antiqua" w:hAnsi="Book Antiqua"/>
          <w:color w:val="000000" w:themeColor="text1"/>
          <w:szCs w:val="24"/>
        </w:rPr>
        <w:t xml:space="preserve">that could be useful </w:t>
      </w:r>
      <w:r w:rsidRPr="00CA521F">
        <w:rPr>
          <w:rFonts w:ascii="Book Antiqua" w:hAnsi="Book Antiqua"/>
          <w:color w:val="000000" w:themeColor="text1"/>
          <w:szCs w:val="24"/>
        </w:rPr>
        <w:t>for AG-negative CMV gastroenteritis after a solid</w:t>
      </w:r>
      <w:r w:rsidR="00E75546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3FEC595C" w14:textId="77777777" w:rsidR="003B661A" w:rsidRPr="00CA521F" w:rsidRDefault="003B661A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692CE261" w14:textId="1D4176E2" w:rsidR="00D1509F" w:rsidRPr="00451CB3" w:rsidRDefault="000B5DC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Key</w:t>
      </w:r>
      <w:r w:rsidR="00CA521F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b/>
          <w:color w:val="000000" w:themeColor="text1"/>
          <w:szCs w:val="24"/>
        </w:rPr>
        <w:t>words</w:t>
      </w:r>
      <w:r w:rsidR="00D1509F" w:rsidRPr="00CA521F">
        <w:rPr>
          <w:rFonts w:ascii="Book Antiqua" w:hAnsi="Book Antiqua"/>
          <w:b/>
          <w:color w:val="000000" w:themeColor="text1"/>
          <w:szCs w:val="24"/>
        </w:rPr>
        <w:t>:</w:t>
      </w:r>
      <w:r w:rsidR="00D1509F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7A216C" w:rsidRPr="00451CB3">
        <w:rPr>
          <w:rFonts w:ascii="Book Antiqua" w:hAnsi="Book Antiqua"/>
          <w:color w:val="000000" w:themeColor="text1"/>
          <w:szCs w:val="24"/>
        </w:rPr>
        <w:t>Cytomegalovirus gastro</w:t>
      </w:r>
      <w:r w:rsidR="00CD02E5" w:rsidRPr="00451CB3">
        <w:rPr>
          <w:rFonts w:ascii="Book Antiqua" w:hAnsi="Book Antiqua"/>
          <w:color w:val="000000" w:themeColor="text1"/>
          <w:szCs w:val="24"/>
        </w:rPr>
        <w:t>intestinal disease</w:t>
      </w:r>
      <w:r w:rsidR="00250074" w:rsidRPr="00451CB3">
        <w:rPr>
          <w:rFonts w:ascii="Book Antiqua" w:hAnsi="Book Antiqua"/>
          <w:color w:val="000000" w:themeColor="text1"/>
          <w:szCs w:val="24"/>
        </w:rPr>
        <w:t xml:space="preserve">; </w:t>
      </w:r>
      <w:r w:rsidR="002C49E6" w:rsidRPr="00451CB3">
        <w:rPr>
          <w:rFonts w:ascii="Book Antiqua" w:hAnsi="Book Antiqua"/>
          <w:color w:val="000000" w:themeColor="text1"/>
          <w:szCs w:val="24"/>
        </w:rPr>
        <w:t>C</w:t>
      </w:r>
      <w:r w:rsidR="007A216C" w:rsidRPr="00451CB3">
        <w:rPr>
          <w:rFonts w:ascii="Book Antiqua" w:hAnsi="Book Antiqua"/>
          <w:color w:val="000000" w:themeColor="text1"/>
          <w:szCs w:val="24"/>
        </w:rPr>
        <w:t>olon perforation</w:t>
      </w:r>
      <w:r w:rsidR="00250074" w:rsidRPr="00451CB3">
        <w:rPr>
          <w:rFonts w:ascii="Book Antiqua" w:hAnsi="Book Antiqua"/>
          <w:color w:val="000000" w:themeColor="text1"/>
          <w:szCs w:val="24"/>
        </w:rPr>
        <w:t xml:space="preserve">; </w:t>
      </w:r>
      <w:r w:rsidR="007A216C" w:rsidRPr="00451CB3">
        <w:rPr>
          <w:rFonts w:ascii="Book Antiqua" w:hAnsi="Book Antiqua"/>
          <w:color w:val="000000" w:themeColor="text1"/>
          <w:szCs w:val="24"/>
        </w:rPr>
        <w:t>Antigenemia negative</w:t>
      </w:r>
      <w:r w:rsidR="00250074" w:rsidRPr="00451CB3">
        <w:rPr>
          <w:rFonts w:ascii="Book Antiqua" w:hAnsi="Book Antiqua"/>
          <w:color w:val="000000" w:themeColor="text1"/>
          <w:szCs w:val="24"/>
        </w:rPr>
        <w:t>; Liver transplantation</w:t>
      </w:r>
      <w:r w:rsidR="002246A3" w:rsidRPr="00451CB3">
        <w:rPr>
          <w:rFonts w:ascii="Book Antiqua" w:hAnsi="Book Antiqua"/>
          <w:color w:val="000000" w:themeColor="text1"/>
          <w:szCs w:val="24"/>
        </w:rPr>
        <w:t>; Case report</w:t>
      </w:r>
    </w:p>
    <w:p w14:paraId="79F599C6" w14:textId="77777777" w:rsidR="00D1509F" w:rsidRDefault="00D1509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737A90D8" w14:textId="702D782A" w:rsidR="00CA521F" w:rsidRDefault="00CA521F" w:rsidP="009A3D9A">
      <w:pPr>
        <w:topLinePunct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Cs w:val="24"/>
          <w:lang w:eastAsia="zh-CN"/>
        </w:rPr>
      </w:pPr>
      <w:bookmarkStart w:id="17" w:name="OLE_LINK43"/>
      <w:bookmarkStart w:id="18" w:name="OLE_LINK44"/>
      <w:r w:rsidRPr="00CA521F">
        <w:rPr>
          <w:rFonts w:ascii="Book Antiqua" w:eastAsia="宋体" w:hAnsi="Book Antiqua" w:cs="Times New Roman"/>
          <w:b/>
          <w:kern w:val="0"/>
          <w:szCs w:val="24"/>
          <w:lang w:eastAsia="zh-CN"/>
        </w:rPr>
        <w:t>© The Author(s) 201</w:t>
      </w:r>
      <w:r w:rsidRPr="00CA521F">
        <w:rPr>
          <w:rFonts w:ascii="Book Antiqua" w:eastAsia="宋体" w:hAnsi="Book Antiqua" w:cs="Times New Roman" w:hint="eastAsia"/>
          <w:b/>
          <w:kern w:val="0"/>
          <w:szCs w:val="24"/>
          <w:lang w:eastAsia="zh-CN"/>
        </w:rPr>
        <w:t>9</w:t>
      </w:r>
      <w:r w:rsidRPr="00CA521F">
        <w:rPr>
          <w:rFonts w:ascii="Book Antiqua" w:eastAsia="宋体" w:hAnsi="Book Antiqua" w:cs="Times New Roman"/>
          <w:b/>
          <w:kern w:val="0"/>
          <w:szCs w:val="24"/>
          <w:lang w:eastAsia="zh-CN"/>
        </w:rPr>
        <w:t xml:space="preserve">. </w:t>
      </w:r>
      <w:r w:rsidRPr="00CA521F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Published by </w:t>
      </w:r>
      <w:proofErr w:type="spellStart"/>
      <w:r w:rsidRPr="00CA521F">
        <w:rPr>
          <w:rFonts w:ascii="Book Antiqua" w:eastAsia="宋体" w:hAnsi="Book Antiqua" w:cs="Times New Roman"/>
          <w:kern w:val="0"/>
          <w:szCs w:val="24"/>
          <w:lang w:eastAsia="zh-CN"/>
        </w:rPr>
        <w:t>Baishideng</w:t>
      </w:r>
      <w:proofErr w:type="spellEnd"/>
      <w:r w:rsidRPr="00CA521F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 Publishing Group Inc. All rights reserved.</w:t>
      </w:r>
      <w:bookmarkEnd w:id="17"/>
      <w:bookmarkEnd w:id="18"/>
    </w:p>
    <w:p w14:paraId="1B67D91F" w14:textId="77777777" w:rsidR="00CA521F" w:rsidRPr="00451CB3" w:rsidRDefault="00CA521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E192867" w14:textId="77777777" w:rsidR="00503F88" w:rsidRPr="00CA521F" w:rsidRDefault="0025007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Core tip</w:t>
      </w:r>
      <w:r w:rsidR="00F075D9" w:rsidRPr="00CA521F">
        <w:rPr>
          <w:rFonts w:ascii="Book Antiqua" w:hAnsi="Book Antiqua"/>
          <w:b/>
          <w:color w:val="000000" w:themeColor="text1"/>
          <w:szCs w:val="24"/>
        </w:rPr>
        <w:t>:</w:t>
      </w:r>
      <w:r w:rsidR="00F075D9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E75546" w:rsidRPr="00451CB3">
        <w:rPr>
          <w:rFonts w:ascii="Book Antiqua" w:hAnsi="Book Antiqua"/>
          <w:color w:val="000000" w:themeColor="text1"/>
          <w:szCs w:val="24"/>
        </w:rPr>
        <w:t>The c</w:t>
      </w:r>
      <w:r w:rsidR="00116EDD" w:rsidRPr="00451CB3">
        <w:rPr>
          <w:rFonts w:ascii="Book Antiqua" w:hAnsi="Book Antiqua"/>
          <w:color w:val="000000" w:themeColor="text1"/>
          <w:szCs w:val="24"/>
        </w:rPr>
        <w:t>ytomegalovirus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(CMV)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antigenemia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(AG) test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is useful for monitoring </w:t>
      </w:r>
      <w:r w:rsidR="00934613" w:rsidRPr="00451CB3">
        <w:rPr>
          <w:rFonts w:ascii="Book Antiqua" w:hAnsi="Book Antiqua"/>
          <w:color w:val="000000" w:themeColor="text1"/>
          <w:szCs w:val="24"/>
        </w:rPr>
        <w:t>recipient</w:t>
      </w:r>
      <w:r w:rsidR="00E75546" w:rsidRPr="00451CB3">
        <w:rPr>
          <w:rFonts w:ascii="Book Antiqua" w:hAnsi="Book Antiqua"/>
          <w:color w:val="000000" w:themeColor="text1"/>
          <w:szCs w:val="24"/>
        </w:rPr>
        <w:t>s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for </w:t>
      </w:r>
      <w:proofErr w:type="spellStart"/>
      <w:r w:rsidR="00934613" w:rsidRPr="00451CB3">
        <w:rPr>
          <w:rFonts w:ascii="Book Antiqua" w:hAnsi="Book Antiqua"/>
          <w:color w:val="000000" w:themeColor="text1"/>
          <w:szCs w:val="24"/>
        </w:rPr>
        <w:t>post</w:t>
      </w:r>
      <w:r w:rsidR="00503F88" w:rsidRPr="00451CB3">
        <w:rPr>
          <w:rFonts w:ascii="Book Antiqua" w:hAnsi="Book Antiqua"/>
          <w:color w:val="000000" w:themeColor="text1"/>
          <w:szCs w:val="24"/>
        </w:rPr>
        <w:t>transplant</w:t>
      </w:r>
      <w:r w:rsidR="0039244C" w:rsidRPr="00451CB3">
        <w:rPr>
          <w:rFonts w:ascii="Book Antiqua" w:hAnsi="Book Antiqua"/>
          <w:color w:val="000000" w:themeColor="text1"/>
          <w:szCs w:val="24"/>
        </w:rPr>
        <w:t>ation</w:t>
      </w:r>
      <w:proofErr w:type="spellEnd"/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C</w:t>
      </w:r>
      <w:r w:rsidR="00934613" w:rsidRPr="00451CB3">
        <w:rPr>
          <w:rFonts w:ascii="Book Antiqua" w:hAnsi="Book Antiqua"/>
          <w:color w:val="000000" w:themeColor="text1"/>
          <w:szCs w:val="24"/>
        </w:rPr>
        <w:t>MV infection. Although the AG-positiv</w:t>
      </w:r>
      <w:r w:rsidR="00E75546" w:rsidRPr="00451CB3">
        <w:rPr>
          <w:rFonts w:ascii="Book Antiqua" w:hAnsi="Book Antiqua"/>
          <w:color w:val="000000" w:themeColor="text1"/>
          <w:szCs w:val="24"/>
        </w:rPr>
        <w:t>ity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rate in CMV </w:t>
      </w:r>
      <w:r w:rsidR="00A7022E" w:rsidRPr="00451CB3">
        <w:rPr>
          <w:rFonts w:ascii="Book Antiqua" w:hAnsi="Book Antiqua"/>
          <w:color w:val="000000" w:themeColor="text1"/>
          <w:szCs w:val="24"/>
        </w:rPr>
        <w:t>gastro</w:t>
      </w:r>
      <w:r w:rsidR="00934613" w:rsidRPr="00451CB3">
        <w:rPr>
          <w:rFonts w:ascii="Book Antiqua" w:hAnsi="Book Antiqua"/>
          <w:color w:val="000000" w:themeColor="text1"/>
          <w:szCs w:val="24"/>
        </w:rPr>
        <w:t>ente</w:t>
      </w:r>
      <w:r w:rsidR="00A7022E" w:rsidRPr="00451CB3">
        <w:rPr>
          <w:rFonts w:ascii="Book Antiqua" w:hAnsi="Book Antiqua"/>
          <w:color w:val="000000" w:themeColor="text1"/>
          <w:szCs w:val="24"/>
        </w:rPr>
        <w:t>ritis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is known to </w:t>
      </w:r>
      <w:r w:rsidR="00A7022E" w:rsidRPr="00451CB3">
        <w:rPr>
          <w:rFonts w:ascii="Book Antiqua" w:hAnsi="Book Antiqua"/>
          <w:color w:val="000000" w:themeColor="text1"/>
          <w:szCs w:val="24"/>
        </w:rPr>
        <w:t>be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low </w:t>
      </w:r>
      <w:r w:rsidR="00A7022E" w:rsidRPr="00451CB3">
        <w:rPr>
          <w:rFonts w:ascii="Book Antiqua" w:hAnsi="Book Antiqua"/>
          <w:color w:val="000000" w:themeColor="text1"/>
          <w:szCs w:val="24"/>
        </w:rPr>
        <w:t>at onset,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A7022E" w:rsidRPr="00451CB3">
        <w:rPr>
          <w:rFonts w:ascii="Book Antiqua" w:hAnsi="Book Antiqua"/>
          <w:color w:val="000000" w:themeColor="text1"/>
          <w:szCs w:val="24"/>
        </w:rPr>
        <w:t>most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cases bec</w:t>
      </w:r>
      <w:r w:rsidR="00A7022E" w:rsidRPr="00451CB3">
        <w:rPr>
          <w:rFonts w:ascii="Book Antiqua" w:hAnsi="Book Antiqua"/>
          <w:color w:val="000000" w:themeColor="text1"/>
          <w:szCs w:val="24"/>
        </w:rPr>
        <w:t>o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me positive during the 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disease </w:t>
      </w:r>
      <w:r w:rsidR="00503F88" w:rsidRPr="00451CB3">
        <w:rPr>
          <w:rFonts w:ascii="Book Antiqua" w:hAnsi="Book Antiqua"/>
          <w:color w:val="000000" w:themeColor="text1"/>
          <w:szCs w:val="24"/>
        </w:rPr>
        <w:t>course.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We managed a 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patient with a 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complicated </w:t>
      </w:r>
      <w:r w:rsidR="00E75546" w:rsidRPr="00451CB3">
        <w:rPr>
          <w:rFonts w:ascii="Book Antiqua" w:hAnsi="Book Antiqua"/>
          <w:color w:val="000000" w:themeColor="text1"/>
          <w:szCs w:val="24"/>
        </w:rPr>
        <w:t>condition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with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 a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transverse colon perforation caused by AG-negative CMV gastroenteritis, after a living donor liver transplant</w:t>
      </w:r>
      <w:r w:rsidR="0039244C" w:rsidRPr="00451CB3">
        <w:rPr>
          <w:rFonts w:ascii="Book Antiqua" w:hAnsi="Book Antiqua"/>
          <w:color w:val="000000" w:themeColor="text1"/>
          <w:szCs w:val="24"/>
        </w:rPr>
        <w:t>ation</w:t>
      </w:r>
      <w:r w:rsidR="00FD2172" w:rsidRPr="00451CB3">
        <w:rPr>
          <w:rFonts w:ascii="Book Antiqua" w:hAnsi="Book Antiqua"/>
          <w:color w:val="000000" w:themeColor="text1"/>
          <w:szCs w:val="24"/>
        </w:rPr>
        <w:t>.</w:t>
      </w:r>
      <w:r w:rsidR="009A4CD3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This case </w:t>
      </w:r>
      <w:r w:rsidR="00A7022E" w:rsidRPr="00451CB3">
        <w:rPr>
          <w:rFonts w:ascii="Book Antiqua" w:hAnsi="Book Antiqua"/>
          <w:color w:val="000000" w:themeColor="text1"/>
          <w:szCs w:val="24"/>
        </w:rPr>
        <w:t>report present</w:t>
      </w:r>
      <w:r w:rsidR="00E75546" w:rsidRPr="00451CB3">
        <w:rPr>
          <w:rFonts w:ascii="Book Antiqua" w:hAnsi="Book Antiqua"/>
          <w:color w:val="000000" w:themeColor="text1"/>
          <w:szCs w:val="24"/>
        </w:rPr>
        <w:t>s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43EA9" w:rsidRPr="00451CB3">
        <w:rPr>
          <w:rFonts w:ascii="Book Antiqua" w:hAnsi="Book Antiqua"/>
          <w:color w:val="000000" w:themeColor="text1"/>
          <w:szCs w:val="24"/>
        </w:rPr>
        <w:t xml:space="preserve">a 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method 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that could be important monitoring </w:t>
      </w:r>
      <w:r w:rsidR="00503F88" w:rsidRPr="00451CB3">
        <w:rPr>
          <w:rFonts w:ascii="Book Antiqua" w:hAnsi="Book Antiqua"/>
          <w:color w:val="000000" w:themeColor="text1"/>
          <w:szCs w:val="24"/>
        </w:rPr>
        <w:t>for</w:t>
      </w:r>
      <w:r w:rsidR="00C74277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A7022E" w:rsidRPr="00451CB3">
        <w:rPr>
          <w:rFonts w:ascii="Book Antiqua" w:hAnsi="Book Antiqua"/>
          <w:color w:val="000000" w:themeColor="text1"/>
          <w:szCs w:val="24"/>
        </w:rPr>
        <w:t>AG-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negative </w:t>
      </w:r>
      <w:r w:rsidR="00116EDD" w:rsidRPr="00451CB3">
        <w:rPr>
          <w:rFonts w:ascii="Book Antiqua" w:hAnsi="Book Antiqua"/>
          <w:color w:val="000000" w:themeColor="text1"/>
          <w:szCs w:val="24"/>
        </w:rPr>
        <w:t>C</w:t>
      </w:r>
      <w:r w:rsidR="00A7022E" w:rsidRPr="00451CB3">
        <w:rPr>
          <w:rFonts w:ascii="Book Antiqua" w:hAnsi="Book Antiqua"/>
          <w:color w:val="000000" w:themeColor="text1"/>
          <w:szCs w:val="24"/>
        </w:rPr>
        <w:t>MV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gastro</w:t>
      </w:r>
      <w:r w:rsidR="00A7022E" w:rsidRPr="00451CB3">
        <w:rPr>
          <w:rFonts w:ascii="Book Antiqua" w:hAnsi="Book Antiqua"/>
          <w:color w:val="000000" w:themeColor="text1"/>
          <w:szCs w:val="24"/>
        </w:rPr>
        <w:t>e</w:t>
      </w:r>
      <w:r w:rsidR="00116EDD" w:rsidRPr="00451CB3">
        <w:rPr>
          <w:rFonts w:ascii="Book Antiqua" w:hAnsi="Book Antiqua"/>
          <w:color w:val="000000" w:themeColor="text1"/>
          <w:szCs w:val="24"/>
        </w:rPr>
        <w:t>nte</w:t>
      </w:r>
      <w:r w:rsidR="00A7022E" w:rsidRPr="00451CB3">
        <w:rPr>
          <w:rFonts w:ascii="Book Antiqua" w:hAnsi="Book Antiqua"/>
          <w:color w:val="000000" w:themeColor="text1"/>
          <w:szCs w:val="24"/>
        </w:rPr>
        <w:t>ritis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after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03F88" w:rsidRPr="00CA521F">
        <w:rPr>
          <w:rFonts w:ascii="Book Antiqua" w:hAnsi="Book Antiqua"/>
          <w:color w:val="000000" w:themeColor="text1"/>
          <w:szCs w:val="24"/>
        </w:rPr>
        <w:t>solid</w:t>
      </w:r>
      <w:r w:rsidR="00E75546" w:rsidRPr="00CA521F">
        <w:rPr>
          <w:rFonts w:ascii="Book Antiqua" w:hAnsi="Book Antiqua"/>
          <w:color w:val="000000" w:themeColor="text1"/>
          <w:szCs w:val="24"/>
        </w:rPr>
        <w:t>-</w:t>
      </w:r>
      <w:r w:rsidR="00503F88"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503F88" w:rsidRPr="00CA521F">
        <w:rPr>
          <w:rFonts w:ascii="Book Antiqua" w:hAnsi="Book Antiqua"/>
          <w:color w:val="000000" w:themeColor="text1"/>
          <w:szCs w:val="24"/>
        </w:rPr>
        <w:t>.</w:t>
      </w:r>
    </w:p>
    <w:p w14:paraId="062FF1C8" w14:textId="77777777" w:rsidR="00503F88" w:rsidRDefault="00503F8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4D7BA7E6" w14:textId="77777777" w:rsidR="00114892" w:rsidRDefault="00114892" w:rsidP="009A3D9A">
      <w:pPr>
        <w:topLinePunct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</w:pPr>
      <w:r w:rsidRPr="00114892">
        <w:rPr>
          <w:rFonts w:ascii="Book Antiqua" w:hAnsi="Book Antiqua"/>
          <w:b/>
          <w:color w:val="000000" w:themeColor="text1"/>
          <w:szCs w:val="24"/>
        </w:rPr>
        <w:t>Citation</w:t>
      </w:r>
      <w:r>
        <w:rPr>
          <w:rFonts w:ascii="Book Antiqua" w:hAnsi="Book Antiqua"/>
          <w:color w:val="000000" w:themeColor="text1"/>
          <w:szCs w:val="24"/>
        </w:rPr>
        <w:t xml:space="preserve">: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T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H</w:t>
      </w:r>
      <w:r w:rsidR="00CA521F" w:rsidRPr="00451CB3">
        <w:rPr>
          <w:rFonts w:ascii="Book Antiqua" w:hAnsi="Book Antiqua"/>
          <w:color w:val="000000" w:themeColor="text1"/>
          <w:szCs w:val="24"/>
        </w:rPr>
        <w:t>, Shinoda</w:t>
      </w:r>
      <w:r w:rsidR="00CA521F">
        <w:rPr>
          <w:rFonts w:ascii="Book Antiqua" w:hAnsi="Book Antiqua"/>
          <w:color w:val="000000" w:themeColor="text1"/>
          <w:szCs w:val="24"/>
        </w:rPr>
        <w:t xml:space="preserve"> M</w:t>
      </w:r>
      <w:r w:rsidR="00CA521F" w:rsidRPr="00451CB3">
        <w:rPr>
          <w:rFonts w:ascii="Book Antiqua" w:hAnsi="Book Antiqua"/>
          <w:color w:val="000000" w:themeColor="text1"/>
          <w:szCs w:val="24"/>
        </w:rPr>
        <w:t>, Nakano</w:t>
      </w:r>
      <w:r w:rsidR="00CA521F">
        <w:rPr>
          <w:rFonts w:ascii="Book Antiqua" w:hAnsi="Book Antiqua"/>
          <w:color w:val="000000" w:themeColor="text1"/>
          <w:szCs w:val="24"/>
        </w:rPr>
        <w:t xml:space="preserve"> Y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M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Yagi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H</w:t>
      </w:r>
      <w:r w:rsidR="00CA521F" w:rsidRPr="00451CB3">
        <w:rPr>
          <w:rFonts w:ascii="Book Antiqua" w:hAnsi="Book Antiqua"/>
          <w:color w:val="000000" w:themeColor="text1"/>
          <w:szCs w:val="24"/>
        </w:rPr>
        <w:t>, Abe</w:t>
      </w:r>
      <w:r w:rsidR="00CA521F">
        <w:rPr>
          <w:rFonts w:ascii="Book Antiqua" w:hAnsi="Book Antiqua"/>
          <w:color w:val="000000" w:themeColor="text1"/>
          <w:szCs w:val="24"/>
        </w:rPr>
        <w:t xml:space="preserve"> Y</w:t>
      </w:r>
      <w:r w:rsidR="00CA521F" w:rsidRPr="00451CB3">
        <w:rPr>
          <w:rFonts w:ascii="Book Antiqua" w:hAnsi="Book Antiqua"/>
          <w:color w:val="000000" w:themeColor="text1"/>
          <w:szCs w:val="24"/>
        </w:rPr>
        <w:t>, Yamada</w:t>
      </w:r>
      <w:r w:rsidR="00CA521F">
        <w:rPr>
          <w:rFonts w:ascii="Book Antiqua" w:hAnsi="Book Antiqua"/>
          <w:color w:val="000000" w:themeColor="text1"/>
          <w:szCs w:val="24"/>
        </w:rPr>
        <w:t xml:space="preserve"> Y</w:t>
      </w:r>
      <w:r w:rsidR="00CA521F" w:rsidRPr="00451CB3">
        <w:rPr>
          <w:rFonts w:ascii="Book Antiqua" w:hAnsi="Book Antiqua"/>
          <w:color w:val="000000" w:themeColor="text1"/>
          <w:szCs w:val="24"/>
        </w:rPr>
        <w:t>, Matsubara</w:t>
      </w:r>
      <w:r w:rsidR="00CA521F">
        <w:rPr>
          <w:rFonts w:ascii="Book Antiqua" w:hAnsi="Book Antiqua"/>
          <w:color w:val="000000" w:themeColor="text1"/>
          <w:szCs w:val="24"/>
        </w:rPr>
        <w:t xml:space="preserve"> K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G</w:t>
      </w:r>
      <w:r w:rsidR="00CA521F" w:rsidRPr="00451CB3">
        <w:rPr>
          <w:rFonts w:ascii="Book Antiqua" w:hAnsi="Book Antiqua"/>
          <w:color w:val="000000" w:themeColor="text1"/>
          <w:szCs w:val="24"/>
        </w:rPr>
        <w:t>, Hori</w:t>
      </w:r>
      <w:r w:rsidR="00CA521F">
        <w:rPr>
          <w:rFonts w:ascii="Book Antiqua" w:hAnsi="Book Antiqua"/>
          <w:color w:val="000000" w:themeColor="text1"/>
          <w:szCs w:val="24"/>
        </w:rPr>
        <w:t xml:space="preserve"> S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S</w:t>
      </w:r>
      <w:r w:rsidR="00CA521F" w:rsidRPr="00451CB3">
        <w:rPr>
          <w:rFonts w:ascii="Book Antiqua" w:hAnsi="Book Antiqua"/>
          <w:color w:val="000000" w:themeColor="text1"/>
          <w:szCs w:val="24"/>
        </w:rPr>
        <w:t>, Higashi</w:t>
      </w:r>
      <w:r w:rsidR="00CA521F">
        <w:rPr>
          <w:rFonts w:ascii="Book Antiqua" w:hAnsi="Book Antiqua"/>
          <w:color w:val="000000" w:themeColor="text1"/>
          <w:szCs w:val="24"/>
        </w:rPr>
        <w:t xml:space="preserve"> H</w:t>
      </w:r>
      <w:r w:rsidR="00CA521F" w:rsidRPr="00451CB3">
        <w:rPr>
          <w:rFonts w:ascii="Book Antiqua" w:hAnsi="Book Antiqua"/>
          <w:color w:val="000000" w:themeColor="text1"/>
          <w:szCs w:val="24"/>
        </w:rPr>
        <w:t>, Masuda</w:t>
      </w:r>
      <w:r w:rsidR="00CA521F">
        <w:rPr>
          <w:rFonts w:ascii="Book Antiqua" w:hAnsi="Book Antiqua"/>
          <w:color w:val="000000" w:themeColor="text1"/>
          <w:szCs w:val="24"/>
        </w:rPr>
        <w:t xml:space="preserve"> Y</w:t>
      </w:r>
      <w:r w:rsidR="00CA521F" w:rsidRPr="00451CB3">
        <w:rPr>
          <w:rFonts w:ascii="Book Antiqua" w:hAnsi="Book Antiqua"/>
          <w:color w:val="000000" w:themeColor="text1"/>
          <w:szCs w:val="24"/>
        </w:rPr>
        <w:t>, Hayashi</w:t>
      </w:r>
      <w:r w:rsidR="00CA521F">
        <w:rPr>
          <w:rFonts w:ascii="Book Antiqua" w:hAnsi="Book Antiqua"/>
          <w:color w:val="000000" w:themeColor="text1"/>
          <w:szCs w:val="24"/>
        </w:rPr>
        <w:t xml:space="preserve"> M</w:t>
      </w:r>
      <w:r w:rsidR="00CA521F" w:rsidRPr="00451CB3">
        <w:rPr>
          <w:rFonts w:ascii="Book Antiqua" w:hAnsi="Book Antiqua"/>
          <w:color w:val="000000" w:themeColor="text1"/>
          <w:szCs w:val="24"/>
        </w:rPr>
        <w:t>, Mori</w:t>
      </w:r>
      <w:r w:rsidR="00CA521F">
        <w:rPr>
          <w:rFonts w:ascii="Book Antiqua" w:hAnsi="Book Antiqua"/>
          <w:color w:val="000000" w:themeColor="text1"/>
          <w:szCs w:val="24"/>
        </w:rPr>
        <w:t xml:space="preserve"> T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M</w:t>
      </w:r>
      <w:r w:rsidR="00CA521F" w:rsidRPr="00451CB3">
        <w:rPr>
          <w:rFonts w:ascii="Book Antiqua" w:hAnsi="Book Antiqua"/>
          <w:color w:val="000000" w:themeColor="text1"/>
          <w:szCs w:val="24"/>
        </w:rPr>
        <w:t>, Fujimura</w:t>
      </w:r>
      <w:r w:rsidR="00CA521F">
        <w:rPr>
          <w:rFonts w:ascii="Book Antiqua" w:hAnsi="Book Antiqua"/>
          <w:color w:val="000000" w:themeColor="text1"/>
          <w:szCs w:val="24"/>
        </w:rPr>
        <w:t xml:space="preserve"> T</w:t>
      </w:r>
      <w:r w:rsidR="00CA521F" w:rsidRPr="00451CB3">
        <w:rPr>
          <w:rFonts w:ascii="Book Antiqua" w:hAnsi="Book Antiqua"/>
          <w:color w:val="000000" w:themeColor="text1"/>
          <w:szCs w:val="24"/>
        </w:rPr>
        <w:t>, Hoshino</w:t>
      </w:r>
      <w:r w:rsidR="00CA521F">
        <w:rPr>
          <w:rFonts w:ascii="Book Antiqua" w:hAnsi="Book Antiqua"/>
          <w:color w:val="000000" w:themeColor="text1"/>
          <w:szCs w:val="24"/>
        </w:rPr>
        <w:t xml:space="preserve"> K</w:t>
      </w:r>
      <w:r w:rsidR="00CA521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="00CA521F"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="00CA521F">
        <w:rPr>
          <w:rFonts w:ascii="Book Antiqua" w:hAnsi="Book Antiqua"/>
          <w:color w:val="000000" w:themeColor="text1"/>
          <w:szCs w:val="24"/>
        </w:rPr>
        <w:t xml:space="preserve"> K</w:t>
      </w:r>
      <w:r w:rsidR="00CA521F" w:rsidRPr="00451CB3">
        <w:rPr>
          <w:rFonts w:ascii="Book Antiqua" w:hAnsi="Book Antiqua"/>
          <w:color w:val="000000" w:themeColor="text1"/>
          <w:szCs w:val="24"/>
        </w:rPr>
        <w:t>, Kuroda</w:t>
      </w:r>
      <w:r w:rsidR="00CA521F">
        <w:rPr>
          <w:rFonts w:ascii="Book Antiqua" w:hAnsi="Book Antiqua"/>
          <w:color w:val="000000" w:themeColor="text1"/>
          <w:szCs w:val="24"/>
        </w:rPr>
        <w:t xml:space="preserve"> T</w:t>
      </w:r>
      <w:r w:rsidR="00CA521F" w:rsidRPr="00451CB3">
        <w:rPr>
          <w:rFonts w:ascii="Book Antiqua" w:hAnsi="Book Antiqua"/>
          <w:color w:val="000000" w:themeColor="text1"/>
          <w:szCs w:val="24"/>
        </w:rPr>
        <w:t>, Kitagawa</w:t>
      </w:r>
      <w:r w:rsidR="00CA521F">
        <w:rPr>
          <w:rFonts w:ascii="Book Antiqua" w:hAnsi="Book Antiqua"/>
          <w:color w:val="000000" w:themeColor="text1"/>
          <w:szCs w:val="24"/>
        </w:rPr>
        <w:t xml:space="preserve"> Y. </w:t>
      </w:r>
      <w:r w:rsidR="00CA521F" w:rsidRPr="00CA521F">
        <w:rPr>
          <w:rFonts w:ascii="Book Antiqua" w:hAnsi="Book Antiqua"/>
          <w:color w:val="000000" w:themeColor="text1"/>
          <w:szCs w:val="24"/>
        </w:rPr>
        <w:t>Colon perforation due to antigenemia-negative cytomegalovirus gastroenteritis after liver transplantation: A case report and review of literature</w:t>
      </w:r>
      <w:r w:rsidR="00CA521F">
        <w:rPr>
          <w:rFonts w:ascii="Book Antiqua" w:hAnsi="Book Antiqua"/>
          <w:color w:val="000000" w:themeColor="text1"/>
          <w:szCs w:val="24"/>
        </w:rPr>
        <w:t xml:space="preserve">. </w:t>
      </w:r>
      <w:bookmarkStart w:id="19" w:name="OLE_LINK1105"/>
      <w:bookmarkStart w:id="20" w:name="OLE_LINK1107"/>
      <w:bookmarkStart w:id="21" w:name="OLE_LINK380"/>
      <w:r w:rsidR="00CA521F" w:rsidRPr="00CA521F">
        <w:rPr>
          <w:rFonts w:ascii="Book Antiqua" w:eastAsia="宋体" w:hAnsi="Book Antiqua" w:cs="Times New Roman"/>
          <w:i/>
          <w:color w:val="000000"/>
          <w:kern w:val="0"/>
          <w:szCs w:val="24"/>
          <w:lang w:eastAsia="zh-CN"/>
        </w:rPr>
        <w:t xml:space="preserve">World J </w:t>
      </w:r>
      <w:proofErr w:type="spellStart"/>
      <w:r w:rsidR="00CA521F" w:rsidRPr="00CA521F">
        <w:rPr>
          <w:rFonts w:ascii="Book Antiqua" w:eastAsia="宋体" w:hAnsi="Book Antiqua" w:cs="Times New Roman"/>
          <w:i/>
          <w:color w:val="000000"/>
          <w:kern w:val="0"/>
          <w:szCs w:val="24"/>
          <w:lang w:eastAsia="zh-CN"/>
        </w:rPr>
        <w:t>Gastroenterol</w:t>
      </w:r>
      <w:proofErr w:type="spellEnd"/>
      <w:r w:rsidR="00CA521F" w:rsidRPr="00CA521F">
        <w:rPr>
          <w:rFonts w:ascii="Book Antiqua" w:eastAsia="宋体" w:hAnsi="Book Antiqua" w:cs="Times New Roman"/>
          <w:i/>
          <w:color w:val="000000"/>
          <w:kern w:val="0"/>
          <w:szCs w:val="24"/>
          <w:lang w:eastAsia="zh-CN"/>
        </w:rPr>
        <w:t xml:space="preserve"> </w:t>
      </w:r>
      <w:r w:rsidR="00CA521F" w:rsidRPr="00CA521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2019; </w:t>
      </w:r>
      <w:bookmarkEnd w:id="19"/>
      <w:bookmarkEnd w:id="20"/>
      <w:bookmarkEnd w:id="21"/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25(15): </w:t>
      </w:r>
      <w:r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1899</w:t>
      </w:r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-</w:t>
      </w:r>
      <w:proofErr w:type="gramStart"/>
      <w:r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1906</w:t>
      </w:r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  Available</w:t>
      </w:r>
      <w:proofErr w:type="gramEnd"/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 from: </w:t>
      </w:r>
    </w:p>
    <w:p w14:paraId="7701B350" w14:textId="1BE5114D" w:rsidR="00CA521F" w:rsidRPr="00451CB3" w:rsidRDefault="0011489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114892">
        <w:rPr>
          <w:rFonts w:ascii="Book Antiqua" w:eastAsia="宋体" w:hAnsi="Book Antiqua" w:cs="Times New Roman"/>
          <w:b/>
          <w:color w:val="000000"/>
          <w:kern w:val="0"/>
          <w:szCs w:val="24"/>
          <w:lang w:eastAsia="zh-CN"/>
        </w:rPr>
        <w:t>URL</w:t>
      </w:r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: https://www.wjgnet.com/1007-9327/full/v25/i15/</w:t>
      </w:r>
      <w:proofErr w:type="gramStart"/>
      <w:r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1899</w:t>
      </w:r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 xml:space="preserve">.htm  </w:t>
      </w:r>
      <w:r w:rsidRPr="00114892">
        <w:rPr>
          <w:rFonts w:ascii="Book Antiqua" w:eastAsia="宋体" w:hAnsi="Book Antiqua" w:cs="Times New Roman"/>
          <w:b/>
          <w:color w:val="000000"/>
          <w:kern w:val="0"/>
          <w:szCs w:val="24"/>
          <w:lang w:eastAsia="zh-CN"/>
        </w:rPr>
        <w:t>DOI</w:t>
      </w:r>
      <w:proofErr w:type="gramEnd"/>
      <w:r w:rsidRPr="00B91ADF"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: https://dx.doi.org/10.3748/wjg.v25.i15.</w:t>
      </w:r>
      <w:r>
        <w:rPr>
          <w:rFonts w:ascii="Book Antiqua" w:eastAsia="宋体" w:hAnsi="Book Antiqua" w:cs="Times New Roman"/>
          <w:color w:val="000000"/>
          <w:kern w:val="0"/>
          <w:szCs w:val="24"/>
          <w:lang w:eastAsia="zh-CN"/>
        </w:rPr>
        <w:t>1899</w:t>
      </w:r>
    </w:p>
    <w:p w14:paraId="1B24816A" w14:textId="77777777" w:rsidR="00CA521F" w:rsidRDefault="00CA521F" w:rsidP="009A3D9A">
      <w:pPr>
        <w:snapToGrid w:val="0"/>
        <w:spacing w:line="360" w:lineRule="auto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85B2A85" w14:textId="4AD2FC43" w:rsidR="003B661A" w:rsidRPr="00CA521F" w:rsidRDefault="00633FCA" w:rsidP="009A3D9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CA521F">
        <w:rPr>
          <w:rFonts w:ascii="Book Antiqua" w:hAnsi="Book Antiqua"/>
          <w:b/>
        </w:rPr>
        <w:lastRenderedPageBreak/>
        <w:t>INTRODUCTION</w:t>
      </w:r>
    </w:p>
    <w:p w14:paraId="5C7B183E" w14:textId="663DF299" w:rsidR="00A7022E" w:rsidRPr="00CA521F" w:rsidRDefault="00A7022E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Although </w:t>
      </w:r>
      <w:r w:rsidR="00CA521F" w:rsidRPr="00CA521F">
        <w:rPr>
          <w:rFonts w:ascii="Book Antiqua" w:hAnsi="Book Antiqua"/>
          <w:color w:val="000000" w:themeColor="text1"/>
          <w:szCs w:val="24"/>
        </w:rPr>
        <w:t>cytomegalovirus (CMV)</w:t>
      </w:r>
      <w:r w:rsidRPr="00CA521F">
        <w:rPr>
          <w:rFonts w:ascii="Book Antiqua" w:hAnsi="Book Antiqua"/>
          <w:color w:val="000000" w:themeColor="text1"/>
          <w:szCs w:val="24"/>
        </w:rPr>
        <w:t xml:space="preserve"> infection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can </w:t>
      </w:r>
      <w:r w:rsidRPr="00CA521F">
        <w:rPr>
          <w:rFonts w:ascii="Book Antiqua" w:hAnsi="Book Antiqua"/>
          <w:color w:val="000000" w:themeColor="text1"/>
          <w:szCs w:val="24"/>
        </w:rPr>
        <w:t>remain latent since childhood, it can be reactivated due to immunosuppression</w:t>
      </w:r>
      <w:r w:rsidR="002C49E6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Pr="00CA521F">
        <w:rPr>
          <w:rFonts w:ascii="Book Antiqua" w:hAnsi="Book Antiqua"/>
          <w:color w:val="000000" w:themeColor="text1"/>
          <w:szCs w:val="24"/>
        </w:rPr>
        <w:t xml:space="preserve">While CMV gastroenteritis presents with clinical symptoms, such as abdominal pain, nausea, vomiting and melena, </w:t>
      </w:r>
      <w:r w:rsidR="001F1D2A" w:rsidRPr="00CA521F">
        <w:rPr>
          <w:rFonts w:ascii="Book Antiqua" w:hAnsi="Book Antiqua"/>
          <w:color w:val="000000" w:themeColor="text1"/>
          <w:szCs w:val="24"/>
        </w:rPr>
        <w:t>a</w:t>
      </w:r>
      <w:r w:rsidRPr="00CA521F">
        <w:rPr>
          <w:rFonts w:ascii="Book Antiqua" w:hAnsi="Book Antiqua"/>
          <w:color w:val="000000" w:themeColor="text1"/>
          <w:szCs w:val="24"/>
        </w:rPr>
        <w:t xml:space="preserve"> definitive diagnosis is made based on endoscopic findings and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histopathological examination of biopsy tissues</w:t>
      </w:r>
      <w:r w:rsidR="00134BA5" w:rsidRPr="00CA521F">
        <w:rPr>
          <w:rFonts w:ascii="Book Antiqua" w:hAnsi="Book Antiqua"/>
          <w:color w:val="000000" w:themeColor="text1"/>
          <w:szCs w:val="24"/>
        </w:rPr>
        <w:t>. The</w:t>
      </w:r>
      <w:r w:rsidRPr="00CA521F">
        <w:rPr>
          <w:rFonts w:ascii="Book Antiqua" w:hAnsi="Book Antiqua"/>
          <w:color w:val="000000" w:themeColor="text1"/>
          <w:szCs w:val="24"/>
        </w:rPr>
        <w:t xml:space="preserve"> CMV-</w:t>
      </w:r>
      <w:r w:rsidR="00CA521F" w:rsidRPr="00CA521F">
        <w:rPr>
          <w:rFonts w:ascii="Book Antiqua" w:hAnsi="Book Antiqua"/>
          <w:color w:val="000000" w:themeColor="text1"/>
          <w:szCs w:val="24"/>
        </w:rPr>
        <w:t>antigenemia (AG)</w:t>
      </w:r>
      <w:r w:rsidRPr="00CA521F">
        <w:rPr>
          <w:rFonts w:ascii="Book Antiqua" w:hAnsi="Book Antiqua"/>
          <w:color w:val="000000" w:themeColor="text1"/>
          <w:szCs w:val="24"/>
        </w:rPr>
        <w:t xml:space="preserve"> positiv</w:t>
      </w:r>
      <w:r w:rsidR="001F1D2A" w:rsidRPr="00CA521F">
        <w:rPr>
          <w:rFonts w:ascii="Book Antiqua" w:hAnsi="Book Antiqua"/>
          <w:color w:val="000000" w:themeColor="text1"/>
          <w:szCs w:val="24"/>
        </w:rPr>
        <w:t>ity</w:t>
      </w:r>
      <w:r w:rsidRPr="00CA521F">
        <w:rPr>
          <w:rFonts w:ascii="Book Antiqua" w:hAnsi="Book Antiqua"/>
          <w:color w:val="000000" w:themeColor="text1"/>
          <w:szCs w:val="24"/>
        </w:rPr>
        <w:t xml:space="preserve"> rate at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the</w:t>
      </w:r>
      <w:r w:rsidRPr="00CA521F">
        <w:rPr>
          <w:rFonts w:ascii="Book Antiqua" w:hAnsi="Book Antiqua"/>
          <w:color w:val="000000" w:themeColor="text1"/>
          <w:szCs w:val="24"/>
        </w:rPr>
        <w:t xml:space="preserve"> onset</w:t>
      </w:r>
      <w:r w:rsidR="00FD2172" w:rsidRPr="00CA521F">
        <w:rPr>
          <w:rFonts w:ascii="Book Antiqua" w:hAnsi="Book Antiqua"/>
          <w:color w:val="000000" w:themeColor="text1"/>
          <w:szCs w:val="24"/>
        </w:rPr>
        <w:t xml:space="preserve"> of gastroenteritis</w:t>
      </w:r>
      <w:r w:rsidRPr="00CA521F">
        <w:rPr>
          <w:rFonts w:ascii="Book Antiqua" w:hAnsi="Book Antiqua"/>
          <w:color w:val="000000" w:themeColor="text1"/>
          <w:szCs w:val="24"/>
        </w:rPr>
        <w:t xml:space="preserve"> has been reported to be </w:t>
      </w:r>
      <w:r w:rsidR="001F1D2A" w:rsidRPr="00CA521F">
        <w:rPr>
          <w:rFonts w:ascii="Book Antiqua" w:hAnsi="Book Antiqua"/>
          <w:color w:val="000000" w:themeColor="text1"/>
          <w:szCs w:val="24"/>
        </w:rPr>
        <w:t>approximately</w:t>
      </w:r>
      <w:r w:rsidRPr="00CA521F">
        <w:rPr>
          <w:rFonts w:ascii="Book Antiqua" w:hAnsi="Book Antiqua"/>
          <w:color w:val="000000" w:themeColor="text1"/>
          <w:szCs w:val="24"/>
        </w:rPr>
        <w:t xml:space="preserve"> 20</w:t>
      </w:r>
      <w:r w:rsidR="00CA521F">
        <w:rPr>
          <w:rFonts w:ascii="Book Antiqua" w:hAnsi="Book Antiqua"/>
          <w:color w:val="000000" w:themeColor="text1"/>
          <w:szCs w:val="24"/>
        </w:rPr>
        <w:t>%</w:t>
      </w:r>
      <w:r w:rsidRPr="00CA521F">
        <w:rPr>
          <w:rFonts w:ascii="Book Antiqua" w:hAnsi="Book Antiqua"/>
          <w:color w:val="000000" w:themeColor="text1"/>
          <w:szCs w:val="24"/>
        </w:rPr>
        <w:t>-30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%</w:t>
      </w:r>
      <w:r w:rsidR="0048225D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8225D" w:rsidRPr="00CA521F">
        <w:rPr>
          <w:rFonts w:ascii="Book Antiqua" w:hAnsi="Book Antiqua"/>
          <w:color w:val="000000" w:themeColor="text1"/>
          <w:szCs w:val="24"/>
          <w:vertAlign w:val="superscript"/>
        </w:rPr>
        <w:t>1]</w:t>
      </w:r>
      <w:r w:rsidR="002C49E6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Pr="00CA521F">
        <w:rPr>
          <w:rFonts w:ascii="Book Antiqua" w:hAnsi="Book Antiqua"/>
          <w:color w:val="000000" w:themeColor="text1"/>
          <w:szCs w:val="24"/>
        </w:rPr>
        <w:t xml:space="preserve">Although gastrointestinal perforation due to CMV gastroenteritis is not 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uncommon</w:t>
      </w:r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2]</w:t>
      </w:r>
      <w:r w:rsidRPr="00CA521F">
        <w:rPr>
          <w:rFonts w:ascii="Book Antiqua" w:hAnsi="Book Antiqua"/>
          <w:color w:val="000000" w:themeColor="text1"/>
          <w:szCs w:val="24"/>
        </w:rPr>
        <w:t xml:space="preserve">, such an occurrence has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rarely </w:t>
      </w:r>
      <w:r w:rsidRPr="00CA521F">
        <w:rPr>
          <w:rFonts w:ascii="Book Antiqua" w:hAnsi="Book Antiqua"/>
          <w:color w:val="000000" w:themeColor="text1"/>
          <w:szCs w:val="24"/>
        </w:rPr>
        <w:t>been reported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after 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[3]</w:t>
      </w:r>
      <w:r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3D3AC9" w:rsidRPr="00CA521F">
        <w:rPr>
          <w:rFonts w:ascii="Book Antiqua" w:hAnsi="Book Antiqua"/>
          <w:color w:val="000000" w:themeColor="text1"/>
          <w:szCs w:val="24"/>
        </w:rPr>
        <w:t>Autoimmune hepatitis is an autoimmune disease that commonly develops in middle</w:t>
      </w:r>
      <w:r w:rsidR="001F1D2A" w:rsidRPr="00CA521F">
        <w:rPr>
          <w:rFonts w:ascii="Book Antiqua" w:hAnsi="Book Antiqua"/>
          <w:color w:val="000000" w:themeColor="text1"/>
          <w:szCs w:val="24"/>
        </w:rPr>
        <w:t>-</w:t>
      </w:r>
      <w:r w:rsidR="003D3AC9" w:rsidRPr="00CA521F">
        <w:rPr>
          <w:rFonts w:ascii="Book Antiqua" w:hAnsi="Book Antiqua"/>
          <w:color w:val="000000" w:themeColor="text1"/>
          <w:szCs w:val="24"/>
        </w:rPr>
        <w:t>age</w:t>
      </w:r>
      <w:r w:rsidR="001F1D2A" w:rsidRPr="00CA521F">
        <w:rPr>
          <w:rFonts w:ascii="Book Antiqua" w:hAnsi="Book Antiqua"/>
          <w:color w:val="000000" w:themeColor="text1"/>
          <w:szCs w:val="24"/>
        </w:rPr>
        <w:t>d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or </w:t>
      </w:r>
      <w:r w:rsidR="001F1D2A" w:rsidRPr="00CA521F">
        <w:rPr>
          <w:rFonts w:ascii="Book Antiqua" w:hAnsi="Book Antiqua"/>
          <w:color w:val="000000" w:themeColor="text1"/>
          <w:szCs w:val="24"/>
        </w:rPr>
        <w:t>older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woman </w:t>
      </w:r>
      <w:r w:rsidR="003D3AC9" w:rsidRPr="00CA521F">
        <w:rPr>
          <w:rFonts w:ascii="Book Antiqua" w:hAnsi="Book Antiqua"/>
          <w:color w:val="000000" w:themeColor="text1"/>
          <w:szCs w:val="24"/>
        </w:rPr>
        <w:t>and usually causes chroni</w:t>
      </w:r>
      <w:r w:rsidR="00CA521F">
        <w:rPr>
          <w:rFonts w:ascii="Book Antiqua" w:hAnsi="Book Antiqua"/>
          <w:color w:val="000000" w:themeColor="text1"/>
          <w:szCs w:val="24"/>
        </w:rPr>
        <w:t xml:space="preserve">c and progressive liver damage. </w:t>
      </w:r>
      <w:r w:rsidR="003D3AC9" w:rsidRPr="00CA521F">
        <w:rPr>
          <w:rFonts w:ascii="Book Antiqua" w:hAnsi="Book Antiqua"/>
          <w:color w:val="000000" w:themeColor="text1"/>
          <w:szCs w:val="24"/>
        </w:rPr>
        <w:t>In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regard to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treatment, immunosuppressants, especially prednisolone</w:t>
      </w:r>
      <w:r w:rsidR="001F1D2A" w:rsidRPr="00CA521F">
        <w:rPr>
          <w:rFonts w:ascii="Book Antiqua" w:hAnsi="Book Antiqua"/>
          <w:color w:val="000000" w:themeColor="text1"/>
          <w:szCs w:val="24"/>
        </w:rPr>
        <w:t>,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are commonly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used</w:t>
      </w:r>
      <w:r w:rsidR="003D3AC9" w:rsidRPr="00CA521F">
        <w:rPr>
          <w:rFonts w:ascii="Book Antiqua" w:hAnsi="Book Antiqua"/>
          <w:color w:val="000000" w:themeColor="text1"/>
          <w:szCs w:val="24"/>
        </w:rPr>
        <w:t>. Liver transplantation is the final therapeutic option for patients</w:t>
      </w:r>
      <w:r w:rsidR="001F1D2A" w:rsidRPr="00CA521F">
        <w:rPr>
          <w:rFonts w:ascii="Book Antiqua" w:hAnsi="Book Antiqua"/>
          <w:color w:val="000000" w:themeColor="text1"/>
          <w:szCs w:val="24"/>
        </w:rPr>
        <w:t>,</w:t>
      </w:r>
      <w:r w:rsidR="0064190C" w:rsidRPr="00CA521F">
        <w:rPr>
          <w:rFonts w:ascii="Book Antiqua" w:hAnsi="Book Antiqua"/>
          <w:color w:val="000000" w:themeColor="text1"/>
          <w:szCs w:val="24"/>
        </w:rPr>
        <w:t xml:space="preserve"> such as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in </w:t>
      </w:r>
      <w:r w:rsidR="0064190C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recently </w:t>
      </w:r>
      <w:r w:rsidR="0064190C" w:rsidRPr="00CA521F">
        <w:rPr>
          <w:rFonts w:ascii="Book Antiqua" w:hAnsi="Book Antiqua"/>
          <w:color w:val="000000" w:themeColor="text1"/>
          <w:szCs w:val="24"/>
        </w:rPr>
        <w:t>reported case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on a patient 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with </w:t>
      </w:r>
      <w:r w:rsidR="0039244C" w:rsidRPr="00CA521F">
        <w:rPr>
          <w:rFonts w:ascii="Book Antiqua" w:hAnsi="Book Antiqua"/>
          <w:color w:val="000000" w:themeColor="text1"/>
          <w:szCs w:val="24"/>
        </w:rPr>
        <w:t>autoimmune hepatitis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who </w:t>
      </w:r>
      <w:r w:rsidR="001F1D2A" w:rsidRPr="00CA521F">
        <w:rPr>
          <w:rFonts w:ascii="Book Antiqua" w:hAnsi="Book Antiqua"/>
          <w:color w:val="000000" w:themeColor="text1"/>
          <w:szCs w:val="24"/>
        </w:rPr>
        <w:t>develop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ed decompensated cirrhosis due to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insufficient response to medical </w:t>
      </w:r>
      <w:r w:rsidR="001F1D2A" w:rsidRPr="00CA521F">
        <w:rPr>
          <w:rFonts w:ascii="Book Antiqua" w:hAnsi="Book Antiqua"/>
          <w:color w:val="000000" w:themeColor="text1"/>
          <w:szCs w:val="24"/>
        </w:rPr>
        <w:t>treat</w:t>
      </w:r>
      <w:r w:rsidR="003D3AC9" w:rsidRPr="00CA521F">
        <w:rPr>
          <w:rFonts w:ascii="Book Antiqua" w:hAnsi="Book Antiqua"/>
          <w:color w:val="000000" w:themeColor="text1"/>
          <w:szCs w:val="24"/>
        </w:rPr>
        <w:t>ment.</w:t>
      </w:r>
    </w:p>
    <w:p w14:paraId="795DD9F6" w14:textId="7190BB9C" w:rsidR="00E83AD4" w:rsidRPr="00CA521F" w:rsidRDefault="00CA521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We managed a patient with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 complicated condition, with </w:t>
      </w:r>
      <w:r w:rsidR="00A7022E" w:rsidRPr="00CA521F">
        <w:rPr>
          <w:rFonts w:ascii="Book Antiqua" w:hAnsi="Book Antiqua"/>
          <w:color w:val="000000" w:themeColor="text1"/>
          <w:szCs w:val="24"/>
        </w:rPr>
        <w:t>transverse colon perforation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that was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caused by AG-negative CMV gastroenteritis, after a living donor liver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(LDLT)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1F1D2A" w:rsidRPr="00CA521F">
        <w:rPr>
          <w:rFonts w:ascii="Book Antiqua" w:hAnsi="Book Antiqua"/>
          <w:color w:val="000000" w:themeColor="text1"/>
          <w:szCs w:val="24"/>
        </w:rPr>
        <w:t>Here, we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report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on this case, which </w:t>
      </w:r>
      <w:r w:rsidR="00A7022E" w:rsidRPr="00CA521F">
        <w:rPr>
          <w:rFonts w:ascii="Book Antiqua" w:hAnsi="Book Antiqua"/>
          <w:color w:val="000000" w:themeColor="text1"/>
          <w:szCs w:val="24"/>
        </w:rPr>
        <w:t>was difficult to diagnose and treat.</w:t>
      </w:r>
    </w:p>
    <w:p w14:paraId="207FB199" w14:textId="77777777" w:rsidR="002C49E6" w:rsidRPr="00CA521F" w:rsidRDefault="002C49E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DCCFE8A" w14:textId="77777777" w:rsidR="007A216C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CASE PRESENTATION</w:t>
      </w:r>
    </w:p>
    <w:p w14:paraId="1C4DEAAC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Chief complaints</w:t>
      </w:r>
    </w:p>
    <w:p w14:paraId="74308998" w14:textId="7C5A6F37" w:rsidR="00633FCA" w:rsidRDefault="00B26BCF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Abdominal pain and fullness</w:t>
      </w:r>
      <w:r w:rsidR="00C54895">
        <w:rPr>
          <w:rFonts w:ascii="Book Antiqua" w:hAnsi="Book Antiqua"/>
          <w:color w:val="000000" w:themeColor="text1"/>
          <w:szCs w:val="24"/>
        </w:rPr>
        <w:t>.</w:t>
      </w:r>
    </w:p>
    <w:p w14:paraId="3469984D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49456090" w14:textId="77777777" w:rsidR="00C54895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Hist</w:t>
      </w:r>
      <w:r w:rsidR="00EA5742" w:rsidRPr="00CA521F">
        <w:rPr>
          <w:rFonts w:ascii="Book Antiqua" w:hAnsi="Book Antiqua"/>
          <w:b/>
          <w:i/>
          <w:color w:val="000000" w:themeColor="text1"/>
          <w:szCs w:val="24"/>
        </w:rPr>
        <w:t>o</w:t>
      </w:r>
      <w:r w:rsidRPr="00CA521F">
        <w:rPr>
          <w:rFonts w:ascii="Book Antiqua" w:hAnsi="Book Antiqua"/>
          <w:b/>
          <w:i/>
          <w:color w:val="000000" w:themeColor="text1"/>
          <w:szCs w:val="24"/>
        </w:rPr>
        <w:t>ry of present illness</w:t>
      </w:r>
    </w:p>
    <w:p w14:paraId="0C03C720" w14:textId="05964B88" w:rsidR="00633FCA" w:rsidRDefault="00EA574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patient was a 52-year-old </w:t>
      </w:r>
      <w:r w:rsidR="001F1D2A" w:rsidRPr="00CA521F">
        <w:rPr>
          <w:rFonts w:ascii="Book Antiqua" w:hAnsi="Book Antiqua"/>
          <w:color w:val="000000" w:themeColor="text1"/>
          <w:szCs w:val="24"/>
        </w:rPr>
        <w:t>A</w:t>
      </w:r>
      <w:r w:rsidR="00B45F56" w:rsidRPr="00CA521F">
        <w:rPr>
          <w:rFonts w:ascii="Book Antiqua" w:hAnsi="Book Antiqua"/>
          <w:color w:val="000000" w:themeColor="text1"/>
          <w:szCs w:val="24"/>
        </w:rPr>
        <w:t>sian</w:t>
      </w:r>
      <w:r w:rsidR="006C549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Pr="00CA521F">
        <w:rPr>
          <w:rFonts w:ascii="Book Antiqua" w:hAnsi="Book Antiqua"/>
          <w:color w:val="000000" w:themeColor="text1"/>
          <w:szCs w:val="24"/>
        </w:rPr>
        <w:t xml:space="preserve">woman, who was </w:t>
      </w:r>
      <w:r w:rsidR="001F1D2A" w:rsidRPr="00CA521F">
        <w:rPr>
          <w:rFonts w:ascii="Book Antiqua" w:hAnsi="Book Antiqua"/>
          <w:color w:val="000000" w:themeColor="text1"/>
          <w:szCs w:val="24"/>
        </w:rPr>
        <w:t>diagnosed with</w:t>
      </w:r>
      <w:r w:rsidRPr="00CA521F">
        <w:rPr>
          <w:rFonts w:ascii="Book Antiqua" w:hAnsi="Book Antiqua"/>
          <w:color w:val="000000" w:themeColor="text1"/>
          <w:szCs w:val="24"/>
        </w:rPr>
        <w:t xml:space="preserve"> liver dysfunction during a medical examination in her twenties. A </w:t>
      </w:r>
      <w:r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diagnosis of autoimmune hepatitis was made at 40 years of age.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When the patient was </w:t>
      </w:r>
      <w:r w:rsidRPr="00CA521F">
        <w:rPr>
          <w:rFonts w:ascii="Book Antiqua" w:hAnsi="Book Antiqua"/>
          <w:color w:val="000000" w:themeColor="text1"/>
          <w:szCs w:val="24"/>
        </w:rPr>
        <w:t>46 years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old</w:t>
      </w:r>
      <w:r w:rsidRPr="00CA521F">
        <w:rPr>
          <w:rFonts w:ascii="Book Antiqua" w:hAnsi="Book Antiqua"/>
          <w:color w:val="000000" w:themeColor="text1"/>
          <w:szCs w:val="24"/>
        </w:rPr>
        <w:t xml:space="preserve">, the patient developed ascites, which improved with oral steroids. However, with disease progression, she developed decompensated cirrhosis at 51 years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old </w:t>
      </w:r>
      <w:r w:rsidRPr="00CA521F">
        <w:rPr>
          <w:rFonts w:ascii="Book Antiqua" w:hAnsi="Book Antiqua"/>
          <w:color w:val="000000" w:themeColor="text1"/>
          <w:szCs w:val="24"/>
        </w:rPr>
        <w:t>that was resistant to medical management. She was then referred to our department.</w:t>
      </w:r>
    </w:p>
    <w:p w14:paraId="2F033A53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66FAA12A" w14:textId="77777777" w:rsidR="00C54895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History of past illness</w:t>
      </w:r>
    </w:p>
    <w:p w14:paraId="3DE299B1" w14:textId="3805B50E" w:rsidR="00633FCA" w:rsidRPr="00CA521F" w:rsidRDefault="00EA574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There was no other significant medical history.</w:t>
      </w:r>
    </w:p>
    <w:p w14:paraId="4DFFAA09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392EF0B8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Personal and family history</w:t>
      </w:r>
    </w:p>
    <w:p w14:paraId="58D59F61" w14:textId="642AEDD7" w:rsidR="00633FCA" w:rsidRPr="00CA521F" w:rsidRDefault="001F1D2A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 patient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was a nonsmoker and had </w:t>
      </w:r>
      <w:r w:rsidRPr="00CA521F">
        <w:rPr>
          <w:rFonts w:ascii="Book Antiqua" w:hAnsi="Book Antiqua"/>
          <w:color w:val="000000" w:themeColor="text1"/>
          <w:szCs w:val="24"/>
        </w:rPr>
        <w:t>stopped drinking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social</w:t>
      </w:r>
      <w:r w:rsidRPr="00CA521F">
        <w:rPr>
          <w:rFonts w:ascii="Book Antiqua" w:hAnsi="Book Antiqua"/>
          <w:color w:val="000000" w:themeColor="text1"/>
          <w:szCs w:val="24"/>
        </w:rPr>
        <w:t>ly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5 years </w:t>
      </w:r>
      <w:r w:rsidRPr="00CA521F">
        <w:rPr>
          <w:rFonts w:ascii="Book Antiqua" w:hAnsi="Book Antiqua"/>
          <w:color w:val="000000" w:themeColor="text1"/>
          <w:szCs w:val="24"/>
        </w:rPr>
        <w:t>prior</w:t>
      </w:r>
      <w:r w:rsidR="00EA5742" w:rsidRPr="00CA521F">
        <w:rPr>
          <w:rFonts w:ascii="Book Antiqua" w:hAnsi="Book Antiqua"/>
          <w:color w:val="000000" w:themeColor="text1"/>
          <w:szCs w:val="24"/>
        </w:rPr>
        <w:t>.</w:t>
      </w:r>
      <w:r w:rsidR="009352D1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D46D1F" w:rsidRPr="00CA521F">
        <w:rPr>
          <w:rFonts w:ascii="Book Antiqua" w:hAnsi="Book Antiqua"/>
          <w:color w:val="000000" w:themeColor="text1"/>
          <w:szCs w:val="24"/>
        </w:rPr>
        <w:t xml:space="preserve">Her occupation </w:t>
      </w:r>
      <w:r w:rsidRPr="00CA521F">
        <w:rPr>
          <w:rFonts w:ascii="Book Antiqua" w:hAnsi="Book Antiqua"/>
          <w:color w:val="000000" w:themeColor="text1"/>
          <w:szCs w:val="24"/>
        </w:rPr>
        <w:t>was</w:t>
      </w:r>
      <w:r w:rsidR="00D46D1F" w:rsidRPr="00CA521F">
        <w:rPr>
          <w:rFonts w:ascii="Book Antiqua" w:hAnsi="Book Antiqua"/>
          <w:color w:val="000000" w:themeColor="text1"/>
          <w:szCs w:val="24"/>
        </w:rPr>
        <w:t xml:space="preserve"> a housewife. </w:t>
      </w:r>
      <w:r w:rsidR="002C594F" w:rsidRPr="00CA521F">
        <w:rPr>
          <w:rFonts w:ascii="Book Antiqua" w:hAnsi="Book Antiqua"/>
          <w:color w:val="000000" w:themeColor="text1"/>
          <w:szCs w:val="24"/>
        </w:rPr>
        <w:t>There was n</w:t>
      </w:r>
      <w:r w:rsidR="009352D1" w:rsidRPr="00CA521F">
        <w:rPr>
          <w:rFonts w:ascii="Book Antiqua" w:hAnsi="Book Antiqua"/>
          <w:color w:val="000000" w:themeColor="text1"/>
          <w:szCs w:val="24"/>
        </w:rPr>
        <w:t xml:space="preserve">o </w:t>
      </w:r>
      <w:r w:rsidRPr="00CA521F">
        <w:rPr>
          <w:rFonts w:ascii="Book Antiqua" w:hAnsi="Book Antiqua"/>
          <w:color w:val="000000" w:themeColor="text1"/>
          <w:szCs w:val="24"/>
        </w:rPr>
        <w:t xml:space="preserve">relevant </w:t>
      </w:r>
      <w:r w:rsidR="009352D1" w:rsidRPr="00CA521F">
        <w:rPr>
          <w:rFonts w:ascii="Book Antiqua" w:hAnsi="Book Antiqua"/>
          <w:color w:val="000000" w:themeColor="text1"/>
          <w:szCs w:val="24"/>
        </w:rPr>
        <w:t>family histor</w:t>
      </w:r>
      <w:r w:rsidR="002C594F" w:rsidRPr="00CA521F">
        <w:rPr>
          <w:rFonts w:ascii="Book Antiqua" w:hAnsi="Book Antiqua"/>
          <w:color w:val="000000" w:themeColor="text1"/>
          <w:szCs w:val="24"/>
        </w:rPr>
        <w:t>y</w:t>
      </w:r>
      <w:r w:rsidR="009352D1" w:rsidRPr="00CA521F">
        <w:rPr>
          <w:rFonts w:ascii="Book Antiqua" w:hAnsi="Book Antiqua"/>
          <w:color w:val="000000" w:themeColor="text1"/>
          <w:szCs w:val="24"/>
        </w:rPr>
        <w:t>.</w:t>
      </w:r>
    </w:p>
    <w:p w14:paraId="5DF33163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16503298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Physical examination upon admission</w:t>
      </w:r>
    </w:p>
    <w:p w14:paraId="1DB1A958" w14:textId="55BA8C76" w:rsidR="00633FCA" w:rsidRPr="00CA521F" w:rsidRDefault="00EA574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According to the Eastern Cooperative Oncology Group Performance Status, her </w:t>
      </w:r>
      <w:r w:rsidR="001F1D2A" w:rsidRPr="00CA521F">
        <w:rPr>
          <w:rFonts w:ascii="Book Antiqua" w:hAnsi="Book Antiqua"/>
          <w:color w:val="000000" w:themeColor="text1"/>
          <w:szCs w:val="24"/>
        </w:rPr>
        <w:t>p</w:t>
      </w:r>
      <w:r w:rsidRPr="00CA521F">
        <w:rPr>
          <w:rFonts w:ascii="Book Antiqua" w:hAnsi="Book Antiqua"/>
          <w:color w:val="000000" w:themeColor="text1"/>
          <w:szCs w:val="24"/>
        </w:rPr>
        <w:t xml:space="preserve">erformance </w:t>
      </w:r>
      <w:r w:rsidR="001F1D2A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tatus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2.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At the </w:t>
      </w:r>
      <w:r w:rsidRPr="00CA521F">
        <w:rPr>
          <w:rFonts w:ascii="Book Antiqua" w:hAnsi="Book Antiqua"/>
          <w:color w:val="000000" w:themeColor="text1"/>
          <w:szCs w:val="24"/>
        </w:rPr>
        <w:t xml:space="preserve">physical examination,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the patient’s </w:t>
      </w:r>
      <w:r w:rsidRPr="00CA521F">
        <w:rPr>
          <w:rFonts w:ascii="Book Antiqua" w:hAnsi="Book Antiqua"/>
          <w:color w:val="000000" w:themeColor="text1"/>
          <w:szCs w:val="24"/>
        </w:rPr>
        <w:t xml:space="preserve">height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155 cm,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her </w:t>
      </w:r>
      <w:r w:rsidRPr="00CA521F">
        <w:rPr>
          <w:rFonts w:ascii="Book Antiqua" w:hAnsi="Book Antiqua"/>
          <w:color w:val="000000" w:themeColor="text1"/>
          <w:szCs w:val="24"/>
        </w:rPr>
        <w:t xml:space="preserve">weight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47 kg,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and her </w:t>
      </w:r>
      <w:r w:rsidRPr="00CA521F">
        <w:rPr>
          <w:rFonts w:ascii="Book Antiqua" w:hAnsi="Book Antiqua"/>
          <w:color w:val="000000" w:themeColor="text1"/>
          <w:szCs w:val="24"/>
        </w:rPr>
        <w:t>vital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s were </w:t>
      </w:r>
      <w:r w:rsidRPr="00CA521F">
        <w:rPr>
          <w:rFonts w:ascii="Book Antiqua" w:hAnsi="Book Antiqua"/>
          <w:color w:val="000000" w:themeColor="text1"/>
          <w:szCs w:val="24"/>
        </w:rPr>
        <w:t>stable</w:t>
      </w:r>
      <w:r w:rsidR="001F1D2A" w:rsidRPr="00CA521F">
        <w:rPr>
          <w:rFonts w:ascii="Book Antiqua" w:hAnsi="Book Antiqua"/>
          <w:color w:val="000000" w:themeColor="text1"/>
          <w:szCs w:val="24"/>
        </w:rPr>
        <w:t>;</w:t>
      </w:r>
      <w:r w:rsidRPr="00CA521F">
        <w:rPr>
          <w:rFonts w:ascii="Book Antiqua" w:hAnsi="Book Antiqua"/>
          <w:color w:val="000000" w:themeColor="text1"/>
          <w:szCs w:val="24"/>
        </w:rPr>
        <w:t xml:space="preserve"> yellowish bulbar conjunctivae, ascites, and bilateral pedal edema were observed.</w:t>
      </w:r>
    </w:p>
    <w:p w14:paraId="70AB817A" w14:textId="77777777" w:rsidR="00C54895" w:rsidRDefault="00C54895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</w:p>
    <w:p w14:paraId="43BA4A51" w14:textId="6B6A1626" w:rsidR="00EC0886" w:rsidRPr="00CA521F" w:rsidRDefault="00C54895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>
        <w:rPr>
          <w:rFonts w:ascii="Book Antiqua" w:hAnsi="Book Antiqua"/>
          <w:b/>
          <w:i/>
          <w:color w:val="000000" w:themeColor="text1"/>
          <w:szCs w:val="24"/>
        </w:rPr>
        <w:t>L</w:t>
      </w:r>
      <w:r w:rsidR="00633FCA" w:rsidRPr="00CA521F">
        <w:rPr>
          <w:rFonts w:ascii="Book Antiqua" w:hAnsi="Book Antiqua"/>
          <w:b/>
          <w:i/>
          <w:color w:val="000000" w:themeColor="text1"/>
          <w:szCs w:val="24"/>
        </w:rPr>
        <w:t>aboratory examinations</w:t>
      </w:r>
    </w:p>
    <w:p w14:paraId="5CC1EBDA" w14:textId="619C6EC0" w:rsidR="00633FCA" w:rsidRDefault="00EA574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Child-Pugh score was 11 points in class C, and the </w:t>
      </w:r>
      <w:bookmarkStart w:id="22" w:name="OLE_LINK34"/>
      <w:bookmarkStart w:id="23" w:name="OLE_LINK36"/>
      <w:r w:rsidRPr="00CA521F">
        <w:rPr>
          <w:rFonts w:ascii="Book Antiqua" w:hAnsi="Book Antiqua"/>
          <w:color w:val="000000" w:themeColor="text1"/>
          <w:szCs w:val="24"/>
        </w:rPr>
        <w:t>M</w:t>
      </w:r>
      <w:r w:rsidR="00C54895">
        <w:rPr>
          <w:rFonts w:ascii="Book Antiqua" w:hAnsi="Book Antiqua"/>
          <w:color w:val="000000" w:themeColor="text1"/>
          <w:szCs w:val="24"/>
        </w:rPr>
        <w:t xml:space="preserve">odel for end stage </w:t>
      </w:r>
      <w:bookmarkEnd w:id="22"/>
      <w:bookmarkEnd w:id="23"/>
      <w:r w:rsidR="00C54895">
        <w:rPr>
          <w:rFonts w:ascii="Book Antiqua" w:hAnsi="Book Antiqua"/>
          <w:color w:val="000000" w:themeColor="text1"/>
          <w:szCs w:val="24"/>
        </w:rPr>
        <w:t>liver disease</w:t>
      </w:r>
      <w:r w:rsidRPr="00CA521F">
        <w:rPr>
          <w:rFonts w:ascii="Book Antiqua" w:hAnsi="Book Antiqua"/>
          <w:color w:val="000000" w:themeColor="text1"/>
          <w:szCs w:val="24"/>
        </w:rPr>
        <w:t xml:space="preserve"> score was 11 points. The serologic tests for CMV showed that the patient was IgG positive (+), IgM negative (-), and AG negative, which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is indicative of </w:t>
      </w:r>
      <w:r w:rsidRPr="00CA521F">
        <w:rPr>
          <w:rFonts w:ascii="Book Antiqua" w:hAnsi="Book Antiqua"/>
          <w:color w:val="000000" w:themeColor="text1"/>
          <w:szCs w:val="24"/>
        </w:rPr>
        <w:t xml:space="preserve">past CMV infection. </w:t>
      </w:r>
      <w:r w:rsidR="002C594F" w:rsidRPr="00CA521F">
        <w:rPr>
          <w:rFonts w:ascii="Book Antiqua" w:hAnsi="Book Antiqua"/>
          <w:color w:val="000000" w:themeColor="text1"/>
          <w:szCs w:val="24"/>
        </w:rPr>
        <w:t>A</w:t>
      </w:r>
      <w:r w:rsidRPr="00CA521F">
        <w:rPr>
          <w:rFonts w:ascii="Book Antiqua" w:hAnsi="Book Antiqua"/>
          <w:color w:val="000000" w:themeColor="text1"/>
          <w:szCs w:val="24"/>
        </w:rPr>
        <w:t xml:space="preserve"> PCR test for CMV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was not performed routinely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before transplantation </w:t>
      </w:r>
      <w:r w:rsidR="00301350" w:rsidRPr="00CA521F">
        <w:rPr>
          <w:rFonts w:ascii="Book Antiqua" w:hAnsi="Book Antiqua"/>
          <w:color w:val="000000" w:themeColor="text1"/>
          <w:szCs w:val="24"/>
        </w:rPr>
        <w:t xml:space="preserve">at our facility </w:t>
      </w:r>
      <w:r w:rsidRPr="00CA521F">
        <w:rPr>
          <w:rFonts w:ascii="Book Antiqua" w:hAnsi="Book Antiqua"/>
          <w:color w:val="000000" w:themeColor="text1"/>
          <w:szCs w:val="24"/>
        </w:rPr>
        <w:t xml:space="preserve">and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was not </w:t>
      </w:r>
      <w:r w:rsidR="00F96D77" w:rsidRPr="00CA521F">
        <w:rPr>
          <w:rFonts w:ascii="Book Antiqua" w:hAnsi="Book Antiqua"/>
          <w:color w:val="000000" w:themeColor="text1"/>
          <w:szCs w:val="24"/>
        </w:rPr>
        <w:t>performed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in this case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5FA23047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1681EFA7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Imaging examinations</w:t>
      </w:r>
    </w:p>
    <w:p w14:paraId="11D38AE6" w14:textId="6C230E60" w:rsidR="00633FCA" w:rsidRDefault="00B26BC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lastRenderedPageBreak/>
        <w:t>Abdominal computed tomography (</w:t>
      </w:r>
      <w:bookmarkStart w:id="24" w:name="OLE_LINK37"/>
      <w:bookmarkStart w:id="25" w:name="OLE_LINK38"/>
      <w:r w:rsidRPr="00CA521F">
        <w:rPr>
          <w:rFonts w:ascii="Book Antiqua" w:hAnsi="Book Antiqua"/>
          <w:color w:val="000000" w:themeColor="text1"/>
          <w:szCs w:val="24"/>
        </w:rPr>
        <w:t>CT</w:t>
      </w:r>
      <w:bookmarkEnd w:id="24"/>
      <w:bookmarkEnd w:id="25"/>
      <w:r w:rsidRPr="00CA521F">
        <w:rPr>
          <w:rFonts w:ascii="Book Antiqua" w:hAnsi="Book Antiqua"/>
          <w:color w:val="000000" w:themeColor="text1"/>
          <w:szCs w:val="24"/>
        </w:rPr>
        <w:t>) revealed liver cirrhosis with ascites</w:t>
      </w:r>
      <w:r w:rsidR="003640E3" w:rsidRPr="00CA521F">
        <w:rPr>
          <w:rFonts w:ascii="Book Antiqua" w:hAnsi="Book Antiqua"/>
          <w:color w:val="000000" w:themeColor="text1"/>
          <w:szCs w:val="24"/>
        </w:rPr>
        <w:t xml:space="preserve"> before LDLT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357DED1D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7B8459FD" w14:textId="77777777" w:rsidR="00207B07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Liver transplantation and follow-up</w:t>
      </w:r>
    </w:p>
    <w:p w14:paraId="1F7D4735" w14:textId="439AF475" w:rsidR="00F06539" w:rsidRPr="00CA521F" w:rsidRDefault="00207B07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blood-type compatible </w:t>
      </w:r>
      <w:r w:rsidR="00561B7A" w:rsidRPr="00CA521F">
        <w:rPr>
          <w:rFonts w:ascii="Book Antiqua" w:hAnsi="Book Antiqua"/>
          <w:color w:val="000000" w:themeColor="text1"/>
          <w:szCs w:val="24"/>
        </w:rPr>
        <w:t>LDLT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performed using a left lobe graft, with the patient’s second son as the donor (20 years old, CMV IgG+/IgM-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, which </w:t>
      </w:r>
      <w:r w:rsidR="00F96D77" w:rsidRPr="00CA521F">
        <w:rPr>
          <w:rFonts w:ascii="Book Antiqua" w:hAnsi="Book Antiqua"/>
          <w:color w:val="000000" w:themeColor="text1"/>
          <w:szCs w:val="24"/>
        </w:rPr>
        <w:t>i</w:t>
      </w:r>
      <w:r w:rsidR="003D3AC9" w:rsidRPr="00CA521F">
        <w:rPr>
          <w:rFonts w:ascii="Book Antiqua" w:hAnsi="Book Antiqua"/>
          <w:color w:val="000000" w:themeColor="text1"/>
          <w:szCs w:val="24"/>
        </w:rPr>
        <w:t>s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indicative of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past CMV infection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). </w:t>
      </w:r>
      <w:r w:rsidR="00F96D77" w:rsidRPr="00CA521F">
        <w:rPr>
          <w:rFonts w:ascii="Book Antiqua" w:hAnsi="Book Antiqua"/>
          <w:color w:val="000000" w:themeColor="text1"/>
          <w:szCs w:val="24"/>
        </w:rPr>
        <w:t>The g</w:t>
      </w:r>
      <w:r w:rsidR="00F06539" w:rsidRPr="00CA521F">
        <w:rPr>
          <w:rFonts w:ascii="Book Antiqua" w:hAnsi="Book Antiqua"/>
          <w:color w:val="000000" w:themeColor="text1"/>
          <w:szCs w:val="24"/>
        </w:rPr>
        <w:t>raft-to-recipient weight ratio was 0.73, the operation duration was 849 min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the bleed</w:t>
      </w:r>
      <w:r w:rsidR="00F96D77" w:rsidRPr="00CA521F">
        <w:rPr>
          <w:rFonts w:ascii="Book Antiqua" w:hAnsi="Book Antiqua"/>
          <w:color w:val="000000" w:themeColor="text1"/>
          <w:szCs w:val="24"/>
        </w:rPr>
        <w:t>ing</w:t>
      </w:r>
      <w:r w:rsidR="00CB7814">
        <w:rPr>
          <w:rFonts w:ascii="Book Antiqua" w:hAnsi="Book Antiqua"/>
          <w:color w:val="000000" w:themeColor="text1"/>
          <w:szCs w:val="24"/>
        </w:rPr>
        <w:t xml:space="preserve"> volume was 822 </w:t>
      </w:r>
      <w:proofErr w:type="spellStart"/>
      <w:r w:rsidR="00CB7814">
        <w:rPr>
          <w:rFonts w:ascii="Book Antiqua" w:hAnsi="Book Antiqua"/>
          <w:color w:val="000000" w:themeColor="text1"/>
          <w:szCs w:val="24"/>
        </w:rPr>
        <w:t>mL</w:t>
      </w:r>
      <w:r w:rsidR="00F06539" w:rsidRPr="00CA521F">
        <w:rPr>
          <w:rFonts w:ascii="Book Antiqua" w:hAnsi="Book Antiqua"/>
          <w:color w:val="000000" w:themeColor="text1"/>
          <w:szCs w:val="24"/>
        </w:rPr>
        <w:t>.</w:t>
      </w:r>
      <w:proofErr w:type="spellEnd"/>
      <w:r w:rsidR="00561B7A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At our facility, in accordance with the protocol of CMV monitoring and treatment after a liver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CMV-AG is tested twice a week, but a CMV-PCR test is not performed routinely. In addition, prophylactic ganciclovir (GCV) is not administered, but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GCV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is initiated when the patient </w:t>
      </w:r>
      <w:r w:rsidR="00F96D77" w:rsidRPr="00CA521F">
        <w:rPr>
          <w:rFonts w:ascii="Book Antiqua" w:hAnsi="Book Antiqua"/>
          <w:color w:val="000000" w:themeColor="text1"/>
          <w:szCs w:val="24"/>
        </w:rPr>
        <w:t>become</w:t>
      </w:r>
      <w:r w:rsidR="00F06539" w:rsidRPr="00CA521F">
        <w:rPr>
          <w:rFonts w:ascii="Book Antiqua" w:hAnsi="Book Antiqua"/>
          <w:color w:val="000000" w:themeColor="text1"/>
          <w:szCs w:val="24"/>
        </w:rPr>
        <w:t>s CMV-AG positive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or 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in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case of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B366D0" w:rsidRPr="00CA521F">
        <w:rPr>
          <w:rFonts w:ascii="Book Antiqua" w:hAnsi="Book Antiqua"/>
          <w:color w:val="000000" w:themeColor="text1"/>
          <w:szCs w:val="24"/>
        </w:rPr>
        <w:t>seropositive donor.</w:t>
      </w:r>
    </w:p>
    <w:p w14:paraId="24217F51" w14:textId="2AA10200" w:rsidR="00F06539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Initially, cyclophosphamide (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CyA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), prednisolone (PSL) and 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mizoribine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 (MIZ) were used as the postoperative immunosuppressants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in accordance with the protocol of our </w:t>
      </w:r>
      <w:proofErr w:type="gramStart"/>
      <w:r w:rsidR="00F06539" w:rsidRPr="00CA521F">
        <w:rPr>
          <w:rFonts w:ascii="Book Antiqua" w:hAnsi="Book Antiqua"/>
          <w:color w:val="000000" w:themeColor="text1"/>
          <w:szCs w:val="24"/>
        </w:rPr>
        <w:t>facility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4,5]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F96D77" w:rsidRPr="00CA521F">
        <w:rPr>
          <w:rFonts w:ascii="Book Antiqua" w:hAnsi="Book Antiqua"/>
          <w:color w:val="000000" w:themeColor="text1"/>
          <w:szCs w:val="24"/>
        </w:rPr>
        <w:t>however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for this patient, MIZ was replaced by mycophenolate mofetil (MMF) due to pancytopenia, </w:t>
      </w:r>
      <w:r w:rsidR="00F96D77" w:rsidRPr="00CA521F">
        <w:rPr>
          <w:rFonts w:ascii="Book Antiqua" w:hAnsi="Book Antiqua"/>
          <w:color w:val="000000" w:themeColor="text1"/>
          <w:szCs w:val="24"/>
        </w:rPr>
        <w:t>and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CyA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replaced by tacrolimus (FK) due to </w:t>
      </w:r>
      <w:r w:rsidR="00430C5C" w:rsidRPr="00CA521F">
        <w:rPr>
          <w:rFonts w:ascii="Book Antiqua" w:hAnsi="Book Antiqua"/>
          <w:color w:val="000000" w:themeColor="text1"/>
          <w:szCs w:val="24"/>
        </w:rPr>
        <w:t>renal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failure.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As the patient had jaundice and persistently elevated aspartate transaminase and alanine transaminase levels, a liver biopsy was performed on the 10th day after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. The histopathological examination was negative for both </w:t>
      </w:r>
      <w:r w:rsidR="00F96D77" w:rsidRPr="00CA521F">
        <w:rPr>
          <w:rFonts w:ascii="Book Antiqua" w:hAnsi="Book Antiqua"/>
          <w:color w:val="000000" w:themeColor="text1"/>
          <w:szCs w:val="24"/>
        </w:rPr>
        <w:t>a</w:t>
      </w:r>
      <w:r w:rsidR="00430C5C" w:rsidRPr="00CA521F">
        <w:rPr>
          <w:rFonts w:ascii="Book Antiqua" w:hAnsi="Book Antiqua"/>
          <w:color w:val="000000" w:themeColor="text1"/>
          <w:szCs w:val="24"/>
        </w:rPr>
        <w:t>cute cellular rejection (</w:t>
      </w:r>
      <w:r w:rsidR="00F06539" w:rsidRPr="00CA521F">
        <w:rPr>
          <w:rFonts w:ascii="Book Antiqua" w:hAnsi="Book Antiqua"/>
          <w:color w:val="000000" w:themeColor="text1"/>
          <w:szCs w:val="24"/>
        </w:rPr>
        <w:t>ACR</w:t>
      </w:r>
      <w:r w:rsidR="00430C5C" w:rsidRPr="00CA521F">
        <w:rPr>
          <w:rFonts w:ascii="Book Antiqua" w:hAnsi="Book Antiqua"/>
          <w:color w:val="000000" w:themeColor="text1"/>
          <w:szCs w:val="24"/>
        </w:rPr>
        <w:t>)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CMV hepatitis, so her condition was suspected to be drug-induced or caused by cholestasis.</w:t>
      </w:r>
    </w:p>
    <w:p w14:paraId="341E0FB5" w14:textId="256BCCC8" w:rsidR="00F06539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S</w:t>
      </w:r>
      <w:r w:rsidR="00F96D77" w:rsidRPr="00CA521F">
        <w:rPr>
          <w:rFonts w:ascii="Book Antiqua" w:hAnsi="Book Antiqua"/>
          <w:color w:val="000000" w:themeColor="text1"/>
          <w:szCs w:val="24"/>
        </w:rPr>
        <w:t>tarting 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the 12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 the patient’s anemia worsened, and she required frequent packed red blood cell transfusions. Further investigations confirmed thrombocytopenia, jaundice</w:t>
      </w:r>
      <w:r w:rsidR="00561B7A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</w:t>
      </w:r>
      <w:r w:rsidR="00430C5C" w:rsidRPr="00CA521F">
        <w:rPr>
          <w:rFonts w:ascii="Book Antiqua" w:hAnsi="Book Antiqua"/>
          <w:color w:val="000000" w:themeColor="text1"/>
          <w:szCs w:val="24"/>
        </w:rPr>
        <w:t>renal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failure. We suspected </w:t>
      </w:r>
      <w:r w:rsidR="00494279" w:rsidRPr="00CA521F">
        <w:rPr>
          <w:rFonts w:ascii="Book Antiqua" w:hAnsi="Book Antiqua"/>
          <w:color w:val="000000" w:themeColor="text1"/>
          <w:szCs w:val="24"/>
        </w:rPr>
        <w:t>thrombotic microangiopathy (</w:t>
      </w:r>
      <w:r w:rsidR="00F06539" w:rsidRPr="00CA521F">
        <w:rPr>
          <w:rFonts w:ascii="Book Antiqua" w:hAnsi="Book Antiqua"/>
          <w:color w:val="000000" w:themeColor="text1"/>
          <w:szCs w:val="24"/>
        </w:rPr>
        <w:t>TMA</w:t>
      </w:r>
      <w:r w:rsidR="00494279" w:rsidRPr="00CA521F">
        <w:rPr>
          <w:rFonts w:ascii="Book Antiqua" w:hAnsi="Book Antiqua"/>
          <w:color w:val="000000" w:themeColor="text1"/>
          <w:szCs w:val="24"/>
        </w:rPr>
        <w:t>)</w:t>
      </w:r>
      <w:r w:rsidR="00561B7A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even though the peripheral smear was negative for fragmented red blood </w:t>
      </w:r>
      <w:r w:rsidR="00F06539"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cells, and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fresh frozen plasma transfusion and FK dose reduction were carried out.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F06539" w:rsidRPr="00CA521F">
        <w:rPr>
          <w:rFonts w:ascii="Book Antiqua" w:hAnsi="Book Antiqua"/>
          <w:color w:val="000000" w:themeColor="text1"/>
          <w:szCs w:val="24"/>
        </w:rPr>
        <w:t>CMV-AG remained negative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there were no clinical findings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that were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characteristic of a CMV infection, but prophylactic GCV administration was initiated. </w:t>
      </w:r>
      <w:r w:rsidR="00561B7A" w:rsidRPr="00CA521F">
        <w:rPr>
          <w:rFonts w:ascii="Book Antiqua" w:hAnsi="Book Antiqua"/>
          <w:color w:val="000000" w:themeColor="text1"/>
          <w:szCs w:val="24"/>
        </w:rPr>
        <w:t>Thereafter</w:t>
      </w:r>
      <w:r w:rsidR="00430C5C" w:rsidRPr="00CA521F">
        <w:rPr>
          <w:rFonts w:ascii="Book Antiqua" w:hAnsi="Book Antiqua"/>
          <w:color w:val="000000" w:themeColor="text1"/>
          <w:szCs w:val="24"/>
        </w:rPr>
        <w:t xml:space="preserve">, the </w:t>
      </w:r>
      <w:r w:rsidR="00F06539" w:rsidRPr="00CA521F">
        <w:rPr>
          <w:rFonts w:ascii="Book Antiqua" w:hAnsi="Book Antiqua"/>
          <w:color w:val="000000" w:themeColor="text1"/>
          <w:szCs w:val="24"/>
        </w:rPr>
        <w:t>thrombocytopenia gradually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improved</w:t>
      </w:r>
      <w:r w:rsidR="00FD4B2F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F06539" w:rsidRPr="00CA521F">
        <w:rPr>
          <w:rFonts w:ascii="Book Antiqua" w:hAnsi="Book Antiqua"/>
          <w:color w:val="000000" w:themeColor="text1"/>
          <w:szCs w:val="24"/>
        </w:rPr>
        <w:t>On the 20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the patient reported </w:t>
      </w:r>
      <w:r w:rsidR="00F06539" w:rsidRPr="00CA521F">
        <w:rPr>
          <w:rFonts w:ascii="Book Antiqua" w:hAnsi="Book Antiqua"/>
          <w:color w:val="000000" w:themeColor="text1"/>
          <w:szCs w:val="24"/>
        </w:rPr>
        <w:t>abdominal pain and black</w:t>
      </w:r>
      <w:r w:rsidR="00F96D77" w:rsidRPr="00CA521F">
        <w:rPr>
          <w:rFonts w:ascii="Book Antiqua" w:hAnsi="Book Antiqua"/>
          <w:color w:val="000000" w:themeColor="text1"/>
          <w:szCs w:val="24"/>
        </w:rPr>
        <w:t>-</w:t>
      </w:r>
      <w:r w:rsidR="00F06539" w:rsidRPr="00CA521F">
        <w:rPr>
          <w:rFonts w:ascii="Book Antiqua" w:hAnsi="Book Antiqua"/>
          <w:color w:val="000000" w:themeColor="text1"/>
          <w:szCs w:val="24"/>
        </w:rPr>
        <w:t>colored stool</w:t>
      </w:r>
      <w:r w:rsidR="00561B7A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>, so upper gastrointestinal endoscopy was performed, which showed multiple gastric ulcers (Figure 1A).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biopsy tissue sample, taken from </w:t>
      </w:r>
      <w:r w:rsidR="00F96D77" w:rsidRPr="00CA521F">
        <w:rPr>
          <w:rFonts w:ascii="Book Antiqua" w:hAnsi="Book Antiqua"/>
          <w:color w:val="000000" w:themeColor="text1"/>
          <w:szCs w:val="24"/>
        </w:rPr>
        <w:t>an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ulcer, showed </w:t>
      </w:r>
      <w:r w:rsidR="007E75ED" w:rsidRPr="00CA521F">
        <w:rPr>
          <w:rFonts w:ascii="Book Antiqua" w:hAnsi="Book Antiqua"/>
          <w:color w:val="000000" w:themeColor="text1"/>
          <w:szCs w:val="24"/>
        </w:rPr>
        <w:t xml:space="preserve">large cells with </w:t>
      </w:r>
      <w:r w:rsidR="00631C40" w:rsidRPr="00CA521F">
        <w:rPr>
          <w:rFonts w:ascii="Book Antiqua" w:hAnsi="Book Antiqua"/>
          <w:color w:val="000000" w:themeColor="text1"/>
          <w:szCs w:val="24"/>
        </w:rPr>
        <w:t>intra</w:t>
      </w:r>
      <w:r w:rsidR="00F06539" w:rsidRPr="00CA521F">
        <w:rPr>
          <w:rFonts w:ascii="Book Antiqua" w:hAnsi="Book Antiqua"/>
          <w:color w:val="000000" w:themeColor="text1"/>
          <w:szCs w:val="24"/>
        </w:rPr>
        <w:t>nuclea</w:t>
      </w:r>
      <w:r w:rsidR="00631C40" w:rsidRPr="00CA521F">
        <w:rPr>
          <w:rFonts w:ascii="Book Antiqua" w:hAnsi="Book Antiqua"/>
          <w:color w:val="000000" w:themeColor="text1"/>
          <w:szCs w:val="24"/>
        </w:rPr>
        <w:t>r inclusion</w:t>
      </w:r>
      <w:r w:rsidR="007E75ED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96D77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hematoxylin and eosin (HE) staining (Figure 1B), and CMV-positive cells were observed through immunostaining (Figure 1C).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Once the diagnosis of CMV gastr</w:t>
      </w:r>
      <w:r w:rsidR="003B5676" w:rsidRPr="00CA521F">
        <w:rPr>
          <w:rFonts w:ascii="Book Antiqua" w:hAnsi="Book Antiqua"/>
          <w:color w:val="000000" w:themeColor="text1"/>
          <w:szCs w:val="24"/>
        </w:rPr>
        <w:t>oenter</w:t>
      </w:r>
      <w:r w:rsidR="00F06539" w:rsidRPr="00CA521F">
        <w:rPr>
          <w:rFonts w:ascii="Book Antiqua" w:hAnsi="Book Antiqua"/>
          <w:color w:val="000000" w:themeColor="text1"/>
          <w:szCs w:val="24"/>
        </w:rPr>
        <w:t>itis was confirmed, GCV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which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had already been initiated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continued, and the dosage of all 3 immunosuppressants, FK, PSL, and MMF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reduced.</w:t>
      </w:r>
    </w:p>
    <w:p w14:paraId="004D5EF6" w14:textId="02E2036B" w:rsidR="0015077A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On the 26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 the patient had frequent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watery diarrhea, for which a lower gastrointestinal endoscopy was performed, and a deep ulcer was observed in the transverse colon (Figure 2A). </w:t>
      </w:r>
      <w:r w:rsidR="00561B7A" w:rsidRPr="00CA521F">
        <w:rPr>
          <w:rFonts w:ascii="Book Antiqua" w:hAnsi="Book Antiqua"/>
          <w:color w:val="000000" w:themeColor="text1"/>
          <w:szCs w:val="24"/>
        </w:rPr>
        <w:t>T</w:t>
      </w:r>
      <w:r w:rsidR="00F06539" w:rsidRPr="00CA521F">
        <w:rPr>
          <w:rFonts w:ascii="Book Antiqua" w:hAnsi="Book Antiqua"/>
          <w:color w:val="000000" w:themeColor="text1"/>
          <w:szCs w:val="24"/>
        </w:rPr>
        <w:t>he biopsy tissue diagnosis of the ulcerative lesion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revealed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1349F" w:rsidRPr="00CA521F">
        <w:rPr>
          <w:rFonts w:ascii="Book Antiqua" w:hAnsi="Book Antiqua"/>
          <w:color w:val="000000" w:themeColor="text1"/>
          <w:szCs w:val="24"/>
        </w:rPr>
        <w:t xml:space="preserve">large cells with </w:t>
      </w:r>
      <w:r w:rsidR="00631C40" w:rsidRPr="00CA521F">
        <w:rPr>
          <w:rFonts w:ascii="Book Antiqua" w:hAnsi="Book Antiqua"/>
          <w:color w:val="000000" w:themeColor="text1"/>
          <w:szCs w:val="24"/>
        </w:rPr>
        <w:t>intra</w:t>
      </w:r>
      <w:r w:rsidR="00F06539" w:rsidRPr="00CA521F">
        <w:rPr>
          <w:rFonts w:ascii="Book Antiqua" w:hAnsi="Book Antiqua"/>
          <w:color w:val="000000" w:themeColor="text1"/>
          <w:szCs w:val="24"/>
        </w:rPr>
        <w:t>nuclea</w:t>
      </w:r>
      <w:r w:rsidR="00631C40" w:rsidRPr="00CA521F">
        <w:rPr>
          <w:rFonts w:ascii="Book Antiqua" w:hAnsi="Book Antiqua"/>
          <w:color w:val="000000" w:themeColor="text1"/>
          <w:szCs w:val="24"/>
        </w:rPr>
        <w:t>r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31C40" w:rsidRPr="00CA521F">
        <w:rPr>
          <w:rFonts w:ascii="Book Antiqua" w:hAnsi="Book Antiqua"/>
          <w:color w:val="000000" w:themeColor="text1"/>
          <w:szCs w:val="24"/>
        </w:rPr>
        <w:t>inclusion</w:t>
      </w:r>
      <w:r w:rsidR="00A1349F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HE-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staining (Figure 2B) and CMV-positive cells </w:t>
      </w:r>
      <w:r w:rsidR="002E3258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immunostaining (Figure 2C). On the 28th day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we noted the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findings of abdominal pain, fever and an increased inflammatory response. A plain abdominal CT scan revealed intraperitoneal free air adjacent to the transverse colon (Figure 3A) and hemorrhagic ascites in the pelvis (Figure 3B).</w:t>
      </w:r>
    </w:p>
    <w:p w14:paraId="3340AC6E" w14:textId="447EC4FE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The patient was diagnosed with gastrointestinal perforation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5077A" w:rsidRPr="00CA521F">
        <w:rPr>
          <w:rFonts w:ascii="Book Antiqua" w:hAnsi="Book Antiqua"/>
          <w:color w:val="000000" w:themeColor="text1"/>
          <w:szCs w:val="24"/>
        </w:rPr>
        <w:t>and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n emergency </w:t>
      </w:r>
      <w:r w:rsidR="00F700E9" w:rsidRPr="00CA521F">
        <w:rPr>
          <w:rFonts w:ascii="Book Antiqua" w:hAnsi="Book Antiqua"/>
          <w:color w:val="000000" w:themeColor="text1"/>
          <w:szCs w:val="24"/>
        </w:rPr>
        <w:t>surgery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performed.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When the abdomen was incised, contaminated ascites </w:t>
      </w:r>
      <w:r w:rsidR="002E3258" w:rsidRPr="00CA521F">
        <w:rPr>
          <w:rFonts w:ascii="Book Antiqua" w:hAnsi="Book Antiqua"/>
          <w:color w:val="000000" w:themeColor="text1"/>
          <w:szCs w:val="24"/>
        </w:rPr>
        <w:t>were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not observed. In the transverse colon, an impending perforation with a thinned serous membrane was confirmed.</w:t>
      </w:r>
    </w:p>
    <w:p w14:paraId="5323C01E" w14:textId="16D3FC41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EC0886" w:rsidRPr="00CA521F">
        <w:rPr>
          <w:rFonts w:ascii="Book Antiqua" w:hAnsi="Book Antiqua"/>
          <w:color w:val="000000" w:themeColor="text1"/>
          <w:szCs w:val="24"/>
        </w:rPr>
        <w:t xml:space="preserve">The rejection activity index score of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EC0886" w:rsidRPr="00CA521F">
        <w:rPr>
          <w:rFonts w:ascii="Book Antiqua" w:hAnsi="Book Antiqua"/>
          <w:color w:val="000000" w:themeColor="text1"/>
          <w:szCs w:val="24"/>
        </w:rPr>
        <w:t xml:space="preserve">liver tissues collected during the surgery was found to be P2, B1, and V1 during the histopathologic </w:t>
      </w:r>
      <w:r w:rsidR="00EC0886" w:rsidRPr="00CA521F">
        <w:rPr>
          <w:rFonts w:ascii="Book Antiqua" w:hAnsi="Book Antiqua"/>
          <w:color w:val="000000" w:themeColor="text1"/>
          <w:szCs w:val="24"/>
        </w:rPr>
        <w:lastRenderedPageBreak/>
        <w:t>examination, indicating ACR.</w:t>
      </w:r>
    </w:p>
    <w:p w14:paraId="1D8E240E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7109E8CD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FINAL DIAGNOSIS</w:t>
      </w:r>
    </w:p>
    <w:p w14:paraId="2434F7C3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final diagnosis of the presented case </w:t>
      </w:r>
      <w:r w:rsidR="002E3258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>s transverse colon perforation due to CMV gastroenteritis.</w:t>
      </w:r>
    </w:p>
    <w:p w14:paraId="1F11ADE9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044994B9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TREATMENT</w:t>
      </w:r>
    </w:p>
    <w:p w14:paraId="15DB1EDA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GCV 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was </w:t>
      </w:r>
      <w:r w:rsidRPr="00CA521F">
        <w:rPr>
          <w:rFonts w:ascii="Book Antiqua" w:hAnsi="Book Antiqua"/>
          <w:color w:val="000000" w:themeColor="text1"/>
          <w:szCs w:val="24"/>
        </w:rPr>
        <w:t>administ</w:t>
      </w:r>
      <w:r w:rsidR="002E3258" w:rsidRPr="00CA521F">
        <w:rPr>
          <w:rFonts w:ascii="Book Antiqua" w:hAnsi="Book Antiqua"/>
          <w:color w:val="000000" w:themeColor="text1"/>
          <w:szCs w:val="24"/>
        </w:rPr>
        <w:t>er</w:t>
      </w:r>
      <w:r w:rsidR="00B45F56" w:rsidRPr="00CA521F">
        <w:rPr>
          <w:rFonts w:ascii="Book Antiqua" w:hAnsi="Book Antiqua"/>
          <w:color w:val="000000" w:themeColor="text1"/>
          <w:szCs w:val="24"/>
        </w:rPr>
        <w:t>ed</w:t>
      </w:r>
      <w:r w:rsidRPr="00CA521F">
        <w:rPr>
          <w:rFonts w:ascii="Book Antiqua" w:hAnsi="Book Antiqua"/>
          <w:color w:val="000000" w:themeColor="text1"/>
          <w:szCs w:val="24"/>
        </w:rPr>
        <w:t xml:space="preserve"> for CMV gastroenteritis. </w:t>
      </w:r>
    </w:p>
    <w:p w14:paraId="123B5A07" w14:textId="0B8A84E8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EC0886" w:rsidRPr="00CA521F">
        <w:rPr>
          <w:rFonts w:ascii="Book Antiqua" w:hAnsi="Book Antiqua"/>
          <w:color w:val="000000" w:themeColor="text1"/>
          <w:szCs w:val="24"/>
        </w:rPr>
        <w:t>During the emergency surgery,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 it was difficult to remove the adhesions with the surrounding </w:t>
      </w:r>
      <w:r w:rsidR="002E3258" w:rsidRPr="00CA521F">
        <w:rPr>
          <w:rFonts w:ascii="Book Antiqua" w:hAnsi="Book Antiqua"/>
          <w:color w:val="000000" w:themeColor="text1"/>
          <w:szCs w:val="24"/>
        </w:rPr>
        <w:t>area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s,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thus, </w:t>
      </w:r>
      <w:r w:rsidR="00F06539" w:rsidRPr="00CA521F">
        <w:rPr>
          <w:rFonts w:ascii="Book Antiqua" w:hAnsi="Book Antiqua"/>
          <w:color w:val="000000" w:themeColor="text1"/>
          <w:szCs w:val="24"/>
        </w:rPr>
        <w:t>the site of perforation was left as it was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2E3258" w:rsidRPr="00CA521F">
        <w:rPr>
          <w:rFonts w:ascii="Book Antiqua" w:hAnsi="Book Antiqua"/>
          <w:color w:val="000000" w:themeColor="text1"/>
          <w:szCs w:val="24"/>
        </w:rPr>
        <w:t>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imple lavage with drainage was </w:t>
      </w:r>
      <w:r w:rsidR="002E3258" w:rsidRPr="00CA521F">
        <w:rPr>
          <w:rFonts w:ascii="Book Antiqua" w:hAnsi="Book Antiqua"/>
          <w:color w:val="000000" w:themeColor="text1"/>
          <w:szCs w:val="24"/>
        </w:rPr>
        <w:t>performed,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ileostomy was performed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 for acute pan</w:t>
      </w:r>
      <w:r w:rsidR="002E3258" w:rsidRPr="00CA521F">
        <w:rPr>
          <w:rFonts w:ascii="Book Antiqua" w:hAnsi="Book Antiqua"/>
          <w:color w:val="000000" w:themeColor="text1"/>
          <w:szCs w:val="24"/>
        </w:rPr>
        <w:t>-</w:t>
      </w:r>
      <w:r w:rsidR="00B45F56" w:rsidRPr="00CA521F">
        <w:rPr>
          <w:rFonts w:ascii="Book Antiqua" w:hAnsi="Book Antiqua"/>
          <w:color w:val="000000" w:themeColor="text1"/>
          <w:szCs w:val="24"/>
        </w:rPr>
        <w:t>peritonitis due to transverse colon perforation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</w:p>
    <w:p w14:paraId="09F9874D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44C856C2" w14:textId="77777777" w:rsidR="0015077A" w:rsidRPr="00CA521F" w:rsidRDefault="0015077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OUTCOME AND FOLLOW-UP</w:t>
      </w:r>
    </w:p>
    <w:p w14:paraId="54B53CBF" w14:textId="57A138E9" w:rsidR="00D06194" w:rsidRPr="00CA521F" w:rsidRDefault="002B25D1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repeated remission and aggravation of CMV gastroenteritis, ACR and TMA made the control of immunosuppression extremely difficult.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CMV-AG remained negative throughout the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disease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course, but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CMV-PCR test </w:t>
      </w:r>
      <w:r w:rsidR="00561B7A" w:rsidRPr="00CA521F">
        <w:rPr>
          <w:rFonts w:ascii="Book Antiqua" w:hAnsi="Book Antiqua"/>
          <w:color w:val="000000" w:themeColor="text1"/>
          <w:szCs w:val="24"/>
        </w:rPr>
        <w:t>result was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220 copies/</w:t>
      </w:r>
      <w:proofErr w:type="spellStart"/>
      <w:r w:rsidR="00284D95" w:rsidRPr="00CA521F">
        <w:rPr>
          <w:rFonts w:ascii="Book Antiqua" w:hAnsi="Book Antiqua"/>
          <w:color w:val="000000" w:themeColor="text1"/>
          <w:szCs w:val="24"/>
        </w:rPr>
        <w:t>m</w:t>
      </w:r>
      <w:r w:rsidR="00CB7814">
        <w:rPr>
          <w:rFonts w:ascii="Book Antiqua" w:hAnsi="Book Antiqua"/>
          <w:color w:val="000000" w:themeColor="text1"/>
          <w:szCs w:val="24"/>
        </w:rPr>
        <w:t>L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  <w:proofErr w:type="spellEnd"/>
      <w:r w:rsidR="00284D95" w:rsidRPr="00CA521F">
        <w:rPr>
          <w:rFonts w:ascii="Book Antiqua" w:hAnsi="Book Antiqua"/>
          <w:color w:val="000000" w:themeColor="text1"/>
          <w:szCs w:val="24"/>
        </w:rPr>
        <w:t xml:space="preserve"> On the 46</w:t>
      </w:r>
      <w:r w:rsidR="00284D95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2E3258" w:rsidRPr="00CA521F">
        <w:rPr>
          <w:rFonts w:ascii="Book Antiqua" w:hAnsi="Book Antiqua"/>
          <w:color w:val="000000" w:themeColor="text1"/>
          <w:szCs w:val="24"/>
        </w:rPr>
        <w:t>a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follow-up upper gastrointestinal endoscopy showed that the gastric ulcer was finally resolving, and the biopsies were also negative for CMV. The patient was ambulatory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at </w:t>
      </w:r>
      <w:r w:rsidR="00284D95" w:rsidRPr="00CA521F">
        <w:rPr>
          <w:rFonts w:ascii="Book Antiqua" w:hAnsi="Book Antiqua"/>
          <w:color w:val="000000" w:themeColor="text1"/>
          <w:szCs w:val="24"/>
        </w:rPr>
        <w:t>discharge on the 86</w:t>
      </w:r>
      <w:r w:rsidR="00284D95" w:rsidRPr="00CB7814">
        <w:rPr>
          <w:rFonts w:ascii="Book Antiqua" w:hAnsi="Book Antiqua"/>
          <w:color w:val="000000" w:themeColor="text1"/>
          <w:szCs w:val="24"/>
          <w:vertAlign w:val="superscript"/>
        </w:rPr>
        <w:t xml:space="preserve">th </w:t>
      </w:r>
      <w:r w:rsidR="00284D95" w:rsidRPr="00CA521F">
        <w:rPr>
          <w:rFonts w:ascii="Book Antiqua" w:hAnsi="Book Antiqua"/>
          <w:color w:val="000000" w:themeColor="text1"/>
          <w:szCs w:val="24"/>
        </w:rPr>
        <w:t>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</w:p>
    <w:p w14:paraId="5F1138A8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37695493" w14:textId="77777777" w:rsidR="003B661A" w:rsidRPr="00CA521F" w:rsidRDefault="00042DA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DISCUSSION</w:t>
      </w:r>
    </w:p>
    <w:p w14:paraId="5EDE6910" w14:textId="32B76218" w:rsidR="00534773" w:rsidRPr="00CA521F" w:rsidRDefault="00284D95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Although CMV infection is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often </w:t>
      </w:r>
      <w:r w:rsidRPr="00CA521F">
        <w:rPr>
          <w:rFonts w:ascii="Book Antiqua" w:hAnsi="Book Antiqua"/>
          <w:color w:val="000000" w:themeColor="text1"/>
          <w:szCs w:val="24"/>
        </w:rPr>
        <w:t xml:space="preserve">contracted in childhood, it usually remains latent. It is often reactivated due to immunosuppression after an organ 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6]</w:t>
      </w:r>
      <w:r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B45F56" w:rsidRPr="00CA521F">
        <w:rPr>
          <w:rFonts w:ascii="Book Antiqua" w:hAnsi="Book Antiqua"/>
          <w:color w:val="000000" w:themeColor="text1"/>
          <w:szCs w:val="24"/>
        </w:rPr>
        <w:t>Most Japanese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individuals </w:t>
      </w:r>
      <w:r w:rsidR="00534773" w:rsidRPr="00CA521F">
        <w:rPr>
          <w:rFonts w:ascii="Book Antiqua" w:hAnsi="Book Antiqua"/>
          <w:color w:val="000000" w:themeColor="text1"/>
          <w:szCs w:val="24"/>
        </w:rPr>
        <w:t>are infected with CMV in early childhoods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and it usually remains latent</w:t>
      </w:r>
      <w:r w:rsidR="00B45F56" w:rsidRPr="00CA521F">
        <w:rPr>
          <w:rFonts w:ascii="Book Antiqua" w:hAnsi="Book Antiqua"/>
          <w:color w:val="000000" w:themeColor="text1"/>
          <w:szCs w:val="24"/>
        </w:rPr>
        <w:t>.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Therefore,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even if a donor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 candidate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ha</w:t>
      </w:r>
      <w:r w:rsidR="002E3258" w:rsidRPr="00CA521F">
        <w:rPr>
          <w:rFonts w:ascii="Book Antiqua" w:hAnsi="Book Antiqua"/>
          <w:color w:val="000000" w:themeColor="text1"/>
          <w:szCs w:val="24"/>
        </w:rPr>
        <w:t>d a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past CMV infection, 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he or she is not excluded </w:t>
      </w:r>
      <w:r w:rsidR="00F02E82" w:rsidRPr="00CA521F">
        <w:rPr>
          <w:rFonts w:ascii="Book Antiqua" w:hAnsi="Book Antiqua"/>
          <w:color w:val="000000" w:themeColor="text1"/>
          <w:szCs w:val="24"/>
        </w:rPr>
        <w:lastRenderedPageBreak/>
        <w:t>as a donor.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C594F" w:rsidRPr="00CA521F">
        <w:rPr>
          <w:rFonts w:ascii="Book Antiqua" w:hAnsi="Book Antiqua"/>
          <w:color w:val="000000" w:themeColor="text1"/>
          <w:szCs w:val="24"/>
        </w:rPr>
        <w:t>W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hen the recipient is seronegative while the donor is seropositive for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F02E82" w:rsidRPr="00CA521F">
        <w:rPr>
          <w:rFonts w:ascii="Book Antiqua" w:hAnsi="Book Antiqua"/>
          <w:color w:val="000000" w:themeColor="text1"/>
          <w:szCs w:val="24"/>
        </w:rPr>
        <w:t>CMV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antibody,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 the risk of onset of CMV infection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after organ transplantation </w:t>
      </w:r>
      <w:r w:rsidR="00F02E82" w:rsidRPr="00CA521F">
        <w:rPr>
          <w:rFonts w:ascii="Book Antiqua" w:hAnsi="Book Antiqua"/>
          <w:color w:val="000000" w:themeColor="text1"/>
          <w:szCs w:val="24"/>
        </w:rPr>
        <w:t>is high, and appropriate monitoring and prophylactic measures are necessary</w:t>
      </w:r>
      <w:r w:rsidR="00F02E82" w:rsidRPr="00CA521F">
        <w:rPr>
          <w:rFonts w:ascii="Book Antiqua" w:hAnsi="Book Antiqua"/>
          <w:color w:val="000000" w:themeColor="text1"/>
          <w:szCs w:val="24"/>
          <w:vertAlign w:val="superscript"/>
        </w:rPr>
        <w:t>[7]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8C626A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However, </w:t>
      </w:r>
      <w:r w:rsidR="005E3FE3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>when the recipient is seropositive, whether the recipient is at risk of infection</w:t>
      </w:r>
      <w:r w:rsidR="002E3258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 when</w:t>
      </w:r>
      <w:r w:rsidR="005E3FE3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 the donor is seropositive or seronegative is controversial.</w:t>
      </w:r>
    </w:p>
    <w:p w14:paraId="1571669A" w14:textId="4727C2AA" w:rsidR="00284D95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The diagnostic methods for CMV include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>1) the isolation and identification of CMV from blood, urine and pharyngeal secretion</w:t>
      </w:r>
      <w:r w:rsidR="002E3258" w:rsidRPr="00CA521F">
        <w:rPr>
          <w:rFonts w:ascii="Book Antiqua" w:hAnsi="Book Antiqua"/>
          <w:color w:val="000000" w:themeColor="text1"/>
          <w:szCs w:val="24"/>
        </w:rPr>
        <w:t>s;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>2) the CMV-AG test, which involves the detection of CMV</w:t>
      </w:r>
      <w:r w:rsidR="002E3258" w:rsidRPr="00CA521F">
        <w:rPr>
          <w:rFonts w:ascii="Book Antiqua" w:hAnsi="Book Antiqua"/>
          <w:color w:val="000000" w:themeColor="text1"/>
          <w:szCs w:val="24"/>
        </w:rPr>
        <w:t>-</w:t>
      </w:r>
      <w:r w:rsidR="00284D95" w:rsidRPr="00CA521F">
        <w:rPr>
          <w:rFonts w:ascii="Book Antiqua" w:hAnsi="Book Antiqua"/>
          <w:color w:val="000000" w:themeColor="text1"/>
          <w:szCs w:val="24"/>
        </w:rPr>
        <w:t>antigen-positive polymorphonuclear leukocytes in peripheral blood using a monoclonal antibody</w:t>
      </w:r>
      <w:r w:rsidR="002E3258" w:rsidRPr="00CA521F">
        <w:rPr>
          <w:rFonts w:ascii="Book Antiqua" w:hAnsi="Book Antiqua"/>
          <w:color w:val="000000" w:themeColor="text1"/>
          <w:szCs w:val="24"/>
        </w:rPr>
        <w:t>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3) the CMV-PCR method, which involves amplifying CMV-DNA from blood and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bronchoalveolar lavage fluid for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>identification</w:t>
      </w:r>
      <w:r w:rsidR="002E3258" w:rsidRPr="00CA521F">
        <w:rPr>
          <w:rFonts w:ascii="Book Antiqua" w:hAnsi="Book Antiqua"/>
          <w:color w:val="000000" w:themeColor="text1"/>
          <w:szCs w:val="24"/>
        </w:rPr>
        <w:t>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4) cytopathological and histopathological examinations, which involve the evaluation of the target organs of CMV infection with endoscopy and biopsy to detect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intranuclear inclusion bodies of giant cells through HE staining and CMV antigens through immunostaining using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284D95" w:rsidRPr="00CA521F">
        <w:rPr>
          <w:rFonts w:ascii="Book Antiqua" w:hAnsi="Book Antiqua"/>
          <w:color w:val="000000" w:themeColor="text1"/>
          <w:szCs w:val="24"/>
        </w:rPr>
        <w:t>anti-CMV monoclonal antibody</w:t>
      </w:r>
      <w:r w:rsidR="00880ACC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105C97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880ACC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384497" w:rsidRPr="00CA521F">
        <w:rPr>
          <w:rFonts w:ascii="Book Antiqua" w:hAnsi="Book Antiqua"/>
          <w:color w:val="000000" w:themeColor="text1"/>
          <w:szCs w:val="24"/>
        </w:rPr>
        <w:t>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>Because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both the sensitivity and specificity of the CMV-AG test are reported to be 70</w:t>
      </w:r>
      <w:r>
        <w:rPr>
          <w:rFonts w:ascii="Book Antiqua" w:hAnsi="Book Antiqua"/>
          <w:color w:val="000000" w:themeColor="text1"/>
          <w:szCs w:val="24"/>
        </w:rPr>
        <w:t>%</w:t>
      </w:r>
      <w:r w:rsidR="00284D95" w:rsidRPr="00CA521F">
        <w:rPr>
          <w:rFonts w:ascii="Book Antiqua" w:hAnsi="Book Antiqua"/>
          <w:color w:val="000000" w:themeColor="text1"/>
          <w:szCs w:val="24"/>
        </w:rPr>
        <w:t>-90</w:t>
      </w:r>
      <w:proofErr w:type="gramStart"/>
      <w:r w:rsidR="00284D95" w:rsidRPr="00CA521F">
        <w:rPr>
          <w:rFonts w:ascii="Book Antiqua" w:hAnsi="Book Antiqua"/>
          <w:color w:val="000000" w:themeColor="text1"/>
          <w:szCs w:val="24"/>
        </w:rPr>
        <w:t>%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9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the levels are indicative of disease severity and treatment response, the test is said to be effective for infection monitoring. </w:t>
      </w:r>
      <w:r w:rsidR="00F738F8" w:rsidRPr="00CA521F">
        <w:rPr>
          <w:rFonts w:ascii="Book Antiqua" w:hAnsi="Book Antiqua"/>
          <w:color w:val="000000" w:themeColor="text1"/>
          <w:szCs w:val="24"/>
        </w:rPr>
        <w:t>The CMV-AG test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is therefore used as an indicator for the initiation and completion of treatment.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84D95" w:rsidRPr="00CA521F">
        <w:rPr>
          <w:rFonts w:ascii="Book Antiqua" w:hAnsi="Book Antiqua"/>
          <w:color w:val="000000" w:themeColor="text1"/>
          <w:szCs w:val="24"/>
        </w:rPr>
        <w:t>The sensitivity and specificity of the CMV-PCR method are reported</w:t>
      </w:r>
      <w:r w:rsidR="00631C40" w:rsidRPr="00CA521F">
        <w:rPr>
          <w:rFonts w:ascii="Book Antiqua" w:hAnsi="Book Antiqua"/>
          <w:color w:val="000000" w:themeColor="text1"/>
          <w:szCs w:val="24"/>
        </w:rPr>
        <w:t xml:space="preserve"> to be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superior to the CMV-AG test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-1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>, and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while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quantitative estimation </w:t>
      </w:r>
      <w:r w:rsidR="00F738F8" w:rsidRPr="00CA521F">
        <w:rPr>
          <w:rFonts w:ascii="Book Antiqua" w:hAnsi="Book Antiqua"/>
          <w:color w:val="000000" w:themeColor="text1"/>
          <w:szCs w:val="24"/>
        </w:rPr>
        <w:t>of the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number of copies is possible with the former, the positive cut-off value varies </w:t>
      </w:r>
      <w:r w:rsidR="00F738F8" w:rsidRPr="00CA521F">
        <w:rPr>
          <w:rFonts w:ascii="Book Antiqua" w:hAnsi="Book Antiqua"/>
          <w:color w:val="000000" w:themeColor="text1"/>
          <w:szCs w:val="24"/>
        </w:rPr>
        <w:t>among different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reports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9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-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11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3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CMV-PCR </w:t>
      </w:r>
      <w:r w:rsidR="005F2A78" w:rsidRPr="00CA521F">
        <w:rPr>
          <w:rFonts w:ascii="Book Antiqua" w:hAnsi="Book Antiqua"/>
          <w:color w:val="000000" w:themeColor="text1"/>
          <w:szCs w:val="24"/>
        </w:rPr>
        <w:t>test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 is not covered by health insurance providers in Japan.</w:t>
      </w:r>
    </w:p>
    <w:p w14:paraId="3A79E8FA" w14:textId="55767B65" w:rsidR="00C35E8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CMV gastroenteritis exhibits clinical symptoms such as nausea, vomiting, abdominal pain and melena, and it is characteristic to find multiple gastrointestinal ulcers during </w:t>
      </w:r>
      <w:proofErr w:type="gramStart"/>
      <w:r w:rsidR="004F64A5" w:rsidRPr="00CA521F">
        <w:rPr>
          <w:rFonts w:ascii="Book Antiqua" w:hAnsi="Book Antiqua"/>
          <w:color w:val="000000" w:themeColor="text1"/>
          <w:szCs w:val="24"/>
        </w:rPr>
        <w:t>endoscopy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5F2A78" w:rsidRPr="00CA521F">
        <w:rPr>
          <w:rFonts w:ascii="Book Antiqua" w:hAnsi="Book Antiqua"/>
          <w:color w:val="000000" w:themeColor="text1"/>
          <w:szCs w:val="24"/>
        </w:rPr>
        <w:t>The d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iagnosis </w:t>
      </w:r>
      <w:r w:rsidR="004F64A5" w:rsidRPr="00CA521F">
        <w:rPr>
          <w:rFonts w:ascii="Book Antiqua" w:hAnsi="Book Antiqua"/>
          <w:color w:val="000000" w:themeColor="text1"/>
          <w:szCs w:val="24"/>
        </w:rPr>
        <w:lastRenderedPageBreak/>
        <w:t>is based on endoscopic findings and biopsy tissue examination and analysis. The diagnosis is confirmed when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 the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intranuclear inclusion bodies of giant cells are observed using HE stains and CMV antigens are identified through immunostaining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>. When an ulcerative lesion is observed in the gastrointestinal tract of an immunosuppressed patient, the site should be biopsied and investigated, keeping CMV infection in mind.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Although it has been reported that in CMV gastroenteritis, the CMV-AG positive rate is </w:t>
      </w:r>
      <w:r w:rsidR="00F738F8" w:rsidRPr="00CA521F">
        <w:rPr>
          <w:rFonts w:ascii="Book Antiqua" w:hAnsi="Book Antiqua"/>
          <w:color w:val="000000" w:themeColor="text1"/>
          <w:szCs w:val="24"/>
        </w:rPr>
        <w:t>approximately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20% at onset and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that </w:t>
      </w:r>
      <w:r w:rsidR="004F64A5" w:rsidRPr="00CA521F">
        <w:rPr>
          <w:rFonts w:ascii="Book Antiqua" w:hAnsi="Book Antiqua"/>
          <w:color w:val="000000" w:themeColor="text1"/>
          <w:szCs w:val="24"/>
        </w:rPr>
        <w:t>false</w:t>
      </w:r>
      <w:r w:rsidR="00F738F8" w:rsidRPr="00CA521F">
        <w:rPr>
          <w:rFonts w:ascii="Book Antiqua" w:hAnsi="Book Antiqua"/>
          <w:color w:val="000000" w:themeColor="text1"/>
          <w:szCs w:val="24"/>
        </w:rPr>
        <w:t>-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negatives </w:t>
      </w:r>
      <w:r w:rsidR="005F2A78" w:rsidRPr="00CA521F">
        <w:rPr>
          <w:rFonts w:ascii="Book Antiqua" w:hAnsi="Book Antiqua"/>
          <w:color w:val="000000" w:themeColor="text1"/>
          <w:szCs w:val="24"/>
        </w:rPr>
        <w:t>results</w:t>
      </w:r>
      <w:r w:rsidR="003B5676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64A5" w:rsidRPr="00CA521F">
        <w:rPr>
          <w:rFonts w:ascii="Book Antiqua" w:hAnsi="Book Antiqua"/>
          <w:color w:val="000000" w:themeColor="text1"/>
          <w:szCs w:val="24"/>
        </w:rPr>
        <w:t>occur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 frequently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[1]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F738F8" w:rsidRPr="00CA521F">
        <w:rPr>
          <w:rFonts w:ascii="Book Antiqua" w:hAnsi="Book Antiqua"/>
          <w:color w:val="000000" w:themeColor="text1"/>
          <w:szCs w:val="24"/>
        </w:rPr>
        <w:t>the CMV-AG status becomes</w:t>
      </w:r>
      <w:r w:rsidR="003C2D7C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>positive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in </w:t>
      </w:r>
      <w:r w:rsidR="00C469DD" w:rsidRPr="00CA521F">
        <w:rPr>
          <w:rFonts w:ascii="Book Antiqua" w:hAnsi="Book Antiqua"/>
          <w:color w:val="000000" w:themeColor="text1"/>
          <w:szCs w:val="24"/>
        </w:rPr>
        <w:t>most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cases during the disease course, thus making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this test </w:t>
      </w:r>
      <w:r w:rsidR="004F64A5" w:rsidRPr="00CA521F">
        <w:rPr>
          <w:rFonts w:ascii="Book Antiqua" w:hAnsi="Book Antiqua"/>
          <w:color w:val="000000" w:themeColor="text1"/>
          <w:szCs w:val="24"/>
        </w:rPr>
        <w:t>a useful parameter for monitoring the response to treatment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C469DD" w:rsidRPr="00CA521F">
        <w:rPr>
          <w:rFonts w:ascii="Book Antiqua" w:hAnsi="Book Antiqua"/>
          <w:color w:val="000000" w:themeColor="text1"/>
          <w:szCs w:val="24"/>
          <w:vertAlign w:val="superscript"/>
        </w:rPr>
        <w:t>1,</w:t>
      </w:r>
      <w:r w:rsidR="00364D3C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C469DD" w:rsidRPr="00CA521F">
        <w:rPr>
          <w:rFonts w:ascii="Book Antiqua" w:hAnsi="Book Antiqua"/>
          <w:color w:val="000000" w:themeColor="text1"/>
          <w:szCs w:val="24"/>
          <w:vertAlign w:val="superscript"/>
        </w:rPr>
        <w:t>,14,1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5F2A78" w:rsidRPr="00CA521F">
        <w:rPr>
          <w:rFonts w:ascii="Book Antiqua" w:hAnsi="Book Antiqua"/>
          <w:color w:val="000000" w:themeColor="text1"/>
          <w:szCs w:val="24"/>
        </w:rPr>
        <w:t>While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there have been reports on </w:t>
      </w:r>
      <w:r w:rsidR="005F2A78" w:rsidRPr="00CA521F">
        <w:rPr>
          <w:rFonts w:ascii="Book Antiqua" w:hAnsi="Book Antiqua"/>
          <w:color w:val="000000" w:themeColor="text1"/>
          <w:szCs w:val="24"/>
        </w:rPr>
        <w:t>rare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cases in which patients who had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CMV gastroenteritis </w:t>
      </w:r>
      <w:r w:rsidR="00F738F8" w:rsidRPr="00CA521F">
        <w:rPr>
          <w:rFonts w:ascii="Book Antiqua" w:hAnsi="Book Antiqua"/>
          <w:color w:val="000000" w:themeColor="text1"/>
          <w:szCs w:val="24"/>
        </w:rPr>
        <w:t>had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CMV-AG </w:t>
      </w:r>
      <w:r w:rsidR="00F738F8" w:rsidRPr="00CA521F">
        <w:rPr>
          <w:rFonts w:ascii="Book Antiqua" w:hAnsi="Book Antiqua"/>
          <w:color w:val="000000" w:themeColor="text1"/>
          <w:szCs w:val="24"/>
        </w:rPr>
        <w:t>results that r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emained negative throughout the disease course after </w:t>
      </w:r>
      <w:r w:rsidR="002B25D1" w:rsidRPr="00CA521F">
        <w:rPr>
          <w:rFonts w:ascii="Book Antiqua" w:hAnsi="Book Antiqua"/>
          <w:color w:val="000000" w:themeColor="text1"/>
          <w:szCs w:val="24"/>
        </w:rPr>
        <w:t>bone marrow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[1</w:t>
      </w:r>
      <w:r w:rsidR="00364D3C" w:rsidRPr="00CA521F">
        <w:rPr>
          <w:rFonts w:ascii="Book Antiqua" w:hAnsi="Book Antiqua"/>
          <w:color w:val="000000" w:themeColor="text1"/>
          <w:szCs w:val="24"/>
          <w:vertAlign w:val="superscript"/>
        </w:rPr>
        <w:t>3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19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, there </w:t>
      </w:r>
      <w:r w:rsidR="00F738F8" w:rsidRPr="00CA521F">
        <w:rPr>
          <w:rFonts w:ascii="Book Antiqua" w:hAnsi="Book Antiqua"/>
          <w:color w:val="000000" w:themeColor="text1"/>
          <w:szCs w:val="24"/>
        </w:rPr>
        <w:t>have been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no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such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reports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associated with </w:t>
      </w:r>
      <w:r w:rsidR="004F64A5" w:rsidRPr="00CA521F">
        <w:rPr>
          <w:rFonts w:ascii="Book Antiqua" w:hAnsi="Book Antiqua"/>
          <w:color w:val="000000" w:themeColor="text1"/>
          <w:szCs w:val="24"/>
        </w:rPr>
        <w:t>solid</w:t>
      </w:r>
      <w:r w:rsidR="00F738F8" w:rsidRPr="00CA521F">
        <w:rPr>
          <w:rFonts w:ascii="Book Antiqua" w:hAnsi="Book Antiqua"/>
          <w:color w:val="000000" w:themeColor="text1"/>
          <w:szCs w:val="24"/>
        </w:rPr>
        <w:t>-</w:t>
      </w:r>
      <w:r w:rsidR="004F64A5"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AA7180" w:rsidRPr="00CA521F">
        <w:rPr>
          <w:rFonts w:ascii="Book Antiqua" w:hAnsi="Book Antiqua"/>
          <w:color w:val="000000" w:themeColor="text1"/>
          <w:szCs w:val="24"/>
        </w:rPr>
        <w:t>ation</w:t>
      </w:r>
      <w:r w:rsidR="00F738F8" w:rsidRPr="00CA521F">
        <w:rPr>
          <w:rFonts w:ascii="Book Antiqua" w:hAnsi="Book Antiqua"/>
          <w:color w:val="000000" w:themeColor="text1"/>
          <w:szCs w:val="24"/>
        </w:rPr>
        <w:t>;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however, 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there </w:t>
      </w:r>
      <w:r w:rsidR="00F738F8" w:rsidRPr="00CA521F">
        <w:rPr>
          <w:rFonts w:ascii="Book Antiqua" w:hAnsi="Book Antiqua"/>
          <w:color w:val="000000" w:themeColor="text1"/>
          <w:szCs w:val="24"/>
        </w:rPr>
        <w:t>have been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some reports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in which </w:t>
      </w:r>
      <w:r w:rsidR="00F756A7" w:rsidRPr="00CA521F">
        <w:rPr>
          <w:rFonts w:ascii="Book Antiqua" w:hAnsi="Book Antiqua"/>
          <w:color w:val="000000" w:themeColor="text1"/>
          <w:szCs w:val="24"/>
        </w:rPr>
        <w:t>the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CMV-AG test </w:t>
      </w:r>
      <w:r w:rsidR="00F738F8" w:rsidRPr="00CA521F">
        <w:rPr>
          <w:rFonts w:ascii="Book Antiqua" w:hAnsi="Book Antiqua"/>
          <w:color w:val="000000" w:themeColor="text1"/>
          <w:szCs w:val="24"/>
        </w:rPr>
        <w:t>wa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s positive when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C64163" w:rsidRPr="00CA521F">
        <w:rPr>
          <w:rFonts w:ascii="Book Antiqua" w:hAnsi="Book Antiqua"/>
          <w:color w:val="000000" w:themeColor="text1"/>
          <w:szCs w:val="24"/>
        </w:rPr>
        <w:t>intestinal perforation was caused by CMV gastroenteritis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[20</w:t>
      </w:r>
      <w:r w:rsidR="00FF73CB" w:rsidRPr="00CA521F">
        <w:rPr>
          <w:rFonts w:ascii="Book Antiqua" w:hAnsi="Book Antiqua"/>
          <w:color w:val="000000" w:themeColor="text1"/>
          <w:szCs w:val="24"/>
          <w:vertAlign w:val="superscript"/>
        </w:rPr>
        <w:t>,21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C594F" w:rsidRPr="00CA521F">
        <w:rPr>
          <w:rFonts w:ascii="Book Antiqua" w:hAnsi="Book Antiqua"/>
          <w:color w:val="000000" w:themeColor="text1"/>
          <w:szCs w:val="24"/>
        </w:rPr>
        <w:t>,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C594F" w:rsidRPr="00CA521F">
        <w:rPr>
          <w:rFonts w:ascii="Book Antiqua" w:hAnsi="Book Antiqua"/>
          <w:color w:val="000000" w:themeColor="text1"/>
          <w:szCs w:val="24"/>
        </w:rPr>
        <w:t>i</w:t>
      </w:r>
      <w:r w:rsidR="00374DBD" w:rsidRPr="00CA521F">
        <w:rPr>
          <w:rFonts w:ascii="Book Antiqua" w:hAnsi="Book Antiqua"/>
          <w:color w:val="000000" w:themeColor="text1"/>
          <w:szCs w:val="24"/>
        </w:rPr>
        <w:t>ncluding a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report</w:t>
      </w:r>
      <w:r w:rsidR="00953FED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in which </w:t>
      </w:r>
      <w:r w:rsidR="00C64163" w:rsidRPr="00CA521F">
        <w:rPr>
          <w:rFonts w:ascii="Book Antiqua" w:hAnsi="Book Antiqua"/>
          <w:color w:val="000000" w:themeColor="text1"/>
          <w:szCs w:val="24"/>
        </w:rPr>
        <w:t>intestinal perforation w</w:t>
      </w:r>
      <w:r w:rsidR="00F738F8" w:rsidRPr="00CA521F">
        <w:rPr>
          <w:rFonts w:ascii="Book Antiqua" w:hAnsi="Book Antiqua"/>
          <w:color w:val="000000" w:themeColor="text1"/>
          <w:szCs w:val="24"/>
        </w:rPr>
        <w:t>ere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caused by CMV gastroenteritis in patients taking immunosuppressants to treat rheumatoid arthriti</w:t>
      </w:r>
      <w:r w:rsidR="007E5985" w:rsidRPr="00CA521F">
        <w:rPr>
          <w:rFonts w:ascii="Book Antiqua" w:hAnsi="Book Antiqua"/>
          <w:color w:val="000000" w:themeColor="text1"/>
          <w:szCs w:val="24"/>
        </w:rPr>
        <w:t>s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[2]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4F64A5" w:rsidRPr="00CA521F">
        <w:rPr>
          <w:rFonts w:ascii="Book Antiqua" w:hAnsi="Book Antiqua"/>
          <w:color w:val="000000" w:themeColor="text1"/>
          <w:szCs w:val="24"/>
        </w:rPr>
        <w:t>Although it has been reported that routine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364D3C" w:rsidRPr="00CA521F">
        <w:rPr>
          <w:rFonts w:ascii="Book Antiqua" w:hAnsi="Book Antiqua"/>
          <w:color w:val="000000" w:themeColor="text1"/>
          <w:szCs w:val="24"/>
        </w:rPr>
        <w:t>upper gastrointestinal endoscopy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during the follow-up </w:t>
      </w:r>
      <w:r w:rsidR="008B78B2" w:rsidRPr="00CA521F">
        <w:rPr>
          <w:rFonts w:ascii="Book Antiqua" w:hAnsi="Book Antiqua"/>
          <w:color w:val="000000" w:themeColor="text1"/>
          <w:szCs w:val="24"/>
        </w:rPr>
        <w:t>for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CMV gastroenteritis does not lead to differences in recurrence rates and treatment </w:t>
      </w:r>
      <w:proofErr w:type="gramStart"/>
      <w:r w:rsidR="00C35E89" w:rsidRPr="00CA521F">
        <w:rPr>
          <w:rFonts w:ascii="Book Antiqua" w:hAnsi="Book Antiqua"/>
          <w:color w:val="000000" w:themeColor="text1"/>
          <w:szCs w:val="24"/>
        </w:rPr>
        <w:t>effects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, there are also cases </w:t>
      </w:r>
      <w:r w:rsidR="008B78B2" w:rsidRPr="00CA521F">
        <w:rPr>
          <w:rFonts w:ascii="Book Antiqua" w:hAnsi="Book Antiqua"/>
          <w:color w:val="000000" w:themeColor="text1"/>
          <w:szCs w:val="24"/>
        </w:rPr>
        <w:t>such as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382B35" w:rsidRPr="00CA521F">
        <w:rPr>
          <w:rFonts w:ascii="Book Antiqua" w:hAnsi="Book Antiqua"/>
          <w:color w:val="000000" w:themeColor="text1"/>
          <w:szCs w:val="24"/>
        </w:rPr>
        <w:t>ours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, where the patient suffers from localized CMV infection but does not achieve viremia and remains CMV-AG negative throughout the disease course. </w:t>
      </w:r>
      <w:r w:rsidR="00DF69A4" w:rsidRPr="00CA521F">
        <w:rPr>
          <w:rFonts w:ascii="Book Antiqua" w:hAnsi="Book Antiqua"/>
          <w:color w:val="000000" w:themeColor="text1"/>
          <w:szCs w:val="24"/>
        </w:rPr>
        <w:t>An 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xamination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of symptomatic patients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through regular </w:t>
      </w:r>
      <w:r w:rsidR="00364D3C" w:rsidRPr="00CA521F">
        <w:rPr>
          <w:rFonts w:ascii="Book Antiqua" w:hAnsi="Book Antiqua"/>
          <w:color w:val="000000" w:themeColor="text1"/>
          <w:szCs w:val="24"/>
        </w:rPr>
        <w:t>upper gastrointestinal endoscopy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and biopsy </w:t>
      </w:r>
      <w:r w:rsidR="00985C89" w:rsidRPr="00CA521F">
        <w:rPr>
          <w:rFonts w:ascii="Book Antiqua" w:hAnsi="Book Antiqua"/>
          <w:color w:val="000000" w:themeColor="text1"/>
          <w:szCs w:val="24"/>
        </w:rPr>
        <w:t>may be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 important monitoring method, and it is necessary to tailor the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medical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management on </w:t>
      </w:r>
      <w:r w:rsidR="00DF69A4" w:rsidRPr="00CA521F">
        <w:rPr>
          <w:rFonts w:ascii="Book Antiqua" w:hAnsi="Book Antiqua"/>
          <w:color w:val="000000" w:themeColor="text1"/>
          <w:szCs w:val="24"/>
        </w:rPr>
        <w:t>a case-to-case basis</w:t>
      </w:r>
      <w:r w:rsidR="00C35E89" w:rsidRPr="00CA521F">
        <w:rPr>
          <w:rFonts w:ascii="Book Antiqua" w:hAnsi="Book Antiqua"/>
          <w:color w:val="000000" w:themeColor="text1"/>
          <w:szCs w:val="24"/>
        </w:rPr>
        <w:t>.</w:t>
      </w:r>
    </w:p>
    <w:p w14:paraId="71EBA026" w14:textId="5A9E03E3" w:rsidR="00953FED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Although there have been reports on cases with gastrointestinal </w:t>
      </w:r>
      <w:r w:rsidR="00C35E89"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perforation due to CMV gastroenteritis, this complication is extremely rare after a solid organ </w:t>
      </w:r>
      <w:proofErr w:type="gramStart"/>
      <w:r w:rsidR="00C35E89"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2,3]</w:t>
      </w:r>
      <w:r w:rsidR="00C35E89" w:rsidRPr="00CA521F">
        <w:rPr>
          <w:rFonts w:ascii="Book Antiqua" w:hAnsi="Book Antiqua"/>
          <w:color w:val="000000" w:themeColor="text1"/>
          <w:szCs w:val="24"/>
        </w:rPr>
        <w:t>.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A7180" w:rsidRPr="00CA521F">
        <w:rPr>
          <w:rFonts w:ascii="Book Antiqua" w:hAnsi="Book Antiqua"/>
          <w:color w:val="000000" w:themeColor="text1"/>
          <w:szCs w:val="24"/>
        </w:rPr>
        <w:t>Recently,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A7180" w:rsidRPr="00CA521F">
        <w:rPr>
          <w:rFonts w:ascii="Book Antiqua" w:hAnsi="Book Antiqua"/>
          <w:color w:val="000000" w:themeColor="text1"/>
          <w:szCs w:val="24"/>
        </w:rPr>
        <w:t xml:space="preserve">there </w:t>
      </w:r>
      <w:r w:rsidR="008B78B2" w:rsidRPr="00CA521F">
        <w:rPr>
          <w:rFonts w:ascii="Book Antiqua" w:hAnsi="Book Antiqua"/>
          <w:color w:val="000000" w:themeColor="text1"/>
          <w:szCs w:val="24"/>
        </w:rPr>
        <w:t>wa</w:t>
      </w:r>
      <w:r w:rsidR="00AA7180" w:rsidRPr="00CA521F">
        <w:rPr>
          <w:rFonts w:ascii="Book Antiqua" w:hAnsi="Book Antiqua"/>
          <w:color w:val="000000" w:themeColor="text1"/>
          <w:szCs w:val="24"/>
        </w:rPr>
        <w:t xml:space="preserve">s a report showing </w:t>
      </w:r>
      <w:r w:rsidR="00C64163" w:rsidRPr="00CA521F">
        <w:rPr>
          <w:rFonts w:ascii="Book Antiqua" w:hAnsi="Book Antiqua"/>
          <w:color w:val="000000" w:themeColor="text1"/>
          <w:szCs w:val="24"/>
        </w:rPr>
        <w:t>that CMV infects vascular endotheli</w:t>
      </w:r>
      <w:r w:rsidR="00F756A7" w:rsidRPr="00CA521F">
        <w:rPr>
          <w:rFonts w:ascii="Book Antiqua" w:hAnsi="Book Antiqua"/>
          <w:color w:val="000000" w:themeColor="text1"/>
          <w:szCs w:val="24"/>
        </w:rPr>
        <w:t>al cells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and cause</w:t>
      </w:r>
      <w:r w:rsidR="008B78B2" w:rsidRPr="00CA521F">
        <w:rPr>
          <w:rFonts w:ascii="Book Antiqua" w:hAnsi="Book Antiqua"/>
          <w:color w:val="000000" w:themeColor="text1"/>
          <w:szCs w:val="24"/>
        </w:rPr>
        <w:t>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ulcer</w:t>
      </w:r>
      <w:r w:rsidR="008B78B2" w:rsidRPr="00CA521F">
        <w:rPr>
          <w:rFonts w:ascii="Book Antiqua" w:hAnsi="Book Antiqua"/>
          <w:color w:val="000000" w:themeColor="text1"/>
          <w:szCs w:val="24"/>
        </w:rPr>
        <w:t>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and perforation locally in the intestinal mucosa</w:t>
      </w:r>
      <w:r w:rsidR="0083163A" w:rsidRPr="00CA521F">
        <w:rPr>
          <w:rFonts w:ascii="Book Antiqua" w:hAnsi="Book Antiqua"/>
          <w:color w:val="000000" w:themeColor="text1"/>
          <w:szCs w:val="24"/>
        </w:rPr>
        <w:t xml:space="preserve"> after solid-organ </w:t>
      </w:r>
      <w:proofErr w:type="gramStart"/>
      <w:r w:rsidR="0083163A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1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64163" w:rsidRPr="00CA521F">
        <w:rPr>
          <w:rFonts w:ascii="Book Antiqua" w:hAnsi="Book Antiqua"/>
          <w:color w:val="000000" w:themeColor="text1"/>
          <w:szCs w:val="24"/>
        </w:rPr>
        <w:t>.</w:t>
      </w:r>
    </w:p>
    <w:p w14:paraId="776BD021" w14:textId="7B08052F" w:rsidR="00AA7180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In our case, in addition to the long-term history of oral PSL therapy for autoimmune hepatitis before transplantation, </w:t>
      </w:r>
      <w:proofErr w:type="spellStart"/>
      <w:r w:rsidR="00862CAF" w:rsidRPr="00CA521F">
        <w:rPr>
          <w:rFonts w:ascii="Book Antiqua" w:hAnsi="Book Antiqua"/>
          <w:color w:val="000000" w:themeColor="text1"/>
          <w:szCs w:val="24"/>
        </w:rPr>
        <w:t>posttransplant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proofErr w:type="spellEnd"/>
      <w:r w:rsidR="00862CAF" w:rsidRPr="00CA521F">
        <w:rPr>
          <w:rFonts w:ascii="Book Antiqua" w:hAnsi="Book Antiqua"/>
          <w:color w:val="000000" w:themeColor="text1"/>
          <w:szCs w:val="24"/>
        </w:rPr>
        <w:t xml:space="preserve"> immunosuppression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was essential</w:t>
      </w:r>
      <w:r w:rsidR="00862CAF" w:rsidRPr="00CA521F">
        <w:rPr>
          <w:rFonts w:ascii="Book Antiqua" w:hAnsi="Book Antiqua"/>
          <w:color w:val="000000" w:themeColor="text1"/>
          <w:szCs w:val="24"/>
        </w:rPr>
        <w:t>. Th</w:t>
      </w:r>
      <w:r w:rsidR="002C594F" w:rsidRPr="00CA521F">
        <w:rPr>
          <w:rFonts w:ascii="Book Antiqua" w:hAnsi="Book Antiqua"/>
          <w:color w:val="000000" w:themeColor="text1"/>
          <w:szCs w:val="24"/>
        </w:rPr>
        <w:t>is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may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have </w:t>
      </w:r>
      <w:r w:rsidR="00862CAF" w:rsidRPr="00CA521F">
        <w:rPr>
          <w:rFonts w:ascii="Book Antiqua" w:hAnsi="Book Antiqua"/>
          <w:color w:val="000000" w:themeColor="text1"/>
          <w:szCs w:val="24"/>
        </w:rPr>
        <w:t>cause</w:t>
      </w:r>
      <w:r w:rsidR="008B78B2" w:rsidRPr="00CA521F">
        <w:rPr>
          <w:rFonts w:ascii="Book Antiqua" w:hAnsi="Book Antiqua"/>
          <w:color w:val="000000" w:themeColor="text1"/>
          <w:szCs w:val="24"/>
        </w:rPr>
        <w:t>d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CMV gastroenteritis with strong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localized inflammation </w:t>
      </w:r>
      <w:r w:rsidR="008B78B2" w:rsidRPr="00CA521F">
        <w:rPr>
          <w:rFonts w:ascii="Book Antiqua" w:hAnsi="Book Antiqua"/>
          <w:color w:val="000000" w:themeColor="text1"/>
          <w:szCs w:val="24"/>
        </w:rPr>
        <w:t>that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led to intestinal perforation without viremia.</w:t>
      </w:r>
    </w:p>
    <w:p w14:paraId="7E1C8BC7" w14:textId="20BADA8D" w:rsidR="00D77C3B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Although CMV infection tends to occur </w:t>
      </w:r>
      <w:r w:rsidR="008B78B2" w:rsidRPr="00CA521F">
        <w:rPr>
          <w:rFonts w:ascii="Book Antiqua" w:hAnsi="Book Antiqua"/>
          <w:color w:val="000000" w:themeColor="text1"/>
          <w:szCs w:val="24"/>
        </w:rPr>
        <w:t>at least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3 </w:t>
      </w:r>
      <w:proofErr w:type="spellStart"/>
      <w:r w:rsidR="00D77C3B" w:rsidRPr="00CA521F">
        <w:rPr>
          <w:rFonts w:ascii="Book Antiqua" w:hAnsi="Book Antiqua"/>
          <w:color w:val="000000" w:themeColor="text1"/>
          <w:szCs w:val="24"/>
        </w:rPr>
        <w:t>w</w:t>
      </w:r>
      <w:r>
        <w:rPr>
          <w:rFonts w:ascii="Book Antiqua" w:hAnsi="Book Antiqua"/>
          <w:color w:val="000000" w:themeColor="text1"/>
          <w:szCs w:val="24"/>
        </w:rPr>
        <w:t>k</w:t>
      </w:r>
      <w:proofErr w:type="spellEnd"/>
      <w:r w:rsidR="00D77C3B" w:rsidRPr="00CA521F">
        <w:rPr>
          <w:rFonts w:ascii="Book Antiqua" w:hAnsi="Book Antiqua"/>
          <w:color w:val="000000" w:themeColor="text1"/>
          <w:szCs w:val="24"/>
        </w:rPr>
        <w:t xml:space="preserve"> after </w:t>
      </w:r>
      <w:proofErr w:type="gramStart"/>
      <w:r w:rsidR="00D77C3B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3]</w:t>
      </w:r>
      <w:r w:rsidR="00D77C3B" w:rsidRPr="00CA521F">
        <w:rPr>
          <w:rFonts w:ascii="Book Antiqua" w:hAnsi="Book Antiqua"/>
          <w:color w:val="000000" w:themeColor="text1"/>
          <w:szCs w:val="24"/>
        </w:rPr>
        <w:t>, patients taking immunosuppressive drugs before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may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be </w:t>
      </w:r>
      <w:r w:rsidR="00D77C3B" w:rsidRPr="00CA521F">
        <w:rPr>
          <w:rFonts w:ascii="Book Antiqua" w:hAnsi="Book Antiqua"/>
          <w:color w:val="000000" w:themeColor="text1"/>
          <w:szCs w:val="24"/>
        </w:rPr>
        <w:t>affect</w:t>
      </w:r>
      <w:r w:rsidR="008B78B2" w:rsidRPr="00CA521F">
        <w:rPr>
          <w:rFonts w:ascii="Book Antiqua" w:hAnsi="Book Antiqua"/>
          <w:color w:val="000000" w:themeColor="text1"/>
          <w:szCs w:val="24"/>
        </w:rPr>
        <w:t>ed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earlie</w:t>
      </w:r>
      <w:r w:rsidR="007A0B27" w:rsidRPr="00CA521F">
        <w:rPr>
          <w:rFonts w:ascii="Book Antiqua" w:hAnsi="Book Antiqua"/>
          <w:color w:val="000000" w:themeColor="text1"/>
          <w:szCs w:val="24"/>
        </w:rPr>
        <w:t>r</w:t>
      </w:r>
      <w:r w:rsidR="00FF73CB" w:rsidRPr="00CA521F">
        <w:rPr>
          <w:rFonts w:ascii="Book Antiqua" w:hAnsi="Book Antiqua"/>
          <w:color w:val="000000" w:themeColor="text1"/>
          <w:szCs w:val="24"/>
          <w:vertAlign w:val="superscript"/>
        </w:rPr>
        <w:t>[6]</w:t>
      </w:r>
      <w:r w:rsidR="00D77C3B" w:rsidRPr="00CA521F">
        <w:rPr>
          <w:rFonts w:ascii="Book Antiqua" w:hAnsi="Book Antiqua"/>
          <w:color w:val="000000" w:themeColor="text1"/>
          <w:szCs w:val="24"/>
        </w:rPr>
        <w:t>.</w:t>
      </w:r>
    </w:p>
    <w:p w14:paraId="282B52FF" w14:textId="20C8229C" w:rsidR="00C35E8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proofErr w:type="spellStart"/>
      <w:r>
        <w:rPr>
          <w:rFonts w:ascii="Book Antiqua" w:hAnsi="Book Antiqua"/>
          <w:color w:val="000000" w:themeColor="text1"/>
          <w:szCs w:val="24"/>
        </w:rPr>
        <w:t>Atsumi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 xml:space="preserve">et </w:t>
      </w:r>
      <w:proofErr w:type="gramStart"/>
      <w:r w:rsidRPr="00CB7814">
        <w:rPr>
          <w:rFonts w:ascii="Book Antiqua" w:hAnsi="Book Antiqua"/>
          <w:i/>
          <w:color w:val="000000" w:themeColor="text1"/>
          <w:szCs w:val="24"/>
        </w:rPr>
        <w:t>al</w:t>
      </w:r>
      <w:r w:rsidRPr="00CB7814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Pr="00CB7814">
        <w:rPr>
          <w:rFonts w:ascii="Book Antiqua" w:hAnsi="Book Antiqua"/>
          <w:color w:val="000000" w:themeColor="text1"/>
          <w:szCs w:val="24"/>
          <w:vertAlign w:val="superscript"/>
        </w:rPr>
        <w:t>22]</w:t>
      </w:r>
      <w:r>
        <w:rPr>
          <w:rFonts w:ascii="Book Antiqua" w:hAnsi="Book Antiqua"/>
          <w:color w:val="000000" w:themeColor="text1"/>
          <w:szCs w:val="24"/>
        </w:rPr>
        <w:t xml:space="preserve"> and </w:t>
      </w:r>
      <w:proofErr w:type="spellStart"/>
      <w:r>
        <w:rPr>
          <w:rFonts w:ascii="Book Antiqua" w:hAnsi="Book Antiqua"/>
          <w:color w:val="000000" w:themeColor="text1"/>
          <w:szCs w:val="24"/>
        </w:rPr>
        <w:t>Kemeny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>et 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[23]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have reported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on </w:t>
      </w:r>
      <w:r w:rsidR="00DF69A4" w:rsidRPr="00CA521F">
        <w:rPr>
          <w:rFonts w:ascii="Book Antiqua" w:hAnsi="Book Antiqua"/>
          <w:color w:val="000000" w:themeColor="text1"/>
          <w:szCs w:val="24"/>
        </w:rPr>
        <w:t>patient</w:t>
      </w:r>
      <w:r w:rsidR="00C35E89" w:rsidRPr="00CA521F">
        <w:rPr>
          <w:rFonts w:ascii="Book Antiqua" w:hAnsi="Book Antiqua"/>
          <w:color w:val="000000" w:themeColor="text1"/>
          <w:szCs w:val="24"/>
        </w:rPr>
        <w:t>s presenting with a combination of polyoma virus infection and acute graft rejection after kidney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. However, the coexistence of an infection and rejection </w:t>
      </w:r>
      <w:r w:rsidR="008B78B2" w:rsidRPr="00CA521F">
        <w:rPr>
          <w:rFonts w:ascii="Book Antiqua" w:hAnsi="Book Antiqua"/>
          <w:color w:val="000000" w:themeColor="text1"/>
          <w:szCs w:val="24"/>
        </w:rPr>
        <w:t>represents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 combination of contradictory illnesses and constitutes a rare presentation. In our case, the patient was first diagnosed with ACR through </w:t>
      </w:r>
      <w:r w:rsidR="008B78B2" w:rsidRPr="00CA521F">
        <w:rPr>
          <w:rFonts w:ascii="Book Antiqua" w:hAnsi="Book Antiqua"/>
          <w:color w:val="000000" w:themeColor="text1"/>
          <w:szCs w:val="24"/>
        </w:rPr>
        <w:t>an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intraoperative liver biopsy sample taken during the emergency procedure for gastrointestinal perforation in an advanced stage of CMV infection. It was a combin</w:t>
      </w:r>
      <w:r w:rsidR="00364D3C" w:rsidRPr="00CA521F">
        <w:rPr>
          <w:rFonts w:ascii="Book Antiqua" w:hAnsi="Book Antiqua"/>
          <w:color w:val="000000" w:themeColor="text1"/>
          <w:szCs w:val="24"/>
        </w:rPr>
        <w:t>ation</w:t>
      </w:r>
      <w:r w:rsidR="00464BCE" w:rsidRPr="00CA521F">
        <w:rPr>
          <w:rFonts w:ascii="Book Antiqua" w:hAnsi="Book Antiqua"/>
          <w:color w:val="000000" w:themeColor="text1"/>
          <w:szCs w:val="24"/>
        </w:rPr>
        <w:t xml:space="preserve"> of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 infection and a rejection,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which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again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is </w:t>
      </w:r>
      <w:r w:rsidR="00C35E89" w:rsidRPr="00CA521F">
        <w:rPr>
          <w:rFonts w:ascii="Book Antiqua" w:hAnsi="Book Antiqua"/>
          <w:color w:val="000000" w:themeColor="text1"/>
          <w:szCs w:val="24"/>
        </w:rPr>
        <w:t>an extremely rare presentation, which made the management difficult.</w:t>
      </w:r>
    </w:p>
    <w:p w14:paraId="211BC44D" w14:textId="11FCA66E" w:rsidR="002A0FA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2B25D1" w:rsidRPr="00CA521F">
        <w:rPr>
          <w:rFonts w:ascii="Book Antiqua" w:hAnsi="Book Antiqua"/>
          <w:color w:val="000000" w:themeColor="text1"/>
          <w:szCs w:val="24"/>
        </w:rPr>
        <w:t>TMA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is a condition in which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C35E89" w:rsidRPr="00CA521F">
        <w:rPr>
          <w:rFonts w:ascii="Book Antiqua" w:hAnsi="Book Antiqua"/>
          <w:color w:val="000000" w:themeColor="text1"/>
          <w:szCs w:val="24"/>
        </w:rPr>
        <w:t>polymers of von Willebrand factor are secreted due to vascular endothelial cell dysfunction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that is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caused by various factors, for </w:t>
      </w:r>
      <w:r w:rsidR="00C35E89" w:rsidRPr="00CB7814">
        <w:rPr>
          <w:rFonts w:ascii="Book Antiqua" w:hAnsi="Book Antiqua"/>
          <w:i/>
          <w:color w:val="000000" w:themeColor="text1"/>
          <w:szCs w:val="24"/>
        </w:rPr>
        <w:t>e.g.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B25D1" w:rsidRPr="00CA521F">
        <w:rPr>
          <w:rFonts w:ascii="Book Antiqua" w:hAnsi="Book Antiqua"/>
          <w:color w:val="000000" w:themeColor="text1"/>
          <w:szCs w:val="24"/>
        </w:rPr>
        <w:t>graft</w:t>
      </w:r>
      <w:r w:rsidR="008B78B2" w:rsidRPr="00CA521F">
        <w:rPr>
          <w:rFonts w:ascii="Book Antiqua" w:hAnsi="Book Antiqua"/>
          <w:color w:val="000000" w:themeColor="text1"/>
          <w:szCs w:val="24"/>
        </w:rPr>
        <w:t>-</w:t>
      </w:r>
      <w:r w:rsidR="002B25D1" w:rsidRPr="00CA521F">
        <w:rPr>
          <w:rFonts w:ascii="Book Antiqua" w:hAnsi="Book Antiqua"/>
          <w:color w:val="000000" w:themeColor="text1"/>
          <w:szCs w:val="24"/>
        </w:rPr>
        <w:t>versus</w:t>
      </w:r>
      <w:r w:rsidR="008B78B2" w:rsidRPr="00CA521F">
        <w:rPr>
          <w:rFonts w:ascii="Book Antiqua" w:hAnsi="Book Antiqua"/>
          <w:color w:val="000000" w:themeColor="text1"/>
          <w:szCs w:val="24"/>
        </w:rPr>
        <w:t>-</w:t>
      </w:r>
      <w:r w:rsidR="002B25D1" w:rsidRPr="00CA521F">
        <w:rPr>
          <w:rFonts w:ascii="Book Antiqua" w:hAnsi="Book Antiqua"/>
          <w:color w:val="000000" w:themeColor="text1"/>
          <w:szCs w:val="24"/>
        </w:rPr>
        <w:t>host disease (GVHD), ABO-incompatible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B25D1" w:rsidRPr="00CA521F">
        <w:rPr>
          <w:rFonts w:ascii="Book Antiqua" w:hAnsi="Book Antiqua"/>
          <w:color w:val="000000" w:themeColor="text1"/>
          <w:szCs w:val="24"/>
        </w:rPr>
        <w:t>, calcineurin inhibitor (CNI) administration, and fungal and viral (</w:t>
      </w:r>
      <w:r w:rsidR="002B25D1" w:rsidRPr="00CB7814">
        <w:rPr>
          <w:rFonts w:ascii="Book Antiqua" w:hAnsi="Book Antiqua"/>
          <w:i/>
          <w:color w:val="000000" w:themeColor="text1"/>
          <w:szCs w:val="24"/>
        </w:rPr>
        <w:t>e.g.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2B25D1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color w:val="000000" w:themeColor="text1"/>
          <w:szCs w:val="24"/>
        </w:rPr>
        <w:t>human immunodeficiency virus</w:t>
      </w:r>
      <w:r w:rsidR="002B25D1" w:rsidRPr="00CA521F">
        <w:rPr>
          <w:rFonts w:ascii="Book Antiqua" w:hAnsi="Book Antiqua"/>
          <w:color w:val="000000" w:themeColor="text1"/>
          <w:szCs w:val="24"/>
        </w:rPr>
        <w:t>, CMV and adenovirus) infections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,2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. This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secretion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promotes platelet thrombus formation, leading to multiorgan failure due to </w:t>
      </w:r>
      <w:r w:rsidR="00C35E89" w:rsidRPr="00CA521F">
        <w:rPr>
          <w:rFonts w:ascii="Book Antiqua" w:hAnsi="Book Antiqua"/>
          <w:color w:val="000000" w:themeColor="text1"/>
          <w:szCs w:val="24"/>
        </w:rPr>
        <w:lastRenderedPageBreak/>
        <w:t>microangiopathy.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Although the recommended criteria for diagnosing TMA have been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previously </w:t>
      </w:r>
      <w:r w:rsidR="006A1717" w:rsidRPr="00CA521F">
        <w:rPr>
          <w:rFonts w:ascii="Book Antiqua" w:hAnsi="Book Antiqua"/>
          <w:color w:val="000000" w:themeColor="text1"/>
          <w:szCs w:val="24"/>
        </w:rPr>
        <w:t>reported, there are no set diagnostic criteria. Our hospital, as report</w:t>
      </w:r>
      <w:r w:rsidR="00547A34" w:rsidRPr="00CA521F">
        <w:rPr>
          <w:rFonts w:ascii="Book Antiqua" w:hAnsi="Book Antiqua"/>
          <w:color w:val="000000" w:themeColor="text1"/>
          <w:szCs w:val="24"/>
        </w:rPr>
        <w:t>ed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gramStart"/>
      <w:r w:rsidR="006A1717" w:rsidRPr="00CA521F">
        <w:rPr>
          <w:rFonts w:ascii="Book Antiqua" w:hAnsi="Book Antiqua"/>
          <w:color w:val="000000" w:themeColor="text1"/>
          <w:szCs w:val="24"/>
        </w:rPr>
        <w:t>previously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, follows the protocol of a diagnosis based on clinical examination findings and the appearance of fragmented red blood cells in </w:t>
      </w:r>
      <w:r w:rsidR="00547A34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peripheral smear, combined with tests showing hemolytic anemia, thrombocytopenia and increased bilirubin and </w:t>
      </w:r>
      <w:r w:rsidR="00547A34" w:rsidRPr="00CA521F">
        <w:rPr>
          <w:rFonts w:ascii="Book Antiqua" w:hAnsi="Book Antiqua"/>
          <w:color w:val="000000" w:themeColor="text1"/>
          <w:szCs w:val="24"/>
        </w:rPr>
        <w:t>l</w:t>
      </w:r>
      <w:r w:rsidR="006A1717" w:rsidRPr="00CA521F">
        <w:rPr>
          <w:rFonts w:ascii="Book Antiqua" w:hAnsi="Book Antiqua"/>
          <w:color w:val="000000" w:themeColor="text1"/>
          <w:szCs w:val="24"/>
        </w:rPr>
        <w:t>actate dehydrogenase levels.</w:t>
      </w:r>
    </w:p>
    <w:p w14:paraId="41467246" w14:textId="06EE8F17" w:rsidR="00464BCE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CMV </w:t>
      </w:r>
      <w:r w:rsidR="00631C40" w:rsidRPr="00CA521F">
        <w:rPr>
          <w:rFonts w:ascii="Book Antiqua" w:hAnsi="Book Antiqua"/>
          <w:color w:val="000000" w:themeColor="text1"/>
          <w:szCs w:val="24"/>
        </w:rPr>
        <w:t>has been reported to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exhibit a TMA-like disease state by infecting vascular endothelial cells and </w:t>
      </w:r>
      <w:r w:rsidR="00547A34" w:rsidRPr="00CA521F">
        <w:rPr>
          <w:rFonts w:ascii="Book Antiqua" w:hAnsi="Book Antiqua"/>
          <w:color w:val="000000" w:themeColor="text1"/>
          <w:szCs w:val="24"/>
        </w:rPr>
        <w:t>making them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gramStart"/>
      <w:r w:rsidR="006A1717" w:rsidRPr="00CA521F">
        <w:rPr>
          <w:rFonts w:ascii="Book Antiqua" w:hAnsi="Book Antiqua"/>
          <w:color w:val="000000" w:themeColor="text1"/>
          <w:szCs w:val="24"/>
        </w:rPr>
        <w:t>dysfunction</w:t>
      </w:r>
      <w:r w:rsidR="008B78B2" w:rsidRPr="00CA521F">
        <w:rPr>
          <w:rFonts w:ascii="Book Antiqua" w:hAnsi="Book Antiqua"/>
          <w:color w:val="000000" w:themeColor="text1"/>
          <w:szCs w:val="24"/>
        </w:rPr>
        <w:t>al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,2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>
        <w:rPr>
          <w:rFonts w:ascii="Book Antiqua" w:hAnsi="Book Antiqua"/>
          <w:color w:val="000000" w:themeColor="text1"/>
          <w:szCs w:val="24"/>
        </w:rPr>
        <w:t xml:space="preserve">. </w:t>
      </w:r>
      <w:r w:rsidR="005A4B82">
        <w:rPr>
          <w:rFonts w:ascii="Book Antiqua" w:hAnsi="Book Antiqua"/>
          <w:color w:val="000000" w:themeColor="text1"/>
          <w:szCs w:val="24"/>
        </w:rPr>
        <w:t>Java</w:t>
      </w:r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 xml:space="preserve">et </w:t>
      </w:r>
      <w:proofErr w:type="gramStart"/>
      <w:r w:rsidRPr="00CB7814">
        <w:rPr>
          <w:rFonts w:ascii="Book Antiqua" w:hAnsi="Book Antiqua"/>
          <w:i/>
          <w:color w:val="000000" w:themeColor="text1"/>
          <w:szCs w:val="24"/>
        </w:rPr>
        <w:t>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>
        <w:rPr>
          <w:rFonts w:ascii="Book Antiqua" w:hAnsi="Book Antiqua"/>
          <w:color w:val="000000" w:themeColor="text1"/>
          <w:szCs w:val="24"/>
          <w:vertAlign w:val="superscript"/>
        </w:rPr>
        <w:t>29]</w:t>
      </w:r>
      <w:r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>
        <w:rPr>
          <w:rFonts w:ascii="Book Antiqua" w:hAnsi="Book Antiqua"/>
          <w:color w:val="000000" w:themeColor="text1"/>
          <w:szCs w:val="24"/>
        </w:rPr>
        <w:t>Waiser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>et 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[30]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reported a </w:t>
      </w:r>
      <w:r w:rsidR="008B78B2" w:rsidRPr="00CA521F">
        <w:rPr>
          <w:rFonts w:ascii="Book Antiqua" w:hAnsi="Book Antiqua"/>
          <w:color w:val="000000" w:themeColor="text1"/>
          <w:szCs w:val="24"/>
        </w:rPr>
        <w:t>patient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with newly developed TMA due to CMV infection in a kidney transplant recipient. In </w:t>
      </w:r>
      <w:r w:rsidR="00464BCE" w:rsidRPr="00CA521F">
        <w:rPr>
          <w:rFonts w:ascii="Book Antiqua" w:hAnsi="Book Antiqua"/>
          <w:color w:val="000000" w:themeColor="text1"/>
          <w:szCs w:val="24"/>
        </w:rPr>
        <w:t>our case</w:t>
      </w:r>
      <w:r w:rsidR="006A1717" w:rsidRPr="00CA521F">
        <w:rPr>
          <w:rFonts w:ascii="Book Antiqua" w:hAnsi="Book Antiqua"/>
          <w:color w:val="000000" w:themeColor="text1"/>
          <w:szCs w:val="24"/>
        </w:rPr>
        <w:t>, treatment with GCV was initiated as the patient presented with symptoms of TMA prior to the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 detection of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CMV infection. Therefore, a CMV infection </w:t>
      </w:r>
      <w:r w:rsidR="001B4FB9" w:rsidRPr="00CA521F">
        <w:rPr>
          <w:rFonts w:ascii="Book Antiqua" w:hAnsi="Book Antiqua"/>
          <w:color w:val="000000" w:themeColor="text1"/>
          <w:szCs w:val="24"/>
        </w:rPr>
        <w:t>c</w:t>
      </w:r>
      <w:r w:rsidR="006A1717" w:rsidRPr="00CA521F">
        <w:rPr>
          <w:rFonts w:ascii="Book Antiqua" w:hAnsi="Book Antiqua"/>
          <w:color w:val="000000" w:themeColor="text1"/>
          <w:szCs w:val="24"/>
        </w:rPr>
        <w:t>ould be suspected in a TMA-like disease presentation.</w:t>
      </w:r>
    </w:p>
    <w:p w14:paraId="469AB907" w14:textId="195E84C4" w:rsidR="006A1717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434366" w:rsidRPr="00CA521F">
        <w:rPr>
          <w:rFonts w:ascii="Book Antiqua" w:hAnsi="Book Antiqua"/>
          <w:color w:val="000000" w:themeColor="text1"/>
          <w:szCs w:val="24"/>
        </w:rPr>
        <w:t>In p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atients who are chronically treated with immunosuppressants before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organ </w:t>
      </w:r>
      <w:r w:rsidR="005660A9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434366" w:rsidRPr="00CA521F">
        <w:rPr>
          <w:rFonts w:ascii="Book Antiqua" w:hAnsi="Book Antiqua"/>
          <w:color w:val="000000" w:themeColor="text1"/>
          <w:szCs w:val="24"/>
        </w:rPr>
        <w:t>,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endoscopy 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should be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performed </w:t>
      </w:r>
      <w:r w:rsidR="005660A9" w:rsidRPr="00CA521F">
        <w:rPr>
          <w:rFonts w:ascii="Book Antiqua" w:hAnsi="Book Antiqua"/>
          <w:color w:val="000000" w:themeColor="text1"/>
          <w:szCs w:val="24"/>
        </w:rPr>
        <w:t>according to symptoms at an earlier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 stage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 after transplant</w:t>
      </w:r>
      <w:r w:rsidR="00434366" w:rsidRPr="00CA521F">
        <w:rPr>
          <w:rFonts w:ascii="Book Antiqua" w:hAnsi="Book Antiqua"/>
          <w:color w:val="000000" w:themeColor="text1"/>
          <w:szCs w:val="24"/>
        </w:rPr>
        <w:t>ation</w:t>
      </w:r>
      <w:r w:rsidR="005660A9" w:rsidRPr="00CA521F">
        <w:rPr>
          <w:rFonts w:ascii="Book Antiqua" w:hAnsi="Book Antiqua"/>
          <w:color w:val="000000" w:themeColor="text1"/>
          <w:szCs w:val="24"/>
        </w:rPr>
        <w:t>.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As a reliable test, </w:t>
      </w:r>
      <w:r w:rsidR="00F756A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CMV-PCR test is 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reported </w:t>
      </w:r>
      <w:r w:rsidR="001B4FB9" w:rsidRPr="00CA521F">
        <w:rPr>
          <w:rFonts w:ascii="Book Antiqua" w:hAnsi="Book Antiqua"/>
          <w:color w:val="000000" w:themeColor="text1"/>
          <w:szCs w:val="24"/>
        </w:rPr>
        <w:t>to be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superior to </w:t>
      </w:r>
      <w:r w:rsidR="00F756A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CMV-AG test, but </w:t>
      </w:r>
      <w:r w:rsidR="007A0B27" w:rsidRPr="00CA521F">
        <w:rPr>
          <w:rFonts w:ascii="Book Antiqua" w:hAnsi="Book Antiqua"/>
          <w:color w:val="000000" w:themeColor="text1"/>
          <w:szCs w:val="24"/>
        </w:rPr>
        <w:t>i</w:t>
      </w:r>
      <w:r w:rsidR="004F5B73" w:rsidRPr="00CA521F">
        <w:rPr>
          <w:rFonts w:ascii="Book Antiqua" w:hAnsi="Book Antiqua"/>
          <w:color w:val="000000" w:themeColor="text1"/>
          <w:szCs w:val="24"/>
        </w:rPr>
        <w:t>t is not covered by health insurance providers in Japan.</w:t>
      </w:r>
    </w:p>
    <w:p w14:paraId="38B913F7" w14:textId="77777777" w:rsidR="007A0B27" w:rsidRPr="00CA521F" w:rsidRDefault="007A0B27" w:rsidP="009A3D9A">
      <w:pPr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2F3FBD14" w14:textId="77777777" w:rsidR="00042DA6" w:rsidRPr="00CA521F" w:rsidRDefault="00042DA6" w:rsidP="009A3D9A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CONCLUSION</w:t>
      </w:r>
    </w:p>
    <w:p w14:paraId="3B4573A5" w14:textId="77777777" w:rsidR="00042DA6" w:rsidRPr="00CA521F" w:rsidRDefault="00042DA6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After solid</w:t>
      </w:r>
      <w:r w:rsidR="001B4FB9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</w:rPr>
        <w:t>, it is necessary to monitor symptomatic patient</w:t>
      </w:r>
      <w:r w:rsidR="001B4FB9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for CMV gastroenteritis,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even when </w:t>
      </w:r>
      <w:r w:rsidRPr="00CA521F">
        <w:rPr>
          <w:rFonts w:ascii="Book Antiqua" w:hAnsi="Book Antiqua"/>
          <w:color w:val="000000" w:themeColor="text1"/>
          <w:szCs w:val="24"/>
        </w:rPr>
        <w:t>the CMV-AG assay remain</w:t>
      </w:r>
      <w:r w:rsidR="001B4FB9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negative throughout the course of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illness. A</w:t>
      </w:r>
      <w:r w:rsidR="001B4FB9" w:rsidRPr="00CA521F">
        <w:rPr>
          <w:rFonts w:ascii="Book Antiqua" w:hAnsi="Book Antiqua"/>
          <w:color w:val="000000" w:themeColor="text1"/>
          <w:szCs w:val="24"/>
        </w:rPr>
        <w:t>dditionally</w:t>
      </w:r>
      <w:r w:rsidRPr="00CA521F">
        <w:rPr>
          <w:rFonts w:ascii="Book Antiqua" w:hAnsi="Book Antiqua"/>
          <w:color w:val="000000" w:themeColor="text1"/>
          <w:szCs w:val="24"/>
        </w:rPr>
        <w:t>, a CMV infection should be suspected when a TMA-like disease presentation is observed, and the patient should be investigated accordingly, to rule out th</w:t>
      </w:r>
      <w:r w:rsidR="001B4FB9" w:rsidRPr="00CA521F">
        <w:rPr>
          <w:rFonts w:ascii="Book Antiqua" w:hAnsi="Book Antiqua"/>
          <w:color w:val="000000" w:themeColor="text1"/>
          <w:szCs w:val="24"/>
        </w:rPr>
        <w:t>is</w:t>
      </w:r>
      <w:r w:rsidRPr="00CA521F">
        <w:rPr>
          <w:rFonts w:ascii="Book Antiqua" w:hAnsi="Book Antiqua"/>
          <w:color w:val="000000" w:themeColor="text1"/>
          <w:szCs w:val="24"/>
        </w:rPr>
        <w:t xml:space="preserve"> diagnosis.</w:t>
      </w:r>
    </w:p>
    <w:p w14:paraId="72725070" w14:textId="77777777" w:rsidR="00042DA6" w:rsidRPr="00CA521F" w:rsidRDefault="00042DA6" w:rsidP="009A3D9A">
      <w:pPr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2684CE2D" w14:textId="6AF542A4" w:rsidR="003B661A" w:rsidRPr="00CA521F" w:rsidRDefault="0025007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A</w:t>
      </w:r>
      <w:r w:rsidR="00FB319E" w:rsidRPr="00CA521F">
        <w:rPr>
          <w:rFonts w:ascii="Book Antiqua" w:hAnsi="Book Antiqua"/>
          <w:b/>
          <w:color w:val="000000" w:themeColor="text1"/>
          <w:szCs w:val="24"/>
        </w:rPr>
        <w:t>CKNOWLEDG</w:t>
      </w:r>
      <w:r w:rsidR="00CB7814">
        <w:rPr>
          <w:rFonts w:ascii="Book Antiqua" w:hAnsi="Book Antiqua"/>
          <w:b/>
          <w:color w:val="000000" w:themeColor="text1"/>
          <w:szCs w:val="24"/>
        </w:rPr>
        <w:t>E</w:t>
      </w:r>
      <w:r w:rsidR="00FB319E" w:rsidRPr="00CA521F">
        <w:rPr>
          <w:rFonts w:ascii="Book Antiqua" w:hAnsi="Book Antiqua"/>
          <w:b/>
          <w:color w:val="000000" w:themeColor="text1"/>
          <w:szCs w:val="24"/>
        </w:rPr>
        <w:t>MENT</w:t>
      </w:r>
      <w:r w:rsidR="00CB7814">
        <w:rPr>
          <w:rFonts w:ascii="Book Antiqua" w:hAnsi="Book Antiqua"/>
          <w:b/>
          <w:color w:val="000000" w:themeColor="text1"/>
          <w:szCs w:val="24"/>
        </w:rPr>
        <w:t>S</w:t>
      </w:r>
    </w:p>
    <w:p w14:paraId="4FE666FE" w14:textId="77777777" w:rsidR="003B661A" w:rsidRPr="00CA521F" w:rsidRDefault="0075765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lastRenderedPageBreak/>
        <w:t>We acknowledge Mr.</w:t>
      </w:r>
      <w:r w:rsidR="00F353AE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="00F353AE" w:rsidRPr="00CA521F">
        <w:rPr>
          <w:rFonts w:ascii="Book Antiqua" w:hAnsi="Book Antiqua"/>
          <w:color w:val="000000" w:themeColor="text1"/>
          <w:szCs w:val="24"/>
        </w:rPr>
        <w:t>Gotou</w:t>
      </w:r>
      <w:proofErr w:type="spellEnd"/>
      <w:r w:rsidR="00AB5804" w:rsidRPr="00CA521F">
        <w:rPr>
          <w:rFonts w:ascii="Book Antiqua" w:hAnsi="Book Antiqua"/>
          <w:color w:val="000000" w:themeColor="text1"/>
          <w:szCs w:val="24"/>
        </w:rPr>
        <w:t xml:space="preserve"> Masaki</w:t>
      </w:r>
      <w:r w:rsidRPr="00CA521F">
        <w:rPr>
          <w:rFonts w:ascii="Book Antiqua" w:hAnsi="Book Antiqua"/>
          <w:color w:val="000000" w:themeColor="text1"/>
          <w:szCs w:val="24"/>
        </w:rPr>
        <w:t xml:space="preserve"> (Department, </w:t>
      </w:r>
      <w:r w:rsidR="00AB5804" w:rsidRPr="00CA521F">
        <w:rPr>
          <w:rFonts w:ascii="Book Antiqua" w:hAnsi="Book Antiqua"/>
          <w:color w:val="000000" w:themeColor="text1"/>
          <w:szCs w:val="24"/>
        </w:rPr>
        <w:t>LSI</w:t>
      </w:r>
      <w:r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CA521F">
        <w:rPr>
          <w:rFonts w:ascii="Book Antiqua" w:hAnsi="Book Antiqua"/>
          <w:color w:val="000000" w:themeColor="text1"/>
          <w:szCs w:val="24"/>
        </w:rPr>
        <w:t>Medience</w:t>
      </w:r>
      <w:proofErr w:type="spellEnd"/>
      <w:r w:rsidRPr="00CA521F">
        <w:rPr>
          <w:rFonts w:ascii="Book Antiqua" w:hAnsi="Book Antiqua"/>
          <w:color w:val="000000" w:themeColor="text1"/>
          <w:szCs w:val="24"/>
        </w:rPr>
        <w:t xml:space="preserve"> Corporation) for advice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on </w:t>
      </w:r>
      <w:r w:rsidRPr="00CA521F">
        <w:rPr>
          <w:rFonts w:ascii="Book Antiqua" w:hAnsi="Book Antiqua"/>
          <w:color w:val="000000" w:themeColor="text1"/>
          <w:szCs w:val="24"/>
        </w:rPr>
        <w:t xml:space="preserve">the antigenemia assay evaluation. </w:t>
      </w:r>
    </w:p>
    <w:p w14:paraId="550A0586" w14:textId="77777777" w:rsidR="00757654" w:rsidRPr="00CA521F" w:rsidRDefault="0075765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63F46FE3" w14:textId="77777777" w:rsidR="00E20938" w:rsidRDefault="00E20938" w:rsidP="009A3D9A">
      <w:pPr>
        <w:snapToGrid w:val="0"/>
        <w:spacing w:line="360" w:lineRule="auto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C82CB0E" w14:textId="2D384D26" w:rsidR="00715082" w:rsidRPr="00E20938" w:rsidRDefault="00E20938" w:rsidP="009A3D9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20938">
        <w:rPr>
          <w:rFonts w:ascii="Book Antiqua" w:hAnsi="Book Antiqua"/>
          <w:b/>
        </w:rPr>
        <w:lastRenderedPageBreak/>
        <w:t>REFERENCES</w:t>
      </w:r>
    </w:p>
    <w:p w14:paraId="51E0513C" w14:textId="1D618E02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Mori S, Kanda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Yakushiji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Mineishi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Takaue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Gondo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Harada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Sakamaki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Iwao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Okamoto S. Clinical significance of cytomegalovirus (CMV) antigenemia in the prediction and diagnosis of CMV gastrointestinal disease after allogeneic hematopoietic stem cell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="0066553A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2004;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33</w:t>
      </w:r>
      <w:r w:rsidRPr="006B1A8D">
        <w:rPr>
          <w:rFonts w:ascii="Book Antiqua" w:hAnsi="Book Antiqua"/>
          <w:color w:val="000000" w:themeColor="text1"/>
          <w:szCs w:val="24"/>
        </w:rPr>
        <w:t>: 431-434 [PMID: 14676775 DOI: 10.1038/sj.bmt.1704369]</w:t>
      </w:r>
    </w:p>
    <w:p w14:paraId="2599446A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Ozaki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Yamashita H, Kaneko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Yorifuji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Takahashi H, Ueda Y, Takahashi Y, Kaneko H, Kano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Mimori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A. Cytomegalovirus disease of the upper gastrointestinal tract in patients with rheumatic diseases: a case series and literature review.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Clin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Rheumatol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32</w:t>
      </w:r>
      <w:r w:rsidRPr="006B1A8D">
        <w:rPr>
          <w:rFonts w:ascii="Book Antiqua" w:hAnsi="Book Antiqua"/>
          <w:color w:val="000000" w:themeColor="text1"/>
          <w:szCs w:val="24"/>
        </w:rPr>
        <w:t>: 1683-1690 [PMID: 23942768 DOI: 10.1007/s10067-013-2363-7]</w:t>
      </w:r>
    </w:p>
    <w:p w14:paraId="03E25347" w14:textId="4965D46C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Vincenzi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R</w:t>
      </w:r>
      <w:r w:rsidRPr="006B1A8D">
        <w:rPr>
          <w:rFonts w:ascii="Book Antiqua" w:hAnsi="Book Antiqua"/>
          <w:color w:val="000000" w:themeColor="text1"/>
          <w:szCs w:val="24"/>
        </w:rPr>
        <w:t xml:space="preserve">, Fonseca EA,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Chapchap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P, Machado MCC,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Roda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KMO,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Candido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HL, Benavides MR,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D'Assuncao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Afonso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RC,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Turine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Marson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FP,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JS. Pancreas-preserving duodenectomy after living donor liver transplantation for invasive cytomegalovirus disease.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Pediatr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Transplant</w:t>
      </w:r>
      <w:r w:rsidRPr="006B1A8D">
        <w:rPr>
          <w:rFonts w:ascii="Book Antiqua" w:hAnsi="Book Antiqua"/>
          <w:color w:val="000000" w:themeColor="text1"/>
          <w:szCs w:val="24"/>
        </w:rPr>
        <w:t> 2017;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21</w:t>
      </w:r>
      <w:r w:rsidRPr="006B1A8D">
        <w:rPr>
          <w:rFonts w:ascii="Book Antiqua" w:hAnsi="Book Antiqua"/>
          <w:color w:val="000000" w:themeColor="text1"/>
          <w:szCs w:val="24"/>
        </w:rPr>
        <w:t>: [PMID: 28881059 DOI: 10.1111/petr.13059]</w:t>
      </w:r>
    </w:p>
    <w:p w14:paraId="1CA18A2F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4 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Tanabe M, Hoshino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Fuchimoto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Kawachi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Shinoda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Shimojima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Matsubara K, Morikawa Y, Kitagawa Y. Cyclosporine A-based immunotherapy in adult living donor liver transplantation: accurate and improved therapeutic drug monitoring by 4-hr intravenous infusion.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Pr="006B1A8D">
        <w:rPr>
          <w:rFonts w:ascii="Book Antiqua" w:hAnsi="Book Antiqua"/>
          <w:color w:val="000000" w:themeColor="text1"/>
          <w:szCs w:val="24"/>
        </w:rPr>
        <w:t> 2011;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92</w:t>
      </w:r>
      <w:r w:rsidRPr="006B1A8D">
        <w:rPr>
          <w:rFonts w:ascii="Book Antiqua" w:hAnsi="Book Antiqua"/>
          <w:color w:val="000000" w:themeColor="text1"/>
          <w:szCs w:val="24"/>
        </w:rPr>
        <w:t>: 100-105 [PMID: 21546866 DOI: 10.1097/TP.0b013e31821dcae3]</w:t>
      </w:r>
    </w:p>
    <w:p w14:paraId="7C3EFA2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5 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Shinoda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Abe Y, Yagi H, Tanaka M, Hoshino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Fujino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Kuroda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Kawachi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Tanabe M, Shimazu M, Kitagawa Y. Steroid minimization immunosuppression protocol using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basiliximab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in adult living donor liver transplantation for hepatitis C virus-related cirrhosis.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Hepatol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Res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45</w:t>
      </w:r>
      <w:r w:rsidRPr="006B1A8D">
        <w:rPr>
          <w:rFonts w:ascii="Book Antiqua" w:hAnsi="Book Antiqua"/>
          <w:color w:val="000000" w:themeColor="text1"/>
          <w:szCs w:val="24"/>
        </w:rPr>
        <w:t>: 1178-1184 [PMID: 25594837 DOI: 10.1111/hepr.12486]</w:t>
      </w:r>
    </w:p>
    <w:p w14:paraId="171066AB" w14:textId="3056E494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6 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Azevedo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LS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Pierrotti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Abdala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E, Costa SF,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Strabelli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TM, Campos </w:t>
      </w:r>
      <w:r w:rsidRPr="006B1A8D">
        <w:rPr>
          <w:rFonts w:ascii="Book Antiqua" w:hAnsi="Book Antiqua"/>
          <w:color w:val="000000" w:themeColor="text1"/>
          <w:szCs w:val="24"/>
        </w:rPr>
        <w:lastRenderedPageBreak/>
        <w:t xml:space="preserve">SV, Ramos JF, Latif AZ, Litvinov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Maluf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NZ,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Caiaffa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Filho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Pannuti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CS, Lopes MH, Santos VA,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Linardi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C, Yasuda MA, Marques HH. Cytomegalovirus infection in transplant recipients.</w:t>
      </w:r>
      <w:r w:rsidR="009A3D9A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Clinics</w:t>
      </w:r>
      <w:r w:rsidRPr="006B1A8D">
        <w:rPr>
          <w:rFonts w:ascii="Book Antiqua" w:hAnsi="Book Antiqua"/>
          <w:iCs/>
          <w:color w:val="000000" w:themeColor="text1"/>
          <w:szCs w:val="24"/>
        </w:rPr>
        <w:t xml:space="preserve"> (Sao Paulo)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70</w:t>
      </w:r>
      <w:r w:rsidRPr="006B1A8D">
        <w:rPr>
          <w:rFonts w:ascii="Book Antiqua" w:hAnsi="Book Antiqua"/>
          <w:color w:val="000000" w:themeColor="text1"/>
          <w:szCs w:val="24"/>
        </w:rPr>
        <w:t>: 515-523 [PMID: 26222822 DOI: 10.6061/clinics/2015(07)09]</w:t>
      </w:r>
    </w:p>
    <w:p w14:paraId="6B3F6B2F" w14:textId="250E77B3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Kotton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CN</w:t>
      </w:r>
      <w:r w:rsidRPr="006B1A8D">
        <w:rPr>
          <w:rFonts w:ascii="Book Antiqua" w:hAnsi="Book Antiqua"/>
          <w:color w:val="000000" w:themeColor="text1"/>
          <w:szCs w:val="24"/>
        </w:rPr>
        <w:t xml:space="preserve">, Kumar D,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Caliendo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Asberg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Chou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Snydman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DR, Allen U,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Humar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A; Transplantation Society International CMV Consensus Group. International consensus guidelines on the management of cytomegalovirus in solid organ transplantation.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89</w:t>
      </w:r>
      <w:r w:rsidRPr="006B1A8D">
        <w:rPr>
          <w:rFonts w:ascii="Book Antiqua" w:hAnsi="Book Antiqua"/>
          <w:color w:val="000000" w:themeColor="text1"/>
          <w:szCs w:val="24"/>
        </w:rPr>
        <w:t>: 779-795 [PMID: 20224515 DOI: 10.1097/TP.0b013e3181cee42f]</w:t>
      </w:r>
    </w:p>
    <w:p w14:paraId="7AFFEBB2" w14:textId="072B4B21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8 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Boeckh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>, Bowden RA, Goodrich JM, Pettinger M, Meyers JD. Cytomegalovirus antigen detection in peripheral blood leukocytes after allogeneic marrow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Blood</w:t>
      </w:r>
      <w:r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1992;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80</w:t>
      </w:r>
      <w:r w:rsidRPr="006B1A8D">
        <w:rPr>
          <w:rFonts w:ascii="Book Antiqua" w:hAnsi="Book Antiqua"/>
          <w:color w:val="000000" w:themeColor="text1"/>
          <w:szCs w:val="24"/>
        </w:rPr>
        <w:t>: 1358-1364 [PMID: 1325214]</w:t>
      </w:r>
    </w:p>
    <w:p w14:paraId="4702152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David-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Neto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E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Triboni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AH, Paula FJ, Vilas Boas LS, Machado CM,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Agena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Latif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AZ,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Alencar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Pierrotti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Nahas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WC,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Caiaffa-Filho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Pannuti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CS. A double-blinded, prospective study to define antigenemia and quantitative real-time polymerase chain reaction cutoffs to start preemptive therapy in low-risk, seropositive, renal transplanted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Pr="006B1A8D">
        <w:rPr>
          <w:rFonts w:ascii="Book Antiqua" w:hAnsi="Book Antiqua"/>
          <w:color w:val="000000" w:themeColor="text1"/>
          <w:szCs w:val="24"/>
        </w:rPr>
        <w:t> 2014;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98</w:t>
      </w:r>
      <w:r w:rsidRPr="006B1A8D">
        <w:rPr>
          <w:rFonts w:ascii="Book Antiqua" w:hAnsi="Book Antiqua"/>
          <w:color w:val="000000" w:themeColor="text1"/>
          <w:szCs w:val="24"/>
        </w:rPr>
        <w:t>: 1077-1081 [PMID: 24839894 DOI: 10.1097/TP.0000000000000189]</w:t>
      </w:r>
    </w:p>
    <w:p w14:paraId="35F2855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10 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Nagata N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Kobayakawa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Shimbo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Hoshimoto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Gotoda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Akiyama J, Oka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Uemura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N. Diagnostic value of antigenemia assay for cytomegalovirus gastrointestinal disease in immunocompromised patients.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World J Gastroenterol</w:t>
      </w:r>
      <w:r w:rsidRPr="006B1A8D">
        <w:rPr>
          <w:rFonts w:ascii="Book Antiqua" w:hAnsi="Book Antiqua"/>
          <w:color w:val="000000" w:themeColor="text1"/>
          <w:szCs w:val="24"/>
        </w:rPr>
        <w:t> 2011;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17</w:t>
      </w:r>
      <w:r w:rsidRPr="006B1A8D">
        <w:rPr>
          <w:rFonts w:ascii="Book Antiqua" w:hAnsi="Book Antiqua"/>
          <w:color w:val="000000" w:themeColor="text1"/>
          <w:szCs w:val="24"/>
        </w:rPr>
        <w:t>: 1185-1191 [PMID: 21448424 DOI: 10.3748/wjg.v17.i9.1185]</w:t>
      </w:r>
    </w:p>
    <w:p w14:paraId="33F2EE7E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11 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Boaretti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Sorrentino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Zantedeschi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Forni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Boschiero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L, Fontana R. Quantification of cytomegalovirus DNA by a fully automated real-time PCR for early diagnosis and monitoring of active </w:t>
      </w:r>
      <w:r w:rsidRPr="006B1A8D">
        <w:rPr>
          <w:rFonts w:ascii="Book Antiqua" w:hAnsi="Book Antiqua"/>
          <w:color w:val="000000" w:themeColor="text1"/>
          <w:szCs w:val="24"/>
        </w:rPr>
        <w:lastRenderedPageBreak/>
        <w:t>viral infection in solid organ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J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Clin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Virol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56</w:t>
      </w:r>
      <w:r w:rsidRPr="006B1A8D">
        <w:rPr>
          <w:rFonts w:ascii="Book Antiqua" w:hAnsi="Book Antiqua"/>
          <w:color w:val="000000" w:themeColor="text1"/>
          <w:szCs w:val="24"/>
        </w:rPr>
        <w:t>: 124-128 [PMID: 23182772 DOI: 10.1016/j.jcv.2012.10.015]</w:t>
      </w:r>
    </w:p>
    <w:p w14:paraId="09B429F9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12 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Kwon S</w:t>
      </w:r>
      <w:r w:rsidRPr="006B1A8D">
        <w:rPr>
          <w:rFonts w:ascii="Book Antiqua" w:hAnsi="Book Antiqua"/>
          <w:color w:val="000000" w:themeColor="text1"/>
          <w:szCs w:val="24"/>
        </w:rPr>
        <w:t>, Jung BK, Ko SY, Lee CK, Cho Y. Comparison of quantitation of cytomegalovirus DNA by real-time PCR in whole blood with the cytomegalovirus antigenemia assay.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Ann Lab Med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35</w:t>
      </w:r>
      <w:r w:rsidRPr="006B1A8D">
        <w:rPr>
          <w:rFonts w:ascii="Book Antiqua" w:hAnsi="Book Antiqua"/>
          <w:color w:val="000000" w:themeColor="text1"/>
          <w:szCs w:val="24"/>
        </w:rPr>
        <w:t>: 99-104 [PMID: 25553288 DOI: 10.3343/alm.2015.35.1.99]</w:t>
      </w:r>
    </w:p>
    <w:p w14:paraId="5FBAF2E6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Dahi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PB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Perales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MA, Devlin SM, Olson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Lubin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Gonzales AM,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Scaradavou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Kernan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NA, O'Reilly RJ, Giralt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Jakubowski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Koehne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G, Papadopoulos EB, Ponce DM, Sauter C, Papanicolaou G, Barker JN. Incidence, nature and mortality of cytomegalovirus infection after double-unit cord blood transplant.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Leuk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Lymphoma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56</w:t>
      </w:r>
      <w:r w:rsidRPr="006B1A8D">
        <w:rPr>
          <w:rFonts w:ascii="Book Antiqua" w:hAnsi="Book Antiqua"/>
          <w:color w:val="000000" w:themeColor="text1"/>
          <w:szCs w:val="24"/>
        </w:rPr>
        <w:t>: 1799-1805 [PMID: 25224458 DOI: 10.3109/10428194.2014.963079]</w:t>
      </w:r>
    </w:p>
    <w:p w14:paraId="2205394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14 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Okamoto S, Matsuoka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Wakui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Watanabe R, Ishida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Iwao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Mukai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Ikeda Y. Risk-adapted pre-emptive therapy for cytomegalovirus disease in patients undergoing allogeneic bone marrow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25</w:t>
      </w:r>
      <w:r w:rsidRPr="006B1A8D">
        <w:rPr>
          <w:rFonts w:ascii="Book Antiqua" w:hAnsi="Book Antiqua"/>
          <w:color w:val="000000" w:themeColor="text1"/>
          <w:szCs w:val="24"/>
        </w:rPr>
        <w:t>: 765-769 [PMID: 10745263 DOI: 10.1038/sj.bmt.1702227]</w:t>
      </w:r>
    </w:p>
    <w:p w14:paraId="3D73E6F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15 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Durand CM</w:t>
      </w:r>
      <w:r w:rsidRPr="006B1A8D">
        <w:rPr>
          <w:rFonts w:ascii="Book Antiqua" w:hAnsi="Book Antiqua"/>
          <w:color w:val="000000" w:themeColor="text1"/>
          <w:szCs w:val="24"/>
        </w:rPr>
        <w:t xml:space="preserve">, Marr KA, Arnold CA, Tang L, Durand DJ, Avery RK,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Valsamakis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Neofytos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D. Detection of cytomegalovirus DNA in plasma as an adjunct diagnostic for gastrointestinal tract disease in kidney and liver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 Infect Dis</w:t>
      </w:r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57</w:t>
      </w:r>
      <w:r w:rsidRPr="006B1A8D">
        <w:rPr>
          <w:rFonts w:ascii="Book Antiqua" w:hAnsi="Book Antiqua"/>
          <w:color w:val="000000" w:themeColor="text1"/>
          <w:szCs w:val="24"/>
        </w:rPr>
        <w:t>: 1550-1559 [PMID: 23956167 DOI: 10.1093/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cid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/cit521]</w:t>
      </w:r>
    </w:p>
    <w:p w14:paraId="22712B3D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16 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Boeckh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Ljungman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P. How we treat cytomegalovirus in hematopoietic cell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Blood</w:t>
      </w:r>
      <w:r w:rsidRPr="006B1A8D">
        <w:rPr>
          <w:rFonts w:ascii="Book Antiqua" w:hAnsi="Book Antiqua"/>
          <w:color w:val="000000" w:themeColor="text1"/>
          <w:szCs w:val="24"/>
        </w:rPr>
        <w:t> 2009;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113</w:t>
      </w:r>
      <w:r w:rsidRPr="006B1A8D">
        <w:rPr>
          <w:rFonts w:ascii="Book Antiqua" w:hAnsi="Book Antiqua"/>
          <w:color w:val="000000" w:themeColor="text1"/>
          <w:szCs w:val="24"/>
        </w:rPr>
        <w:t>: 5711-5719 [PMID: 19299333 DOI: 10.1182/blood-2008-10-143560]</w:t>
      </w:r>
    </w:p>
    <w:p w14:paraId="6A9486E5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Seo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Kim do H, Gong EJ,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Ahn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JY, Lee JH, Jung KW, Choi KD, Song HJ, Lee GH, Jung HY, Kim JH, Lee SO, Choi SH, Kim YS, Woo JH, Kim SH. Is Follow-Up Endoscopy Necessary in Upper Gastrointestinal Cytomegalovirus Disease?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Medicine</w:t>
      </w:r>
      <w:r w:rsidRPr="006B1A8D">
        <w:rPr>
          <w:rFonts w:ascii="Book Antiqua" w:hAnsi="Book Antiqua"/>
          <w:iCs/>
          <w:color w:val="000000" w:themeColor="text1"/>
          <w:szCs w:val="24"/>
        </w:rPr>
        <w:t xml:space="preserve"> (Baltimore)</w:t>
      </w:r>
      <w:r w:rsidRPr="006B1A8D">
        <w:rPr>
          <w:rFonts w:ascii="Book Antiqua" w:hAnsi="Book Antiqua"/>
          <w:color w:val="000000" w:themeColor="text1"/>
          <w:szCs w:val="24"/>
        </w:rPr>
        <w:t> 2016;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95</w:t>
      </w:r>
      <w:r w:rsidRPr="006B1A8D">
        <w:rPr>
          <w:rFonts w:ascii="Book Antiqua" w:hAnsi="Book Antiqua"/>
          <w:color w:val="000000" w:themeColor="text1"/>
          <w:szCs w:val="24"/>
        </w:rPr>
        <w:t>: e3389 [PMID: 27175637 DOI: 10.1097/MD.0000000000003389]</w:t>
      </w:r>
    </w:p>
    <w:p w14:paraId="5F07E0D2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lastRenderedPageBreak/>
        <w:t>18 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Yanada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Yamamoto K, Emi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Naoe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Suzuki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Taji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Iida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Shimokawa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Kohno A, Mizuta S, Maruyama 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Wakita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Yano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Hamaguchi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Hamajima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Morishima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Kodera Y, Sao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Morishita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Y. Cytomegalovirus antigenemia and outcome of patients treated with pre-emptive ganciclovir: retrospective analysis of 241 consecutive patients undergoing allogeneic hematopoietic stem cell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32</w:t>
      </w:r>
      <w:r w:rsidRPr="006B1A8D">
        <w:rPr>
          <w:rFonts w:ascii="Book Antiqua" w:hAnsi="Book Antiqua"/>
          <w:color w:val="000000" w:themeColor="text1"/>
          <w:szCs w:val="24"/>
        </w:rPr>
        <w:t>: 801-807 [PMID: 14520425 DOI: 10.1038/sj.bmt.1704232]</w:t>
      </w:r>
    </w:p>
    <w:p w14:paraId="4C48CC21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Okamoto S, Watanabe R, Yamazaki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Tsukada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Nagayama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Ishida A, Ikeda Y. Incidence of cytomegalovirus (CMV) infection in allogeneic hematopoietic stem cell recipients at low risk of CMV infection.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2002;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29</w:t>
      </w:r>
      <w:r w:rsidRPr="006B1A8D">
        <w:rPr>
          <w:rFonts w:ascii="Book Antiqua" w:hAnsi="Book Antiqua"/>
          <w:color w:val="000000" w:themeColor="text1"/>
          <w:szCs w:val="24"/>
        </w:rPr>
        <w:t>: 1005-1006 [PMID: 12098071 DOI: 10.1038/sj.bmt.1703588]</w:t>
      </w:r>
    </w:p>
    <w:p w14:paraId="1FCBE0C9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20 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De 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Bartolomeis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C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Collini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Barni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Ruggieri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G, Bernini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Carmellini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M. Cytomegalovirus infection with multiple colonic perforations in a renal transplant recipient.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 Proc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37</w:t>
      </w:r>
      <w:r w:rsidRPr="006B1A8D">
        <w:rPr>
          <w:rFonts w:ascii="Book Antiqua" w:hAnsi="Book Antiqua"/>
          <w:color w:val="000000" w:themeColor="text1"/>
          <w:szCs w:val="24"/>
        </w:rPr>
        <w:t>: 2504-2506 [PMID: 16182726 DOI: 10.1016/j.transproceed.2005.06.082]</w:t>
      </w:r>
    </w:p>
    <w:p w14:paraId="6B7B4DD7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21 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Zandberg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de Maar EF,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Hofker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HS, Homan van der Heide JJ, Rosati S, van Son WJ. Initial cytomegalovirus prophylaxis with ganciclovir: no guarantee for prevention of late serious manifestations of CMV after solid organ transplantation.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Neth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J Med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63</w:t>
      </w:r>
      <w:r w:rsidRPr="006B1A8D">
        <w:rPr>
          <w:rFonts w:ascii="Book Antiqua" w:hAnsi="Book Antiqua"/>
          <w:color w:val="000000" w:themeColor="text1"/>
          <w:szCs w:val="24"/>
        </w:rPr>
        <w:t>: 408-412 [PMID: 16301763]</w:t>
      </w:r>
    </w:p>
    <w:p w14:paraId="7466349A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22 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Atsumi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H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Asaka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Kimura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Imura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J, Fujimoto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Chikazawa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Nakagawa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Okuyama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Yamaya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Moriyama M, Tanaka T, Suzuki K, Yokoyama H. A case of second renal transplantation with acute antibody-mediated rejection complicated with BK virus nephropathy.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 Transplant</w:t>
      </w:r>
      <w:r w:rsidRPr="006B1A8D">
        <w:rPr>
          <w:rFonts w:ascii="Book Antiqua" w:hAnsi="Book Antiqua"/>
          <w:color w:val="000000" w:themeColor="text1"/>
          <w:szCs w:val="24"/>
        </w:rPr>
        <w:t> 2010;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24 </w:t>
      </w:r>
      <w:r w:rsidRPr="006B1A8D">
        <w:rPr>
          <w:rFonts w:ascii="Book Antiqua" w:hAnsi="Book Antiqua"/>
          <w:bCs/>
          <w:color w:val="000000" w:themeColor="text1"/>
          <w:szCs w:val="24"/>
        </w:rPr>
        <w:t>Suppl 22</w:t>
      </w:r>
      <w:r w:rsidRPr="006B1A8D">
        <w:rPr>
          <w:rFonts w:ascii="Book Antiqua" w:hAnsi="Book Antiqua"/>
          <w:color w:val="000000" w:themeColor="text1"/>
          <w:szCs w:val="24"/>
        </w:rPr>
        <w:t>: 35-38 [PMID: 20590692 DOI: 10.1111/j.1399-0012.2010.01280.x]</w:t>
      </w:r>
    </w:p>
    <w:p w14:paraId="0FFCEFC2" w14:textId="3E523D5A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Kemény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E</w:t>
      </w:r>
      <w:r w:rsidRPr="006B1A8D">
        <w:rPr>
          <w:rFonts w:ascii="Book Antiqua" w:hAnsi="Book Antiqua"/>
          <w:color w:val="000000" w:themeColor="text1"/>
          <w:szCs w:val="24"/>
        </w:rPr>
        <w:t xml:space="preserve">, Hirsch HH, Eller J,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Dürmüller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U,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Hopfer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Mihatsch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MJ. Plasma cell infiltrates in polyomavirus nephropathy.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Int</w:t>
      </w:r>
      <w:proofErr w:type="spellEnd"/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2010;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lastRenderedPageBreak/>
        <w:t>23</w:t>
      </w:r>
      <w:r w:rsidRPr="006B1A8D">
        <w:rPr>
          <w:rFonts w:ascii="Book Antiqua" w:hAnsi="Book Antiqua"/>
          <w:color w:val="000000" w:themeColor="text1"/>
          <w:szCs w:val="24"/>
        </w:rPr>
        <w:t>: 397-406 [PMID: 19912590 DOI: 10.1111/j.1432-2277.2009.01001.x]</w:t>
      </w:r>
    </w:p>
    <w:p w14:paraId="7586AA0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24 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Nakazawa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Y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Hashikura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Urata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Ikegami T, Terada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Yagi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Ishizashi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Matsumoto M, Fujimura Y, Miyagawa S. Von Willebrand factor--cleaving protease activity in thrombotic microangiopathy after living donor liver transplantation: a case report.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Liver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2003;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</w:t>
      </w:r>
      <w:r w:rsidRPr="006B1A8D">
        <w:rPr>
          <w:rFonts w:ascii="Book Antiqua" w:hAnsi="Book Antiqua"/>
          <w:color w:val="000000" w:themeColor="text1"/>
          <w:szCs w:val="24"/>
        </w:rPr>
        <w:t>: 1328-1333 [PMID: 14625834 DOI: 10.1016/j.lts.2003.09.021]</w:t>
      </w:r>
    </w:p>
    <w:p w14:paraId="4A35FCD3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25 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Kobayashi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Wada H, Usui M, Sakurai H, Matsumoto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Nobori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Katayama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Uemoto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Ishizashi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Matsumoto M, Fujimura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Isaji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S. Decreased ADAMTS13 levels in patients after living donor liver transplantation.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Thromb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Res</w:t>
      </w:r>
      <w:r w:rsidRPr="006B1A8D">
        <w:rPr>
          <w:rFonts w:ascii="Book Antiqua" w:hAnsi="Book Antiqua"/>
          <w:color w:val="000000" w:themeColor="text1"/>
          <w:szCs w:val="24"/>
        </w:rPr>
        <w:t> 2009;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124</w:t>
      </w:r>
      <w:r w:rsidRPr="006B1A8D">
        <w:rPr>
          <w:rFonts w:ascii="Book Antiqua" w:hAnsi="Book Antiqua"/>
          <w:color w:val="000000" w:themeColor="text1"/>
          <w:szCs w:val="24"/>
        </w:rPr>
        <w:t>: 541-545 [PMID: 19423151 DOI: 10.1016/j.thromres.2009.03.010]</w:t>
      </w:r>
    </w:p>
    <w:p w14:paraId="143117AD" w14:textId="02E6B568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26 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Kishida N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Shinoda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Yagi H, Abe Y, Matsubara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Odaira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Tanabe M, Shimazu M, Kitagawa Y. Increased Incidence of Thrombotic Microangiopathy After ABO-Incompatible Living Donor Liver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Ann Transplant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2016;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21</w:t>
      </w:r>
      <w:r w:rsidRPr="006B1A8D">
        <w:rPr>
          <w:rFonts w:ascii="Book Antiqua" w:hAnsi="Book Antiqua"/>
          <w:color w:val="000000" w:themeColor="text1"/>
          <w:szCs w:val="24"/>
        </w:rPr>
        <w:t>: 755-764 [PMID: 27956735 DOI: 10.12659/AOT.900915]</w:t>
      </w:r>
    </w:p>
    <w:p w14:paraId="3A660657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Narimatsu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H</w:t>
      </w:r>
      <w:r w:rsidRPr="006B1A8D">
        <w:rPr>
          <w:rFonts w:ascii="Book Antiqua" w:hAnsi="Book Antiqua"/>
          <w:color w:val="000000" w:themeColor="text1"/>
          <w:szCs w:val="24"/>
        </w:rPr>
        <w:t xml:space="preserve">, Kami M, Hara S, Matsumura T, Miyakoshi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Kusumi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E,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Kakugawa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Murashige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Yuji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Masuoka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Yoneyama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Wake A, Morinaga S, Kanda Y, Taniguchi S. Intestinal thrombotic microangiopathy following reduced-intensity umbilical cord blood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36</w:t>
      </w:r>
      <w:r w:rsidRPr="006B1A8D">
        <w:rPr>
          <w:rFonts w:ascii="Book Antiqua" w:hAnsi="Book Antiqua"/>
          <w:color w:val="000000" w:themeColor="text1"/>
          <w:szCs w:val="24"/>
        </w:rPr>
        <w:t>: 517-523 [PMID: 16025150 DOI: 10.1038/sj.bmt.1705099]</w:t>
      </w:r>
    </w:p>
    <w:p w14:paraId="770DFDCF" w14:textId="70A6FA64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28 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Rahbar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A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Söderberg-Nauclér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C. Human cytomegalovirus infection of endothelial cells triggers platelet adhesion and aggregation.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J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Virol</w:t>
      </w:r>
      <w:proofErr w:type="spellEnd"/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2005;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79</w:t>
      </w:r>
      <w:r w:rsidRPr="006B1A8D">
        <w:rPr>
          <w:rFonts w:ascii="Book Antiqua" w:hAnsi="Book Antiqua"/>
          <w:color w:val="000000" w:themeColor="text1"/>
          <w:szCs w:val="24"/>
        </w:rPr>
        <w:t>: 2211-2220 [PMID: 15681423 DOI: 10.1128/JVI.79.4.2211-2220.2005]</w:t>
      </w:r>
    </w:p>
    <w:p w14:paraId="6ECEF5F7" w14:textId="199DB405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Java A</w:t>
      </w:r>
      <w:r w:rsidRPr="006B1A8D">
        <w:rPr>
          <w:rFonts w:ascii="Book Antiqua" w:hAnsi="Book Antiqua"/>
          <w:color w:val="000000" w:themeColor="text1"/>
          <w:szCs w:val="24"/>
        </w:rPr>
        <w:t xml:space="preserve">, Edwards A, Rossi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Pandey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Gaut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J, Delos Santos R, Miller B, Klein C, Brennan D. Cytomegalovirus-induced thrombotic microangiopathy after renal transplant successfully treated with eculizumab: case report and review of the literature.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Int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2015;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lastRenderedPageBreak/>
        <w:t>28</w:t>
      </w:r>
      <w:r w:rsidRPr="006B1A8D">
        <w:rPr>
          <w:rFonts w:ascii="Book Antiqua" w:hAnsi="Book Antiqua"/>
          <w:color w:val="000000" w:themeColor="text1"/>
          <w:szCs w:val="24"/>
        </w:rPr>
        <w:t>: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1121-1125 [PMID: 25864519 DOI: 10.1111/tri.12582]</w:t>
      </w:r>
    </w:p>
    <w:p w14:paraId="14BF0A0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30 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Waiser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J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Budde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Rudolph B,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Ortner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Neumayer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HH. De novo hemolytic uremic syndrome postrenal transplant after cytomegalovirus infection.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Am J Kidney Dis</w:t>
      </w:r>
      <w:r w:rsidRPr="006B1A8D">
        <w:rPr>
          <w:rFonts w:ascii="Book Antiqua" w:hAnsi="Book Antiqua"/>
          <w:color w:val="000000" w:themeColor="text1"/>
          <w:szCs w:val="24"/>
        </w:rPr>
        <w:t> 1999;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34</w:t>
      </w:r>
      <w:r w:rsidRPr="006B1A8D">
        <w:rPr>
          <w:rFonts w:ascii="Book Antiqua" w:hAnsi="Book Antiqua"/>
          <w:color w:val="000000" w:themeColor="text1"/>
          <w:szCs w:val="24"/>
        </w:rPr>
        <w:t>: 556-559 [PMID: 10469868 DOI: 10.1053/AJKD03400556]</w:t>
      </w:r>
    </w:p>
    <w:p w14:paraId="37CB3F2E" w14:textId="36DAE90C" w:rsidR="006B1A8D" w:rsidRPr="006B1A8D" w:rsidRDefault="006B1A8D" w:rsidP="009A3D9A">
      <w:pPr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</w:pPr>
      <w:bookmarkStart w:id="26" w:name="OLE_LINK148"/>
      <w:bookmarkStart w:id="27" w:name="OLE_LINK320"/>
      <w:bookmarkStart w:id="28" w:name="OLE_LINK387"/>
      <w:bookmarkStart w:id="29" w:name="OLE_LINK254"/>
      <w:bookmarkStart w:id="30" w:name="OLE_LINK149"/>
      <w:bookmarkStart w:id="31" w:name="OLE_LINK225"/>
      <w:bookmarkStart w:id="32" w:name="OLE_LINK207"/>
      <w:bookmarkStart w:id="33" w:name="OLE_LINK226"/>
      <w:bookmarkStart w:id="34" w:name="OLE_LINK212"/>
      <w:bookmarkStart w:id="35" w:name="OLE_LINK250"/>
      <w:bookmarkStart w:id="36" w:name="OLE_LINK281"/>
      <w:bookmarkStart w:id="37" w:name="OLE_LINK282"/>
      <w:bookmarkStart w:id="38" w:name="OLE_LINK313"/>
      <w:bookmarkStart w:id="39" w:name="OLE_LINK304"/>
      <w:bookmarkStart w:id="40" w:name="OLE_LINK321"/>
      <w:bookmarkStart w:id="41" w:name="OLE_LINK385"/>
      <w:bookmarkStart w:id="42" w:name="OLE_LINK400"/>
      <w:bookmarkStart w:id="43" w:name="OLE_LINK346"/>
      <w:bookmarkStart w:id="44" w:name="OLE_LINK371"/>
      <w:bookmarkStart w:id="45" w:name="OLE_LINK334"/>
      <w:bookmarkStart w:id="46" w:name="OLE_LINK1830"/>
      <w:bookmarkStart w:id="47" w:name="OLE_LINK457"/>
      <w:bookmarkStart w:id="48" w:name="OLE_LINK288"/>
      <w:bookmarkStart w:id="49" w:name="OLE_LINK384"/>
      <w:bookmarkStart w:id="50" w:name="OLE_LINK379"/>
      <w:bookmarkStart w:id="51" w:name="OLE_LINK303"/>
      <w:bookmarkStart w:id="52" w:name="OLE_LINK450"/>
      <w:bookmarkStart w:id="53" w:name="OLE_LINK489"/>
      <w:bookmarkStart w:id="54" w:name="OLE_LINK535"/>
      <w:bookmarkStart w:id="55" w:name="OLE_LINK648"/>
      <w:bookmarkStart w:id="56" w:name="OLE_LINK686"/>
      <w:bookmarkStart w:id="57" w:name="OLE_LINK471"/>
      <w:bookmarkStart w:id="58" w:name="OLE_LINK462"/>
      <w:bookmarkStart w:id="59" w:name="OLE_LINK519"/>
      <w:bookmarkStart w:id="60" w:name="OLE_LINK575"/>
      <w:bookmarkStart w:id="61" w:name="OLE_LINK491"/>
      <w:bookmarkStart w:id="62" w:name="OLE_LINK532"/>
      <w:bookmarkStart w:id="63" w:name="OLE_LINK572"/>
      <w:bookmarkStart w:id="64" w:name="OLE_LINK574"/>
      <w:bookmarkStart w:id="65" w:name="OLE_LINK480"/>
      <w:bookmarkStart w:id="66" w:name="OLE_LINK567"/>
      <w:bookmarkStart w:id="67" w:name="OLE_LINK2700"/>
      <w:bookmarkStart w:id="68" w:name="OLE_LINK581"/>
      <w:bookmarkStart w:id="69" w:name="OLE_LINK639"/>
      <w:bookmarkStart w:id="70" w:name="OLE_LINK688"/>
      <w:bookmarkStart w:id="71" w:name="OLE_LINK722"/>
      <w:bookmarkStart w:id="72" w:name="OLE_LINK542"/>
      <w:bookmarkStart w:id="73" w:name="OLE_LINK589"/>
      <w:bookmarkStart w:id="74" w:name="OLE_LINK582"/>
      <w:bookmarkStart w:id="75" w:name="OLE_LINK640"/>
      <w:bookmarkStart w:id="76" w:name="OLE_LINK714"/>
      <w:bookmarkStart w:id="77" w:name="OLE_LINK593"/>
      <w:bookmarkStart w:id="78" w:name="OLE_LINK716"/>
      <w:bookmarkStart w:id="79" w:name="OLE_LINK770"/>
      <w:bookmarkStart w:id="80" w:name="OLE_LINK801"/>
      <w:bookmarkStart w:id="81" w:name="OLE_LINK660"/>
      <w:bookmarkStart w:id="82" w:name="OLE_LINK781"/>
      <w:bookmarkStart w:id="83" w:name="OLE_LINK833"/>
      <w:bookmarkStart w:id="84" w:name="OLE_LINK642"/>
      <w:bookmarkStart w:id="85" w:name="OLE_LINK700"/>
      <w:bookmarkStart w:id="86" w:name="OLE_LINK792"/>
      <w:bookmarkStart w:id="87" w:name="OLE_LINK2882"/>
      <w:bookmarkStart w:id="88" w:name="OLE_LINK836"/>
      <w:bookmarkStart w:id="89" w:name="OLE_LINK889"/>
      <w:bookmarkStart w:id="90" w:name="OLE_LINK782"/>
      <w:bookmarkStart w:id="91" w:name="OLE_LINK826"/>
      <w:bookmarkStart w:id="92" w:name="OLE_LINK865"/>
      <w:bookmarkStart w:id="93" w:name="OLE_LINK856"/>
      <w:bookmarkStart w:id="94" w:name="OLE_LINK908"/>
      <w:bookmarkStart w:id="95" w:name="OLE_LINK980"/>
      <w:bookmarkStart w:id="96" w:name="OLE_LINK1018"/>
      <w:bookmarkStart w:id="97" w:name="OLE_LINK1049"/>
      <w:bookmarkStart w:id="98" w:name="OLE_LINK1076"/>
      <w:bookmarkStart w:id="99" w:name="OLE_LINK1106"/>
      <w:bookmarkStart w:id="100" w:name="OLE_LINK891"/>
      <w:bookmarkStart w:id="101" w:name="OLE_LINK943"/>
      <w:bookmarkStart w:id="102" w:name="OLE_LINK981"/>
      <w:bookmarkStart w:id="103" w:name="OLE_LINK1030"/>
      <w:bookmarkStart w:id="104" w:name="OLE_LINK847"/>
      <w:bookmarkStart w:id="105" w:name="OLE_LINK909"/>
      <w:bookmarkStart w:id="106" w:name="OLE_LINK906"/>
      <w:bookmarkStart w:id="107" w:name="OLE_LINK992"/>
      <w:bookmarkStart w:id="108" w:name="OLE_LINK993"/>
      <w:bookmarkStart w:id="109" w:name="OLE_LINK1052"/>
      <w:bookmarkStart w:id="110" w:name="OLE_LINK946"/>
      <w:bookmarkStart w:id="111" w:name="OLE_LINK911"/>
      <w:bookmarkStart w:id="112" w:name="OLE_LINK930"/>
      <w:bookmarkStart w:id="113" w:name="OLE_LINK1059"/>
      <w:bookmarkStart w:id="114" w:name="OLE_LINK1174"/>
      <w:bookmarkStart w:id="115" w:name="OLE_LINK1137"/>
      <w:bookmarkStart w:id="116" w:name="OLE_LINK1167"/>
      <w:bookmarkStart w:id="117" w:name="OLE_LINK1200"/>
      <w:bookmarkStart w:id="118" w:name="OLE_LINK1241"/>
      <w:bookmarkStart w:id="119" w:name="OLE_LINK1288"/>
      <w:bookmarkStart w:id="120" w:name="OLE_LINK1056"/>
      <w:bookmarkStart w:id="121" w:name="OLE_LINK1158"/>
      <w:bookmarkStart w:id="122" w:name="OLE_LINK1175"/>
      <w:bookmarkStart w:id="123" w:name="OLE_LINK1074"/>
      <w:bookmarkStart w:id="124" w:name="OLE_LINK1169"/>
      <w:bookmarkStart w:id="125" w:name="OLE_LINK386"/>
      <w:r w:rsidRPr="006B1A8D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>P-Reviewer:</w:t>
      </w:r>
      <w:r w:rsidRPr="006B1A8D">
        <w:rPr>
          <w:rFonts w:ascii="Book Antiqua" w:eastAsia="宋体" w:hAnsi="Book Antiqua" w:cs="Times New Roman" w:hint="eastAsia"/>
          <w:b/>
          <w:b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>Aykan</w:t>
      </w:r>
      <w:proofErr w:type="spellEnd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 xml:space="preserve"> NF, </w:t>
      </w:r>
      <w:proofErr w:type="spellStart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>Boin</w:t>
      </w:r>
      <w:proofErr w:type="spellEnd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 xml:space="preserve"> IFSF, </w:t>
      </w:r>
      <w:r w:rsidRPr="006B1A8D">
        <w:rPr>
          <w:rFonts w:ascii="Book Antiqua" w:eastAsia="宋体" w:hAnsi="Book Antiqua" w:cs="Times New Roman"/>
          <w:bCs/>
          <w:kern w:val="0"/>
          <w:szCs w:val="24"/>
          <w:lang w:eastAsia="zh-CN"/>
        </w:rPr>
        <w:t>Huerta-Franco</w:t>
      </w:r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 xml:space="preserve"> MR, </w:t>
      </w:r>
      <w:proofErr w:type="spellStart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>Jeong</w:t>
      </w:r>
      <w:proofErr w:type="spellEnd"/>
      <w:r>
        <w:rPr>
          <w:rFonts w:ascii="Book Antiqua" w:eastAsia="宋体" w:hAnsi="Book Antiqua" w:cs="Times New Roman"/>
          <w:bCs/>
          <w:kern w:val="0"/>
          <w:szCs w:val="24"/>
          <w:lang w:eastAsia="zh-CN"/>
        </w:rPr>
        <w:t xml:space="preserve"> KY</w:t>
      </w:r>
    </w:p>
    <w:p w14:paraId="0B439B1C" w14:textId="223F7A26" w:rsidR="006B1A8D" w:rsidRPr="006B1A8D" w:rsidRDefault="006B1A8D" w:rsidP="00114892">
      <w:pPr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Cs w:val="24"/>
          <w:lang w:eastAsia="zh-CN"/>
        </w:rPr>
      </w:pPr>
      <w:r w:rsidRPr="006B1A8D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>S-Editor:</w:t>
      </w:r>
      <w:r w:rsidRPr="006B1A8D">
        <w:rPr>
          <w:rFonts w:ascii="Book Antiqua" w:eastAsia="宋体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宋体" w:hAnsi="Book Antiqua" w:cs="Times New Roman"/>
          <w:kern w:val="0"/>
          <w:szCs w:val="24"/>
          <w:lang w:eastAsia="zh-CN"/>
        </w:rPr>
        <w:t>Ma</w:t>
      </w:r>
      <w:r w:rsidRPr="006B1A8D">
        <w:rPr>
          <w:rFonts w:ascii="Book Antiqua" w:eastAsia="宋体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宋体" w:hAnsi="Book Antiqua" w:cs="Times New Roman"/>
          <w:kern w:val="0"/>
          <w:szCs w:val="24"/>
          <w:lang w:eastAsia="zh-CN"/>
        </w:rPr>
        <w:t>RY</w:t>
      </w:r>
      <w:r w:rsidRPr="006B1A8D">
        <w:rPr>
          <w:rFonts w:ascii="Book Antiqua" w:eastAsia="宋体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>L-Editor:</w:t>
      </w:r>
      <w:r w:rsidR="00114892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 xml:space="preserve"> </w:t>
      </w:r>
      <w:r w:rsidR="00114892" w:rsidRPr="00114892">
        <w:rPr>
          <w:rFonts w:ascii="Book Antiqua" w:eastAsia="宋体" w:hAnsi="Book Antiqua" w:cs="Times New Roman"/>
          <w:bCs/>
          <w:kern w:val="0"/>
          <w:szCs w:val="24"/>
          <w:lang w:eastAsia="zh-CN"/>
        </w:rPr>
        <w:t>A</w:t>
      </w:r>
      <w:r w:rsidRPr="006B1A8D">
        <w:rPr>
          <w:rFonts w:ascii="Book Antiqua" w:eastAsia="宋体" w:hAnsi="Book Antiqua" w:cs="Times New Roman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>E-Editor:</w:t>
      </w:r>
      <w:r w:rsidR="00114892">
        <w:rPr>
          <w:rFonts w:ascii="Book Antiqua" w:eastAsia="宋体" w:hAnsi="Book Antiqua" w:cs="Times New Roman"/>
          <w:b/>
          <w:bCs/>
          <w:kern w:val="0"/>
          <w:szCs w:val="24"/>
          <w:lang w:eastAsia="zh-CN"/>
        </w:rPr>
        <w:t xml:space="preserve"> </w:t>
      </w:r>
      <w:bookmarkStart w:id="126" w:name="_GoBack"/>
      <w:r w:rsidR="00114892" w:rsidRPr="00114892">
        <w:rPr>
          <w:rFonts w:ascii="Book Antiqua" w:eastAsia="宋体" w:hAnsi="Book Antiqua" w:cs="Times New Roman"/>
          <w:bCs/>
          <w:kern w:val="0"/>
          <w:szCs w:val="24"/>
          <w:lang w:eastAsia="zh-CN"/>
        </w:rPr>
        <w:t>Ma YJ</w:t>
      </w:r>
      <w:bookmarkEnd w:id="126"/>
    </w:p>
    <w:p w14:paraId="3BA23B04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Cs w:val="24"/>
          <w:lang w:eastAsia="zh-CN"/>
        </w:rPr>
      </w:pPr>
      <w:bookmarkStart w:id="127" w:name="OLE_LINK880"/>
      <w:bookmarkStart w:id="128" w:name="OLE_LINK881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6B1A8D">
        <w:rPr>
          <w:rFonts w:ascii="Book Antiqua" w:eastAsia="宋体" w:hAnsi="Book Antiqua" w:cs="Helvetica"/>
          <w:b/>
          <w:kern w:val="0"/>
          <w:szCs w:val="24"/>
          <w:lang w:eastAsia="zh-CN"/>
        </w:rPr>
        <w:t xml:space="preserve">Specialty type: </w:t>
      </w: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>Gastroenterology and</w:t>
      </w:r>
      <w:r w:rsidRPr="006B1A8D">
        <w:rPr>
          <w:rFonts w:ascii="Book Antiqua" w:eastAsia="宋体" w:hAnsi="Book Antiqua" w:cs="Helvetica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>hepatology</w:t>
      </w:r>
    </w:p>
    <w:p w14:paraId="59BEEAFC" w14:textId="3DD83F7D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b/>
          <w:kern w:val="0"/>
          <w:szCs w:val="24"/>
          <w:lang w:eastAsia="zh-CN"/>
        </w:rPr>
        <w:t xml:space="preserve">Country of origin: </w:t>
      </w:r>
      <w:r>
        <w:rPr>
          <w:rFonts w:ascii="Book Antiqua" w:eastAsia="宋体" w:hAnsi="Book Antiqua" w:cs="Helvetica"/>
          <w:kern w:val="0"/>
          <w:szCs w:val="24"/>
          <w:lang w:eastAsia="zh-CN"/>
        </w:rPr>
        <w:t>Japan</w:t>
      </w:r>
    </w:p>
    <w:p w14:paraId="0C4999EB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b/>
          <w:kern w:val="0"/>
          <w:szCs w:val="24"/>
          <w:lang w:eastAsia="zh-CN"/>
        </w:rPr>
        <w:t>Peer-review report classification</w:t>
      </w:r>
    </w:p>
    <w:p w14:paraId="7EA29413" w14:textId="034441FF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 xml:space="preserve">Grade A (Excellent): </w:t>
      </w:r>
      <w:r>
        <w:rPr>
          <w:rFonts w:ascii="Book Antiqua" w:eastAsia="宋体" w:hAnsi="Book Antiqua" w:cs="Helvetica" w:hint="eastAsia"/>
          <w:kern w:val="0"/>
          <w:szCs w:val="24"/>
          <w:lang w:eastAsia="zh-CN"/>
        </w:rPr>
        <w:t>A</w:t>
      </w:r>
    </w:p>
    <w:p w14:paraId="3E179696" w14:textId="4A083DA3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 xml:space="preserve">Grade B (Very good): </w:t>
      </w:r>
      <w:r w:rsidRPr="006B1A8D">
        <w:rPr>
          <w:rFonts w:ascii="Book Antiqua" w:eastAsia="宋体" w:hAnsi="Book Antiqua" w:cs="Helvetica" w:hint="eastAsia"/>
          <w:kern w:val="0"/>
          <w:szCs w:val="24"/>
          <w:lang w:eastAsia="zh-CN"/>
        </w:rPr>
        <w:t>B</w:t>
      </w:r>
      <w:r>
        <w:rPr>
          <w:rFonts w:ascii="Book Antiqua" w:eastAsia="宋体" w:hAnsi="Book Antiqua" w:cs="Helvetica"/>
          <w:kern w:val="0"/>
          <w:szCs w:val="24"/>
          <w:lang w:eastAsia="zh-CN"/>
        </w:rPr>
        <w:t>, B</w:t>
      </w:r>
    </w:p>
    <w:p w14:paraId="29F8D1BC" w14:textId="3AC10272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 xml:space="preserve">Grade C (Good): </w:t>
      </w:r>
      <w:r>
        <w:rPr>
          <w:rFonts w:ascii="Book Antiqua" w:eastAsia="宋体" w:hAnsi="Book Antiqua" w:cs="Helvetica" w:hint="eastAsia"/>
          <w:kern w:val="0"/>
          <w:szCs w:val="24"/>
          <w:lang w:eastAsia="zh-CN"/>
        </w:rPr>
        <w:t>C</w:t>
      </w:r>
    </w:p>
    <w:p w14:paraId="4992D996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 xml:space="preserve">Grade D (Fair): </w:t>
      </w:r>
      <w:r w:rsidRPr="006B1A8D">
        <w:rPr>
          <w:rFonts w:ascii="Book Antiqua" w:eastAsia="宋体" w:hAnsi="Book Antiqua" w:cs="Helvetica" w:hint="eastAsia"/>
          <w:kern w:val="0"/>
          <w:szCs w:val="24"/>
          <w:lang w:eastAsia="zh-CN"/>
        </w:rPr>
        <w:t>0</w:t>
      </w:r>
    </w:p>
    <w:p w14:paraId="21B2237D" w14:textId="77777777" w:rsidR="006B1A8D" w:rsidRPr="006B1A8D" w:rsidRDefault="006B1A8D" w:rsidP="009A3D9A">
      <w:pPr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szCs w:val="24"/>
          <w:lang w:eastAsia="zh-CN"/>
        </w:rPr>
      </w:pPr>
      <w:r w:rsidRPr="006B1A8D">
        <w:rPr>
          <w:rFonts w:ascii="Book Antiqua" w:eastAsia="宋体" w:hAnsi="Book Antiqua" w:cs="Helvetica"/>
          <w:kern w:val="0"/>
          <w:szCs w:val="24"/>
          <w:lang w:eastAsia="zh-CN"/>
        </w:rPr>
        <w:t xml:space="preserve">Grade E (Poor): </w:t>
      </w:r>
      <w:r w:rsidRPr="006B1A8D">
        <w:rPr>
          <w:rFonts w:ascii="Book Antiqua" w:eastAsia="宋体" w:hAnsi="Book Antiqua" w:cs="Helvetica" w:hint="eastAsia"/>
          <w:kern w:val="0"/>
          <w:szCs w:val="24"/>
          <w:lang w:eastAsia="zh-CN"/>
        </w:rPr>
        <w:t>0</w:t>
      </w:r>
      <w:bookmarkEnd w:id="125"/>
      <w:bookmarkEnd w:id="127"/>
      <w:bookmarkEnd w:id="128"/>
    </w:p>
    <w:p w14:paraId="46A74B73" w14:textId="77777777" w:rsidR="00AE0110" w:rsidRDefault="006B1A8D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1B064449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6403A079" wp14:editId="7A303A24">
            <wp:extent cx="5397500" cy="1587500"/>
            <wp:effectExtent l="0" t="0" r="12700" b="12700"/>
            <wp:docPr id="2" name="图片 2" descr="../../../Library/Containers/com.tencent.qq/Data/Library/Application%20Support/QQ/Users/2466846217/QQ/Temp.db/F3986BC5-DE0A-44A4-BDDA-8C2E427C8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Library/Containers/com.tencent.qq/Data/Library/Application%20Support/QQ/Users/2466846217/QQ/Temp.db/F3986BC5-DE0A-44A4-BDDA-8C2E427C88A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5F43" w14:textId="77777777" w:rsidR="00AE0110" w:rsidRPr="006B1A8D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b/>
          <w:color w:val="000000" w:themeColor="text1"/>
          <w:szCs w:val="24"/>
        </w:rPr>
        <w:t xml:space="preserve">Figure 1 </w:t>
      </w:r>
      <w:r w:rsidRPr="006B1A8D">
        <w:rPr>
          <w:rFonts w:ascii="Book Antiqua" w:hAnsi="Book Antiqua"/>
          <w:b/>
          <w:color w:val="000000" w:themeColor="text1"/>
          <w:szCs w:val="24"/>
          <w:lang w:val="en"/>
        </w:rPr>
        <w:t>Upper gastrointestinal endoscopy and tissue biopsy diagnosis.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A: Upper gastrointestinal endoscopy showed multiple gastric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ulcers in the vestibular area.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B: Biopsy tissue diagnosis showed large cells with intranuclear incl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usions on </w:t>
      </w:r>
      <w:r w:rsidRPr="00CA521F">
        <w:rPr>
          <w:rFonts w:ascii="Book Antiqua" w:hAnsi="Book Antiqua"/>
          <w:color w:val="000000" w:themeColor="text1"/>
          <w:szCs w:val="24"/>
        </w:rPr>
        <w:t>hematoxylin and eosin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staining (arrows) (× 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200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).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C: Cytomegalovirus positive cells were observed through immunostaining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200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.</w:t>
      </w:r>
    </w:p>
    <w:p w14:paraId="0A3176C4" w14:textId="77777777" w:rsidR="00AE0110" w:rsidRDefault="00AE0110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26A6067C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27335E68" wp14:editId="78B981D6">
            <wp:extent cx="5397500" cy="1549400"/>
            <wp:effectExtent l="0" t="0" r="12700" b="0"/>
            <wp:docPr id="6" name="图片 6" descr="../../../Library/Containers/com.tencent.qq/Data/Library/Application%20Support/QQ/Users/2466846217/QQ/Temp.db/B01F1BF4-E848-4986-B4B1-3BF33C3CF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ibrary/Containers/com.tencent.qq/Data/Library/Application%20Support/QQ/Users/2466846217/QQ/Temp.db/B01F1BF4-E848-4986-B4B1-3BF33C3CFD2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8F40" w14:textId="77777777" w:rsidR="00AE0110" w:rsidRPr="003C2D7C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C2D7C">
        <w:rPr>
          <w:rFonts w:ascii="Book Antiqua" w:hAnsi="Book Antiqua"/>
          <w:b/>
          <w:color w:val="000000" w:themeColor="text1"/>
          <w:szCs w:val="24"/>
        </w:rPr>
        <w:t xml:space="preserve">Figure 2 </w:t>
      </w:r>
      <w:r w:rsidRPr="003C2D7C">
        <w:rPr>
          <w:rFonts w:ascii="Book Antiqua" w:hAnsi="Book Antiqua"/>
          <w:b/>
          <w:color w:val="000000" w:themeColor="text1"/>
          <w:szCs w:val="24"/>
          <w:lang w:val="en"/>
        </w:rPr>
        <w:t xml:space="preserve">Lower gastrointestinal endoscopy and tissue biopsy diagnosis.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A: Lower gastrointestinal showed a deep ulcer in the transverse colon.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B: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Biopsy tissue diagnosis showed large cells with intranuclear inclusions on </w:t>
      </w:r>
      <w:r w:rsidRPr="00CA521F">
        <w:rPr>
          <w:rFonts w:ascii="Book Antiqua" w:hAnsi="Book Antiqua"/>
          <w:color w:val="000000" w:themeColor="text1"/>
          <w:szCs w:val="24"/>
        </w:rPr>
        <w:t>hematoxylin and eosin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 staining (arrow)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4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.</w:t>
      </w:r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C: Cytomegalovirus positive cells were observed through immunostaining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4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.</w:t>
      </w:r>
    </w:p>
    <w:p w14:paraId="02AB59AE" w14:textId="77777777" w:rsidR="00AE0110" w:rsidRDefault="00AE0110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029C0A02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7FB6E892" wp14:editId="270536BB">
            <wp:extent cx="5398770" cy="2383155"/>
            <wp:effectExtent l="0" t="0" r="11430" b="4445"/>
            <wp:docPr id="5" name="图片 5" descr="../../Library/Containers/com.tencent.qq/Data/Library/Application%20Support/QQ/Users/2466846217/QQ/Temp.db/8D043CBC-2772-4602-AA8F-B11A32D36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Library/Containers/com.tencent.qq/Data/Library/Application%20Support/QQ/Users/2466846217/QQ/Temp.db/8D043CBC-2772-4602-AA8F-B11A32D368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9F22" w14:textId="77777777" w:rsidR="00AE0110" w:rsidRPr="003C2D7C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C2D7C">
        <w:rPr>
          <w:rFonts w:ascii="Book Antiqua" w:hAnsi="Book Antiqua"/>
          <w:b/>
          <w:color w:val="000000" w:themeColor="text1"/>
          <w:szCs w:val="24"/>
        </w:rPr>
        <w:t xml:space="preserve">Figure 3 Abdominal computed tomography images.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A: Abdominal </w:t>
      </w:r>
      <w:r w:rsidRPr="003C2D7C">
        <w:rPr>
          <w:rFonts w:ascii="Book Antiqua" w:hAnsi="Book Antiqua"/>
          <w:color w:val="000000" w:themeColor="text1"/>
          <w:szCs w:val="24"/>
        </w:rPr>
        <w:t>computed tomography (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CT) revealed intraperitoneal free air near the transverse colon (arrow). B: Abdominal CT revealed hemorrhagic ascites in the pelvis (arrow heads).</w:t>
      </w:r>
    </w:p>
    <w:p w14:paraId="3E58D7DA" w14:textId="0422D08C" w:rsidR="003C2D7C" w:rsidRPr="00CA521F" w:rsidRDefault="003C2D7C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</w:p>
    <w:sectPr w:rsidR="003C2D7C" w:rsidRPr="00CA521F" w:rsidSect="00451CB3">
      <w:footerReference w:type="default" r:id="rId13"/>
      <w:type w:val="continuous"/>
      <w:pgSz w:w="11906" w:h="16838" w:code="9"/>
      <w:pgMar w:top="1701" w:right="1701" w:bottom="1701" w:left="1701" w:header="1134" w:footer="851" w:gutter="0"/>
      <w:cols w:space="425"/>
      <w:titlePg/>
      <w:docGrid w:type="linesAndChars" w:linePitch="537" w:charSpace="52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77EEC" w14:textId="77777777" w:rsidR="00A769FE" w:rsidRDefault="00A769FE" w:rsidP="00A469CC">
      <w:r>
        <w:separator/>
      </w:r>
    </w:p>
  </w:endnote>
  <w:endnote w:type="continuationSeparator" w:id="0">
    <w:p w14:paraId="6C7F0A7F" w14:textId="77777777" w:rsidR="00A769FE" w:rsidRDefault="00A769FE" w:rsidP="00A4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6B451" w14:textId="77777777" w:rsidR="00F738F8" w:rsidRDefault="00F738F8" w:rsidP="00A469C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DD78B" w14:textId="77777777" w:rsidR="00A769FE" w:rsidRDefault="00A769FE" w:rsidP="00A469CC">
      <w:r>
        <w:separator/>
      </w:r>
    </w:p>
  </w:footnote>
  <w:footnote w:type="continuationSeparator" w:id="0">
    <w:p w14:paraId="5F00AB9E" w14:textId="77777777" w:rsidR="00A769FE" w:rsidRDefault="00A769FE" w:rsidP="00A46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48C"/>
    <w:multiLevelType w:val="hybridMultilevel"/>
    <w:tmpl w:val="AE94D45E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EE72D95"/>
    <w:multiLevelType w:val="hybridMultilevel"/>
    <w:tmpl w:val="C66CA5A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0A5002A"/>
    <w:multiLevelType w:val="hybridMultilevel"/>
    <w:tmpl w:val="3C225C92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A51233D"/>
    <w:multiLevelType w:val="hybridMultilevel"/>
    <w:tmpl w:val="26F84452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C630105"/>
    <w:multiLevelType w:val="hybridMultilevel"/>
    <w:tmpl w:val="AFE451B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235512"/>
    <w:multiLevelType w:val="hybridMultilevel"/>
    <w:tmpl w:val="AE9C206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D940B8B"/>
    <w:multiLevelType w:val="hybridMultilevel"/>
    <w:tmpl w:val="018E0200"/>
    <w:lvl w:ilvl="0" w:tplc="84EA864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871696D"/>
    <w:multiLevelType w:val="hybridMultilevel"/>
    <w:tmpl w:val="6D2EE5F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6E795828"/>
    <w:multiLevelType w:val="hybridMultilevel"/>
    <w:tmpl w:val="93BE587E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33"/>
  <w:drawingGridVerticalSpacing w:val="5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D7"/>
    <w:rsid w:val="00013A60"/>
    <w:rsid w:val="0002028D"/>
    <w:rsid w:val="000206B8"/>
    <w:rsid w:val="00023443"/>
    <w:rsid w:val="00024F9B"/>
    <w:rsid w:val="00041F65"/>
    <w:rsid w:val="00042DA6"/>
    <w:rsid w:val="000643C8"/>
    <w:rsid w:val="00073A14"/>
    <w:rsid w:val="00076CEA"/>
    <w:rsid w:val="0007789D"/>
    <w:rsid w:val="00082A3C"/>
    <w:rsid w:val="00090B42"/>
    <w:rsid w:val="000A0883"/>
    <w:rsid w:val="000B3F18"/>
    <w:rsid w:val="000B5DCD"/>
    <w:rsid w:val="000C4AAD"/>
    <w:rsid w:val="000F0F6F"/>
    <w:rsid w:val="000F521D"/>
    <w:rsid w:val="000F7FAF"/>
    <w:rsid w:val="00100295"/>
    <w:rsid w:val="0010163E"/>
    <w:rsid w:val="00104993"/>
    <w:rsid w:val="00105C83"/>
    <w:rsid w:val="00105C97"/>
    <w:rsid w:val="00110561"/>
    <w:rsid w:val="00114892"/>
    <w:rsid w:val="00116EDD"/>
    <w:rsid w:val="001171A9"/>
    <w:rsid w:val="00126568"/>
    <w:rsid w:val="00126B8B"/>
    <w:rsid w:val="00134BA5"/>
    <w:rsid w:val="00143BD6"/>
    <w:rsid w:val="00143EA9"/>
    <w:rsid w:val="00145802"/>
    <w:rsid w:val="001477E3"/>
    <w:rsid w:val="0015077A"/>
    <w:rsid w:val="001528AD"/>
    <w:rsid w:val="00160A90"/>
    <w:rsid w:val="00172290"/>
    <w:rsid w:val="0017341D"/>
    <w:rsid w:val="00174AAF"/>
    <w:rsid w:val="00175509"/>
    <w:rsid w:val="001755DC"/>
    <w:rsid w:val="00175773"/>
    <w:rsid w:val="0018095F"/>
    <w:rsid w:val="00182C4C"/>
    <w:rsid w:val="001872DA"/>
    <w:rsid w:val="00192359"/>
    <w:rsid w:val="001959A6"/>
    <w:rsid w:val="001A2CF0"/>
    <w:rsid w:val="001A3E65"/>
    <w:rsid w:val="001A4BA2"/>
    <w:rsid w:val="001B2C62"/>
    <w:rsid w:val="001B4FB9"/>
    <w:rsid w:val="001D1E96"/>
    <w:rsid w:val="001E72DB"/>
    <w:rsid w:val="001F1583"/>
    <w:rsid w:val="001F1D2A"/>
    <w:rsid w:val="001F2456"/>
    <w:rsid w:val="00207B07"/>
    <w:rsid w:val="002246A3"/>
    <w:rsid w:val="00227F19"/>
    <w:rsid w:val="00235136"/>
    <w:rsid w:val="002354FD"/>
    <w:rsid w:val="00250074"/>
    <w:rsid w:val="0025120B"/>
    <w:rsid w:val="002519A2"/>
    <w:rsid w:val="00255963"/>
    <w:rsid w:val="00257B63"/>
    <w:rsid w:val="002651B9"/>
    <w:rsid w:val="0026556E"/>
    <w:rsid w:val="002678D7"/>
    <w:rsid w:val="002730B6"/>
    <w:rsid w:val="00275542"/>
    <w:rsid w:val="00280C7F"/>
    <w:rsid w:val="00280CD2"/>
    <w:rsid w:val="00282FAA"/>
    <w:rsid w:val="0028499C"/>
    <w:rsid w:val="00284D95"/>
    <w:rsid w:val="002879FA"/>
    <w:rsid w:val="0029342E"/>
    <w:rsid w:val="00296F7A"/>
    <w:rsid w:val="002A0FA9"/>
    <w:rsid w:val="002B25D1"/>
    <w:rsid w:val="002B559E"/>
    <w:rsid w:val="002B7D7A"/>
    <w:rsid w:val="002C2C18"/>
    <w:rsid w:val="002C3836"/>
    <w:rsid w:val="002C49E6"/>
    <w:rsid w:val="002C594F"/>
    <w:rsid w:val="002C7BDF"/>
    <w:rsid w:val="002C7FEF"/>
    <w:rsid w:val="002D145A"/>
    <w:rsid w:val="002E0A45"/>
    <w:rsid w:val="002E3258"/>
    <w:rsid w:val="002E3956"/>
    <w:rsid w:val="002F069E"/>
    <w:rsid w:val="00301350"/>
    <w:rsid w:val="00310A53"/>
    <w:rsid w:val="00323BAF"/>
    <w:rsid w:val="003321CE"/>
    <w:rsid w:val="0034164C"/>
    <w:rsid w:val="003640E3"/>
    <w:rsid w:val="0036429B"/>
    <w:rsid w:val="00364D3C"/>
    <w:rsid w:val="003656B4"/>
    <w:rsid w:val="00373172"/>
    <w:rsid w:val="00374784"/>
    <w:rsid w:val="00374DBD"/>
    <w:rsid w:val="00382B35"/>
    <w:rsid w:val="00384497"/>
    <w:rsid w:val="0039244C"/>
    <w:rsid w:val="003A5EF8"/>
    <w:rsid w:val="003B4DEB"/>
    <w:rsid w:val="003B5676"/>
    <w:rsid w:val="003B661A"/>
    <w:rsid w:val="003B7F73"/>
    <w:rsid w:val="003C0272"/>
    <w:rsid w:val="003C2D7C"/>
    <w:rsid w:val="003D18FB"/>
    <w:rsid w:val="003D3AC9"/>
    <w:rsid w:val="003D7E96"/>
    <w:rsid w:val="003E0182"/>
    <w:rsid w:val="003F5069"/>
    <w:rsid w:val="00400A76"/>
    <w:rsid w:val="00404307"/>
    <w:rsid w:val="00412097"/>
    <w:rsid w:val="004134BC"/>
    <w:rsid w:val="00415258"/>
    <w:rsid w:val="00417D97"/>
    <w:rsid w:val="00430C5C"/>
    <w:rsid w:val="00434366"/>
    <w:rsid w:val="00446ED9"/>
    <w:rsid w:val="004513C4"/>
    <w:rsid w:val="00451800"/>
    <w:rsid w:val="00451CB3"/>
    <w:rsid w:val="00460E7C"/>
    <w:rsid w:val="00464BCE"/>
    <w:rsid w:val="00475CB1"/>
    <w:rsid w:val="0048039A"/>
    <w:rsid w:val="0048225D"/>
    <w:rsid w:val="00490AA7"/>
    <w:rsid w:val="00494279"/>
    <w:rsid w:val="004B61E2"/>
    <w:rsid w:val="004C0633"/>
    <w:rsid w:val="004C73DD"/>
    <w:rsid w:val="004E0981"/>
    <w:rsid w:val="004F13C5"/>
    <w:rsid w:val="004F5360"/>
    <w:rsid w:val="004F591F"/>
    <w:rsid w:val="004F5B73"/>
    <w:rsid w:val="004F64A5"/>
    <w:rsid w:val="00502570"/>
    <w:rsid w:val="0050257F"/>
    <w:rsid w:val="00503F88"/>
    <w:rsid w:val="005175B3"/>
    <w:rsid w:val="00527EDE"/>
    <w:rsid w:val="00532B32"/>
    <w:rsid w:val="00532F51"/>
    <w:rsid w:val="00534773"/>
    <w:rsid w:val="00536409"/>
    <w:rsid w:val="00547A34"/>
    <w:rsid w:val="00551C5A"/>
    <w:rsid w:val="005521BB"/>
    <w:rsid w:val="0055380D"/>
    <w:rsid w:val="00554EE6"/>
    <w:rsid w:val="005616F2"/>
    <w:rsid w:val="00561B7A"/>
    <w:rsid w:val="00564B82"/>
    <w:rsid w:val="005660A9"/>
    <w:rsid w:val="0056755A"/>
    <w:rsid w:val="00570F44"/>
    <w:rsid w:val="00576F48"/>
    <w:rsid w:val="005847EE"/>
    <w:rsid w:val="0058608A"/>
    <w:rsid w:val="00592547"/>
    <w:rsid w:val="00593EAE"/>
    <w:rsid w:val="005A283F"/>
    <w:rsid w:val="005A2E32"/>
    <w:rsid w:val="005A4B82"/>
    <w:rsid w:val="005B1A0B"/>
    <w:rsid w:val="005C277E"/>
    <w:rsid w:val="005C507C"/>
    <w:rsid w:val="005D0AC1"/>
    <w:rsid w:val="005D374F"/>
    <w:rsid w:val="005E3FE3"/>
    <w:rsid w:val="005E7147"/>
    <w:rsid w:val="005F2A78"/>
    <w:rsid w:val="00600120"/>
    <w:rsid w:val="00601782"/>
    <w:rsid w:val="006111D7"/>
    <w:rsid w:val="00616ADD"/>
    <w:rsid w:val="00625F33"/>
    <w:rsid w:val="00627962"/>
    <w:rsid w:val="00631C40"/>
    <w:rsid w:val="00633FCA"/>
    <w:rsid w:val="006365C1"/>
    <w:rsid w:val="0064190C"/>
    <w:rsid w:val="00642EAC"/>
    <w:rsid w:val="00646B54"/>
    <w:rsid w:val="0066553A"/>
    <w:rsid w:val="006678AE"/>
    <w:rsid w:val="006853D5"/>
    <w:rsid w:val="00694FDA"/>
    <w:rsid w:val="006A1717"/>
    <w:rsid w:val="006A45F0"/>
    <w:rsid w:val="006B1A8D"/>
    <w:rsid w:val="006B5619"/>
    <w:rsid w:val="006C2165"/>
    <w:rsid w:val="006C2E66"/>
    <w:rsid w:val="006C5499"/>
    <w:rsid w:val="006D0AB0"/>
    <w:rsid w:val="006E504F"/>
    <w:rsid w:val="00710539"/>
    <w:rsid w:val="00715082"/>
    <w:rsid w:val="00716F83"/>
    <w:rsid w:val="00721644"/>
    <w:rsid w:val="00722053"/>
    <w:rsid w:val="00727DEE"/>
    <w:rsid w:val="00733F8D"/>
    <w:rsid w:val="00734506"/>
    <w:rsid w:val="0074213B"/>
    <w:rsid w:val="007464A8"/>
    <w:rsid w:val="007516EC"/>
    <w:rsid w:val="00756035"/>
    <w:rsid w:val="00757654"/>
    <w:rsid w:val="0077342F"/>
    <w:rsid w:val="00776ED3"/>
    <w:rsid w:val="00777FDB"/>
    <w:rsid w:val="007833E3"/>
    <w:rsid w:val="0078415D"/>
    <w:rsid w:val="007866A9"/>
    <w:rsid w:val="00791292"/>
    <w:rsid w:val="00792EDD"/>
    <w:rsid w:val="007A0B27"/>
    <w:rsid w:val="007A18B5"/>
    <w:rsid w:val="007A216C"/>
    <w:rsid w:val="007B503B"/>
    <w:rsid w:val="007B65B3"/>
    <w:rsid w:val="007C02EE"/>
    <w:rsid w:val="007C66B9"/>
    <w:rsid w:val="007E5985"/>
    <w:rsid w:val="007E6030"/>
    <w:rsid w:val="007E75ED"/>
    <w:rsid w:val="007F041B"/>
    <w:rsid w:val="007F23E1"/>
    <w:rsid w:val="00802EDE"/>
    <w:rsid w:val="00805F26"/>
    <w:rsid w:val="00813022"/>
    <w:rsid w:val="00821C7A"/>
    <w:rsid w:val="008236FE"/>
    <w:rsid w:val="0083163A"/>
    <w:rsid w:val="0083760F"/>
    <w:rsid w:val="0085290A"/>
    <w:rsid w:val="00855762"/>
    <w:rsid w:val="008575B8"/>
    <w:rsid w:val="00860BBF"/>
    <w:rsid w:val="00861EF6"/>
    <w:rsid w:val="00862CAF"/>
    <w:rsid w:val="00866111"/>
    <w:rsid w:val="0086661F"/>
    <w:rsid w:val="00867429"/>
    <w:rsid w:val="00870990"/>
    <w:rsid w:val="00880ACC"/>
    <w:rsid w:val="00890FB0"/>
    <w:rsid w:val="00892440"/>
    <w:rsid w:val="008A0D91"/>
    <w:rsid w:val="008A1A55"/>
    <w:rsid w:val="008A50E5"/>
    <w:rsid w:val="008A627B"/>
    <w:rsid w:val="008B003B"/>
    <w:rsid w:val="008B08E7"/>
    <w:rsid w:val="008B5643"/>
    <w:rsid w:val="008B64DC"/>
    <w:rsid w:val="008B78B2"/>
    <w:rsid w:val="008C5E9D"/>
    <w:rsid w:val="008C626A"/>
    <w:rsid w:val="008C721C"/>
    <w:rsid w:val="008C7FDA"/>
    <w:rsid w:val="008D0934"/>
    <w:rsid w:val="008D711B"/>
    <w:rsid w:val="008E180D"/>
    <w:rsid w:val="008E518C"/>
    <w:rsid w:val="008E5F2F"/>
    <w:rsid w:val="008F3EFD"/>
    <w:rsid w:val="008F5909"/>
    <w:rsid w:val="00903F46"/>
    <w:rsid w:val="00912730"/>
    <w:rsid w:val="00914A7A"/>
    <w:rsid w:val="00920FAB"/>
    <w:rsid w:val="0093101C"/>
    <w:rsid w:val="00934613"/>
    <w:rsid w:val="009352D1"/>
    <w:rsid w:val="009439DD"/>
    <w:rsid w:val="0094492F"/>
    <w:rsid w:val="00950F21"/>
    <w:rsid w:val="00952103"/>
    <w:rsid w:val="00953FED"/>
    <w:rsid w:val="00956A82"/>
    <w:rsid w:val="00956D7F"/>
    <w:rsid w:val="009618DE"/>
    <w:rsid w:val="0096191B"/>
    <w:rsid w:val="00972FAF"/>
    <w:rsid w:val="0097406B"/>
    <w:rsid w:val="00980A94"/>
    <w:rsid w:val="00981999"/>
    <w:rsid w:val="00985C89"/>
    <w:rsid w:val="00985DC3"/>
    <w:rsid w:val="00990492"/>
    <w:rsid w:val="009A0421"/>
    <w:rsid w:val="009A3D9A"/>
    <w:rsid w:val="009A4CD3"/>
    <w:rsid w:val="009A6261"/>
    <w:rsid w:val="009B0126"/>
    <w:rsid w:val="009B23CC"/>
    <w:rsid w:val="009B25A2"/>
    <w:rsid w:val="009C5DD7"/>
    <w:rsid w:val="009D31F8"/>
    <w:rsid w:val="009D6BB8"/>
    <w:rsid w:val="009E6C45"/>
    <w:rsid w:val="009F27C3"/>
    <w:rsid w:val="009F7146"/>
    <w:rsid w:val="00A026E0"/>
    <w:rsid w:val="00A02722"/>
    <w:rsid w:val="00A0412A"/>
    <w:rsid w:val="00A1349F"/>
    <w:rsid w:val="00A14BAC"/>
    <w:rsid w:val="00A21DD5"/>
    <w:rsid w:val="00A23DBF"/>
    <w:rsid w:val="00A27B79"/>
    <w:rsid w:val="00A42F94"/>
    <w:rsid w:val="00A469CC"/>
    <w:rsid w:val="00A5422A"/>
    <w:rsid w:val="00A6161E"/>
    <w:rsid w:val="00A63AF9"/>
    <w:rsid w:val="00A7022E"/>
    <w:rsid w:val="00A75AB2"/>
    <w:rsid w:val="00A769FE"/>
    <w:rsid w:val="00A8160F"/>
    <w:rsid w:val="00A816DB"/>
    <w:rsid w:val="00A83BB3"/>
    <w:rsid w:val="00A933CB"/>
    <w:rsid w:val="00A97481"/>
    <w:rsid w:val="00AA0A20"/>
    <w:rsid w:val="00AA0F55"/>
    <w:rsid w:val="00AA1F63"/>
    <w:rsid w:val="00AA7180"/>
    <w:rsid w:val="00AB2F43"/>
    <w:rsid w:val="00AB5804"/>
    <w:rsid w:val="00AC33A8"/>
    <w:rsid w:val="00AC60D7"/>
    <w:rsid w:val="00AD1FCF"/>
    <w:rsid w:val="00AD484E"/>
    <w:rsid w:val="00AD4E06"/>
    <w:rsid w:val="00AE0110"/>
    <w:rsid w:val="00AE1646"/>
    <w:rsid w:val="00AE7547"/>
    <w:rsid w:val="00AF05F9"/>
    <w:rsid w:val="00AF3551"/>
    <w:rsid w:val="00AF4BCB"/>
    <w:rsid w:val="00B042FA"/>
    <w:rsid w:val="00B0676B"/>
    <w:rsid w:val="00B11D22"/>
    <w:rsid w:val="00B26BCF"/>
    <w:rsid w:val="00B345C0"/>
    <w:rsid w:val="00B366D0"/>
    <w:rsid w:val="00B37DB4"/>
    <w:rsid w:val="00B403F7"/>
    <w:rsid w:val="00B45F56"/>
    <w:rsid w:val="00B47BFD"/>
    <w:rsid w:val="00B504F6"/>
    <w:rsid w:val="00B530BA"/>
    <w:rsid w:val="00B569DC"/>
    <w:rsid w:val="00B63014"/>
    <w:rsid w:val="00B672DF"/>
    <w:rsid w:val="00B7593B"/>
    <w:rsid w:val="00B768EB"/>
    <w:rsid w:val="00B7746A"/>
    <w:rsid w:val="00B901BC"/>
    <w:rsid w:val="00B912D9"/>
    <w:rsid w:val="00B97AA4"/>
    <w:rsid w:val="00BB69AE"/>
    <w:rsid w:val="00BC16D8"/>
    <w:rsid w:val="00BC44ED"/>
    <w:rsid w:val="00BC68FB"/>
    <w:rsid w:val="00BD34D9"/>
    <w:rsid w:val="00BD6E33"/>
    <w:rsid w:val="00BE0D20"/>
    <w:rsid w:val="00BE66B6"/>
    <w:rsid w:val="00BF1ABB"/>
    <w:rsid w:val="00BF2992"/>
    <w:rsid w:val="00C15582"/>
    <w:rsid w:val="00C166B8"/>
    <w:rsid w:val="00C2199C"/>
    <w:rsid w:val="00C2375C"/>
    <w:rsid w:val="00C23CB8"/>
    <w:rsid w:val="00C2540C"/>
    <w:rsid w:val="00C35C64"/>
    <w:rsid w:val="00C35E89"/>
    <w:rsid w:val="00C42C2A"/>
    <w:rsid w:val="00C45ADA"/>
    <w:rsid w:val="00C45FFA"/>
    <w:rsid w:val="00C469DD"/>
    <w:rsid w:val="00C47E34"/>
    <w:rsid w:val="00C509AB"/>
    <w:rsid w:val="00C510D5"/>
    <w:rsid w:val="00C54895"/>
    <w:rsid w:val="00C552FA"/>
    <w:rsid w:val="00C57987"/>
    <w:rsid w:val="00C64163"/>
    <w:rsid w:val="00C737A8"/>
    <w:rsid w:val="00C74277"/>
    <w:rsid w:val="00C764AA"/>
    <w:rsid w:val="00C914A8"/>
    <w:rsid w:val="00C97EBF"/>
    <w:rsid w:val="00CA521F"/>
    <w:rsid w:val="00CA660D"/>
    <w:rsid w:val="00CA6F34"/>
    <w:rsid w:val="00CA78DA"/>
    <w:rsid w:val="00CB205D"/>
    <w:rsid w:val="00CB2183"/>
    <w:rsid w:val="00CB2465"/>
    <w:rsid w:val="00CB369C"/>
    <w:rsid w:val="00CB699F"/>
    <w:rsid w:val="00CB7814"/>
    <w:rsid w:val="00CB78BA"/>
    <w:rsid w:val="00CC3C41"/>
    <w:rsid w:val="00CC57BE"/>
    <w:rsid w:val="00CC6034"/>
    <w:rsid w:val="00CD02E5"/>
    <w:rsid w:val="00CD0C9B"/>
    <w:rsid w:val="00CD6913"/>
    <w:rsid w:val="00CE1BA7"/>
    <w:rsid w:val="00CE5E3E"/>
    <w:rsid w:val="00CE73C7"/>
    <w:rsid w:val="00D06194"/>
    <w:rsid w:val="00D10002"/>
    <w:rsid w:val="00D1509F"/>
    <w:rsid w:val="00D1725E"/>
    <w:rsid w:val="00D2742F"/>
    <w:rsid w:val="00D3519D"/>
    <w:rsid w:val="00D44678"/>
    <w:rsid w:val="00D46D1F"/>
    <w:rsid w:val="00D52B11"/>
    <w:rsid w:val="00D53697"/>
    <w:rsid w:val="00D5391A"/>
    <w:rsid w:val="00D5737D"/>
    <w:rsid w:val="00D57D79"/>
    <w:rsid w:val="00D6299D"/>
    <w:rsid w:val="00D62C35"/>
    <w:rsid w:val="00D65874"/>
    <w:rsid w:val="00D7259D"/>
    <w:rsid w:val="00D77C3B"/>
    <w:rsid w:val="00D81D69"/>
    <w:rsid w:val="00D84BEC"/>
    <w:rsid w:val="00D917CA"/>
    <w:rsid w:val="00D93130"/>
    <w:rsid w:val="00D96C13"/>
    <w:rsid w:val="00DA0162"/>
    <w:rsid w:val="00DA04F7"/>
    <w:rsid w:val="00DA35BD"/>
    <w:rsid w:val="00DA4E57"/>
    <w:rsid w:val="00DA6ECE"/>
    <w:rsid w:val="00DD235A"/>
    <w:rsid w:val="00DD512E"/>
    <w:rsid w:val="00DE6D00"/>
    <w:rsid w:val="00DF1C09"/>
    <w:rsid w:val="00DF200D"/>
    <w:rsid w:val="00DF23EB"/>
    <w:rsid w:val="00DF45C2"/>
    <w:rsid w:val="00DF69A4"/>
    <w:rsid w:val="00E0165A"/>
    <w:rsid w:val="00E01BA4"/>
    <w:rsid w:val="00E02091"/>
    <w:rsid w:val="00E0304F"/>
    <w:rsid w:val="00E03AAD"/>
    <w:rsid w:val="00E05851"/>
    <w:rsid w:val="00E05DA9"/>
    <w:rsid w:val="00E1057B"/>
    <w:rsid w:val="00E20938"/>
    <w:rsid w:val="00E22774"/>
    <w:rsid w:val="00E316E9"/>
    <w:rsid w:val="00E31883"/>
    <w:rsid w:val="00E4695F"/>
    <w:rsid w:val="00E5088E"/>
    <w:rsid w:val="00E56518"/>
    <w:rsid w:val="00E63586"/>
    <w:rsid w:val="00E65D58"/>
    <w:rsid w:val="00E65E27"/>
    <w:rsid w:val="00E75546"/>
    <w:rsid w:val="00E779C3"/>
    <w:rsid w:val="00E83345"/>
    <w:rsid w:val="00E83AD4"/>
    <w:rsid w:val="00E858C5"/>
    <w:rsid w:val="00E86010"/>
    <w:rsid w:val="00E91754"/>
    <w:rsid w:val="00E91F97"/>
    <w:rsid w:val="00E977D2"/>
    <w:rsid w:val="00E97B85"/>
    <w:rsid w:val="00EA5742"/>
    <w:rsid w:val="00EB2AC7"/>
    <w:rsid w:val="00EC0479"/>
    <w:rsid w:val="00EC0886"/>
    <w:rsid w:val="00ED23F7"/>
    <w:rsid w:val="00ED39C1"/>
    <w:rsid w:val="00EF18F4"/>
    <w:rsid w:val="00F02E82"/>
    <w:rsid w:val="00F043B4"/>
    <w:rsid w:val="00F06539"/>
    <w:rsid w:val="00F06DC5"/>
    <w:rsid w:val="00F075D9"/>
    <w:rsid w:val="00F12F2B"/>
    <w:rsid w:val="00F164A7"/>
    <w:rsid w:val="00F2333F"/>
    <w:rsid w:val="00F348C4"/>
    <w:rsid w:val="00F353AE"/>
    <w:rsid w:val="00F44FE0"/>
    <w:rsid w:val="00F532CF"/>
    <w:rsid w:val="00F533ED"/>
    <w:rsid w:val="00F5354B"/>
    <w:rsid w:val="00F566E4"/>
    <w:rsid w:val="00F700E9"/>
    <w:rsid w:val="00F7306E"/>
    <w:rsid w:val="00F738F8"/>
    <w:rsid w:val="00F74FFA"/>
    <w:rsid w:val="00F756A7"/>
    <w:rsid w:val="00F760C0"/>
    <w:rsid w:val="00F76530"/>
    <w:rsid w:val="00F80B7D"/>
    <w:rsid w:val="00F9066C"/>
    <w:rsid w:val="00F91732"/>
    <w:rsid w:val="00F92851"/>
    <w:rsid w:val="00F94248"/>
    <w:rsid w:val="00F96D77"/>
    <w:rsid w:val="00FA598E"/>
    <w:rsid w:val="00FB0ACF"/>
    <w:rsid w:val="00FB319E"/>
    <w:rsid w:val="00FC333E"/>
    <w:rsid w:val="00FC5C83"/>
    <w:rsid w:val="00FC625B"/>
    <w:rsid w:val="00FD2172"/>
    <w:rsid w:val="00FD4B2F"/>
    <w:rsid w:val="00FE2D8F"/>
    <w:rsid w:val="00FF1680"/>
    <w:rsid w:val="00FF17AF"/>
    <w:rsid w:val="00FF5A8C"/>
    <w:rsid w:val="00FF73CB"/>
    <w:rsid w:val="00FF7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89A5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3C2D7C"/>
    <w:pPr>
      <w:widowControl w:val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C5DD7"/>
  </w:style>
  <w:style w:type="paragraph" w:styleId="a4">
    <w:name w:val="header"/>
    <w:basedOn w:val="a"/>
    <w:link w:val="Char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A469CC"/>
    <w:rPr>
      <w:rFonts w:ascii="Times New Roman" w:hAnsi="Times New Roman"/>
      <w:sz w:val="24"/>
    </w:rPr>
  </w:style>
  <w:style w:type="paragraph" w:styleId="a5">
    <w:name w:val="footer"/>
    <w:basedOn w:val="a"/>
    <w:link w:val="Char0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A469CC"/>
    <w:rPr>
      <w:rFonts w:ascii="Times New Roman" w:hAnsi="Times New Roman"/>
      <w:sz w:val="24"/>
    </w:rPr>
  </w:style>
  <w:style w:type="paragraph" w:styleId="a6">
    <w:name w:val="List Paragraph"/>
    <w:basedOn w:val="a"/>
    <w:uiPriority w:val="34"/>
    <w:qFormat/>
    <w:rsid w:val="004134BC"/>
    <w:pPr>
      <w:ind w:leftChars="400" w:left="840"/>
    </w:pPr>
  </w:style>
  <w:style w:type="character" w:styleId="a7">
    <w:name w:val="Hyperlink"/>
    <w:basedOn w:val="a0"/>
    <w:uiPriority w:val="99"/>
    <w:unhideWhenUsed/>
    <w:rsid w:val="002B7D7A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B7D7A"/>
    <w:rPr>
      <w:color w:val="954F72" w:themeColor="followedHyperlink"/>
      <w:u w:val="single"/>
    </w:rPr>
  </w:style>
  <w:style w:type="character" w:styleId="a9">
    <w:name w:val="Placeholder Text"/>
    <w:basedOn w:val="a0"/>
    <w:uiPriority w:val="99"/>
    <w:semiHidden/>
    <w:rsid w:val="00D62C35"/>
    <w:rPr>
      <w:color w:val="808080"/>
    </w:rPr>
  </w:style>
  <w:style w:type="paragraph" w:styleId="aa">
    <w:name w:val="Normal (Web)"/>
    <w:basedOn w:val="a"/>
    <w:uiPriority w:val="99"/>
    <w:rsid w:val="006853D5"/>
    <w:pPr>
      <w:widowControl/>
      <w:spacing w:beforeLines="1" w:afterLines="1"/>
      <w:jc w:val="left"/>
    </w:pPr>
    <w:rPr>
      <w:rFonts w:ascii="Times" w:hAnsi="Times" w:cs="Times New Roman"/>
      <w:kern w:val="0"/>
      <w:sz w:val="20"/>
      <w:szCs w:val="20"/>
    </w:rPr>
  </w:style>
  <w:style w:type="paragraph" w:styleId="ab">
    <w:name w:val="Revision"/>
    <w:hidden/>
    <w:semiHidden/>
    <w:rsid w:val="007516EC"/>
    <w:rPr>
      <w:rFonts w:ascii="Times New Roman" w:hAnsi="Times New Roman"/>
      <w:sz w:val="24"/>
    </w:rPr>
  </w:style>
  <w:style w:type="paragraph" w:styleId="ac">
    <w:name w:val="Balloon Text"/>
    <w:basedOn w:val="a"/>
    <w:link w:val="Char1"/>
    <w:semiHidden/>
    <w:unhideWhenUsed/>
    <w:rsid w:val="0066553A"/>
    <w:rPr>
      <w:sz w:val="18"/>
      <w:szCs w:val="18"/>
    </w:rPr>
  </w:style>
  <w:style w:type="character" w:customStyle="1" w:styleId="Char1">
    <w:name w:val="批注框文本 Char"/>
    <w:basedOn w:val="a0"/>
    <w:link w:val="ac"/>
    <w:semiHidden/>
    <w:rsid w:val="0066553A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3C2D7C"/>
    <w:pPr>
      <w:widowControl w:val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C5DD7"/>
  </w:style>
  <w:style w:type="paragraph" w:styleId="a4">
    <w:name w:val="header"/>
    <w:basedOn w:val="a"/>
    <w:link w:val="Char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A469CC"/>
    <w:rPr>
      <w:rFonts w:ascii="Times New Roman" w:hAnsi="Times New Roman"/>
      <w:sz w:val="24"/>
    </w:rPr>
  </w:style>
  <w:style w:type="paragraph" w:styleId="a5">
    <w:name w:val="footer"/>
    <w:basedOn w:val="a"/>
    <w:link w:val="Char0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A469CC"/>
    <w:rPr>
      <w:rFonts w:ascii="Times New Roman" w:hAnsi="Times New Roman"/>
      <w:sz w:val="24"/>
    </w:rPr>
  </w:style>
  <w:style w:type="paragraph" w:styleId="a6">
    <w:name w:val="List Paragraph"/>
    <w:basedOn w:val="a"/>
    <w:uiPriority w:val="34"/>
    <w:qFormat/>
    <w:rsid w:val="004134BC"/>
    <w:pPr>
      <w:ind w:leftChars="400" w:left="840"/>
    </w:pPr>
  </w:style>
  <w:style w:type="character" w:styleId="a7">
    <w:name w:val="Hyperlink"/>
    <w:basedOn w:val="a0"/>
    <w:uiPriority w:val="99"/>
    <w:unhideWhenUsed/>
    <w:rsid w:val="002B7D7A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B7D7A"/>
    <w:rPr>
      <w:color w:val="954F72" w:themeColor="followedHyperlink"/>
      <w:u w:val="single"/>
    </w:rPr>
  </w:style>
  <w:style w:type="character" w:styleId="a9">
    <w:name w:val="Placeholder Text"/>
    <w:basedOn w:val="a0"/>
    <w:uiPriority w:val="99"/>
    <w:semiHidden/>
    <w:rsid w:val="00D62C35"/>
    <w:rPr>
      <w:color w:val="808080"/>
    </w:rPr>
  </w:style>
  <w:style w:type="paragraph" w:styleId="aa">
    <w:name w:val="Normal (Web)"/>
    <w:basedOn w:val="a"/>
    <w:uiPriority w:val="99"/>
    <w:rsid w:val="006853D5"/>
    <w:pPr>
      <w:widowControl/>
      <w:spacing w:beforeLines="1" w:afterLines="1"/>
      <w:jc w:val="left"/>
    </w:pPr>
    <w:rPr>
      <w:rFonts w:ascii="Times" w:hAnsi="Times" w:cs="Times New Roman"/>
      <w:kern w:val="0"/>
      <w:sz w:val="20"/>
      <w:szCs w:val="20"/>
    </w:rPr>
  </w:style>
  <w:style w:type="paragraph" w:styleId="ab">
    <w:name w:val="Revision"/>
    <w:hidden/>
    <w:semiHidden/>
    <w:rsid w:val="007516EC"/>
    <w:rPr>
      <w:rFonts w:ascii="Times New Roman" w:hAnsi="Times New Roman"/>
      <w:sz w:val="24"/>
    </w:rPr>
  </w:style>
  <w:style w:type="paragraph" w:styleId="ac">
    <w:name w:val="Balloon Text"/>
    <w:basedOn w:val="a"/>
    <w:link w:val="Char1"/>
    <w:semiHidden/>
    <w:unhideWhenUsed/>
    <w:rsid w:val="0066553A"/>
    <w:rPr>
      <w:sz w:val="18"/>
      <w:szCs w:val="18"/>
    </w:rPr>
  </w:style>
  <w:style w:type="character" w:customStyle="1" w:styleId="Char1">
    <w:name w:val="批注框文本 Char"/>
    <w:basedOn w:val="a0"/>
    <w:link w:val="ac"/>
    <w:semiHidden/>
    <w:rsid w:val="0066553A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01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125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45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05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0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009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0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0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08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1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24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517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8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477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21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46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70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39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5444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9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9CC88-F6BC-4FBC-A0F9-402622907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5033</Words>
  <Characters>28694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enami</dc:creator>
  <cp:lastModifiedBy>Administrator</cp:lastModifiedBy>
  <cp:revision>2</cp:revision>
  <cp:lastPrinted>2018-12-21T00:45:00Z</cp:lastPrinted>
  <dcterms:created xsi:type="dcterms:W3CDTF">2019-04-17T09:41:00Z</dcterms:created>
  <dcterms:modified xsi:type="dcterms:W3CDTF">2019-04-17T09:41:00Z</dcterms:modified>
</cp:coreProperties>
</file>