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E396" w14:textId="1C294896" w:rsidR="00240AB0" w:rsidRPr="00D936D5" w:rsidRDefault="00240AB0" w:rsidP="00120959">
      <w:pPr>
        <w:spacing w:line="360" w:lineRule="auto"/>
        <w:rPr>
          <w:rFonts w:ascii="Book Antiqua" w:hAnsi="Book Antiqua"/>
          <w:b/>
          <w:sz w:val="24"/>
          <w:szCs w:val="24"/>
        </w:rPr>
      </w:pPr>
      <w:r w:rsidRPr="00D936D5">
        <w:rPr>
          <w:rFonts w:ascii="Book Antiqua" w:hAnsi="Book Antiqua"/>
          <w:b/>
          <w:sz w:val="24"/>
          <w:szCs w:val="24"/>
        </w:rPr>
        <w:t xml:space="preserve">Name of Journal: </w:t>
      </w:r>
      <w:r w:rsidRPr="00D936D5">
        <w:rPr>
          <w:rFonts w:ascii="Book Antiqua" w:hAnsi="Book Antiqua"/>
          <w:i/>
          <w:sz w:val="24"/>
          <w:szCs w:val="24"/>
        </w:rPr>
        <w:t>World Journal of Gastrointestinal Oncology</w:t>
      </w:r>
    </w:p>
    <w:p w14:paraId="3BE9DA8B" w14:textId="3E03E1AD" w:rsidR="00240AB0" w:rsidRPr="00D936D5" w:rsidRDefault="00240AB0" w:rsidP="00120959">
      <w:pPr>
        <w:spacing w:line="360" w:lineRule="auto"/>
        <w:rPr>
          <w:rFonts w:ascii="Book Antiqua" w:eastAsia="SimSun" w:hAnsi="Book Antiqua"/>
          <w:b/>
          <w:sz w:val="24"/>
          <w:szCs w:val="24"/>
          <w:lang w:eastAsia="zh-CN"/>
        </w:rPr>
      </w:pPr>
      <w:r w:rsidRPr="00D936D5">
        <w:rPr>
          <w:rFonts w:ascii="Book Antiqua" w:hAnsi="Book Antiqua"/>
          <w:b/>
          <w:sz w:val="24"/>
          <w:szCs w:val="24"/>
        </w:rPr>
        <w:t>Manuscript NO:</w:t>
      </w:r>
      <w:r w:rsidRPr="00D936D5">
        <w:rPr>
          <w:rFonts w:ascii="Book Antiqua" w:hAnsi="Book Antiqua"/>
          <w:sz w:val="24"/>
          <w:szCs w:val="24"/>
        </w:rPr>
        <w:t xml:space="preserve"> </w:t>
      </w:r>
      <w:r w:rsidRPr="00D936D5">
        <w:rPr>
          <w:rFonts w:ascii="Book Antiqua" w:eastAsia="SimSun" w:hAnsi="Book Antiqua"/>
          <w:sz w:val="24"/>
          <w:szCs w:val="24"/>
          <w:lang w:eastAsia="zh-CN"/>
        </w:rPr>
        <w:t>45968</w:t>
      </w:r>
    </w:p>
    <w:p w14:paraId="3A19C1F7" w14:textId="77777777" w:rsidR="00240AB0" w:rsidRPr="00D936D5" w:rsidRDefault="00240AB0" w:rsidP="00120959">
      <w:pPr>
        <w:spacing w:line="360" w:lineRule="auto"/>
        <w:rPr>
          <w:rFonts w:ascii="Book Antiqua" w:eastAsia="SimSun" w:hAnsi="Book Antiqua"/>
          <w:kern w:val="0"/>
          <w:sz w:val="24"/>
          <w:szCs w:val="24"/>
          <w:lang w:eastAsia="zh-CN"/>
        </w:rPr>
      </w:pPr>
      <w:r w:rsidRPr="00D936D5">
        <w:rPr>
          <w:rFonts w:ascii="Book Antiqua" w:hAnsi="Book Antiqua"/>
          <w:b/>
          <w:kern w:val="0"/>
          <w:sz w:val="24"/>
          <w:szCs w:val="24"/>
        </w:rPr>
        <w:t xml:space="preserve">Manuscript Type: </w:t>
      </w:r>
      <w:r w:rsidRPr="00D936D5">
        <w:rPr>
          <w:rFonts w:ascii="Book Antiqua" w:hAnsi="Book Antiqua"/>
          <w:kern w:val="0"/>
          <w:sz w:val="24"/>
          <w:szCs w:val="24"/>
        </w:rPr>
        <w:t>ORIGINAL ARTICLE</w:t>
      </w:r>
    </w:p>
    <w:p w14:paraId="733595E5" w14:textId="77777777" w:rsidR="00240AB0" w:rsidRPr="00D936D5" w:rsidRDefault="00240AB0" w:rsidP="00120959">
      <w:pPr>
        <w:spacing w:line="360" w:lineRule="auto"/>
        <w:rPr>
          <w:rFonts w:ascii="Book Antiqua" w:eastAsia="SimSun" w:hAnsi="Book Antiqua"/>
          <w:kern w:val="0"/>
          <w:sz w:val="24"/>
          <w:szCs w:val="24"/>
          <w:lang w:eastAsia="zh-CN"/>
        </w:rPr>
      </w:pPr>
    </w:p>
    <w:p w14:paraId="644F0C50" w14:textId="664EB634" w:rsidR="00741934" w:rsidRPr="00D936D5" w:rsidRDefault="00240AB0" w:rsidP="00120959">
      <w:pPr>
        <w:spacing w:line="360" w:lineRule="auto"/>
        <w:rPr>
          <w:rFonts w:ascii="Book Antiqua" w:eastAsia="SimSun" w:hAnsi="Book Antiqua"/>
          <w:b/>
          <w:i/>
          <w:kern w:val="0"/>
          <w:sz w:val="24"/>
          <w:szCs w:val="24"/>
          <w:lang w:eastAsia="zh-CN"/>
        </w:rPr>
      </w:pPr>
      <w:r w:rsidRPr="00D936D5">
        <w:rPr>
          <w:rFonts w:ascii="Book Antiqua" w:eastAsia="SimSun" w:hAnsi="Book Antiqua"/>
          <w:b/>
          <w:i/>
          <w:kern w:val="0"/>
          <w:sz w:val="24"/>
          <w:szCs w:val="24"/>
          <w:lang w:eastAsia="zh-CN"/>
        </w:rPr>
        <w:t>Observational Study</w:t>
      </w:r>
    </w:p>
    <w:p w14:paraId="47983347" w14:textId="4EB9296E" w:rsidR="00741934" w:rsidRPr="00D936D5" w:rsidRDefault="00741934" w:rsidP="00120959">
      <w:pPr>
        <w:spacing w:line="360" w:lineRule="auto"/>
        <w:rPr>
          <w:rFonts w:ascii="Book Antiqua" w:hAnsi="Book Antiqua"/>
          <w:b/>
          <w:sz w:val="24"/>
          <w:szCs w:val="24"/>
        </w:rPr>
      </w:pPr>
      <w:r w:rsidRPr="00D936D5">
        <w:rPr>
          <w:rFonts w:ascii="Book Antiqua" w:hAnsi="Book Antiqua"/>
          <w:b/>
          <w:sz w:val="24"/>
          <w:szCs w:val="24"/>
        </w:rPr>
        <w:t>ADAMTS13 and von Willebrand factor are useful biomarkers for sorafenib treatment efficiency in patients with hepatocellular carcinoma</w:t>
      </w:r>
    </w:p>
    <w:p w14:paraId="34F40FF2" w14:textId="77777777" w:rsidR="00741934" w:rsidRPr="00D936D5" w:rsidRDefault="00741934" w:rsidP="00120959">
      <w:pPr>
        <w:spacing w:line="360" w:lineRule="auto"/>
        <w:rPr>
          <w:rFonts w:ascii="Book Antiqua" w:eastAsia="SimSun" w:hAnsi="Book Antiqua"/>
          <w:sz w:val="24"/>
          <w:szCs w:val="24"/>
          <w:lang w:eastAsia="zh-CN"/>
        </w:rPr>
      </w:pPr>
    </w:p>
    <w:p w14:paraId="5374B111" w14:textId="77777777" w:rsidR="00C3062E" w:rsidRPr="00D936D5" w:rsidRDefault="00C3062E" w:rsidP="00120959">
      <w:pPr>
        <w:spacing w:line="360" w:lineRule="auto"/>
        <w:rPr>
          <w:rFonts w:ascii="Book Antiqua" w:hAnsi="Book Antiqua"/>
          <w:sz w:val="24"/>
          <w:szCs w:val="24"/>
        </w:rPr>
      </w:pPr>
      <w:r w:rsidRPr="00D936D5">
        <w:rPr>
          <w:rFonts w:ascii="Book Antiqua" w:hAnsi="Book Antiqua"/>
          <w:sz w:val="24"/>
          <w:szCs w:val="24"/>
        </w:rPr>
        <w:t>Takaya H</w:t>
      </w:r>
      <w:r w:rsidRPr="00D936D5">
        <w:rPr>
          <w:rFonts w:ascii="Book Antiqua" w:hAnsi="Book Antiqua"/>
          <w:i/>
          <w:sz w:val="24"/>
          <w:szCs w:val="24"/>
        </w:rPr>
        <w:t xml:space="preserve"> et al</w:t>
      </w:r>
      <w:r w:rsidRPr="00D936D5">
        <w:rPr>
          <w:rFonts w:ascii="Book Antiqua" w:hAnsi="Book Antiqua"/>
          <w:sz w:val="24"/>
          <w:szCs w:val="24"/>
        </w:rPr>
        <w:t>.</w:t>
      </w:r>
      <w:r w:rsidRPr="00D936D5">
        <w:rPr>
          <w:rFonts w:ascii="Book Antiqua" w:hAnsi="Book Antiqua"/>
          <w:b/>
          <w:sz w:val="24"/>
          <w:szCs w:val="24"/>
        </w:rPr>
        <w:t xml:space="preserve"> </w:t>
      </w:r>
      <w:r w:rsidRPr="00D936D5">
        <w:rPr>
          <w:rFonts w:ascii="Book Antiqua" w:hAnsi="Book Antiqua"/>
          <w:sz w:val="24"/>
          <w:szCs w:val="24"/>
        </w:rPr>
        <w:t>ADAMTS13 and von Willebrand factor as biomarkers</w:t>
      </w:r>
    </w:p>
    <w:p w14:paraId="1A809F87" w14:textId="77777777" w:rsidR="00C3062E" w:rsidRPr="00D936D5" w:rsidRDefault="00C3062E" w:rsidP="00120959">
      <w:pPr>
        <w:spacing w:line="360" w:lineRule="auto"/>
        <w:rPr>
          <w:rFonts w:ascii="Book Antiqua" w:eastAsia="SimSun" w:hAnsi="Book Antiqua"/>
          <w:sz w:val="24"/>
          <w:szCs w:val="24"/>
          <w:lang w:eastAsia="zh-CN"/>
        </w:rPr>
      </w:pPr>
    </w:p>
    <w:p w14:paraId="41F51DF8" w14:textId="44AEBBB6" w:rsidR="00877419" w:rsidRPr="00D936D5" w:rsidRDefault="00877419" w:rsidP="00120959">
      <w:pPr>
        <w:spacing w:line="360" w:lineRule="auto"/>
        <w:rPr>
          <w:rFonts w:ascii="Book Antiqua" w:eastAsia="SimSun" w:hAnsi="Book Antiqua"/>
          <w:sz w:val="24"/>
          <w:szCs w:val="24"/>
          <w:lang w:eastAsia="zh-CN"/>
        </w:rPr>
      </w:pPr>
      <w:r w:rsidRPr="00D936D5">
        <w:rPr>
          <w:rFonts w:ascii="Book Antiqua" w:hAnsi="Book Antiqua"/>
          <w:sz w:val="24"/>
          <w:szCs w:val="24"/>
        </w:rPr>
        <w:t xml:space="preserve">Hiroaki Takaya, Tadashi </w:t>
      </w:r>
      <w:proofErr w:type="spellStart"/>
      <w:r w:rsidRPr="00D936D5">
        <w:rPr>
          <w:rFonts w:ascii="Book Antiqua" w:hAnsi="Book Antiqua"/>
          <w:sz w:val="24"/>
          <w:szCs w:val="24"/>
        </w:rPr>
        <w:t>Namisaki</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Naotaka</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Shimozato</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Kosuke</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Kaji</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Mitsuteru</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Kitade</w:t>
      </w:r>
      <w:proofErr w:type="spellEnd"/>
      <w:r w:rsidRPr="00D936D5">
        <w:rPr>
          <w:rFonts w:ascii="Book Antiqua" w:hAnsi="Book Antiqua"/>
          <w:sz w:val="24"/>
          <w:szCs w:val="24"/>
        </w:rPr>
        <w:t xml:space="preserve">, Kei Moriya, Shinya Sato, </w:t>
      </w:r>
      <w:proofErr w:type="spellStart"/>
      <w:r w:rsidRPr="00D936D5">
        <w:rPr>
          <w:rFonts w:ascii="Book Antiqua" w:hAnsi="Book Antiqua"/>
          <w:sz w:val="24"/>
          <w:szCs w:val="24"/>
        </w:rPr>
        <w:t>Hideto</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Kawaratani</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Takemi</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Akahane</w:t>
      </w:r>
      <w:proofErr w:type="spellEnd"/>
      <w:r w:rsidRPr="00D936D5">
        <w:rPr>
          <w:rFonts w:ascii="Book Antiqua" w:hAnsi="Book Antiqua"/>
          <w:sz w:val="24"/>
          <w:szCs w:val="24"/>
        </w:rPr>
        <w:t xml:space="preserve">, Masanori Matsumoto, Hitoshi </w:t>
      </w:r>
      <w:proofErr w:type="spellStart"/>
      <w:r w:rsidRPr="00D936D5">
        <w:rPr>
          <w:rFonts w:ascii="Book Antiqua" w:hAnsi="Book Antiqua"/>
          <w:sz w:val="24"/>
          <w:szCs w:val="24"/>
        </w:rPr>
        <w:t>Yoshiji</w:t>
      </w:r>
      <w:proofErr w:type="spellEnd"/>
    </w:p>
    <w:p w14:paraId="07884DAE" w14:textId="77777777" w:rsidR="00741934" w:rsidRPr="00D936D5" w:rsidRDefault="00741934" w:rsidP="00120959">
      <w:pPr>
        <w:spacing w:line="360" w:lineRule="auto"/>
        <w:rPr>
          <w:rFonts w:ascii="Book Antiqua" w:eastAsia="SimSun" w:hAnsi="Book Antiqua"/>
          <w:sz w:val="24"/>
          <w:szCs w:val="24"/>
          <w:lang w:eastAsia="zh-CN"/>
        </w:rPr>
      </w:pPr>
    </w:p>
    <w:p w14:paraId="1318ADDB" w14:textId="3EB9CDC4" w:rsidR="00741934" w:rsidRPr="00D936D5" w:rsidRDefault="00741934" w:rsidP="00120959">
      <w:pPr>
        <w:spacing w:line="360" w:lineRule="auto"/>
        <w:rPr>
          <w:rFonts w:ascii="Book Antiqua" w:eastAsia="SimSun" w:hAnsi="Book Antiqua"/>
          <w:sz w:val="24"/>
          <w:szCs w:val="24"/>
          <w:lang w:eastAsia="zh-CN"/>
        </w:rPr>
      </w:pPr>
      <w:r w:rsidRPr="00D936D5">
        <w:rPr>
          <w:rFonts w:ascii="Book Antiqua" w:hAnsi="Book Antiqua"/>
          <w:b/>
          <w:sz w:val="24"/>
          <w:szCs w:val="24"/>
        </w:rPr>
        <w:t xml:space="preserve">Hiroaki Takaya, Tadashi </w:t>
      </w:r>
      <w:proofErr w:type="spellStart"/>
      <w:r w:rsidRPr="00D936D5">
        <w:rPr>
          <w:rFonts w:ascii="Book Antiqua" w:hAnsi="Book Antiqua"/>
          <w:b/>
          <w:sz w:val="24"/>
          <w:szCs w:val="24"/>
        </w:rPr>
        <w:t>Namisaki</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Naotaka</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Shimozato</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Kosuke</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Kaji</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Mitsuteru</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Kitade</w:t>
      </w:r>
      <w:proofErr w:type="spellEnd"/>
      <w:r w:rsidRPr="00D936D5">
        <w:rPr>
          <w:rFonts w:ascii="Book Antiqua" w:hAnsi="Book Antiqua"/>
          <w:b/>
          <w:sz w:val="24"/>
          <w:szCs w:val="24"/>
        </w:rPr>
        <w:t xml:space="preserve">, Kei Moriya, Shinya Sato, </w:t>
      </w:r>
      <w:proofErr w:type="spellStart"/>
      <w:r w:rsidRPr="00D936D5">
        <w:rPr>
          <w:rFonts w:ascii="Book Antiqua" w:hAnsi="Book Antiqua"/>
          <w:b/>
          <w:sz w:val="24"/>
          <w:szCs w:val="24"/>
        </w:rPr>
        <w:t>Hideto</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Kawaratani</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Takemi</w:t>
      </w:r>
      <w:proofErr w:type="spellEnd"/>
      <w:r w:rsidRPr="00D936D5">
        <w:rPr>
          <w:rFonts w:ascii="Book Antiqua" w:hAnsi="Book Antiqua"/>
          <w:b/>
          <w:sz w:val="24"/>
          <w:szCs w:val="24"/>
        </w:rPr>
        <w:t xml:space="preserve"> </w:t>
      </w:r>
      <w:proofErr w:type="spellStart"/>
      <w:r w:rsidRPr="00D936D5">
        <w:rPr>
          <w:rFonts w:ascii="Book Antiqua" w:hAnsi="Book Antiqua"/>
          <w:b/>
          <w:sz w:val="24"/>
          <w:szCs w:val="24"/>
        </w:rPr>
        <w:t>Akahane</w:t>
      </w:r>
      <w:proofErr w:type="spellEnd"/>
      <w:r w:rsidRPr="00D936D5">
        <w:rPr>
          <w:rFonts w:ascii="Book Antiqua" w:hAnsi="Book Antiqua"/>
          <w:b/>
          <w:sz w:val="24"/>
          <w:szCs w:val="24"/>
        </w:rPr>
        <w:t xml:space="preserve">, Hitoshi </w:t>
      </w:r>
      <w:proofErr w:type="spellStart"/>
      <w:r w:rsidRPr="00D936D5">
        <w:rPr>
          <w:rFonts w:ascii="Book Antiqua" w:hAnsi="Book Antiqua"/>
          <w:b/>
          <w:sz w:val="24"/>
          <w:szCs w:val="24"/>
        </w:rPr>
        <w:t>Yoshiji</w:t>
      </w:r>
      <w:proofErr w:type="spellEnd"/>
      <w:r w:rsidRPr="00D936D5">
        <w:rPr>
          <w:rFonts w:ascii="Book Antiqua" w:hAnsi="Book Antiqua"/>
          <w:b/>
          <w:sz w:val="24"/>
          <w:szCs w:val="24"/>
        </w:rPr>
        <w:t>,</w:t>
      </w:r>
      <w:r w:rsidRPr="00D936D5">
        <w:rPr>
          <w:rFonts w:ascii="Book Antiqua" w:hAnsi="Book Antiqua"/>
          <w:b/>
          <w:sz w:val="24"/>
          <w:szCs w:val="24"/>
          <w:vertAlign w:val="superscript"/>
        </w:rPr>
        <w:t xml:space="preserve"> </w:t>
      </w:r>
      <w:r w:rsidRPr="00D936D5">
        <w:rPr>
          <w:rFonts w:ascii="Book Antiqua" w:hAnsi="Book Antiqua"/>
          <w:sz w:val="24"/>
          <w:szCs w:val="24"/>
        </w:rPr>
        <w:t xml:space="preserve">Third Department of Internal Medicine, Nara Medical University, </w:t>
      </w:r>
      <w:proofErr w:type="spellStart"/>
      <w:r w:rsidRPr="00D936D5">
        <w:rPr>
          <w:rFonts w:ascii="Book Antiqua" w:hAnsi="Book Antiqua"/>
          <w:sz w:val="24"/>
          <w:szCs w:val="24"/>
        </w:rPr>
        <w:t>Kashihara</w:t>
      </w:r>
      <w:proofErr w:type="spellEnd"/>
      <w:r w:rsidRPr="00D936D5">
        <w:rPr>
          <w:rFonts w:ascii="Book Antiqua" w:hAnsi="Book Antiqua"/>
          <w:sz w:val="24"/>
          <w:szCs w:val="24"/>
        </w:rPr>
        <w:t>, Nara 634-8522, Japan</w:t>
      </w:r>
    </w:p>
    <w:p w14:paraId="1AF9B9FC" w14:textId="77777777" w:rsidR="00C3062E" w:rsidRPr="00D936D5" w:rsidRDefault="00C3062E" w:rsidP="00120959">
      <w:pPr>
        <w:spacing w:line="360" w:lineRule="auto"/>
        <w:rPr>
          <w:rFonts w:ascii="Book Antiqua" w:eastAsia="SimSun" w:hAnsi="Book Antiqua"/>
          <w:sz w:val="24"/>
          <w:szCs w:val="24"/>
          <w:vertAlign w:val="superscript"/>
          <w:lang w:eastAsia="zh-CN"/>
        </w:rPr>
      </w:pPr>
    </w:p>
    <w:p w14:paraId="34D27364" w14:textId="7917A3F4" w:rsidR="00741934" w:rsidRPr="00D936D5" w:rsidRDefault="00741934" w:rsidP="00120959">
      <w:pPr>
        <w:spacing w:line="360" w:lineRule="auto"/>
        <w:rPr>
          <w:rFonts w:ascii="Book Antiqua" w:eastAsia="SimSun" w:hAnsi="Book Antiqua"/>
          <w:b/>
          <w:sz w:val="24"/>
          <w:szCs w:val="24"/>
          <w:lang w:eastAsia="zh-CN"/>
        </w:rPr>
      </w:pPr>
      <w:r w:rsidRPr="00D936D5">
        <w:rPr>
          <w:rFonts w:ascii="Book Antiqua" w:hAnsi="Book Antiqua"/>
          <w:b/>
          <w:sz w:val="24"/>
          <w:szCs w:val="24"/>
        </w:rPr>
        <w:t xml:space="preserve">Masanori Matsumoto, </w:t>
      </w:r>
      <w:r w:rsidRPr="00D936D5">
        <w:rPr>
          <w:rFonts w:ascii="Book Antiqua" w:hAnsi="Book Antiqua"/>
          <w:sz w:val="24"/>
          <w:szCs w:val="24"/>
        </w:rPr>
        <w:t xml:space="preserve">Department of Blood Transfusion Medicine, Nara Medical University, </w:t>
      </w:r>
      <w:proofErr w:type="spellStart"/>
      <w:r w:rsidRPr="00D936D5">
        <w:rPr>
          <w:rFonts w:ascii="Book Antiqua" w:hAnsi="Book Antiqua"/>
          <w:sz w:val="24"/>
          <w:szCs w:val="24"/>
        </w:rPr>
        <w:t>Kashihara</w:t>
      </w:r>
      <w:proofErr w:type="spellEnd"/>
      <w:r w:rsidRPr="00D936D5">
        <w:rPr>
          <w:rFonts w:ascii="Book Antiqua" w:hAnsi="Book Antiqua"/>
          <w:sz w:val="24"/>
          <w:szCs w:val="24"/>
        </w:rPr>
        <w:t>, Nara 634-8522, Japan</w:t>
      </w:r>
    </w:p>
    <w:p w14:paraId="08A18C16" w14:textId="77777777" w:rsidR="00741934" w:rsidRPr="00D936D5" w:rsidRDefault="00741934" w:rsidP="00120959">
      <w:pPr>
        <w:spacing w:line="360" w:lineRule="auto"/>
        <w:rPr>
          <w:rFonts w:ascii="Book Antiqua" w:hAnsi="Book Antiqua"/>
          <w:sz w:val="24"/>
          <w:szCs w:val="24"/>
        </w:rPr>
      </w:pPr>
    </w:p>
    <w:p w14:paraId="3887E9C8" w14:textId="53A18254" w:rsidR="00741934" w:rsidRPr="00D936D5" w:rsidRDefault="00C3062E" w:rsidP="00120959">
      <w:pPr>
        <w:spacing w:line="360" w:lineRule="auto"/>
        <w:rPr>
          <w:rFonts w:ascii="Book Antiqua" w:hAnsi="Book Antiqua"/>
          <w:sz w:val="24"/>
          <w:szCs w:val="24"/>
        </w:rPr>
      </w:pPr>
      <w:r w:rsidRPr="00D936D5">
        <w:rPr>
          <w:rFonts w:ascii="Book Antiqua" w:hAnsi="Book Antiqua"/>
          <w:b/>
          <w:kern w:val="0"/>
          <w:sz w:val="24"/>
          <w:szCs w:val="24"/>
        </w:rPr>
        <w:t>ORCID number:</w:t>
      </w:r>
      <w:r w:rsidR="00741934" w:rsidRPr="00D936D5">
        <w:rPr>
          <w:rFonts w:ascii="Book Antiqua" w:hAnsi="Book Antiqua"/>
          <w:sz w:val="24"/>
          <w:szCs w:val="24"/>
        </w:rPr>
        <w:t xml:space="preserve"> Hiroa</w:t>
      </w:r>
      <w:r w:rsidR="003C3DA8" w:rsidRPr="00D936D5">
        <w:rPr>
          <w:rFonts w:ascii="Book Antiqua" w:hAnsi="Book Antiqua"/>
          <w:sz w:val="24"/>
          <w:szCs w:val="24"/>
        </w:rPr>
        <w:t>ki Takaya (0000-0002-4990-7573);</w:t>
      </w:r>
      <w:r w:rsidR="00741934" w:rsidRPr="00D936D5">
        <w:rPr>
          <w:rFonts w:ascii="Book Antiqua" w:hAnsi="Book Antiqua"/>
          <w:sz w:val="24"/>
          <w:szCs w:val="24"/>
        </w:rPr>
        <w:t xml:space="preserve"> Tadashi</w:t>
      </w:r>
      <w:r w:rsidR="003C3DA8" w:rsidRPr="00D936D5">
        <w:rPr>
          <w:rFonts w:ascii="Book Antiqua" w:hAnsi="Book Antiqua"/>
          <w:sz w:val="24"/>
          <w:szCs w:val="24"/>
        </w:rPr>
        <w:t xml:space="preserve"> </w:t>
      </w:r>
      <w:proofErr w:type="spellStart"/>
      <w:r w:rsidR="003C3DA8" w:rsidRPr="00D936D5">
        <w:rPr>
          <w:rFonts w:ascii="Book Antiqua" w:hAnsi="Book Antiqua"/>
          <w:sz w:val="24"/>
          <w:szCs w:val="24"/>
        </w:rPr>
        <w:t>Namisaki</w:t>
      </w:r>
      <w:proofErr w:type="spellEnd"/>
      <w:r w:rsidR="003C3DA8" w:rsidRPr="00D936D5">
        <w:rPr>
          <w:rFonts w:ascii="Book Antiqua" w:hAnsi="Book Antiqua"/>
          <w:sz w:val="24"/>
          <w:szCs w:val="24"/>
        </w:rPr>
        <w:t xml:space="preserve"> (0000-0002-3158-5318);</w:t>
      </w:r>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Naotaka</w:t>
      </w:r>
      <w:proofErr w:type="spellEnd"/>
      <w:r w:rsidR="00741934" w:rsidRPr="00D936D5">
        <w:rPr>
          <w:rFonts w:ascii="Book Antiqua" w:hAnsi="Book Antiqua"/>
          <w:sz w:val="24"/>
          <w:szCs w:val="24"/>
        </w:rPr>
        <w:t xml:space="preserve"> </w:t>
      </w:r>
      <w:proofErr w:type="spellStart"/>
      <w:r w:rsidR="003C3DA8" w:rsidRPr="00D936D5">
        <w:rPr>
          <w:rFonts w:ascii="Book Antiqua" w:hAnsi="Book Antiqua"/>
          <w:sz w:val="24"/>
          <w:szCs w:val="24"/>
        </w:rPr>
        <w:t>Shimozato</w:t>
      </w:r>
      <w:proofErr w:type="spellEnd"/>
      <w:r w:rsidR="003C3DA8" w:rsidRPr="00D936D5">
        <w:rPr>
          <w:rFonts w:ascii="Book Antiqua" w:hAnsi="Book Antiqua"/>
          <w:sz w:val="24"/>
          <w:szCs w:val="24"/>
        </w:rPr>
        <w:t xml:space="preserve"> (0000-0002-7558-4165);</w:t>
      </w:r>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Kosuke</w:t>
      </w:r>
      <w:proofErr w:type="spellEnd"/>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Kaji</w:t>
      </w:r>
      <w:proofErr w:type="spellEnd"/>
      <w:r w:rsidR="00741934" w:rsidRPr="00D936D5">
        <w:rPr>
          <w:rFonts w:ascii="Book Antiqua" w:hAnsi="Book Antiqua"/>
          <w:sz w:val="24"/>
          <w:szCs w:val="24"/>
        </w:rPr>
        <w:t xml:space="preserve"> </w:t>
      </w:r>
      <w:r w:rsidR="00741934" w:rsidRPr="00D936D5">
        <w:rPr>
          <w:rFonts w:ascii="Book Antiqua" w:hAnsi="Book Antiqua"/>
          <w:sz w:val="24"/>
          <w:szCs w:val="24"/>
        </w:rPr>
        <w:lastRenderedPageBreak/>
        <w:t>(0000</w:t>
      </w:r>
      <w:r w:rsidR="003C3DA8" w:rsidRPr="00D936D5">
        <w:rPr>
          <w:rFonts w:ascii="Book Antiqua" w:hAnsi="Book Antiqua"/>
          <w:sz w:val="24"/>
          <w:szCs w:val="24"/>
        </w:rPr>
        <w:t>-0002-1822-6759);</w:t>
      </w:r>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Mitsute</w:t>
      </w:r>
      <w:r w:rsidR="003C3DA8" w:rsidRPr="00D936D5">
        <w:rPr>
          <w:rFonts w:ascii="Book Antiqua" w:hAnsi="Book Antiqua"/>
          <w:sz w:val="24"/>
          <w:szCs w:val="24"/>
        </w:rPr>
        <w:t>ru</w:t>
      </w:r>
      <w:proofErr w:type="spellEnd"/>
      <w:r w:rsidR="003C3DA8" w:rsidRPr="00D936D5">
        <w:rPr>
          <w:rFonts w:ascii="Book Antiqua" w:hAnsi="Book Antiqua"/>
          <w:sz w:val="24"/>
          <w:szCs w:val="24"/>
        </w:rPr>
        <w:t xml:space="preserve"> </w:t>
      </w:r>
      <w:proofErr w:type="spellStart"/>
      <w:r w:rsidR="003C3DA8" w:rsidRPr="00D936D5">
        <w:rPr>
          <w:rFonts w:ascii="Book Antiqua" w:hAnsi="Book Antiqua"/>
          <w:sz w:val="24"/>
          <w:szCs w:val="24"/>
        </w:rPr>
        <w:t>Kitade</w:t>
      </w:r>
      <w:proofErr w:type="spellEnd"/>
      <w:r w:rsidR="003C3DA8" w:rsidRPr="00D936D5">
        <w:rPr>
          <w:rFonts w:ascii="Book Antiqua" w:hAnsi="Book Antiqua"/>
          <w:sz w:val="24"/>
          <w:szCs w:val="24"/>
        </w:rPr>
        <w:t xml:space="preserve"> (0000-0001-7592-7589);</w:t>
      </w:r>
      <w:r w:rsidR="00741934" w:rsidRPr="00D936D5">
        <w:rPr>
          <w:rFonts w:ascii="Book Antiqua" w:hAnsi="Book Antiqua"/>
          <w:sz w:val="24"/>
          <w:szCs w:val="24"/>
        </w:rPr>
        <w:t xml:space="preserve"> K</w:t>
      </w:r>
      <w:r w:rsidR="003C3DA8" w:rsidRPr="00D936D5">
        <w:rPr>
          <w:rFonts w:ascii="Book Antiqua" w:hAnsi="Book Antiqua"/>
          <w:sz w:val="24"/>
          <w:szCs w:val="24"/>
        </w:rPr>
        <w:t>ei Moriya (0000-0002-2878-8296);</w:t>
      </w:r>
      <w:r w:rsidR="00741934" w:rsidRPr="00D936D5">
        <w:rPr>
          <w:rFonts w:ascii="Book Antiqua" w:hAnsi="Book Antiqua"/>
          <w:sz w:val="24"/>
          <w:szCs w:val="24"/>
        </w:rPr>
        <w:t xml:space="preserve"> Sh</w:t>
      </w:r>
      <w:r w:rsidR="003C3DA8" w:rsidRPr="00D936D5">
        <w:rPr>
          <w:rFonts w:ascii="Book Antiqua" w:hAnsi="Book Antiqua"/>
          <w:sz w:val="24"/>
          <w:szCs w:val="24"/>
        </w:rPr>
        <w:t>inya Sato (0000-0003-3049-3443);</w:t>
      </w:r>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Hideto</w:t>
      </w:r>
      <w:proofErr w:type="spellEnd"/>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Kawaratani</w:t>
      </w:r>
      <w:proofErr w:type="spellEnd"/>
      <w:r w:rsidR="00741934" w:rsidRPr="00D936D5">
        <w:rPr>
          <w:rFonts w:ascii="Book Antiqua" w:hAnsi="Book Antiqua"/>
          <w:sz w:val="24"/>
          <w:szCs w:val="24"/>
        </w:rPr>
        <w:t xml:space="preserve"> </w:t>
      </w:r>
      <w:r w:rsidR="003C3DA8" w:rsidRPr="00D936D5">
        <w:rPr>
          <w:rFonts w:ascii="Book Antiqua" w:hAnsi="Book Antiqua"/>
          <w:sz w:val="24"/>
          <w:szCs w:val="24"/>
        </w:rPr>
        <w:t>(0000-0002-4361-0592);</w:t>
      </w:r>
      <w:r w:rsidR="00741934" w:rsidRPr="00D936D5">
        <w:rPr>
          <w:rFonts w:ascii="Book Antiqua" w:hAnsi="Book Antiqua"/>
          <w:sz w:val="24"/>
          <w:szCs w:val="24"/>
        </w:rPr>
        <w:t xml:space="preserve"> </w:t>
      </w:r>
      <w:proofErr w:type="spellStart"/>
      <w:r w:rsidR="00741934" w:rsidRPr="00D936D5">
        <w:rPr>
          <w:rFonts w:ascii="Book Antiqua" w:hAnsi="Book Antiqua"/>
          <w:sz w:val="24"/>
          <w:szCs w:val="24"/>
        </w:rPr>
        <w:t>Takem</w:t>
      </w:r>
      <w:r w:rsidR="003C3DA8" w:rsidRPr="00D936D5">
        <w:rPr>
          <w:rFonts w:ascii="Book Antiqua" w:hAnsi="Book Antiqua"/>
          <w:sz w:val="24"/>
          <w:szCs w:val="24"/>
        </w:rPr>
        <w:t>i</w:t>
      </w:r>
      <w:proofErr w:type="spellEnd"/>
      <w:r w:rsidR="003C3DA8" w:rsidRPr="00D936D5">
        <w:rPr>
          <w:rFonts w:ascii="Book Antiqua" w:hAnsi="Book Antiqua"/>
          <w:sz w:val="24"/>
          <w:szCs w:val="24"/>
        </w:rPr>
        <w:t xml:space="preserve"> </w:t>
      </w:r>
      <w:proofErr w:type="spellStart"/>
      <w:r w:rsidR="003C3DA8" w:rsidRPr="00D936D5">
        <w:rPr>
          <w:rFonts w:ascii="Book Antiqua" w:hAnsi="Book Antiqua"/>
          <w:sz w:val="24"/>
          <w:szCs w:val="24"/>
        </w:rPr>
        <w:t>Akahane</w:t>
      </w:r>
      <w:proofErr w:type="spellEnd"/>
      <w:r w:rsidR="003C3DA8" w:rsidRPr="00D936D5">
        <w:rPr>
          <w:rFonts w:ascii="Book Antiqua" w:hAnsi="Book Antiqua"/>
          <w:sz w:val="24"/>
          <w:szCs w:val="24"/>
        </w:rPr>
        <w:t xml:space="preserve"> (0000-0002-6675-0475);</w:t>
      </w:r>
      <w:r w:rsidR="00741934" w:rsidRPr="00D936D5">
        <w:rPr>
          <w:rFonts w:ascii="Book Antiqua" w:hAnsi="Book Antiqua"/>
          <w:sz w:val="24"/>
          <w:szCs w:val="24"/>
        </w:rPr>
        <w:t xml:space="preserve"> Masanori Matsumoto (</w:t>
      </w:r>
      <w:r w:rsidR="000C64C2" w:rsidRPr="00D936D5">
        <w:rPr>
          <w:rFonts w:ascii="Book Antiqua" w:hAnsi="Book Antiqua"/>
          <w:sz w:val="24"/>
          <w:szCs w:val="24"/>
        </w:rPr>
        <w:t>0000-0002-7243-3126</w:t>
      </w:r>
      <w:r w:rsidR="003C3DA8" w:rsidRPr="00D936D5">
        <w:rPr>
          <w:rFonts w:ascii="Book Antiqua" w:hAnsi="Book Antiqua"/>
          <w:sz w:val="24"/>
          <w:szCs w:val="24"/>
        </w:rPr>
        <w:t>);</w:t>
      </w:r>
      <w:r w:rsidR="00741934" w:rsidRPr="00D936D5">
        <w:rPr>
          <w:rFonts w:ascii="Book Antiqua" w:hAnsi="Book Antiqua"/>
          <w:sz w:val="24"/>
          <w:szCs w:val="24"/>
        </w:rPr>
        <w:t xml:space="preserve"> Hitoshi </w:t>
      </w:r>
      <w:proofErr w:type="spellStart"/>
      <w:r w:rsidR="00741934" w:rsidRPr="00D936D5">
        <w:rPr>
          <w:rFonts w:ascii="Book Antiqua" w:hAnsi="Book Antiqua"/>
          <w:sz w:val="24"/>
          <w:szCs w:val="24"/>
        </w:rPr>
        <w:t>Yoshiji</w:t>
      </w:r>
      <w:proofErr w:type="spellEnd"/>
      <w:r w:rsidR="00741934" w:rsidRPr="00D936D5">
        <w:rPr>
          <w:rFonts w:ascii="Book Antiqua" w:hAnsi="Book Antiqua"/>
          <w:sz w:val="24"/>
          <w:szCs w:val="24"/>
        </w:rPr>
        <w:t xml:space="preserve"> (0000-0002-5243-8544)</w:t>
      </w:r>
      <w:r w:rsidR="001F3CEC" w:rsidRPr="00D936D5">
        <w:rPr>
          <w:rFonts w:ascii="Book Antiqua" w:hAnsi="Book Antiqua"/>
          <w:sz w:val="24"/>
          <w:szCs w:val="24"/>
        </w:rPr>
        <w:t>.</w:t>
      </w:r>
    </w:p>
    <w:p w14:paraId="51206390" w14:textId="77777777" w:rsidR="00741934" w:rsidRPr="00D936D5" w:rsidRDefault="00741934" w:rsidP="00120959">
      <w:pPr>
        <w:spacing w:line="360" w:lineRule="auto"/>
        <w:rPr>
          <w:rFonts w:ascii="Book Antiqua" w:hAnsi="Book Antiqua"/>
          <w:sz w:val="24"/>
          <w:szCs w:val="24"/>
        </w:rPr>
      </w:pPr>
    </w:p>
    <w:p w14:paraId="62987735" w14:textId="242A60B2" w:rsidR="00741934" w:rsidRPr="00D936D5" w:rsidRDefault="00C3062E" w:rsidP="00120959">
      <w:pPr>
        <w:spacing w:line="360" w:lineRule="auto"/>
        <w:rPr>
          <w:rFonts w:ascii="Book Antiqua" w:hAnsi="Book Antiqua"/>
          <w:sz w:val="24"/>
          <w:szCs w:val="24"/>
        </w:rPr>
      </w:pPr>
      <w:r w:rsidRPr="00D936D5">
        <w:rPr>
          <w:rFonts w:ascii="Book Antiqua" w:hAnsi="Book Antiqua"/>
          <w:b/>
          <w:kern w:val="0"/>
          <w:sz w:val="24"/>
          <w:szCs w:val="24"/>
        </w:rPr>
        <w:t>Author contributions:</w:t>
      </w:r>
      <w:r w:rsidR="00741934" w:rsidRPr="00D936D5">
        <w:rPr>
          <w:rFonts w:ascii="Book Antiqua" w:hAnsi="Book Antiqua"/>
          <w:sz w:val="24"/>
          <w:szCs w:val="24"/>
        </w:rPr>
        <w:t xml:space="preserve"> Takaya H, </w:t>
      </w:r>
      <w:proofErr w:type="spellStart"/>
      <w:r w:rsidR="00741934" w:rsidRPr="00D936D5">
        <w:rPr>
          <w:rFonts w:ascii="Book Antiqua" w:hAnsi="Book Antiqua"/>
          <w:sz w:val="24"/>
          <w:szCs w:val="24"/>
        </w:rPr>
        <w:t>Shimozato</w:t>
      </w:r>
      <w:proofErr w:type="spellEnd"/>
      <w:r w:rsidR="00741934" w:rsidRPr="00D936D5">
        <w:rPr>
          <w:rFonts w:ascii="Book Antiqua" w:hAnsi="Book Antiqua"/>
          <w:sz w:val="24"/>
          <w:szCs w:val="24"/>
        </w:rPr>
        <w:t xml:space="preserve"> N, </w:t>
      </w:r>
      <w:proofErr w:type="spellStart"/>
      <w:r w:rsidR="00741934" w:rsidRPr="00D936D5">
        <w:rPr>
          <w:rFonts w:ascii="Book Antiqua" w:hAnsi="Book Antiqua"/>
          <w:sz w:val="24"/>
          <w:szCs w:val="24"/>
        </w:rPr>
        <w:t>Kaji</w:t>
      </w:r>
      <w:proofErr w:type="spellEnd"/>
      <w:r w:rsidR="00741934" w:rsidRPr="00D936D5">
        <w:rPr>
          <w:rFonts w:ascii="Book Antiqua" w:hAnsi="Book Antiqua"/>
          <w:sz w:val="24"/>
          <w:szCs w:val="24"/>
        </w:rPr>
        <w:t xml:space="preserve"> K, </w:t>
      </w:r>
      <w:proofErr w:type="spellStart"/>
      <w:r w:rsidR="00741934" w:rsidRPr="00D936D5">
        <w:rPr>
          <w:rFonts w:ascii="Book Antiqua" w:hAnsi="Book Antiqua"/>
          <w:sz w:val="24"/>
          <w:szCs w:val="24"/>
        </w:rPr>
        <w:t>Kitade</w:t>
      </w:r>
      <w:proofErr w:type="spellEnd"/>
      <w:r w:rsidR="00741934" w:rsidRPr="00D936D5">
        <w:rPr>
          <w:rFonts w:ascii="Book Antiqua" w:hAnsi="Book Antiqua"/>
          <w:sz w:val="24"/>
          <w:szCs w:val="24"/>
        </w:rPr>
        <w:t xml:space="preserve"> M, Moriya K, Sato S, </w:t>
      </w:r>
      <w:proofErr w:type="spellStart"/>
      <w:r w:rsidR="00741934" w:rsidRPr="00D936D5">
        <w:rPr>
          <w:rFonts w:ascii="Book Antiqua" w:hAnsi="Book Antiqua"/>
          <w:sz w:val="24"/>
          <w:szCs w:val="24"/>
        </w:rPr>
        <w:t>Kawaratani</w:t>
      </w:r>
      <w:proofErr w:type="spellEnd"/>
      <w:r w:rsidR="00741934" w:rsidRPr="00D936D5">
        <w:rPr>
          <w:rFonts w:ascii="Book Antiqua" w:hAnsi="Book Antiqua"/>
          <w:sz w:val="24"/>
          <w:szCs w:val="24"/>
        </w:rPr>
        <w:t xml:space="preserve"> H, </w:t>
      </w:r>
      <w:proofErr w:type="spellStart"/>
      <w:r w:rsidR="00741934" w:rsidRPr="00D936D5">
        <w:rPr>
          <w:rFonts w:ascii="Book Antiqua" w:hAnsi="Book Antiqua"/>
          <w:sz w:val="24"/>
          <w:szCs w:val="24"/>
        </w:rPr>
        <w:t>Akahane</w:t>
      </w:r>
      <w:proofErr w:type="spellEnd"/>
      <w:r w:rsidR="00741934" w:rsidRPr="00D936D5">
        <w:rPr>
          <w:rFonts w:ascii="Book Antiqua" w:hAnsi="Book Antiqua"/>
          <w:sz w:val="24"/>
          <w:szCs w:val="24"/>
        </w:rPr>
        <w:t xml:space="preserve"> T</w:t>
      </w:r>
      <w:r w:rsidRPr="00D936D5">
        <w:rPr>
          <w:rFonts w:ascii="Book Antiqua" w:eastAsia="SimSun" w:hAnsi="Book Antiqua"/>
          <w:sz w:val="24"/>
          <w:szCs w:val="24"/>
          <w:lang w:eastAsia="zh-CN"/>
        </w:rPr>
        <w:t xml:space="preserve"> and </w:t>
      </w:r>
      <w:r w:rsidR="00741934" w:rsidRPr="00D936D5">
        <w:rPr>
          <w:rFonts w:ascii="Book Antiqua" w:hAnsi="Book Antiqua"/>
          <w:sz w:val="24"/>
          <w:szCs w:val="24"/>
        </w:rPr>
        <w:t xml:space="preserve">Matsumoto M performed data analysis; Takaya H, </w:t>
      </w:r>
      <w:proofErr w:type="spellStart"/>
      <w:r w:rsidR="00741934" w:rsidRPr="00D936D5">
        <w:rPr>
          <w:rFonts w:ascii="Book Antiqua" w:hAnsi="Book Antiqua"/>
          <w:sz w:val="24"/>
          <w:szCs w:val="24"/>
        </w:rPr>
        <w:t>Namisaki</w:t>
      </w:r>
      <w:proofErr w:type="spellEnd"/>
      <w:r w:rsidR="00741934" w:rsidRPr="00D936D5">
        <w:rPr>
          <w:rFonts w:ascii="Book Antiqua" w:hAnsi="Book Antiqua"/>
          <w:sz w:val="24"/>
          <w:szCs w:val="24"/>
        </w:rPr>
        <w:t xml:space="preserve"> T and </w:t>
      </w:r>
      <w:proofErr w:type="spellStart"/>
      <w:r w:rsidR="00741934" w:rsidRPr="00D936D5">
        <w:rPr>
          <w:rFonts w:ascii="Book Antiqua" w:hAnsi="Book Antiqua"/>
          <w:sz w:val="24"/>
          <w:szCs w:val="24"/>
        </w:rPr>
        <w:t>Yoshiji</w:t>
      </w:r>
      <w:proofErr w:type="spellEnd"/>
      <w:r w:rsidR="00741934" w:rsidRPr="00D936D5">
        <w:rPr>
          <w:rFonts w:ascii="Book Antiqua" w:hAnsi="Book Antiqua"/>
          <w:sz w:val="24"/>
          <w:szCs w:val="24"/>
        </w:rPr>
        <w:t xml:space="preserve"> H contributed to the writing of the manuscript.</w:t>
      </w:r>
    </w:p>
    <w:p w14:paraId="49DF5728" w14:textId="77777777" w:rsidR="00C3062E" w:rsidRPr="00D936D5" w:rsidRDefault="00C3062E" w:rsidP="00120959">
      <w:pPr>
        <w:spacing w:line="360" w:lineRule="auto"/>
        <w:rPr>
          <w:rFonts w:ascii="Book Antiqua" w:eastAsia="SimSun" w:hAnsi="Book Antiqua"/>
          <w:b/>
          <w:sz w:val="24"/>
          <w:szCs w:val="24"/>
          <w:lang w:eastAsia="zh-CN"/>
        </w:rPr>
      </w:pPr>
    </w:p>
    <w:p w14:paraId="181F7F70" w14:textId="6ACBF758" w:rsidR="00C3062E" w:rsidRPr="00D936D5" w:rsidRDefault="00C3062E" w:rsidP="00120959">
      <w:pPr>
        <w:spacing w:line="360" w:lineRule="auto"/>
        <w:rPr>
          <w:rFonts w:ascii="Book Antiqua" w:eastAsia="SimSun" w:hAnsi="Book Antiqua"/>
          <w:sz w:val="24"/>
          <w:szCs w:val="24"/>
          <w:lang w:eastAsia="zh-CN"/>
        </w:rPr>
      </w:pPr>
      <w:r w:rsidRPr="00D936D5">
        <w:rPr>
          <w:rFonts w:ascii="Book Antiqua" w:hAnsi="Book Antiqua"/>
          <w:b/>
          <w:sz w:val="24"/>
          <w:szCs w:val="24"/>
        </w:rPr>
        <w:t>Institutional review board statement</w:t>
      </w:r>
      <w:r w:rsidRPr="00D936D5">
        <w:rPr>
          <w:rFonts w:ascii="Book Antiqua" w:hAnsi="Book Antiqua"/>
          <w:b/>
          <w:iCs/>
          <w:kern w:val="0"/>
          <w:sz w:val="24"/>
          <w:szCs w:val="24"/>
        </w:rPr>
        <w:t xml:space="preserve">: </w:t>
      </w:r>
      <w:r w:rsidRPr="00D936D5">
        <w:rPr>
          <w:rFonts w:ascii="Book Antiqua" w:hAnsi="Book Antiqua"/>
          <w:sz w:val="24"/>
          <w:szCs w:val="24"/>
        </w:rPr>
        <w:t>Informed consent for the use of resected tissue was obtained from all patients and the study protocol was approved by the Ethics Committee of Nara Medical University.</w:t>
      </w:r>
    </w:p>
    <w:p w14:paraId="2DDCDCB6" w14:textId="77777777" w:rsidR="00C3062E" w:rsidRPr="00D936D5" w:rsidRDefault="00C3062E" w:rsidP="00120959">
      <w:pPr>
        <w:spacing w:line="360" w:lineRule="auto"/>
        <w:rPr>
          <w:rFonts w:ascii="Book Antiqua" w:eastAsia="SimSun" w:hAnsi="Book Antiqua"/>
          <w:b/>
          <w:sz w:val="24"/>
          <w:szCs w:val="24"/>
          <w:lang w:eastAsia="zh-CN"/>
        </w:rPr>
      </w:pPr>
    </w:p>
    <w:p w14:paraId="0B68B75E" w14:textId="298472B8" w:rsidR="00C3062E" w:rsidRPr="00D936D5" w:rsidRDefault="00C3062E" w:rsidP="00120959">
      <w:pPr>
        <w:spacing w:line="360" w:lineRule="auto"/>
        <w:rPr>
          <w:rFonts w:ascii="Book Antiqua" w:eastAsia="SimSun" w:hAnsi="Book Antiqua"/>
          <w:sz w:val="24"/>
          <w:szCs w:val="24"/>
          <w:lang w:eastAsia="zh-CN"/>
        </w:rPr>
      </w:pPr>
      <w:r w:rsidRPr="00D936D5">
        <w:rPr>
          <w:rFonts w:ascii="Book Antiqua" w:hAnsi="Book Antiqua"/>
          <w:b/>
          <w:sz w:val="24"/>
          <w:szCs w:val="24"/>
        </w:rPr>
        <w:t>Informed consent statement</w:t>
      </w:r>
      <w:r w:rsidRPr="00D936D5">
        <w:rPr>
          <w:rFonts w:ascii="Book Antiqua" w:hAnsi="Book Antiqua"/>
          <w:b/>
          <w:iCs/>
          <w:sz w:val="24"/>
          <w:szCs w:val="24"/>
        </w:rPr>
        <w:t>:</w:t>
      </w:r>
      <w:r w:rsidRPr="00D936D5">
        <w:rPr>
          <w:rFonts w:ascii="Book Antiqua" w:hAnsi="Book Antiqua"/>
          <w:b/>
          <w:iCs/>
          <w:kern w:val="0"/>
          <w:sz w:val="24"/>
          <w:szCs w:val="24"/>
        </w:rPr>
        <w:t xml:space="preserve"> </w:t>
      </w:r>
      <w:r w:rsidRPr="00D936D5">
        <w:rPr>
          <w:rFonts w:ascii="Book Antiqua" w:hAnsi="Book Antiqua"/>
          <w:sz w:val="24"/>
          <w:szCs w:val="24"/>
        </w:rPr>
        <w:t>All study participants or their legal guardians provided informed written consent prior to study enrollment.</w:t>
      </w:r>
    </w:p>
    <w:p w14:paraId="5931C081" w14:textId="77777777" w:rsidR="00C3062E" w:rsidRPr="00D936D5" w:rsidRDefault="00C3062E" w:rsidP="00120959">
      <w:pPr>
        <w:spacing w:line="360" w:lineRule="auto"/>
        <w:rPr>
          <w:rFonts w:ascii="Book Antiqua" w:eastAsia="SimSun" w:hAnsi="Book Antiqua"/>
          <w:b/>
          <w:sz w:val="24"/>
          <w:szCs w:val="24"/>
          <w:lang w:eastAsia="zh-CN"/>
        </w:rPr>
      </w:pPr>
    </w:p>
    <w:p w14:paraId="4B4F5628" w14:textId="09F23E8A"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Conflict-of-interest statement</w:t>
      </w:r>
      <w:r w:rsidRPr="00D936D5">
        <w:rPr>
          <w:rFonts w:ascii="Book Antiqua" w:hAnsi="Book Antiqua" w:cs="TimesNewRomanPS-BoldItalicMT"/>
          <w:b/>
          <w:iCs/>
          <w:sz w:val="24"/>
          <w:szCs w:val="24"/>
        </w:rPr>
        <w:t xml:space="preserve">: </w:t>
      </w:r>
      <w:r w:rsidRPr="00D936D5">
        <w:rPr>
          <w:rFonts w:ascii="Book Antiqua" w:hAnsi="Book Antiqua"/>
          <w:sz w:val="24"/>
          <w:szCs w:val="24"/>
        </w:rPr>
        <w:t>The authors declare that they have no conflicts of interest.</w:t>
      </w:r>
    </w:p>
    <w:p w14:paraId="4FF7E22C" w14:textId="77777777" w:rsidR="00C3062E" w:rsidRPr="00D936D5" w:rsidRDefault="00C3062E" w:rsidP="00120959">
      <w:pPr>
        <w:adjustRightInd w:val="0"/>
        <w:snapToGrid w:val="0"/>
        <w:spacing w:line="360" w:lineRule="auto"/>
        <w:rPr>
          <w:rFonts w:ascii="Book Antiqua" w:eastAsia="SimSun" w:hAnsi="Book Antiqua"/>
          <w:sz w:val="24"/>
          <w:szCs w:val="24"/>
          <w:lang w:eastAsia="zh-CN"/>
        </w:rPr>
      </w:pPr>
    </w:p>
    <w:p w14:paraId="73AC91AA" w14:textId="77777777" w:rsidR="00C3062E" w:rsidRPr="00D936D5" w:rsidRDefault="00C3062E" w:rsidP="00120959">
      <w:pPr>
        <w:widowControl/>
        <w:adjustRightInd w:val="0"/>
        <w:snapToGrid w:val="0"/>
        <w:spacing w:line="360" w:lineRule="auto"/>
        <w:rPr>
          <w:rFonts w:ascii="Book Antiqua" w:hAnsi="Book Antiqua"/>
          <w:sz w:val="24"/>
          <w:szCs w:val="24"/>
        </w:rPr>
      </w:pPr>
      <w:r w:rsidRPr="00D936D5">
        <w:rPr>
          <w:rFonts w:ascii="Book Antiqua" w:hAnsi="Book Antiqua"/>
          <w:b/>
          <w:kern w:val="0"/>
          <w:sz w:val="24"/>
          <w:szCs w:val="24"/>
        </w:rPr>
        <w:t xml:space="preserve">Open-Access: </w:t>
      </w:r>
      <w:r w:rsidRPr="00D936D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936D5">
          <w:rPr>
            <w:rStyle w:val="Hyperlink"/>
            <w:rFonts w:ascii="Book Antiqua" w:hAnsi="Book Antiqua"/>
            <w:color w:val="auto"/>
            <w:sz w:val="24"/>
            <w:szCs w:val="24"/>
            <w:u w:val="none"/>
          </w:rPr>
          <w:t>http://creativecommons.org/licenses/by-nc/4.0/</w:t>
        </w:r>
      </w:hyperlink>
    </w:p>
    <w:p w14:paraId="5E813A90" w14:textId="77777777" w:rsidR="00741934" w:rsidRPr="00D936D5" w:rsidRDefault="00741934" w:rsidP="00120959">
      <w:pPr>
        <w:spacing w:line="360" w:lineRule="auto"/>
        <w:rPr>
          <w:rFonts w:ascii="Book Antiqua" w:eastAsia="SimSun" w:hAnsi="Book Antiqua"/>
          <w:sz w:val="24"/>
          <w:szCs w:val="24"/>
          <w:lang w:eastAsia="zh-CN"/>
        </w:rPr>
      </w:pPr>
    </w:p>
    <w:p w14:paraId="0D0C01C5" w14:textId="7AC9E5F5" w:rsidR="00C3062E" w:rsidRPr="00D936D5" w:rsidRDefault="00C3062E" w:rsidP="00120959">
      <w:pPr>
        <w:spacing w:line="360" w:lineRule="auto"/>
        <w:rPr>
          <w:rFonts w:ascii="Book Antiqua" w:eastAsia="SimSun" w:hAnsi="Book Antiqua" w:cs="SimSun"/>
          <w:kern w:val="0"/>
          <w:sz w:val="24"/>
          <w:szCs w:val="24"/>
          <w:lang w:eastAsia="zh-CN"/>
        </w:rPr>
      </w:pPr>
      <w:r w:rsidRPr="00D936D5">
        <w:rPr>
          <w:rFonts w:ascii="Book Antiqua" w:eastAsia="SimSun" w:hAnsi="Book Antiqua" w:cs="SimSun"/>
          <w:b/>
          <w:kern w:val="0"/>
          <w:sz w:val="24"/>
          <w:szCs w:val="24"/>
        </w:rPr>
        <w:t>Manuscript source:</w:t>
      </w:r>
      <w:r w:rsidRPr="00D936D5">
        <w:rPr>
          <w:rFonts w:ascii="Book Antiqua" w:eastAsia="SimSun" w:hAnsi="Book Antiqua" w:cs="SimSun"/>
          <w:kern w:val="0"/>
          <w:sz w:val="24"/>
          <w:szCs w:val="24"/>
        </w:rPr>
        <w:t> Unsolicited manuscript</w:t>
      </w:r>
    </w:p>
    <w:p w14:paraId="2E87ED01" w14:textId="77777777" w:rsidR="00C3062E" w:rsidRPr="00D936D5" w:rsidRDefault="00C3062E" w:rsidP="00120959">
      <w:pPr>
        <w:spacing w:line="360" w:lineRule="auto"/>
        <w:rPr>
          <w:rFonts w:ascii="Book Antiqua" w:eastAsia="SimSun" w:hAnsi="Book Antiqua"/>
          <w:sz w:val="24"/>
          <w:szCs w:val="24"/>
          <w:lang w:eastAsia="zh-CN"/>
        </w:rPr>
      </w:pPr>
    </w:p>
    <w:p w14:paraId="55539783" w14:textId="6458B3C8" w:rsidR="00C3062E" w:rsidRPr="00D936D5" w:rsidRDefault="00C3062E" w:rsidP="00120959">
      <w:pPr>
        <w:spacing w:line="360" w:lineRule="auto"/>
        <w:rPr>
          <w:rFonts w:ascii="Book Antiqua" w:eastAsia="SimSun" w:hAnsi="Book Antiqua"/>
          <w:sz w:val="24"/>
          <w:szCs w:val="24"/>
          <w:lang w:eastAsia="zh-CN"/>
        </w:rPr>
      </w:pPr>
      <w:r w:rsidRPr="00D936D5">
        <w:rPr>
          <w:rFonts w:ascii="Book Antiqua" w:hAnsi="Book Antiqua"/>
          <w:b/>
          <w:kern w:val="0"/>
          <w:sz w:val="24"/>
          <w:szCs w:val="24"/>
        </w:rPr>
        <w:t>Corresponding author:</w:t>
      </w:r>
      <w:r w:rsidR="00741934" w:rsidRPr="00D936D5">
        <w:rPr>
          <w:rFonts w:ascii="Book Antiqua" w:hAnsi="Book Antiqua"/>
          <w:sz w:val="24"/>
          <w:szCs w:val="24"/>
        </w:rPr>
        <w:t xml:space="preserve"> </w:t>
      </w:r>
      <w:r w:rsidRPr="00D936D5">
        <w:rPr>
          <w:rFonts w:ascii="Book Antiqua" w:eastAsia="SimSun" w:hAnsi="Book Antiqua"/>
          <w:b/>
          <w:sz w:val="24"/>
          <w:szCs w:val="24"/>
          <w:lang w:eastAsia="zh-CN"/>
        </w:rPr>
        <w:t xml:space="preserve">Hiroaki Takaya, MD, PhD, Assistant Professor, </w:t>
      </w:r>
      <w:r w:rsidRPr="00D936D5">
        <w:rPr>
          <w:rFonts w:ascii="Book Antiqua" w:eastAsia="SimSun" w:hAnsi="Book Antiqua"/>
          <w:sz w:val="24"/>
          <w:szCs w:val="24"/>
          <w:lang w:eastAsia="zh-CN"/>
        </w:rPr>
        <w:t xml:space="preserve">Third Department of Internal Medicine, Nara Medical University, 840 </w:t>
      </w:r>
      <w:proofErr w:type="spellStart"/>
      <w:r w:rsidRPr="00D936D5">
        <w:rPr>
          <w:rFonts w:ascii="Book Antiqua" w:eastAsia="SimSun" w:hAnsi="Book Antiqua"/>
          <w:sz w:val="24"/>
          <w:szCs w:val="24"/>
          <w:lang w:eastAsia="zh-CN"/>
        </w:rPr>
        <w:t>Shijo-cho</w:t>
      </w:r>
      <w:proofErr w:type="spellEnd"/>
      <w:r w:rsidRPr="00D936D5">
        <w:rPr>
          <w:rFonts w:ascii="Book Antiqua" w:eastAsia="SimSun" w:hAnsi="Book Antiqua"/>
          <w:sz w:val="24"/>
          <w:szCs w:val="24"/>
          <w:lang w:eastAsia="zh-CN"/>
        </w:rPr>
        <w:t xml:space="preserve">, </w:t>
      </w:r>
      <w:proofErr w:type="spellStart"/>
      <w:r w:rsidRPr="00D936D5">
        <w:rPr>
          <w:rFonts w:ascii="Book Antiqua" w:eastAsia="SimSun" w:hAnsi="Book Antiqua"/>
          <w:sz w:val="24"/>
          <w:szCs w:val="24"/>
          <w:lang w:eastAsia="zh-CN"/>
        </w:rPr>
        <w:t>Kashihara</w:t>
      </w:r>
      <w:proofErr w:type="spellEnd"/>
      <w:r w:rsidRPr="00D936D5">
        <w:rPr>
          <w:rFonts w:ascii="Book Antiqua" w:eastAsia="SimSun" w:hAnsi="Book Antiqua"/>
          <w:sz w:val="24"/>
          <w:szCs w:val="24"/>
          <w:lang w:eastAsia="zh-CN"/>
        </w:rPr>
        <w:t xml:space="preserve"> 6348522, Japan. htky@naramed-u.ac.jp</w:t>
      </w:r>
    </w:p>
    <w:p w14:paraId="461507F7" w14:textId="130B0313"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Telephone: </w:t>
      </w:r>
      <w:r w:rsidRPr="00D936D5">
        <w:rPr>
          <w:rFonts w:ascii="Book Antiqua" w:hAnsi="Book Antiqua"/>
          <w:sz w:val="24"/>
          <w:szCs w:val="24"/>
        </w:rPr>
        <w:t>+81-744-223051</w:t>
      </w:r>
    </w:p>
    <w:p w14:paraId="2FDF5949" w14:textId="2497AB2F"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Fax:</w:t>
      </w:r>
      <w:r w:rsidRPr="00D936D5">
        <w:rPr>
          <w:rFonts w:ascii="Book Antiqua" w:hAnsi="Book Antiqua"/>
          <w:sz w:val="24"/>
          <w:szCs w:val="24"/>
        </w:rPr>
        <w:t xml:space="preserve"> +81-744-247122</w:t>
      </w:r>
    </w:p>
    <w:p w14:paraId="4CA79750" w14:textId="77777777" w:rsidR="00741934" w:rsidRPr="00D936D5" w:rsidRDefault="00741934" w:rsidP="00120959">
      <w:pPr>
        <w:spacing w:line="360" w:lineRule="auto"/>
        <w:rPr>
          <w:rFonts w:ascii="Book Antiqua" w:hAnsi="Book Antiqua"/>
          <w:sz w:val="24"/>
          <w:szCs w:val="24"/>
        </w:rPr>
      </w:pPr>
    </w:p>
    <w:p w14:paraId="343AD0FE" w14:textId="5672EC80"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Received: </w:t>
      </w:r>
      <w:r w:rsidR="00D936D5" w:rsidRPr="00D936D5">
        <w:rPr>
          <w:rFonts w:ascii="Book Antiqua" w:eastAsia="SimSun" w:hAnsi="Book Antiqua"/>
          <w:sz w:val="24"/>
          <w:szCs w:val="24"/>
          <w:lang w:eastAsia="zh-CN"/>
        </w:rPr>
        <w:t>January 30, 2019</w:t>
      </w:r>
      <w:r w:rsidR="00D936D5" w:rsidRPr="00D936D5">
        <w:rPr>
          <w:rFonts w:ascii="Book Antiqua" w:hAnsi="Book Antiqua"/>
          <w:i/>
          <w:sz w:val="24"/>
          <w:szCs w:val="24"/>
        </w:rPr>
        <w:t xml:space="preserve"> </w:t>
      </w:r>
    </w:p>
    <w:p w14:paraId="4F707DEF" w14:textId="05E6B7A9" w:rsidR="00C3062E" w:rsidRPr="00D936D5" w:rsidRDefault="00C3062E" w:rsidP="00120959">
      <w:pPr>
        <w:spacing w:line="360" w:lineRule="auto"/>
        <w:rPr>
          <w:rFonts w:ascii="Book Antiqua" w:eastAsia="SimSun" w:hAnsi="Book Antiqua"/>
          <w:b/>
          <w:sz w:val="24"/>
          <w:szCs w:val="24"/>
          <w:lang w:eastAsia="zh-CN"/>
        </w:rPr>
      </w:pPr>
      <w:r w:rsidRPr="00D936D5">
        <w:rPr>
          <w:rFonts w:ascii="Book Antiqua" w:hAnsi="Book Antiqua"/>
          <w:b/>
          <w:sz w:val="24"/>
          <w:szCs w:val="24"/>
        </w:rPr>
        <w:t>Peer-review started:</w:t>
      </w:r>
      <w:r w:rsidR="00D936D5" w:rsidRPr="00D936D5">
        <w:rPr>
          <w:rFonts w:ascii="Book Antiqua" w:eastAsia="SimSun" w:hAnsi="Book Antiqua"/>
          <w:b/>
          <w:sz w:val="24"/>
          <w:szCs w:val="24"/>
          <w:lang w:eastAsia="zh-CN"/>
        </w:rPr>
        <w:t xml:space="preserve"> </w:t>
      </w:r>
      <w:r w:rsidR="00D936D5" w:rsidRPr="00D936D5">
        <w:rPr>
          <w:rFonts w:ascii="Book Antiqua" w:eastAsia="SimSun" w:hAnsi="Book Antiqua"/>
          <w:sz w:val="24"/>
          <w:szCs w:val="24"/>
          <w:lang w:eastAsia="zh-CN"/>
        </w:rPr>
        <w:t>February 14, 2019</w:t>
      </w:r>
    </w:p>
    <w:p w14:paraId="299C159D" w14:textId="7ADCC5DF"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First decision:</w:t>
      </w:r>
      <w:r w:rsidR="00D936D5" w:rsidRPr="00D936D5">
        <w:rPr>
          <w:rFonts w:ascii="Book Antiqua" w:eastAsia="SimSun" w:hAnsi="Book Antiqua"/>
          <w:sz w:val="24"/>
          <w:szCs w:val="24"/>
          <w:lang w:eastAsia="zh-CN"/>
        </w:rPr>
        <w:t xml:space="preserve"> March 14, 2019</w:t>
      </w:r>
    </w:p>
    <w:p w14:paraId="63F5EF11" w14:textId="027B4539"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Revised:</w:t>
      </w:r>
      <w:r w:rsidR="00D936D5" w:rsidRPr="00D936D5">
        <w:rPr>
          <w:rFonts w:ascii="Book Antiqua" w:eastAsia="SimSun" w:hAnsi="Book Antiqua"/>
          <w:sz w:val="24"/>
          <w:szCs w:val="24"/>
          <w:lang w:eastAsia="zh-CN"/>
        </w:rPr>
        <w:t xml:space="preserve"> March 26, 2019</w:t>
      </w:r>
      <w:r w:rsidR="00D936D5" w:rsidRPr="00D936D5">
        <w:rPr>
          <w:rFonts w:ascii="Book Antiqua" w:hAnsi="Book Antiqua"/>
          <w:b/>
          <w:i/>
          <w:sz w:val="24"/>
          <w:szCs w:val="24"/>
        </w:rPr>
        <w:t xml:space="preserve"> </w:t>
      </w:r>
    </w:p>
    <w:p w14:paraId="6CE14081" w14:textId="4CEBFF50" w:rsidR="00C3062E" w:rsidRPr="002812A2" w:rsidRDefault="00C3062E" w:rsidP="00120959">
      <w:pPr>
        <w:spacing w:line="360" w:lineRule="auto"/>
        <w:rPr>
          <w:rFonts w:ascii="Book Antiqua" w:hAnsi="Book Antiqua"/>
          <w:b/>
          <w:sz w:val="24"/>
          <w:szCs w:val="24"/>
        </w:rPr>
      </w:pPr>
      <w:r w:rsidRPr="00D936D5">
        <w:rPr>
          <w:rFonts w:ascii="Book Antiqua" w:hAnsi="Book Antiqua"/>
          <w:b/>
          <w:sz w:val="24"/>
          <w:szCs w:val="24"/>
        </w:rPr>
        <w:t>Accepted:</w:t>
      </w:r>
      <w:r w:rsidR="00D936D5" w:rsidRPr="00D936D5">
        <w:rPr>
          <w:rFonts w:ascii="Book Antiqua" w:hAnsi="Book Antiqua"/>
          <w:b/>
          <w:i/>
          <w:sz w:val="24"/>
          <w:szCs w:val="24"/>
        </w:rPr>
        <w:t xml:space="preserve"> </w:t>
      </w:r>
      <w:r w:rsidR="002812A2" w:rsidRPr="008563D5">
        <w:rPr>
          <w:rFonts w:ascii="Book Antiqua" w:hAnsi="Book Antiqua"/>
          <w:sz w:val="24"/>
          <w:szCs w:val="24"/>
        </w:rPr>
        <w:t>April 8, 2019</w:t>
      </w:r>
    </w:p>
    <w:p w14:paraId="18749332" w14:textId="480A3255" w:rsidR="00C3062E" w:rsidRPr="00D936D5" w:rsidRDefault="00C3062E" w:rsidP="00120959">
      <w:pPr>
        <w:spacing w:line="360" w:lineRule="auto"/>
        <w:rPr>
          <w:rFonts w:ascii="Book Antiqua" w:hAnsi="Book Antiqua"/>
          <w:sz w:val="24"/>
          <w:szCs w:val="24"/>
        </w:rPr>
      </w:pPr>
      <w:r w:rsidRPr="00D936D5">
        <w:rPr>
          <w:rFonts w:ascii="Book Antiqua" w:hAnsi="Book Antiqua"/>
          <w:b/>
          <w:sz w:val="24"/>
          <w:szCs w:val="24"/>
        </w:rPr>
        <w:t>Article in press:</w:t>
      </w:r>
      <w:r w:rsidR="00D936D5" w:rsidRPr="00D936D5">
        <w:rPr>
          <w:rFonts w:ascii="Book Antiqua" w:hAnsi="Book Antiqua"/>
          <w:i/>
          <w:sz w:val="24"/>
          <w:szCs w:val="24"/>
        </w:rPr>
        <w:t xml:space="preserve"> </w:t>
      </w:r>
    </w:p>
    <w:p w14:paraId="4B3FA23B" w14:textId="77777777"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Published online: </w:t>
      </w:r>
    </w:p>
    <w:p w14:paraId="7E2759A8" w14:textId="77777777" w:rsidR="00D936D5" w:rsidRPr="00D936D5" w:rsidRDefault="00D936D5" w:rsidP="00120959">
      <w:pPr>
        <w:widowControl/>
        <w:spacing w:line="360" w:lineRule="auto"/>
        <w:rPr>
          <w:rFonts w:ascii="Book Antiqua" w:hAnsi="Book Antiqua"/>
          <w:b/>
          <w:sz w:val="24"/>
          <w:szCs w:val="24"/>
        </w:rPr>
      </w:pPr>
      <w:r w:rsidRPr="00D936D5">
        <w:rPr>
          <w:rFonts w:ascii="Book Antiqua" w:hAnsi="Book Antiqua"/>
          <w:b/>
          <w:sz w:val="24"/>
          <w:szCs w:val="24"/>
        </w:rPr>
        <w:br w:type="page"/>
      </w:r>
    </w:p>
    <w:p w14:paraId="59CD5F96" w14:textId="17003614" w:rsidR="00741934" w:rsidRPr="00D936D5" w:rsidRDefault="00741934" w:rsidP="00120959">
      <w:pPr>
        <w:spacing w:line="360" w:lineRule="auto"/>
        <w:rPr>
          <w:rFonts w:ascii="Book Antiqua" w:hAnsi="Book Antiqua"/>
          <w:b/>
          <w:sz w:val="24"/>
          <w:szCs w:val="24"/>
        </w:rPr>
      </w:pPr>
      <w:r w:rsidRPr="00D936D5">
        <w:rPr>
          <w:rFonts w:ascii="Book Antiqua" w:hAnsi="Book Antiqua"/>
          <w:b/>
          <w:sz w:val="24"/>
          <w:szCs w:val="24"/>
        </w:rPr>
        <w:lastRenderedPageBreak/>
        <w:t>Abstract</w:t>
      </w:r>
    </w:p>
    <w:p w14:paraId="36D8DF6D" w14:textId="4A0B409F" w:rsidR="00741934" w:rsidRPr="00D936D5" w:rsidRDefault="00BA0E5A" w:rsidP="00120959">
      <w:pPr>
        <w:spacing w:line="360" w:lineRule="auto"/>
        <w:rPr>
          <w:rFonts w:ascii="Book Antiqua" w:hAnsi="Book Antiqua"/>
          <w:sz w:val="24"/>
          <w:szCs w:val="24"/>
        </w:rPr>
      </w:pPr>
      <w:r w:rsidRPr="00D936D5">
        <w:rPr>
          <w:rFonts w:ascii="Book Antiqua" w:hAnsi="Book Antiqua"/>
          <w:b/>
          <w:i/>
          <w:sz w:val="24"/>
          <w:szCs w:val="24"/>
        </w:rPr>
        <w:t>BACKGROUND</w:t>
      </w:r>
      <w:r w:rsidR="00741934" w:rsidRPr="00D936D5">
        <w:rPr>
          <w:rFonts w:ascii="Book Antiqua" w:hAnsi="Book Antiqua"/>
          <w:sz w:val="24"/>
          <w:szCs w:val="24"/>
        </w:rPr>
        <w:t xml:space="preserve"> </w:t>
      </w:r>
    </w:p>
    <w:p w14:paraId="39001B96" w14:textId="3C9EB166" w:rsidR="00741934" w:rsidRPr="00D936D5" w:rsidRDefault="00741934" w:rsidP="00120959">
      <w:pPr>
        <w:spacing w:line="360" w:lineRule="auto"/>
        <w:rPr>
          <w:rFonts w:ascii="Book Antiqua" w:eastAsia="SimSun" w:hAnsi="Book Antiqua"/>
          <w:sz w:val="24"/>
          <w:szCs w:val="24"/>
          <w:lang w:eastAsia="zh-CN"/>
        </w:rPr>
      </w:pPr>
      <w:r w:rsidRPr="00D936D5">
        <w:rPr>
          <w:rFonts w:ascii="Book Antiqua" w:hAnsi="Book Antiqua"/>
          <w:sz w:val="24"/>
          <w:szCs w:val="24"/>
        </w:rPr>
        <w:t xml:space="preserve">Many advanced hepatocellular carcinoma (HCC) patients are receiving sorafenib treatment. Sorafenib </w:t>
      </w:r>
      <w:r w:rsidR="00BA0E5A" w:rsidRPr="00D936D5">
        <w:rPr>
          <w:rFonts w:ascii="Book Antiqua" w:hAnsi="Book Antiqua"/>
          <w:sz w:val="24"/>
          <w:szCs w:val="24"/>
        </w:rPr>
        <w:t>reportedly</w:t>
      </w:r>
      <w:r w:rsidRPr="00D936D5">
        <w:rPr>
          <w:rFonts w:ascii="Book Antiqua" w:hAnsi="Book Antiqua"/>
          <w:sz w:val="24"/>
          <w:szCs w:val="24"/>
        </w:rPr>
        <w:t xml:space="preserve"> improve</w:t>
      </w:r>
      <w:r w:rsidR="00BA0E5A" w:rsidRPr="00D936D5">
        <w:rPr>
          <w:rFonts w:ascii="Book Antiqua" w:hAnsi="Book Antiqua"/>
          <w:sz w:val="24"/>
          <w:szCs w:val="24"/>
        </w:rPr>
        <w:t>s</w:t>
      </w:r>
      <w:r w:rsidRPr="00D936D5">
        <w:rPr>
          <w:rFonts w:ascii="Book Antiqua" w:hAnsi="Book Antiqua"/>
          <w:sz w:val="24"/>
          <w:szCs w:val="24"/>
        </w:rPr>
        <w:t xml:space="preserve"> overall survival (OS) </w:t>
      </w:r>
      <w:r w:rsidR="001C3BA3" w:rsidRPr="00D936D5">
        <w:rPr>
          <w:rFonts w:ascii="Book Antiqua" w:hAnsi="Book Antiqua"/>
          <w:sz w:val="24"/>
          <w:szCs w:val="24"/>
        </w:rPr>
        <w:t xml:space="preserve">significantly </w:t>
      </w:r>
      <w:r w:rsidRPr="00D936D5">
        <w:rPr>
          <w:rFonts w:ascii="Book Antiqua" w:hAnsi="Book Antiqua"/>
          <w:sz w:val="24"/>
          <w:szCs w:val="24"/>
        </w:rPr>
        <w:t xml:space="preserve">in patients with HCC. Prediction of sorafenib response and prognosis in patients with HCC receiving sorafenib treatment are important due to the potentially serious side effects of sorafenib. </w:t>
      </w:r>
      <w:bookmarkStart w:id="0" w:name="_Hlk532734865"/>
      <w:r w:rsidR="005820E0" w:rsidRPr="00D936D5">
        <w:rPr>
          <w:rFonts w:ascii="Book Antiqua" w:hAnsi="Book Antiqua"/>
          <w:sz w:val="24"/>
          <w:szCs w:val="24"/>
        </w:rPr>
        <w:t xml:space="preserve">A </w:t>
      </w:r>
      <w:proofErr w:type="spellStart"/>
      <w:r w:rsidR="005820E0" w:rsidRPr="00D936D5">
        <w:rPr>
          <w:rFonts w:ascii="Book Antiqua" w:hAnsi="Book Antiqua"/>
          <w:sz w:val="24"/>
          <w:szCs w:val="24"/>
        </w:rPr>
        <w:t>disintegrin</w:t>
      </w:r>
      <w:proofErr w:type="spellEnd"/>
      <w:r w:rsidR="005820E0" w:rsidRPr="00D936D5">
        <w:rPr>
          <w:rFonts w:ascii="Book Antiqua" w:hAnsi="Book Antiqua"/>
          <w:sz w:val="24"/>
          <w:szCs w:val="24"/>
        </w:rPr>
        <w:t>-like and metalloproteinase with thrombospondin type-1 motifs 13 (ADAMTS13)</w:t>
      </w:r>
      <w:r w:rsidRPr="00D936D5">
        <w:rPr>
          <w:rFonts w:ascii="Book Antiqua" w:hAnsi="Book Antiqua"/>
          <w:sz w:val="24"/>
          <w:szCs w:val="24"/>
        </w:rPr>
        <w:t xml:space="preserve"> and von Willebrand factor (VWF) are associated with the pathophysiology of liver cirrhosis and HCC through their roles in hypercoagulability; they are also </w:t>
      </w:r>
      <w:bookmarkEnd w:id="0"/>
      <w:r w:rsidRPr="00D936D5">
        <w:rPr>
          <w:rFonts w:ascii="Book Antiqua" w:hAnsi="Book Antiqua"/>
          <w:sz w:val="24"/>
          <w:szCs w:val="24"/>
        </w:rPr>
        <w:t xml:space="preserve">associated with angiogenesis </w:t>
      </w:r>
      <w:r w:rsidRPr="00D936D5">
        <w:rPr>
          <w:rFonts w:ascii="Book Antiqua" w:hAnsi="Book Antiqua"/>
          <w:i/>
          <w:sz w:val="24"/>
          <w:szCs w:val="24"/>
        </w:rPr>
        <w:t>via</w:t>
      </w:r>
      <w:r w:rsidRPr="00D936D5">
        <w:rPr>
          <w:rFonts w:ascii="Book Antiqua" w:hAnsi="Book Antiqua"/>
          <w:sz w:val="24"/>
          <w:szCs w:val="24"/>
        </w:rPr>
        <w:t xml:space="preserve"> vascular endothelial growth factor (VEGF). The imbalance between ADAMTS13 and VWF was associated with prognosis of various cancers in patients undergoing chemotherapy.</w:t>
      </w:r>
    </w:p>
    <w:p w14:paraId="507BDFF6" w14:textId="77777777" w:rsidR="00D936D5" w:rsidRPr="00D936D5" w:rsidRDefault="00D936D5" w:rsidP="00120959">
      <w:pPr>
        <w:spacing w:line="360" w:lineRule="auto"/>
        <w:rPr>
          <w:rFonts w:ascii="Book Antiqua" w:eastAsia="SimSun" w:hAnsi="Book Antiqua"/>
          <w:sz w:val="24"/>
          <w:szCs w:val="24"/>
          <w:lang w:eastAsia="zh-CN"/>
        </w:rPr>
      </w:pPr>
    </w:p>
    <w:p w14:paraId="083F3B5E" w14:textId="70F170D6" w:rsidR="00BA0E5A" w:rsidRPr="00D936D5" w:rsidRDefault="00741934" w:rsidP="00120959">
      <w:pPr>
        <w:spacing w:line="360" w:lineRule="auto"/>
        <w:rPr>
          <w:rFonts w:ascii="Book Antiqua" w:hAnsi="Book Antiqua"/>
          <w:b/>
          <w:sz w:val="24"/>
          <w:szCs w:val="24"/>
        </w:rPr>
      </w:pPr>
      <w:r w:rsidRPr="00D936D5">
        <w:rPr>
          <w:rFonts w:ascii="Book Antiqua" w:hAnsi="Book Antiqua"/>
          <w:b/>
          <w:i/>
          <w:sz w:val="24"/>
          <w:szCs w:val="24"/>
        </w:rPr>
        <w:t>A</w:t>
      </w:r>
      <w:r w:rsidR="001C3BA3" w:rsidRPr="00D936D5">
        <w:rPr>
          <w:rFonts w:ascii="Book Antiqua" w:hAnsi="Book Antiqua"/>
          <w:b/>
          <w:i/>
          <w:sz w:val="24"/>
          <w:szCs w:val="24"/>
        </w:rPr>
        <w:t>IM</w:t>
      </w:r>
      <w:r w:rsidRPr="00D936D5">
        <w:rPr>
          <w:rFonts w:ascii="Book Antiqua" w:hAnsi="Book Antiqua"/>
          <w:b/>
          <w:sz w:val="24"/>
          <w:szCs w:val="24"/>
        </w:rPr>
        <w:t xml:space="preserve"> </w:t>
      </w:r>
    </w:p>
    <w:p w14:paraId="542F0BCE" w14:textId="7CD53BFE" w:rsidR="00741934" w:rsidRPr="00D936D5" w:rsidRDefault="00741934" w:rsidP="00120959">
      <w:pPr>
        <w:spacing w:line="360" w:lineRule="auto"/>
        <w:rPr>
          <w:rFonts w:ascii="Book Antiqua" w:eastAsia="SimSun" w:hAnsi="Book Antiqua"/>
          <w:sz w:val="24"/>
          <w:szCs w:val="24"/>
          <w:lang w:eastAsia="zh-CN"/>
        </w:rPr>
      </w:pPr>
      <w:r w:rsidRPr="00D936D5">
        <w:rPr>
          <w:rFonts w:ascii="Book Antiqua" w:hAnsi="Book Antiqua"/>
          <w:sz w:val="24"/>
          <w:szCs w:val="24"/>
        </w:rPr>
        <w:t>To investigate ADAMTS13 and VWF as potential biomarkers for sorafenib response and prognosis in patients with HCC receiving sorafenib treatment.</w:t>
      </w:r>
    </w:p>
    <w:p w14:paraId="57B1D7A6" w14:textId="77777777" w:rsidR="00D936D5" w:rsidRPr="00D936D5" w:rsidRDefault="00D936D5" w:rsidP="00120959">
      <w:pPr>
        <w:spacing w:line="360" w:lineRule="auto"/>
        <w:rPr>
          <w:rFonts w:ascii="Book Antiqua" w:eastAsia="SimSun" w:hAnsi="Book Antiqua"/>
          <w:sz w:val="24"/>
          <w:szCs w:val="24"/>
          <w:lang w:eastAsia="zh-CN"/>
        </w:rPr>
      </w:pPr>
    </w:p>
    <w:p w14:paraId="6F4455B9" w14:textId="25F5CE14" w:rsidR="00BA0E5A" w:rsidRPr="00D936D5" w:rsidRDefault="00741934" w:rsidP="00120959">
      <w:pPr>
        <w:spacing w:line="360" w:lineRule="auto"/>
        <w:rPr>
          <w:rFonts w:ascii="Book Antiqua" w:hAnsi="Book Antiqua"/>
          <w:i/>
          <w:sz w:val="24"/>
          <w:szCs w:val="24"/>
        </w:rPr>
      </w:pPr>
      <w:r w:rsidRPr="00D936D5">
        <w:rPr>
          <w:rFonts w:ascii="Book Antiqua" w:hAnsi="Book Antiqua"/>
          <w:b/>
          <w:i/>
          <w:sz w:val="24"/>
          <w:szCs w:val="24"/>
        </w:rPr>
        <w:t>M</w:t>
      </w:r>
      <w:r w:rsidR="007F7F57" w:rsidRPr="00D936D5">
        <w:rPr>
          <w:rFonts w:ascii="Book Antiqua" w:hAnsi="Book Antiqua"/>
          <w:b/>
          <w:i/>
          <w:sz w:val="24"/>
          <w:szCs w:val="24"/>
        </w:rPr>
        <w:t>ETHODS</w:t>
      </w:r>
      <w:r w:rsidRPr="00D936D5">
        <w:rPr>
          <w:rFonts w:ascii="Book Antiqua" w:hAnsi="Book Antiqua"/>
          <w:i/>
          <w:sz w:val="24"/>
          <w:szCs w:val="24"/>
        </w:rPr>
        <w:t xml:space="preserve"> </w:t>
      </w:r>
    </w:p>
    <w:p w14:paraId="2BE4AE29" w14:textId="1D300EBB" w:rsidR="00741934" w:rsidRPr="00D936D5" w:rsidRDefault="00741934" w:rsidP="00120959">
      <w:pPr>
        <w:spacing w:line="360" w:lineRule="auto"/>
        <w:rPr>
          <w:rFonts w:ascii="Book Antiqua" w:eastAsia="SimSun" w:hAnsi="Book Antiqua"/>
          <w:sz w:val="24"/>
          <w:szCs w:val="24"/>
          <w:lang w:eastAsia="zh-CN"/>
        </w:rPr>
      </w:pPr>
      <w:r w:rsidRPr="00D936D5">
        <w:rPr>
          <w:rFonts w:ascii="Book Antiqua" w:hAnsi="Book Antiqua"/>
          <w:sz w:val="24"/>
          <w:szCs w:val="24"/>
        </w:rPr>
        <w:t>Forty-one patients with HCC receiving sorafenib treatment were included in this study. The initial daily sorafenib dose was 400 mg in all patients. ADAMTS13 activity (ADAMTS13:AC), VWF antigen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w:t>
      </w:r>
      <w:r w:rsidR="00D936D5" w:rsidRPr="00D936D5">
        <w:rPr>
          <w:rFonts w:ascii="Book Antiqua" w:hAnsi="Book Antiqua"/>
          <w:sz w:val="24"/>
          <w:szCs w:val="24"/>
        </w:rPr>
        <w:t>VEGF</w:t>
      </w:r>
      <w:r w:rsidRPr="00D936D5">
        <w:rPr>
          <w:rFonts w:ascii="Book Antiqua" w:hAnsi="Book Antiqua"/>
          <w:sz w:val="24"/>
          <w:szCs w:val="24"/>
        </w:rPr>
        <w:t xml:space="preserve"> </w:t>
      </w:r>
      <w:r w:rsidR="0014668E" w:rsidRPr="00D936D5">
        <w:rPr>
          <w:rFonts w:ascii="Book Antiqua" w:hAnsi="Book Antiqua"/>
          <w:sz w:val="24"/>
          <w:szCs w:val="24"/>
        </w:rPr>
        <w:t xml:space="preserve">levels </w:t>
      </w:r>
      <w:r w:rsidRPr="00D936D5">
        <w:rPr>
          <w:rFonts w:ascii="Book Antiqua" w:hAnsi="Book Antiqua"/>
          <w:sz w:val="24"/>
          <w:szCs w:val="24"/>
        </w:rPr>
        <w:t xml:space="preserve">were determined by enzyme-linked immunosorbent assay. Univariate and multivariate analyses were used to determine predictive factors for sorafenib </w:t>
      </w:r>
      <w:r w:rsidRPr="00D936D5">
        <w:rPr>
          <w:rFonts w:ascii="Book Antiqua" w:hAnsi="Book Antiqua"/>
          <w:sz w:val="24"/>
          <w:szCs w:val="24"/>
        </w:rPr>
        <w:lastRenderedPageBreak/>
        <w:t>response and prognosis in patients with HCC receiving sorafenib treatment.</w:t>
      </w:r>
    </w:p>
    <w:p w14:paraId="5CAAF297" w14:textId="77777777" w:rsidR="00D936D5" w:rsidRPr="00D936D5" w:rsidRDefault="00D936D5" w:rsidP="00120959">
      <w:pPr>
        <w:spacing w:line="360" w:lineRule="auto"/>
        <w:rPr>
          <w:rFonts w:ascii="Book Antiqua" w:eastAsia="SimSun" w:hAnsi="Book Antiqua"/>
          <w:sz w:val="24"/>
          <w:szCs w:val="24"/>
          <w:lang w:eastAsia="zh-CN"/>
        </w:rPr>
      </w:pPr>
    </w:p>
    <w:p w14:paraId="00265A99" w14:textId="61EFAD01" w:rsidR="00BA0E5A" w:rsidRPr="00D936D5" w:rsidRDefault="00741934" w:rsidP="00120959">
      <w:pPr>
        <w:spacing w:line="360" w:lineRule="auto"/>
        <w:rPr>
          <w:rFonts w:ascii="Book Antiqua" w:hAnsi="Book Antiqua"/>
          <w:b/>
          <w:i/>
          <w:sz w:val="24"/>
          <w:szCs w:val="24"/>
        </w:rPr>
      </w:pPr>
      <w:r w:rsidRPr="00D936D5">
        <w:rPr>
          <w:rFonts w:ascii="Book Antiqua" w:hAnsi="Book Antiqua"/>
          <w:b/>
          <w:i/>
          <w:sz w:val="24"/>
          <w:szCs w:val="24"/>
        </w:rPr>
        <w:t>R</w:t>
      </w:r>
      <w:r w:rsidR="00DA5634" w:rsidRPr="00D936D5">
        <w:rPr>
          <w:rFonts w:ascii="Book Antiqua" w:hAnsi="Book Antiqua"/>
          <w:b/>
          <w:i/>
          <w:sz w:val="24"/>
          <w:szCs w:val="24"/>
        </w:rPr>
        <w:t>ESULTS</w:t>
      </w:r>
      <w:r w:rsidRPr="00D936D5">
        <w:rPr>
          <w:rFonts w:ascii="Book Antiqua" w:hAnsi="Book Antiqua"/>
          <w:b/>
          <w:i/>
          <w:sz w:val="24"/>
          <w:szCs w:val="24"/>
        </w:rPr>
        <w:t xml:space="preserve"> </w:t>
      </w:r>
      <w:bookmarkStart w:id="1" w:name="_Hlk532735445"/>
    </w:p>
    <w:p w14:paraId="7EFA29F1" w14:textId="0324531F" w:rsidR="00741934" w:rsidRPr="00D936D5" w:rsidRDefault="00741934" w:rsidP="00120959">
      <w:pPr>
        <w:spacing w:line="360" w:lineRule="auto"/>
        <w:rPr>
          <w:rFonts w:ascii="Book Antiqua" w:eastAsia="SimSun" w:hAnsi="Book Antiqua"/>
          <w:sz w:val="24"/>
          <w:szCs w:val="24"/>
          <w:lang w:eastAsia="zh-CN"/>
        </w:rPr>
      </w:pPr>
      <w:r w:rsidRPr="00D936D5">
        <w:rPr>
          <w:rFonts w:ascii="Book Antiqua" w:hAnsi="Book Antiqua"/>
          <w:sz w:val="24"/>
          <w:szCs w:val="24"/>
        </w:rPr>
        <w:t>ADAMTS13:AC was significantly higher in patients with stable disease (SD), partial response (PR), and complete response (CR) than in those with progressive disease (PD) (</w:t>
      </w:r>
      <w:r w:rsidR="00D936D5" w:rsidRPr="00D936D5">
        <w:rPr>
          <w:rFonts w:ascii="Book Antiqua" w:hAnsi="Book Antiqua"/>
          <w:i/>
          <w:sz w:val="24"/>
          <w:szCs w:val="24"/>
        </w:rPr>
        <w:t xml:space="preserve">P &lt; </w:t>
      </w:r>
      <w:r w:rsidRPr="00D936D5">
        <w:rPr>
          <w:rFonts w:ascii="Book Antiqua" w:hAnsi="Book Antiqua"/>
          <w:sz w:val="24"/>
          <w:szCs w:val="24"/>
        </w:rPr>
        <w:t xml:space="preserve">0.05). In contrast,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were significantly lower in patients with SD, PR, and CR than in those with PD (</w:t>
      </w:r>
      <w:r w:rsidR="00D936D5" w:rsidRPr="00D936D5">
        <w:rPr>
          <w:rFonts w:ascii="Book Antiqua" w:hAnsi="Book Antiqua"/>
          <w:i/>
          <w:sz w:val="24"/>
          <w:szCs w:val="24"/>
        </w:rPr>
        <w:t xml:space="preserve">P &lt; </w:t>
      </w:r>
      <w:r w:rsidRPr="00D936D5">
        <w:rPr>
          <w:rFonts w:ascii="Book Antiqua" w:hAnsi="Book Antiqua"/>
          <w:sz w:val="24"/>
          <w:szCs w:val="24"/>
        </w:rPr>
        <w:t xml:space="preserve">0.05 for both). Multivariate analysis showed that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was the only predictive factor for sorafenib response and ADAMTS13:AC was the only prognostic factor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 The patients with a low ADAMTS13:AC (&lt; 78.0) had significantly higher VEGF levels than those with a high ADAMTS13:AC (≥</w:t>
      </w:r>
      <w:r w:rsidR="008432E8" w:rsidRPr="00D936D5">
        <w:rPr>
          <w:rFonts w:ascii="Book Antiqua" w:hAnsi="Book Antiqua"/>
          <w:sz w:val="24"/>
          <w:szCs w:val="24"/>
        </w:rPr>
        <w:t xml:space="preserve"> </w:t>
      </w:r>
      <w:r w:rsidRPr="00D936D5">
        <w:rPr>
          <w:rFonts w:ascii="Book Antiqua" w:hAnsi="Book Antiqua"/>
          <w:sz w:val="24"/>
          <w:szCs w:val="24"/>
        </w:rPr>
        <w:t>78.0) (</w:t>
      </w:r>
      <w:r w:rsidR="00D936D5" w:rsidRPr="00D936D5">
        <w:rPr>
          <w:rFonts w:ascii="Book Antiqua" w:hAnsi="Book Antiqua"/>
          <w:i/>
          <w:sz w:val="24"/>
          <w:szCs w:val="24"/>
        </w:rPr>
        <w:t xml:space="preserve">P &lt; </w:t>
      </w:r>
      <w:r w:rsidRPr="00D936D5">
        <w:rPr>
          <w:rFonts w:ascii="Book Antiqua" w:hAnsi="Book Antiqua"/>
          <w:sz w:val="24"/>
          <w:szCs w:val="24"/>
        </w:rPr>
        <w:t>0.05).</w:t>
      </w:r>
    </w:p>
    <w:p w14:paraId="2395879B" w14:textId="77777777" w:rsidR="00D936D5" w:rsidRPr="00D936D5" w:rsidRDefault="00D936D5" w:rsidP="00120959">
      <w:pPr>
        <w:spacing w:line="360" w:lineRule="auto"/>
        <w:rPr>
          <w:rFonts w:ascii="Book Antiqua" w:eastAsia="SimSun" w:hAnsi="Book Antiqua"/>
          <w:sz w:val="24"/>
          <w:szCs w:val="24"/>
          <w:lang w:eastAsia="zh-CN"/>
        </w:rPr>
      </w:pPr>
    </w:p>
    <w:bookmarkEnd w:id="1"/>
    <w:p w14:paraId="446984CA" w14:textId="3B90F973" w:rsidR="00BA0E5A" w:rsidRPr="00D936D5" w:rsidRDefault="00741934" w:rsidP="00120959">
      <w:pPr>
        <w:spacing w:line="360" w:lineRule="auto"/>
        <w:rPr>
          <w:rFonts w:ascii="Book Antiqua" w:hAnsi="Book Antiqua"/>
          <w:i/>
          <w:sz w:val="24"/>
          <w:szCs w:val="24"/>
        </w:rPr>
      </w:pPr>
      <w:r w:rsidRPr="00D936D5">
        <w:rPr>
          <w:rFonts w:ascii="Book Antiqua" w:hAnsi="Book Antiqua"/>
          <w:b/>
          <w:i/>
          <w:sz w:val="24"/>
          <w:szCs w:val="24"/>
        </w:rPr>
        <w:t>C</w:t>
      </w:r>
      <w:r w:rsidR="00DA5634" w:rsidRPr="00D936D5">
        <w:rPr>
          <w:rFonts w:ascii="Book Antiqua" w:hAnsi="Book Antiqua"/>
          <w:b/>
          <w:i/>
          <w:sz w:val="24"/>
          <w:szCs w:val="24"/>
        </w:rPr>
        <w:t>ONCLUSION</w:t>
      </w:r>
      <w:r w:rsidRPr="00D936D5">
        <w:rPr>
          <w:rFonts w:ascii="Book Antiqua" w:hAnsi="Book Antiqua"/>
          <w:i/>
          <w:sz w:val="24"/>
          <w:szCs w:val="24"/>
        </w:rPr>
        <w:t xml:space="preserve"> </w:t>
      </w:r>
      <w:bookmarkStart w:id="2" w:name="_Hlk532735471"/>
    </w:p>
    <w:p w14:paraId="5E27F497" w14:textId="1F1814DF"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are potentially useful biomarkers for sorafenib response and prognosis, respectively,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w:t>
      </w:r>
    </w:p>
    <w:bookmarkEnd w:id="2"/>
    <w:p w14:paraId="3DDF3061" w14:textId="77777777" w:rsidR="00741934" w:rsidRPr="00D936D5" w:rsidRDefault="00741934" w:rsidP="00120959">
      <w:pPr>
        <w:spacing w:line="360" w:lineRule="auto"/>
        <w:rPr>
          <w:rFonts w:ascii="Book Antiqua" w:hAnsi="Book Antiqua"/>
          <w:sz w:val="24"/>
          <w:szCs w:val="24"/>
        </w:rPr>
      </w:pPr>
    </w:p>
    <w:p w14:paraId="364FC5D1" w14:textId="0E7DA268" w:rsidR="00741934" w:rsidRPr="00D936D5" w:rsidRDefault="00741934" w:rsidP="00120959">
      <w:pPr>
        <w:spacing w:line="360" w:lineRule="auto"/>
        <w:rPr>
          <w:rFonts w:ascii="Book Antiqua" w:hAnsi="Book Antiqua"/>
          <w:sz w:val="24"/>
          <w:szCs w:val="24"/>
        </w:rPr>
      </w:pPr>
      <w:r w:rsidRPr="00D936D5">
        <w:rPr>
          <w:rFonts w:ascii="Book Antiqua" w:hAnsi="Book Antiqua"/>
          <w:b/>
          <w:sz w:val="24"/>
          <w:szCs w:val="24"/>
        </w:rPr>
        <w:t>Key words</w:t>
      </w:r>
      <w:r w:rsidRPr="00D936D5">
        <w:rPr>
          <w:rFonts w:ascii="Book Antiqua" w:hAnsi="Book Antiqua"/>
          <w:sz w:val="24"/>
          <w:szCs w:val="24"/>
        </w:rPr>
        <w:t xml:space="preserve">: ADAMTS13; </w:t>
      </w:r>
      <w:r w:rsidR="00D936D5" w:rsidRPr="00D936D5">
        <w:rPr>
          <w:rFonts w:ascii="Book Antiqua" w:hAnsi="Book Antiqua"/>
          <w:sz w:val="24"/>
          <w:szCs w:val="24"/>
        </w:rPr>
        <w:t>V</w:t>
      </w:r>
      <w:r w:rsidRPr="00D936D5">
        <w:rPr>
          <w:rFonts w:ascii="Book Antiqua" w:hAnsi="Book Antiqua"/>
          <w:sz w:val="24"/>
          <w:szCs w:val="24"/>
        </w:rPr>
        <w:t xml:space="preserve">on Willebrand factor; </w:t>
      </w:r>
      <w:r w:rsidR="0098625C" w:rsidRPr="00D936D5">
        <w:rPr>
          <w:rFonts w:ascii="Book Antiqua" w:hAnsi="Book Antiqua"/>
          <w:sz w:val="24"/>
          <w:szCs w:val="24"/>
        </w:rPr>
        <w:t>B</w:t>
      </w:r>
      <w:r w:rsidRPr="00D936D5">
        <w:rPr>
          <w:rFonts w:ascii="Book Antiqua" w:hAnsi="Book Antiqua"/>
          <w:sz w:val="24"/>
          <w:szCs w:val="24"/>
        </w:rPr>
        <w:t xml:space="preserve">iomarkers; </w:t>
      </w:r>
      <w:r w:rsidR="0098625C" w:rsidRPr="00D936D5">
        <w:rPr>
          <w:rFonts w:ascii="Book Antiqua" w:hAnsi="Book Antiqua"/>
          <w:sz w:val="24"/>
          <w:szCs w:val="24"/>
        </w:rPr>
        <w:t>H</w:t>
      </w:r>
      <w:r w:rsidRPr="00D936D5">
        <w:rPr>
          <w:rFonts w:ascii="Book Antiqua" w:hAnsi="Book Antiqua"/>
          <w:sz w:val="24"/>
          <w:szCs w:val="24"/>
        </w:rPr>
        <w:t xml:space="preserve">epatocellular carcinoma; </w:t>
      </w:r>
      <w:r w:rsidR="0098625C" w:rsidRPr="00D936D5">
        <w:rPr>
          <w:rFonts w:ascii="Book Antiqua" w:hAnsi="Book Antiqua"/>
          <w:sz w:val="24"/>
          <w:szCs w:val="24"/>
        </w:rPr>
        <w:t>S</w:t>
      </w:r>
      <w:r w:rsidRPr="00D936D5">
        <w:rPr>
          <w:rFonts w:ascii="Book Antiqua" w:hAnsi="Book Antiqua"/>
          <w:sz w:val="24"/>
          <w:szCs w:val="24"/>
        </w:rPr>
        <w:t>orafenib</w:t>
      </w:r>
    </w:p>
    <w:p w14:paraId="2D64AED4" w14:textId="77777777" w:rsidR="00741934" w:rsidRPr="00D936D5" w:rsidRDefault="00741934" w:rsidP="00120959">
      <w:pPr>
        <w:spacing w:line="360" w:lineRule="auto"/>
        <w:rPr>
          <w:rFonts w:ascii="Book Antiqua" w:eastAsia="SimSun" w:hAnsi="Book Antiqua"/>
          <w:sz w:val="24"/>
          <w:szCs w:val="24"/>
          <w:lang w:eastAsia="zh-CN"/>
        </w:rPr>
      </w:pPr>
    </w:p>
    <w:p w14:paraId="38E16EA3" w14:textId="77777777" w:rsidR="00D936D5" w:rsidRPr="00D936D5" w:rsidRDefault="00D936D5" w:rsidP="00120959">
      <w:pPr>
        <w:spacing w:line="360" w:lineRule="auto"/>
        <w:rPr>
          <w:rFonts w:ascii="Book Antiqua" w:hAnsi="Book Antiqua" w:cs="Arial"/>
          <w:sz w:val="24"/>
          <w:szCs w:val="24"/>
        </w:rPr>
      </w:pPr>
      <w:r w:rsidRPr="00D936D5">
        <w:rPr>
          <w:rFonts w:ascii="Book Antiqua" w:hAnsi="Book Antiqua"/>
          <w:b/>
          <w:sz w:val="24"/>
          <w:szCs w:val="24"/>
        </w:rPr>
        <w:t xml:space="preserve">© </w:t>
      </w:r>
      <w:r w:rsidRPr="00D936D5">
        <w:rPr>
          <w:rFonts w:ascii="Book Antiqua" w:hAnsi="Book Antiqua" w:cs="Arial"/>
          <w:b/>
          <w:sz w:val="24"/>
          <w:szCs w:val="24"/>
        </w:rPr>
        <w:t>The Author(s) 2019.</w:t>
      </w:r>
      <w:r w:rsidRPr="00D936D5">
        <w:rPr>
          <w:rFonts w:ascii="Book Antiqua" w:hAnsi="Book Antiqua" w:cs="Arial"/>
          <w:sz w:val="24"/>
          <w:szCs w:val="24"/>
        </w:rPr>
        <w:t xml:space="preserve"> Published by </w:t>
      </w:r>
      <w:proofErr w:type="spellStart"/>
      <w:r w:rsidRPr="00D936D5">
        <w:rPr>
          <w:rFonts w:ascii="Book Antiqua" w:hAnsi="Book Antiqua" w:cs="Arial"/>
          <w:sz w:val="24"/>
          <w:szCs w:val="24"/>
        </w:rPr>
        <w:t>Baishideng</w:t>
      </w:r>
      <w:proofErr w:type="spellEnd"/>
      <w:r w:rsidRPr="00D936D5">
        <w:rPr>
          <w:rFonts w:ascii="Book Antiqua" w:hAnsi="Book Antiqua" w:cs="Arial"/>
          <w:sz w:val="24"/>
          <w:szCs w:val="24"/>
        </w:rPr>
        <w:t xml:space="preserve"> Publishing Group Inc. All rights reserved.</w:t>
      </w:r>
    </w:p>
    <w:p w14:paraId="04CC2835" w14:textId="77777777" w:rsidR="00D936D5" w:rsidRPr="00D936D5" w:rsidRDefault="00D936D5" w:rsidP="00120959">
      <w:pPr>
        <w:spacing w:line="360" w:lineRule="auto"/>
        <w:rPr>
          <w:rFonts w:ascii="Book Antiqua" w:eastAsia="SimSun" w:hAnsi="Book Antiqua"/>
          <w:sz w:val="24"/>
          <w:szCs w:val="24"/>
          <w:lang w:eastAsia="zh-CN"/>
        </w:rPr>
      </w:pPr>
    </w:p>
    <w:p w14:paraId="0A93D4EF" w14:textId="60D2E6B5" w:rsidR="00741934" w:rsidRPr="00D936D5" w:rsidRDefault="00741934" w:rsidP="00120959">
      <w:pPr>
        <w:spacing w:line="360" w:lineRule="auto"/>
        <w:rPr>
          <w:rFonts w:ascii="Book Antiqua" w:hAnsi="Book Antiqua"/>
          <w:sz w:val="24"/>
          <w:szCs w:val="24"/>
        </w:rPr>
      </w:pPr>
      <w:r w:rsidRPr="00D936D5">
        <w:rPr>
          <w:rFonts w:ascii="Book Antiqua" w:hAnsi="Book Antiqua"/>
          <w:b/>
          <w:sz w:val="24"/>
          <w:szCs w:val="24"/>
        </w:rPr>
        <w:t>Core tip:</w:t>
      </w:r>
      <w:r w:rsidRPr="00D936D5">
        <w:rPr>
          <w:rFonts w:ascii="Book Antiqua" w:hAnsi="Book Antiqua"/>
          <w:sz w:val="24"/>
          <w:szCs w:val="24"/>
        </w:rPr>
        <w:t xml:space="preserve"> There is an urgent clinical need to prediction of sorafenib response and prognosis in patients with hepatocellular carcinoma (HCC) receiving sorafenib treatment due to the potentially serious side effects of sorafenib in these patients. Multivariate analysis showed that the </w:t>
      </w:r>
      <w:r w:rsidR="005820E0" w:rsidRPr="00D936D5">
        <w:rPr>
          <w:rFonts w:ascii="Book Antiqua" w:hAnsi="Book Antiqua"/>
          <w:sz w:val="24"/>
          <w:szCs w:val="24"/>
        </w:rPr>
        <w:t>von Willebrand factor (VWF)</w:t>
      </w:r>
      <w:r w:rsidRPr="00D936D5">
        <w:rPr>
          <w:rFonts w:ascii="Book Antiqua" w:hAnsi="Book Antiqua"/>
          <w:sz w:val="24"/>
          <w:szCs w:val="24"/>
        </w:rPr>
        <w:t xml:space="preserve"> antigen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w:t>
      </w:r>
      <w:r w:rsidR="005820E0" w:rsidRPr="00D936D5">
        <w:rPr>
          <w:rFonts w:ascii="Book Antiqua" w:hAnsi="Book Antiqua"/>
          <w:sz w:val="24"/>
          <w:szCs w:val="24"/>
        </w:rPr>
        <w:t xml:space="preserve">a </w:t>
      </w:r>
      <w:proofErr w:type="spellStart"/>
      <w:r w:rsidR="005820E0" w:rsidRPr="00D936D5">
        <w:rPr>
          <w:rFonts w:ascii="Book Antiqua" w:hAnsi="Book Antiqua"/>
          <w:sz w:val="24"/>
          <w:szCs w:val="24"/>
        </w:rPr>
        <w:t>disintegrin</w:t>
      </w:r>
      <w:proofErr w:type="spellEnd"/>
      <w:r w:rsidR="005820E0" w:rsidRPr="00D936D5">
        <w:rPr>
          <w:rFonts w:ascii="Book Antiqua" w:hAnsi="Book Antiqua"/>
          <w:sz w:val="24"/>
          <w:szCs w:val="24"/>
        </w:rPr>
        <w:t>-like and metalloproteinase with thrombospondin type-1 motifs 13 (ADAMTS13)</w:t>
      </w:r>
      <w:r w:rsidRPr="00D936D5">
        <w:rPr>
          <w:rFonts w:ascii="Book Antiqua" w:hAnsi="Book Antiqua"/>
          <w:sz w:val="24"/>
          <w:szCs w:val="24"/>
        </w:rPr>
        <w:t xml:space="preserve"> activity (ADAMTS13:AC) ratio was the only predictive factor for sorafenib response and ADAMTS13:AC was the only prognostic factor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 xml:space="preserve">treatment.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are potentially useful biomarkers for sorafenib response and prognosis, respectively, in patients with HCC receiving sorafenib treatment.</w:t>
      </w:r>
    </w:p>
    <w:p w14:paraId="5B761803" w14:textId="77777777" w:rsidR="00D936D5" w:rsidRPr="00D936D5" w:rsidRDefault="00D936D5" w:rsidP="00120959">
      <w:pPr>
        <w:spacing w:line="360" w:lineRule="auto"/>
        <w:rPr>
          <w:rFonts w:ascii="Book Antiqua" w:eastAsia="SimSun" w:hAnsi="Book Antiqua"/>
          <w:sz w:val="24"/>
          <w:szCs w:val="24"/>
          <w:lang w:eastAsia="zh-CN"/>
        </w:rPr>
      </w:pPr>
    </w:p>
    <w:p w14:paraId="344C0905" w14:textId="26182DB4" w:rsidR="00D936D5" w:rsidRPr="00D936D5" w:rsidRDefault="00D936D5" w:rsidP="00120959">
      <w:pPr>
        <w:spacing w:line="360" w:lineRule="auto"/>
        <w:rPr>
          <w:rFonts w:ascii="Book Antiqua" w:eastAsia="SimSun" w:hAnsi="Book Antiqua"/>
          <w:sz w:val="24"/>
          <w:szCs w:val="24"/>
          <w:lang w:eastAsia="zh-CN"/>
        </w:rPr>
      </w:pPr>
      <w:r w:rsidRPr="00D936D5">
        <w:rPr>
          <w:rFonts w:ascii="Book Antiqua" w:hAnsi="Book Antiqua"/>
          <w:sz w:val="24"/>
          <w:szCs w:val="24"/>
        </w:rPr>
        <w:t>Takaya</w:t>
      </w:r>
      <w:r w:rsidRPr="00D936D5">
        <w:rPr>
          <w:rFonts w:ascii="Book Antiqua" w:eastAsia="SimSun" w:hAnsi="Book Antiqua"/>
          <w:sz w:val="24"/>
          <w:szCs w:val="24"/>
          <w:lang w:eastAsia="zh-CN"/>
        </w:rPr>
        <w:t xml:space="preserve"> H</w:t>
      </w:r>
      <w:r w:rsidRPr="00D936D5">
        <w:rPr>
          <w:rFonts w:ascii="Book Antiqua" w:hAnsi="Book Antiqua"/>
          <w:sz w:val="24"/>
          <w:szCs w:val="24"/>
        </w:rPr>
        <w:t xml:space="preserve">, </w:t>
      </w:r>
      <w:proofErr w:type="spellStart"/>
      <w:r w:rsidRPr="00D936D5">
        <w:rPr>
          <w:rFonts w:ascii="Book Antiqua" w:hAnsi="Book Antiqua"/>
          <w:sz w:val="24"/>
          <w:szCs w:val="24"/>
        </w:rPr>
        <w:t>Namisaki</w:t>
      </w:r>
      <w:proofErr w:type="spellEnd"/>
      <w:r w:rsidRPr="00D936D5">
        <w:rPr>
          <w:rFonts w:ascii="Book Antiqua" w:eastAsia="SimSun" w:hAnsi="Book Antiqua"/>
          <w:sz w:val="24"/>
          <w:szCs w:val="24"/>
          <w:lang w:eastAsia="zh-CN"/>
        </w:rPr>
        <w:t xml:space="preserve"> T</w:t>
      </w:r>
      <w:r w:rsidRPr="00D936D5">
        <w:rPr>
          <w:rFonts w:ascii="Book Antiqua" w:hAnsi="Book Antiqua"/>
          <w:sz w:val="24"/>
          <w:szCs w:val="24"/>
        </w:rPr>
        <w:t xml:space="preserve">, </w:t>
      </w:r>
      <w:proofErr w:type="spellStart"/>
      <w:r w:rsidRPr="00D936D5">
        <w:rPr>
          <w:rFonts w:ascii="Book Antiqua" w:hAnsi="Book Antiqua"/>
          <w:sz w:val="24"/>
          <w:szCs w:val="24"/>
        </w:rPr>
        <w:t>Shimozato</w:t>
      </w:r>
      <w:proofErr w:type="spellEnd"/>
      <w:r w:rsidRPr="00D936D5">
        <w:rPr>
          <w:rFonts w:ascii="Book Antiqua" w:eastAsia="SimSun" w:hAnsi="Book Antiqua"/>
          <w:sz w:val="24"/>
          <w:szCs w:val="24"/>
          <w:lang w:eastAsia="zh-CN"/>
        </w:rPr>
        <w:t xml:space="preserve"> N</w:t>
      </w:r>
      <w:r w:rsidRPr="00D936D5">
        <w:rPr>
          <w:rFonts w:ascii="Book Antiqua" w:hAnsi="Book Antiqua"/>
          <w:sz w:val="24"/>
          <w:szCs w:val="24"/>
        </w:rPr>
        <w:t xml:space="preserve">, </w:t>
      </w:r>
      <w:proofErr w:type="spellStart"/>
      <w:r w:rsidRPr="00D936D5">
        <w:rPr>
          <w:rFonts w:ascii="Book Antiqua" w:hAnsi="Book Antiqua"/>
          <w:sz w:val="24"/>
          <w:szCs w:val="24"/>
        </w:rPr>
        <w:t>Kaji</w:t>
      </w:r>
      <w:proofErr w:type="spellEnd"/>
      <w:r w:rsidRPr="00D936D5">
        <w:rPr>
          <w:rFonts w:ascii="Book Antiqua" w:eastAsia="SimSun" w:hAnsi="Book Antiqua"/>
          <w:sz w:val="24"/>
          <w:szCs w:val="24"/>
          <w:lang w:eastAsia="zh-CN"/>
        </w:rPr>
        <w:t xml:space="preserve"> K</w:t>
      </w:r>
      <w:r w:rsidRPr="00D936D5">
        <w:rPr>
          <w:rFonts w:ascii="Book Antiqua" w:hAnsi="Book Antiqua"/>
          <w:sz w:val="24"/>
          <w:szCs w:val="24"/>
        </w:rPr>
        <w:t xml:space="preserve">, </w:t>
      </w:r>
      <w:proofErr w:type="spellStart"/>
      <w:r w:rsidRPr="00D936D5">
        <w:rPr>
          <w:rFonts w:ascii="Book Antiqua" w:hAnsi="Book Antiqua"/>
          <w:sz w:val="24"/>
          <w:szCs w:val="24"/>
        </w:rPr>
        <w:t>Kitade</w:t>
      </w:r>
      <w:proofErr w:type="spellEnd"/>
      <w:r w:rsidRPr="00D936D5">
        <w:rPr>
          <w:rFonts w:ascii="Book Antiqua" w:eastAsia="SimSun" w:hAnsi="Book Antiqua"/>
          <w:sz w:val="24"/>
          <w:szCs w:val="24"/>
          <w:lang w:eastAsia="zh-CN"/>
        </w:rPr>
        <w:t xml:space="preserve"> M</w:t>
      </w:r>
      <w:r w:rsidRPr="00D936D5">
        <w:rPr>
          <w:rFonts w:ascii="Book Antiqua" w:hAnsi="Book Antiqua"/>
          <w:sz w:val="24"/>
          <w:szCs w:val="24"/>
        </w:rPr>
        <w:t>, Moriya</w:t>
      </w:r>
      <w:r w:rsidRPr="00D936D5">
        <w:rPr>
          <w:rFonts w:ascii="Book Antiqua" w:eastAsia="SimSun" w:hAnsi="Book Antiqua"/>
          <w:sz w:val="24"/>
          <w:szCs w:val="24"/>
          <w:lang w:eastAsia="zh-CN"/>
        </w:rPr>
        <w:t xml:space="preserve"> K</w:t>
      </w:r>
      <w:r w:rsidRPr="00D936D5">
        <w:rPr>
          <w:rFonts w:ascii="Book Antiqua" w:hAnsi="Book Antiqua"/>
          <w:sz w:val="24"/>
          <w:szCs w:val="24"/>
        </w:rPr>
        <w:t>, Sato</w:t>
      </w:r>
      <w:r w:rsidRPr="00D936D5">
        <w:rPr>
          <w:rFonts w:ascii="Book Antiqua" w:eastAsia="SimSun" w:hAnsi="Book Antiqua"/>
          <w:sz w:val="24"/>
          <w:szCs w:val="24"/>
          <w:lang w:eastAsia="zh-CN"/>
        </w:rPr>
        <w:t xml:space="preserve"> S</w:t>
      </w:r>
      <w:r w:rsidRPr="00D936D5">
        <w:rPr>
          <w:rFonts w:ascii="Book Antiqua" w:hAnsi="Book Antiqua"/>
          <w:sz w:val="24"/>
          <w:szCs w:val="24"/>
        </w:rPr>
        <w:t xml:space="preserve">, </w:t>
      </w:r>
      <w:proofErr w:type="spellStart"/>
      <w:r w:rsidRPr="00D936D5">
        <w:rPr>
          <w:rFonts w:ascii="Book Antiqua" w:hAnsi="Book Antiqua"/>
          <w:sz w:val="24"/>
          <w:szCs w:val="24"/>
        </w:rPr>
        <w:t>Kawaratani</w:t>
      </w:r>
      <w:proofErr w:type="spellEnd"/>
      <w:r w:rsidRPr="00D936D5">
        <w:rPr>
          <w:rFonts w:ascii="Book Antiqua" w:eastAsia="SimSun" w:hAnsi="Book Antiqua"/>
          <w:sz w:val="24"/>
          <w:szCs w:val="24"/>
          <w:lang w:eastAsia="zh-CN"/>
        </w:rPr>
        <w:t xml:space="preserve"> H</w:t>
      </w:r>
      <w:r w:rsidRPr="00D936D5">
        <w:rPr>
          <w:rFonts w:ascii="Book Antiqua" w:hAnsi="Book Antiqua"/>
          <w:sz w:val="24"/>
          <w:szCs w:val="24"/>
        </w:rPr>
        <w:t xml:space="preserve">, </w:t>
      </w:r>
      <w:proofErr w:type="spellStart"/>
      <w:r w:rsidRPr="00D936D5">
        <w:rPr>
          <w:rFonts w:ascii="Book Antiqua" w:hAnsi="Book Antiqua"/>
          <w:sz w:val="24"/>
          <w:szCs w:val="24"/>
        </w:rPr>
        <w:t>Akahane</w:t>
      </w:r>
      <w:proofErr w:type="spellEnd"/>
      <w:r w:rsidRPr="00D936D5">
        <w:rPr>
          <w:rFonts w:ascii="Book Antiqua" w:eastAsia="SimSun" w:hAnsi="Book Antiqua"/>
          <w:sz w:val="24"/>
          <w:szCs w:val="24"/>
          <w:lang w:eastAsia="zh-CN"/>
        </w:rPr>
        <w:t xml:space="preserve"> T</w:t>
      </w:r>
      <w:r w:rsidRPr="00D936D5">
        <w:rPr>
          <w:rFonts w:ascii="Book Antiqua" w:hAnsi="Book Antiqua"/>
          <w:sz w:val="24"/>
          <w:szCs w:val="24"/>
        </w:rPr>
        <w:t>, Matsumoto</w:t>
      </w:r>
      <w:r w:rsidRPr="00D936D5">
        <w:rPr>
          <w:rFonts w:ascii="Book Antiqua" w:eastAsia="SimSun" w:hAnsi="Book Antiqua"/>
          <w:sz w:val="24"/>
          <w:szCs w:val="24"/>
          <w:lang w:eastAsia="zh-CN"/>
        </w:rPr>
        <w:t xml:space="preserve"> M</w:t>
      </w:r>
      <w:r w:rsidRPr="00D936D5">
        <w:rPr>
          <w:rFonts w:ascii="Book Antiqua" w:hAnsi="Book Antiqua"/>
          <w:sz w:val="24"/>
          <w:szCs w:val="24"/>
        </w:rPr>
        <w:t xml:space="preserve">, </w:t>
      </w:r>
      <w:proofErr w:type="spellStart"/>
      <w:r w:rsidRPr="00D936D5">
        <w:rPr>
          <w:rFonts w:ascii="Book Antiqua" w:hAnsi="Book Antiqua"/>
          <w:sz w:val="24"/>
          <w:szCs w:val="24"/>
        </w:rPr>
        <w:t>Yoshiji</w:t>
      </w:r>
      <w:proofErr w:type="spellEnd"/>
      <w:r w:rsidRPr="00D936D5">
        <w:rPr>
          <w:rFonts w:ascii="Book Antiqua" w:eastAsia="SimSun" w:hAnsi="Book Antiqua"/>
          <w:sz w:val="24"/>
          <w:szCs w:val="24"/>
          <w:lang w:eastAsia="zh-CN"/>
        </w:rPr>
        <w:t xml:space="preserve"> H.</w:t>
      </w:r>
      <w:r w:rsidRPr="00D936D5">
        <w:rPr>
          <w:rFonts w:ascii="Book Antiqua" w:hAnsi="Book Antiqua"/>
          <w:sz w:val="24"/>
          <w:szCs w:val="24"/>
        </w:rPr>
        <w:t xml:space="preserve"> ADAMTS13 and von Willebrand factor are useful biomarkers for sorafenib treatment efficiency in patients with hepatocellular carcinoma</w:t>
      </w:r>
      <w:r w:rsidRPr="00D936D5">
        <w:rPr>
          <w:rFonts w:ascii="Book Antiqua" w:eastAsia="SimSun" w:hAnsi="Book Antiqua"/>
          <w:sz w:val="24"/>
          <w:szCs w:val="24"/>
          <w:lang w:eastAsia="zh-CN"/>
        </w:rPr>
        <w:t xml:space="preserve">. </w:t>
      </w:r>
      <w:r w:rsidRPr="00D936D5">
        <w:rPr>
          <w:rFonts w:ascii="Book Antiqua" w:hAnsi="Book Antiqua"/>
          <w:i/>
          <w:iCs/>
          <w:sz w:val="24"/>
          <w:szCs w:val="24"/>
        </w:rPr>
        <w:t xml:space="preserve">World J </w:t>
      </w:r>
      <w:proofErr w:type="spellStart"/>
      <w:r w:rsidRPr="00D936D5">
        <w:rPr>
          <w:rFonts w:ascii="Book Antiqua" w:hAnsi="Book Antiqua"/>
          <w:i/>
          <w:iCs/>
          <w:sz w:val="24"/>
          <w:szCs w:val="24"/>
        </w:rPr>
        <w:t>Gastrointest</w:t>
      </w:r>
      <w:proofErr w:type="spellEnd"/>
      <w:r w:rsidRPr="00D936D5">
        <w:rPr>
          <w:rFonts w:ascii="Book Antiqua" w:hAnsi="Book Antiqua"/>
          <w:i/>
          <w:iCs/>
          <w:sz w:val="24"/>
          <w:szCs w:val="24"/>
        </w:rPr>
        <w:t xml:space="preserve"> Oncol</w:t>
      </w:r>
      <w:r w:rsidRPr="00D936D5">
        <w:rPr>
          <w:rFonts w:ascii="Book Antiqua" w:eastAsia="SimSun" w:hAnsi="Book Antiqua"/>
          <w:i/>
          <w:iCs/>
          <w:sz w:val="24"/>
          <w:szCs w:val="24"/>
          <w:lang w:eastAsia="zh-CN"/>
        </w:rPr>
        <w:t xml:space="preserve"> </w:t>
      </w:r>
      <w:r w:rsidRPr="00D936D5">
        <w:rPr>
          <w:rFonts w:ascii="Book Antiqua" w:eastAsia="SimSun" w:hAnsi="Book Antiqua"/>
          <w:iCs/>
          <w:sz w:val="24"/>
          <w:szCs w:val="24"/>
          <w:lang w:eastAsia="zh-CN"/>
        </w:rPr>
        <w:t>2019; In press</w:t>
      </w:r>
    </w:p>
    <w:p w14:paraId="6D248C32" w14:textId="77777777" w:rsidR="00D936D5" w:rsidRPr="00D936D5" w:rsidRDefault="00D936D5" w:rsidP="00120959">
      <w:pPr>
        <w:widowControl/>
        <w:spacing w:line="360" w:lineRule="auto"/>
        <w:rPr>
          <w:rFonts w:ascii="Book Antiqua" w:eastAsia="SimSun" w:hAnsi="Book Antiqua"/>
          <w:sz w:val="24"/>
          <w:szCs w:val="24"/>
          <w:lang w:eastAsia="zh-CN"/>
        </w:rPr>
      </w:pPr>
      <w:r w:rsidRPr="00D936D5">
        <w:rPr>
          <w:rFonts w:ascii="Book Antiqua" w:eastAsia="SimSun" w:hAnsi="Book Antiqua"/>
          <w:sz w:val="24"/>
          <w:szCs w:val="24"/>
          <w:lang w:eastAsia="zh-CN"/>
        </w:rPr>
        <w:br w:type="page"/>
      </w:r>
    </w:p>
    <w:p w14:paraId="4CB7C5B7" w14:textId="66FF59CA" w:rsidR="00741934" w:rsidRPr="00D936D5" w:rsidRDefault="00D936D5" w:rsidP="00120959">
      <w:pPr>
        <w:spacing w:line="360" w:lineRule="auto"/>
        <w:rPr>
          <w:rFonts w:ascii="Book Antiqua" w:hAnsi="Book Antiqua"/>
          <w:b/>
          <w:sz w:val="24"/>
          <w:szCs w:val="24"/>
        </w:rPr>
      </w:pPr>
      <w:r w:rsidRPr="00D936D5">
        <w:rPr>
          <w:rFonts w:ascii="Book Antiqua" w:hAnsi="Book Antiqua"/>
          <w:b/>
          <w:sz w:val="24"/>
          <w:szCs w:val="24"/>
        </w:rPr>
        <w:lastRenderedPageBreak/>
        <w:t>INTRODUCTION</w:t>
      </w:r>
    </w:p>
    <w:p w14:paraId="4128CC15" w14:textId="046BF5C7"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Hepatocellular carcinoma (HCC) is the sixth most common cancer and the second most common cause of cancer-related deaths </w:t>
      </w:r>
      <w:proofErr w:type="gramStart"/>
      <w:r w:rsidRPr="00D936D5">
        <w:rPr>
          <w:rFonts w:ascii="Book Antiqua" w:hAnsi="Book Antiqua"/>
          <w:sz w:val="24"/>
          <w:szCs w:val="24"/>
        </w:rPr>
        <w:t>worldwide</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1,2]</w:t>
      </w:r>
      <w:r w:rsidRPr="00D936D5">
        <w:rPr>
          <w:rFonts w:ascii="Book Antiqua" w:hAnsi="Book Antiqua"/>
          <w:sz w:val="24"/>
          <w:szCs w:val="24"/>
        </w:rPr>
        <w:t>. In Japan, medical treatment policies for HCC are based on the consensus-based clinical practice guidelines for HCC management set by the Japan Society of Hepatology (JSH)</w:t>
      </w:r>
      <w:r w:rsidRPr="00D936D5">
        <w:rPr>
          <w:rFonts w:ascii="Book Antiqua" w:hAnsi="Book Antiqua"/>
          <w:sz w:val="24"/>
          <w:szCs w:val="24"/>
          <w:vertAlign w:val="superscript"/>
        </w:rPr>
        <w:t>[3]</w:t>
      </w:r>
      <w:r w:rsidRPr="00D936D5">
        <w:rPr>
          <w:rFonts w:ascii="Book Antiqua" w:hAnsi="Book Antiqua"/>
          <w:sz w:val="24"/>
          <w:szCs w:val="24"/>
        </w:rPr>
        <w:t>, which recommend that patients with HCC who cannot undergo liver resection, radiofrequency ablation, or transcatheter arterial chemoembolization (TACE) should be considered to receive molecularly targeted drugs including sorafenib</w:t>
      </w:r>
      <w:r w:rsidRPr="00D936D5">
        <w:rPr>
          <w:rFonts w:ascii="Book Antiqua" w:hAnsi="Book Antiqua"/>
          <w:sz w:val="24"/>
          <w:szCs w:val="24"/>
          <w:vertAlign w:val="superscript"/>
        </w:rPr>
        <w:t>[3]</w:t>
      </w:r>
      <w:r w:rsidRPr="00D936D5">
        <w:rPr>
          <w:rFonts w:ascii="Book Antiqua" w:hAnsi="Book Antiqua"/>
          <w:sz w:val="24"/>
          <w:szCs w:val="24"/>
        </w:rPr>
        <w:t xml:space="preserve">. Sorafenib is a small inhibitor of several tyrosine protein kinases, including vascular endothelial growth factor (VEGF) receptor, platelet derived growth factor (PDGF) receptor, and Raf family </w:t>
      </w:r>
      <w:proofErr w:type="gramStart"/>
      <w:r w:rsidRPr="00D936D5">
        <w:rPr>
          <w:rFonts w:ascii="Book Antiqua" w:hAnsi="Book Antiqua"/>
          <w:sz w:val="24"/>
          <w:szCs w:val="24"/>
        </w:rPr>
        <w:t>kinases</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4]</w:t>
      </w:r>
      <w:r w:rsidRPr="00D936D5">
        <w:rPr>
          <w:rFonts w:ascii="Book Antiqua" w:hAnsi="Book Antiqua"/>
          <w:sz w:val="24"/>
          <w:szCs w:val="24"/>
        </w:rPr>
        <w:t xml:space="preserve">. Sorafenib was shown to significantly improve overall survival (OS) in patients with </w:t>
      </w:r>
      <w:proofErr w:type="gramStart"/>
      <w:r w:rsidRPr="00D936D5">
        <w:rPr>
          <w:rFonts w:ascii="Book Antiqua" w:hAnsi="Book Antiqua"/>
          <w:sz w:val="24"/>
          <w:szCs w:val="24"/>
        </w:rPr>
        <w:t>HCC</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4]</w:t>
      </w:r>
      <w:r w:rsidRPr="00D936D5">
        <w:rPr>
          <w:rFonts w:ascii="Book Antiqua" w:hAnsi="Book Antiqua"/>
          <w:sz w:val="24"/>
          <w:szCs w:val="24"/>
        </w:rPr>
        <w:t>. It is important to predict response to sorafenib and prognosis of HCC patients treated with sorafenib to avoid ineffective treatments because sorafenib has various side effects including hand-foot syndrome.</w:t>
      </w:r>
    </w:p>
    <w:p w14:paraId="552A09DC" w14:textId="7777777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A </w:t>
      </w:r>
      <w:proofErr w:type="spellStart"/>
      <w:r w:rsidRPr="00D936D5">
        <w:rPr>
          <w:rFonts w:ascii="Book Antiqua" w:hAnsi="Book Antiqua"/>
          <w:sz w:val="24"/>
          <w:szCs w:val="24"/>
        </w:rPr>
        <w:t>disintegrin</w:t>
      </w:r>
      <w:proofErr w:type="spellEnd"/>
      <w:r w:rsidRPr="00D936D5">
        <w:rPr>
          <w:rFonts w:ascii="Book Antiqua" w:hAnsi="Book Antiqua"/>
          <w:sz w:val="24"/>
          <w:szCs w:val="24"/>
        </w:rPr>
        <w:t xml:space="preserve">-like and metalloproteinase with thrombospondin type-1 motifs 13 (ADAMTS13) is a metalloproteinase that specifically cleaves multimeric von Willebrand factor (VWF) between Tyr1605 and Met1606 residues in the A2 </w:t>
      </w:r>
      <w:proofErr w:type="gramStart"/>
      <w:r w:rsidRPr="00D936D5">
        <w:rPr>
          <w:rFonts w:ascii="Book Antiqua" w:hAnsi="Book Antiqua"/>
          <w:sz w:val="24"/>
          <w:szCs w:val="24"/>
        </w:rPr>
        <w:t>domain</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5-8]</w:t>
      </w:r>
      <w:r w:rsidRPr="00D936D5">
        <w:rPr>
          <w:rFonts w:ascii="Book Antiqua" w:hAnsi="Book Antiqua"/>
          <w:sz w:val="24"/>
          <w:szCs w:val="24"/>
        </w:rPr>
        <w:t xml:space="preserve">. ADAMTS13 is produced exclusively in hepatic stellate cells adjacent to endothelial </w:t>
      </w:r>
      <w:proofErr w:type="gramStart"/>
      <w:r w:rsidRPr="00D936D5">
        <w:rPr>
          <w:rFonts w:ascii="Book Antiqua" w:hAnsi="Book Antiqua"/>
          <w:sz w:val="24"/>
          <w:szCs w:val="24"/>
        </w:rPr>
        <w:t>cells</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9]</w:t>
      </w:r>
      <w:r w:rsidRPr="00D936D5">
        <w:rPr>
          <w:rFonts w:ascii="Book Antiqua" w:hAnsi="Book Antiqua"/>
          <w:sz w:val="24"/>
          <w:szCs w:val="24"/>
        </w:rPr>
        <w:t xml:space="preserve">. VWF is synthesized in vascular endothelial cells and released into plasma as unusually large VWF </w:t>
      </w:r>
      <w:proofErr w:type="gramStart"/>
      <w:r w:rsidRPr="00D936D5">
        <w:rPr>
          <w:rFonts w:ascii="Book Antiqua" w:hAnsi="Book Antiqua"/>
          <w:sz w:val="24"/>
          <w:szCs w:val="24"/>
        </w:rPr>
        <w:t>multimers</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10]</w:t>
      </w:r>
      <w:r w:rsidRPr="00D936D5">
        <w:rPr>
          <w:rFonts w:ascii="Book Antiqua" w:hAnsi="Book Antiqua"/>
          <w:sz w:val="24"/>
          <w:szCs w:val="24"/>
        </w:rPr>
        <w:t xml:space="preserve">. In the presence of an imbalance between ADAMTS13 and VWF, VWF multimers are cleaved improperly, leading to their accumulation and induction of platelet thrombus formation under high-shear stress in </w:t>
      </w:r>
      <w:proofErr w:type="spellStart"/>
      <w:proofErr w:type="gramStart"/>
      <w:r w:rsidRPr="00D936D5">
        <w:rPr>
          <w:rFonts w:ascii="Book Antiqua" w:hAnsi="Book Antiqua"/>
          <w:sz w:val="24"/>
          <w:szCs w:val="24"/>
        </w:rPr>
        <w:t>microvessels</w:t>
      </w:r>
      <w:proofErr w:type="spellEnd"/>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11]</w:t>
      </w:r>
      <w:r w:rsidRPr="00D936D5">
        <w:rPr>
          <w:rFonts w:ascii="Book Antiqua" w:hAnsi="Book Antiqua"/>
          <w:sz w:val="24"/>
          <w:szCs w:val="24"/>
        </w:rPr>
        <w:t>.</w:t>
      </w:r>
      <w:r w:rsidRPr="00D936D5" w:rsidDel="008D2837">
        <w:rPr>
          <w:rFonts w:ascii="Book Antiqua" w:hAnsi="Book Antiqua"/>
          <w:sz w:val="24"/>
          <w:szCs w:val="24"/>
        </w:rPr>
        <w:t xml:space="preserve"> </w:t>
      </w:r>
    </w:p>
    <w:p w14:paraId="48C91AA8" w14:textId="553C0E12"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lastRenderedPageBreak/>
        <w:t xml:space="preserve">We previously reported that </w:t>
      </w:r>
      <w:r w:rsidR="000507E4" w:rsidRPr="00D936D5">
        <w:rPr>
          <w:rFonts w:ascii="Book Antiqua" w:hAnsi="Book Antiqua"/>
          <w:sz w:val="24"/>
          <w:szCs w:val="24"/>
        </w:rPr>
        <w:t>the</w:t>
      </w:r>
      <w:r w:rsidRPr="00D936D5">
        <w:rPr>
          <w:rFonts w:ascii="Book Antiqua" w:hAnsi="Book Antiqua"/>
          <w:sz w:val="24"/>
          <w:szCs w:val="24"/>
        </w:rPr>
        <w:t xml:space="preserve"> imbalance of ADAMTS13 and VWF was associated with the pathophysiology of liver cirrhosis (LC) and </w:t>
      </w:r>
      <w:proofErr w:type="gramStart"/>
      <w:r w:rsidRPr="00D936D5">
        <w:rPr>
          <w:rFonts w:ascii="Book Antiqua" w:hAnsi="Book Antiqua"/>
          <w:sz w:val="24"/>
          <w:szCs w:val="24"/>
        </w:rPr>
        <w:t>HCC</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8,12,13]</w:t>
      </w:r>
      <w:r w:rsidRPr="00D936D5">
        <w:rPr>
          <w:rFonts w:ascii="Book Antiqua" w:hAnsi="Book Antiqua"/>
          <w:sz w:val="24"/>
          <w:szCs w:val="24"/>
        </w:rPr>
        <w:t>, suggesting that LC and HCC might be related to hypercoagulability</w:t>
      </w:r>
      <w:r w:rsidRPr="00D936D5">
        <w:rPr>
          <w:rFonts w:ascii="Book Antiqua" w:hAnsi="Book Antiqua"/>
          <w:sz w:val="24"/>
          <w:szCs w:val="24"/>
          <w:vertAlign w:val="superscript"/>
        </w:rPr>
        <w:t>[8,12,13]</w:t>
      </w:r>
      <w:r w:rsidRPr="00D936D5">
        <w:rPr>
          <w:rFonts w:ascii="Book Antiqua" w:hAnsi="Book Antiqua"/>
          <w:sz w:val="24"/>
          <w:szCs w:val="24"/>
        </w:rPr>
        <w:t>.</w:t>
      </w:r>
      <w:r w:rsidR="002E02A4" w:rsidRPr="00D936D5">
        <w:rPr>
          <w:rFonts w:ascii="Book Antiqua" w:hAnsi="Book Antiqua"/>
          <w:sz w:val="24"/>
          <w:szCs w:val="24"/>
        </w:rPr>
        <w:t xml:space="preserve"> Previous</w:t>
      </w:r>
      <w:r w:rsidR="002638BD" w:rsidRPr="00D936D5">
        <w:rPr>
          <w:rFonts w:ascii="Book Antiqua" w:hAnsi="Book Antiqua"/>
          <w:sz w:val="24"/>
          <w:szCs w:val="24"/>
        </w:rPr>
        <w:t xml:space="preserve"> studies have</w:t>
      </w:r>
      <w:r w:rsidR="002E02A4" w:rsidRPr="00D936D5">
        <w:rPr>
          <w:rFonts w:ascii="Book Antiqua" w:hAnsi="Book Antiqua"/>
          <w:sz w:val="24"/>
          <w:szCs w:val="24"/>
        </w:rPr>
        <w:t xml:space="preserve"> reported that the imbalance of ADAMTS13 and VWF</w:t>
      </w:r>
      <w:r w:rsidR="002638BD" w:rsidRPr="00D936D5">
        <w:rPr>
          <w:rFonts w:ascii="Book Antiqua" w:hAnsi="Book Antiqua"/>
          <w:sz w:val="24"/>
          <w:szCs w:val="24"/>
        </w:rPr>
        <w:t xml:space="preserve"> is</w:t>
      </w:r>
      <w:r w:rsidR="002E02A4" w:rsidRPr="00D936D5">
        <w:rPr>
          <w:rFonts w:ascii="Book Antiqua" w:hAnsi="Book Antiqua"/>
          <w:sz w:val="24"/>
          <w:szCs w:val="24"/>
        </w:rPr>
        <w:t xml:space="preserve"> associated with angiogenesis</w:t>
      </w:r>
      <w:r w:rsidR="00446C66" w:rsidRPr="00D936D5">
        <w:rPr>
          <w:rFonts w:ascii="Book Antiqua" w:hAnsi="Book Antiqua"/>
          <w:sz w:val="24"/>
          <w:szCs w:val="24"/>
        </w:rPr>
        <w:t xml:space="preserve"> through </w:t>
      </w:r>
      <w:proofErr w:type="gramStart"/>
      <w:r w:rsidR="00446C66" w:rsidRPr="00D936D5">
        <w:rPr>
          <w:rFonts w:ascii="Book Antiqua" w:hAnsi="Book Antiqua"/>
          <w:sz w:val="24"/>
          <w:szCs w:val="24"/>
        </w:rPr>
        <w:t>VEGF</w:t>
      </w:r>
      <w:r w:rsidR="000507E4" w:rsidRPr="00D936D5">
        <w:rPr>
          <w:rFonts w:ascii="Book Antiqua" w:hAnsi="Book Antiqua"/>
          <w:sz w:val="24"/>
          <w:szCs w:val="24"/>
          <w:vertAlign w:val="superscript"/>
        </w:rPr>
        <w:t>[</w:t>
      </w:r>
      <w:proofErr w:type="gramEnd"/>
      <w:r w:rsidR="00DE70A5" w:rsidRPr="00D936D5">
        <w:rPr>
          <w:rFonts w:ascii="Book Antiqua" w:hAnsi="Book Antiqua"/>
          <w:sz w:val="24"/>
          <w:szCs w:val="24"/>
          <w:vertAlign w:val="superscript"/>
        </w:rPr>
        <w:t>14-17</w:t>
      </w:r>
      <w:r w:rsidR="000507E4" w:rsidRPr="00D936D5">
        <w:rPr>
          <w:rFonts w:ascii="Book Antiqua" w:hAnsi="Book Antiqua"/>
          <w:sz w:val="24"/>
          <w:szCs w:val="24"/>
          <w:vertAlign w:val="superscript"/>
        </w:rPr>
        <w:t>]</w:t>
      </w:r>
      <w:r w:rsidR="005B5D38" w:rsidRPr="00D936D5">
        <w:rPr>
          <w:rFonts w:ascii="Book Antiqua" w:hAnsi="Book Antiqua"/>
          <w:sz w:val="24"/>
          <w:szCs w:val="24"/>
        </w:rPr>
        <w:t>, which in turn is</w:t>
      </w:r>
      <w:r w:rsidR="005F1CEF" w:rsidRPr="00D936D5">
        <w:rPr>
          <w:rFonts w:ascii="Book Antiqua" w:hAnsi="Book Antiqua"/>
          <w:sz w:val="24"/>
          <w:szCs w:val="24"/>
        </w:rPr>
        <w:t xml:space="preserve"> associated</w:t>
      </w:r>
      <w:r w:rsidR="00DC416D" w:rsidRPr="00D936D5">
        <w:rPr>
          <w:rFonts w:ascii="Book Antiqua" w:hAnsi="Book Antiqua"/>
          <w:sz w:val="24"/>
          <w:szCs w:val="24"/>
        </w:rPr>
        <w:t xml:space="preserve"> </w:t>
      </w:r>
      <w:r w:rsidR="005B5D38" w:rsidRPr="00D936D5">
        <w:rPr>
          <w:rFonts w:ascii="Book Antiqua" w:hAnsi="Book Antiqua"/>
          <w:sz w:val="24"/>
          <w:szCs w:val="24"/>
        </w:rPr>
        <w:t xml:space="preserve">with </w:t>
      </w:r>
      <w:r w:rsidR="00DC416D" w:rsidRPr="00D936D5">
        <w:rPr>
          <w:rFonts w:ascii="Book Antiqua" w:hAnsi="Book Antiqua"/>
          <w:sz w:val="24"/>
          <w:szCs w:val="24"/>
        </w:rPr>
        <w:t>LC and HCC development</w:t>
      </w:r>
      <w:r w:rsidR="008A7E0A" w:rsidRPr="00D936D5">
        <w:rPr>
          <w:rFonts w:ascii="Book Antiqua" w:hAnsi="Book Antiqua"/>
          <w:sz w:val="24"/>
          <w:szCs w:val="24"/>
          <w:vertAlign w:val="superscript"/>
        </w:rPr>
        <w:t>[</w:t>
      </w:r>
      <w:r w:rsidR="00DE70A5" w:rsidRPr="00D936D5">
        <w:rPr>
          <w:rFonts w:ascii="Book Antiqua" w:hAnsi="Book Antiqua"/>
          <w:sz w:val="24"/>
          <w:szCs w:val="24"/>
          <w:vertAlign w:val="superscript"/>
        </w:rPr>
        <w:t>18-20</w:t>
      </w:r>
      <w:r w:rsidR="008A7E0A" w:rsidRPr="00D936D5">
        <w:rPr>
          <w:rFonts w:ascii="Book Antiqua" w:hAnsi="Book Antiqua"/>
          <w:sz w:val="24"/>
          <w:szCs w:val="24"/>
          <w:vertAlign w:val="superscript"/>
        </w:rPr>
        <w:t>]</w:t>
      </w:r>
      <w:r w:rsidR="00637F9C" w:rsidRPr="00D936D5">
        <w:rPr>
          <w:rFonts w:ascii="Book Antiqua" w:hAnsi="Book Antiqua"/>
          <w:sz w:val="24"/>
          <w:szCs w:val="24"/>
        </w:rPr>
        <w:t xml:space="preserve">. In addition, the imbalance of ADAMTS13 and VWF </w:t>
      </w:r>
      <w:r w:rsidR="00985F72" w:rsidRPr="00D936D5">
        <w:rPr>
          <w:rFonts w:ascii="Book Antiqua" w:hAnsi="Book Antiqua"/>
          <w:sz w:val="24"/>
          <w:szCs w:val="24"/>
        </w:rPr>
        <w:t xml:space="preserve">might be </w:t>
      </w:r>
      <w:r w:rsidR="00637F9C" w:rsidRPr="00D936D5">
        <w:rPr>
          <w:rFonts w:ascii="Book Antiqua" w:hAnsi="Book Antiqua"/>
          <w:sz w:val="24"/>
          <w:szCs w:val="24"/>
        </w:rPr>
        <w:t xml:space="preserve">associated with </w:t>
      </w:r>
      <w:r w:rsidR="00985F72" w:rsidRPr="00D936D5">
        <w:rPr>
          <w:rFonts w:ascii="Book Antiqua" w:hAnsi="Book Antiqua"/>
          <w:sz w:val="24"/>
          <w:szCs w:val="24"/>
        </w:rPr>
        <w:t xml:space="preserve">sorafenib </w:t>
      </w:r>
      <w:r w:rsidR="008C5D1C" w:rsidRPr="00D936D5">
        <w:rPr>
          <w:rFonts w:ascii="Book Antiqua" w:hAnsi="Book Antiqua"/>
          <w:sz w:val="24"/>
          <w:szCs w:val="24"/>
        </w:rPr>
        <w:t xml:space="preserve">treatment efficiency </w:t>
      </w:r>
      <w:r w:rsidR="00985F72" w:rsidRPr="00D936D5">
        <w:rPr>
          <w:rFonts w:ascii="Book Antiqua" w:hAnsi="Book Antiqua"/>
          <w:sz w:val="24"/>
          <w:szCs w:val="24"/>
        </w:rPr>
        <w:t>b</w:t>
      </w:r>
      <w:r w:rsidR="00637F9C" w:rsidRPr="00D936D5">
        <w:rPr>
          <w:rFonts w:ascii="Book Antiqua" w:hAnsi="Book Antiqua"/>
          <w:sz w:val="24"/>
          <w:szCs w:val="24"/>
        </w:rPr>
        <w:t xml:space="preserve">ecause VEGF is inhibited by </w:t>
      </w:r>
      <w:proofErr w:type="gramStart"/>
      <w:r w:rsidR="00637F9C" w:rsidRPr="00D936D5">
        <w:rPr>
          <w:rFonts w:ascii="Book Antiqua" w:hAnsi="Book Antiqua"/>
          <w:sz w:val="24"/>
          <w:szCs w:val="24"/>
        </w:rPr>
        <w:t>sorafenib</w:t>
      </w:r>
      <w:r w:rsidR="000507E4" w:rsidRPr="00D936D5">
        <w:rPr>
          <w:rFonts w:ascii="Book Antiqua" w:hAnsi="Book Antiqua"/>
          <w:sz w:val="24"/>
          <w:szCs w:val="24"/>
          <w:vertAlign w:val="superscript"/>
        </w:rPr>
        <w:t>[</w:t>
      </w:r>
      <w:proofErr w:type="gramEnd"/>
      <w:r w:rsidR="000507E4" w:rsidRPr="00D936D5">
        <w:rPr>
          <w:rFonts w:ascii="Book Antiqua" w:hAnsi="Book Antiqua"/>
          <w:sz w:val="24"/>
          <w:szCs w:val="24"/>
          <w:vertAlign w:val="superscript"/>
        </w:rPr>
        <w:t>4]</w:t>
      </w:r>
      <w:r w:rsidR="00985F72" w:rsidRPr="00D936D5">
        <w:rPr>
          <w:rFonts w:ascii="Book Antiqua" w:hAnsi="Book Antiqua"/>
          <w:sz w:val="24"/>
          <w:szCs w:val="24"/>
        </w:rPr>
        <w:t xml:space="preserve">. </w:t>
      </w:r>
      <w:r w:rsidRPr="00D936D5">
        <w:rPr>
          <w:rFonts w:ascii="Book Antiqua" w:hAnsi="Book Antiqua"/>
          <w:sz w:val="24"/>
          <w:szCs w:val="24"/>
        </w:rPr>
        <w:t xml:space="preserve">Furthermore, blood coagulation cascade was demonstrated to be </w:t>
      </w:r>
      <w:r w:rsidR="002E02A4" w:rsidRPr="00D936D5">
        <w:rPr>
          <w:rFonts w:ascii="Book Antiqua" w:hAnsi="Book Antiqua"/>
          <w:sz w:val="24"/>
          <w:szCs w:val="24"/>
        </w:rPr>
        <w:t>related to</w:t>
      </w:r>
      <w:r w:rsidRPr="00D936D5">
        <w:rPr>
          <w:rFonts w:ascii="Book Antiqua" w:hAnsi="Book Antiqua"/>
          <w:sz w:val="24"/>
          <w:szCs w:val="24"/>
        </w:rPr>
        <w:t xml:space="preserve"> cancer </w:t>
      </w:r>
      <w:proofErr w:type="gramStart"/>
      <w:r w:rsidRPr="00D936D5">
        <w:rPr>
          <w:rFonts w:ascii="Book Antiqua" w:hAnsi="Book Antiqua"/>
          <w:sz w:val="24"/>
          <w:szCs w:val="24"/>
        </w:rPr>
        <w:t>development</w:t>
      </w:r>
      <w:r w:rsidRPr="00D936D5">
        <w:rPr>
          <w:rFonts w:ascii="Book Antiqua" w:hAnsi="Book Antiqua"/>
          <w:sz w:val="24"/>
          <w:szCs w:val="24"/>
          <w:vertAlign w:val="superscript"/>
        </w:rPr>
        <w:t>[</w:t>
      </w:r>
      <w:proofErr w:type="gramEnd"/>
      <w:r w:rsidR="00E10FCE" w:rsidRPr="00D936D5">
        <w:rPr>
          <w:rFonts w:ascii="Book Antiqua" w:hAnsi="Book Antiqua"/>
          <w:sz w:val="24"/>
          <w:szCs w:val="24"/>
          <w:vertAlign w:val="superscript"/>
        </w:rPr>
        <w:t>21</w:t>
      </w:r>
      <w:r w:rsidRPr="00D936D5">
        <w:rPr>
          <w:rFonts w:ascii="Book Antiqua" w:hAnsi="Book Antiqua"/>
          <w:sz w:val="24"/>
          <w:szCs w:val="24"/>
          <w:vertAlign w:val="superscript"/>
        </w:rPr>
        <w:t>,</w:t>
      </w:r>
      <w:r w:rsidR="00E10FCE" w:rsidRPr="00D936D5">
        <w:rPr>
          <w:rFonts w:ascii="Book Antiqua" w:hAnsi="Book Antiqua"/>
          <w:sz w:val="24"/>
          <w:szCs w:val="24"/>
          <w:vertAlign w:val="superscript"/>
        </w:rPr>
        <w:t>22</w:t>
      </w:r>
      <w:r w:rsidRPr="00D936D5">
        <w:rPr>
          <w:rFonts w:ascii="Book Antiqua" w:hAnsi="Book Antiqua"/>
          <w:sz w:val="24"/>
          <w:szCs w:val="24"/>
          <w:vertAlign w:val="superscript"/>
        </w:rPr>
        <w:t>}</w:t>
      </w:r>
      <w:r w:rsidR="00DF437F" w:rsidRPr="00D936D5">
        <w:rPr>
          <w:rFonts w:ascii="Book Antiqua" w:hAnsi="Book Antiqua"/>
          <w:sz w:val="24"/>
          <w:szCs w:val="24"/>
        </w:rPr>
        <w:t xml:space="preserve">, indicating that </w:t>
      </w:r>
      <w:r w:rsidR="002E02A4" w:rsidRPr="00D936D5">
        <w:rPr>
          <w:rFonts w:ascii="Book Antiqua" w:hAnsi="Book Antiqua"/>
          <w:sz w:val="24"/>
          <w:szCs w:val="24"/>
        </w:rPr>
        <w:t>the imbalance of ADAMTS13 and VWF</w:t>
      </w:r>
      <w:r w:rsidR="00DF437F" w:rsidRPr="00D936D5">
        <w:rPr>
          <w:rFonts w:ascii="Book Antiqua" w:hAnsi="Book Antiqua"/>
          <w:sz w:val="24"/>
          <w:szCs w:val="24"/>
        </w:rPr>
        <w:t xml:space="preserve"> is</w:t>
      </w:r>
      <w:r w:rsidR="002E02A4" w:rsidRPr="00D936D5">
        <w:rPr>
          <w:rFonts w:ascii="Book Antiqua" w:hAnsi="Book Antiqua"/>
          <w:sz w:val="24"/>
          <w:szCs w:val="24"/>
        </w:rPr>
        <w:t xml:space="preserve"> associated with hypercoagulability as well as cancer development</w:t>
      </w:r>
      <w:r w:rsidR="00E10FCE" w:rsidRPr="00D936D5">
        <w:rPr>
          <w:rFonts w:ascii="Book Antiqua" w:hAnsi="Book Antiqua"/>
          <w:sz w:val="24"/>
          <w:szCs w:val="24"/>
          <w:vertAlign w:val="superscript"/>
        </w:rPr>
        <w:t>[23</w:t>
      </w:r>
      <w:r w:rsidR="009C6CC6" w:rsidRPr="00D936D5">
        <w:rPr>
          <w:rFonts w:ascii="Book Antiqua" w:hAnsi="Book Antiqua"/>
          <w:sz w:val="24"/>
          <w:szCs w:val="24"/>
          <w:vertAlign w:val="superscript"/>
        </w:rPr>
        <w:t>]</w:t>
      </w:r>
      <w:r w:rsidR="002E02A4" w:rsidRPr="00D936D5">
        <w:rPr>
          <w:rFonts w:ascii="Book Antiqua" w:hAnsi="Book Antiqua"/>
          <w:sz w:val="24"/>
          <w:szCs w:val="24"/>
        </w:rPr>
        <w:t xml:space="preserve">. </w:t>
      </w:r>
      <w:r w:rsidRPr="00D936D5">
        <w:rPr>
          <w:rFonts w:ascii="Book Antiqua" w:hAnsi="Book Antiqua"/>
          <w:sz w:val="24"/>
          <w:szCs w:val="24"/>
        </w:rPr>
        <w:t xml:space="preserve">Recent studies </w:t>
      </w:r>
      <w:r w:rsidR="00B115FF" w:rsidRPr="00D936D5">
        <w:rPr>
          <w:rFonts w:ascii="Book Antiqua" w:hAnsi="Book Antiqua"/>
          <w:sz w:val="24"/>
          <w:szCs w:val="24"/>
        </w:rPr>
        <w:t xml:space="preserve">have </w:t>
      </w:r>
      <w:r w:rsidRPr="00D936D5">
        <w:rPr>
          <w:rFonts w:ascii="Book Antiqua" w:hAnsi="Book Antiqua"/>
          <w:sz w:val="24"/>
          <w:szCs w:val="24"/>
        </w:rPr>
        <w:t xml:space="preserve">also reported that the imbalance between ADAMTS13 and VWF was associated with prognosis of various cancers in patients undergoing chemotherapy including molecularly targeted </w:t>
      </w:r>
      <w:proofErr w:type="gramStart"/>
      <w:r w:rsidRPr="00D936D5">
        <w:rPr>
          <w:rFonts w:ascii="Book Antiqua" w:hAnsi="Book Antiqua"/>
          <w:sz w:val="24"/>
          <w:szCs w:val="24"/>
        </w:rPr>
        <w:t>drugs</w:t>
      </w:r>
      <w:r w:rsidRPr="00D936D5">
        <w:rPr>
          <w:rFonts w:ascii="Book Antiqua" w:hAnsi="Book Antiqua"/>
          <w:sz w:val="24"/>
          <w:szCs w:val="24"/>
          <w:vertAlign w:val="superscript"/>
        </w:rPr>
        <w:t>[</w:t>
      </w:r>
      <w:proofErr w:type="gramEnd"/>
      <w:r w:rsidR="00E10FCE" w:rsidRPr="00D936D5">
        <w:rPr>
          <w:rFonts w:ascii="Book Antiqua" w:hAnsi="Book Antiqua"/>
          <w:sz w:val="24"/>
          <w:szCs w:val="24"/>
          <w:vertAlign w:val="superscript"/>
        </w:rPr>
        <w:t>24</w:t>
      </w:r>
      <w:r w:rsidRPr="00D936D5">
        <w:rPr>
          <w:rFonts w:ascii="Book Antiqua" w:hAnsi="Book Antiqua"/>
          <w:sz w:val="24"/>
          <w:szCs w:val="24"/>
          <w:vertAlign w:val="superscript"/>
        </w:rPr>
        <w:t>]</w:t>
      </w:r>
      <w:r w:rsidRPr="00D936D5">
        <w:rPr>
          <w:rFonts w:ascii="Book Antiqua" w:hAnsi="Book Antiqua"/>
          <w:sz w:val="24"/>
          <w:szCs w:val="24"/>
        </w:rPr>
        <w:t>.</w:t>
      </w:r>
      <w:r w:rsidRPr="00D936D5" w:rsidDel="0017017F">
        <w:rPr>
          <w:rFonts w:ascii="Book Antiqua" w:hAnsi="Book Antiqua"/>
          <w:sz w:val="24"/>
          <w:szCs w:val="24"/>
        </w:rPr>
        <w:t xml:space="preserve"> </w:t>
      </w:r>
    </w:p>
    <w:p w14:paraId="661081C9" w14:textId="2F086195"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In the current study, we investigated the relationship between </w:t>
      </w:r>
      <w:r w:rsidR="002E02A4" w:rsidRPr="00D936D5">
        <w:rPr>
          <w:rFonts w:ascii="Book Antiqua" w:hAnsi="Book Antiqua"/>
          <w:sz w:val="24"/>
          <w:szCs w:val="24"/>
        </w:rPr>
        <w:t xml:space="preserve">plasma </w:t>
      </w:r>
      <w:r w:rsidRPr="00D936D5">
        <w:rPr>
          <w:rFonts w:ascii="Book Antiqua" w:hAnsi="Book Antiqua"/>
          <w:sz w:val="24"/>
          <w:szCs w:val="24"/>
        </w:rPr>
        <w:t xml:space="preserve">ADAMTS13 and VWF </w:t>
      </w:r>
      <w:r w:rsidR="002E02A4" w:rsidRPr="00D936D5">
        <w:rPr>
          <w:rFonts w:ascii="Book Antiqua" w:hAnsi="Book Antiqua"/>
          <w:sz w:val="24"/>
          <w:szCs w:val="24"/>
        </w:rPr>
        <w:t xml:space="preserve">levels </w:t>
      </w:r>
      <w:r w:rsidRPr="00D936D5">
        <w:rPr>
          <w:rFonts w:ascii="Book Antiqua" w:hAnsi="Book Antiqua"/>
          <w:sz w:val="24"/>
          <w:szCs w:val="24"/>
        </w:rPr>
        <w:t>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 xml:space="preserve">treatment and determined whether </w:t>
      </w:r>
      <w:r w:rsidR="00FD2034" w:rsidRPr="00D936D5">
        <w:rPr>
          <w:rFonts w:ascii="Book Antiqua" w:hAnsi="Book Antiqua"/>
          <w:sz w:val="24"/>
          <w:szCs w:val="24"/>
        </w:rPr>
        <w:t xml:space="preserve">plasma </w:t>
      </w:r>
      <w:r w:rsidRPr="00D936D5">
        <w:rPr>
          <w:rFonts w:ascii="Book Antiqua" w:hAnsi="Book Antiqua"/>
          <w:sz w:val="24"/>
          <w:szCs w:val="24"/>
        </w:rPr>
        <w:t>ADAMTS13 and VWF</w:t>
      </w:r>
      <w:r w:rsidR="00FA01FF" w:rsidRPr="00D936D5">
        <w:rPr>
          <w:rFonts w:ascii="Book Antiqua" w:hAnsi="Book Antiqua"/>
          <w:sz w:val="24"/>
          <w:szCs w:val="24"/>
        </w:rPr>
        <w:t xml:space="preserve"> levels</w:t>
      </w:r>
      <w:r w:rsidRPr="00D936D5">
        <w:rPr>
          <w:rFonts w:ascii="Book Antiqua" w:hAnsi="Book Antiqua"/>
          <w:sz w:val="24"/>
          <w:szCs w:val="24"/>
        </w:rPr>
        <w:t xml:space="preserve"> were useful biomarkers for prediction of sorafenib response and prognosis of HCC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w:t>
      </w:r>
    </w:p>
    <w:p w14:paraId="224FE54C" w14:textId="77777777" w:rsidR="00741934" w:rsidRPr="00D936D5" w:rsidRDefault="00741934" w:rsidP="00120959">
      <w:pPr>
        <w:spacing w:line="360" w:lineRule="auto"/>
        <w:rPr>
          <w:rFonts w:ascii="Book Antiqua" w:hAnsi="Book Antiqua"/>
          <w:b/>
          <w:sz w:val="24"/>
          <w:szCs w:val="24"/>
        </w:rPr>
      </w:pPr>
    </w:p>
    <w:p w14:paraId="6E1C4FF3" w14:textId="48CF30F2" w:rsidR="00741934" w:rsidRPr="00D936D5" w:rsidRDefault="005820E0" w:rsidP="00120959">
      <w:pPr>
        <w:spacing w:line="360" w:lineRule="auto"/>
        <w:rPr>
          <w:rFonts w:ascii="Book Antiqua" w:hAnsi="Book Antiqua"/>
          <w:b/>
          <w:sz w:val="24"/>
          <w:szCs w:val="24"/>
        </w:rPr>
      </w:pPr>
      <w:r>
        <w:rPr>
          <w:rFonts w:ascii="Book Antiqua" w:eastAsia="SimSun" w:hAnsi="Book Antiqua"/>
          <w:b/>
          <w:sz w:val="24"/>
          <w:szCs w:val="24"/>
          <w:lang w:eastAsia="zh-CN"/>
        </w:rPr>
        <w:t xml:space="preserve">MATERIALS AND </w:t>
      </w:r>
      <w:r w:rsidRPr="00D936D5">
        <w:rPr>
          <w:rFonts w:ascii="Book Antiqua" w:hAnsi="Book Antiqua"/>
          <w:b/>
          <w:sz w:val="24"/>
          <w:szCs w:val="24"/>
        </w:rPr>
        <w:t>METHODS</w:t>
      </w:r>
    </w:p>
    <w:p w14:paraId="4F341816" w14:textId="77777777" w:rsidR="00741934" w:rsidRPr="005820E0" w:rsidRDefault="00741934" w:rsidP="00120959">
      <w:pPr>
        <w:spacing w:line="360" w:lineRule="auto"/>
        <w:rPr>
          <w:rFonts w:ascii="Book Antiqua" w:hAnsi="Book Antiqua"/>
          <w:b/>
          <w:i/>
          <w:sz w:val="24"/>
          <w:szCs w:val="24"/>
        </w:rPr>
      </w:pPr>
      <w:r w:rsidRPr="005820E0">
        <w:rPr>
          <w:rFonts w:ascii="Book Antiqua" w:hAnsi="Book Antiqua"/>
          <w:b/>
          <w:i/>
          <w:sz w:val="24"/>
          <w:szCs w:val="24"/>
        </w:rPr>
        <w:t>Patients</w:t>
      </w:r>
    </w:p>
    <w:p w14:paraId="1C8CD2BF" w14:textId="4A03B62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There were 44 patients with HCC who were initiated on sorafenib treatment from December 2012 to November 2017 at our hospital. After excluding three patients who discontinued sorafenib treatment in the first month, 41 patients were </w:t>
      </w:r>
      <w:r w:rsidRPr="00D936D5">
        <w:rPr>
          <w:rFonts w:ascii="Book Antiqua" w:hAnsi="Book Antiqua"/>
          <w:sz w:val="24"/>
          <w:szCs w:val="24"/>
        </w:rPr>
        <w:lastRenderedPageBreak/>
        <w:t xml:space="preserve">included in this study. The initial daily sorafenib dose was 400 mg in all patients, and sorafenib therapy are based on the JSH consensus-based clinical practice guidelines for the management of </w:t>
      </w:r>
      <w:proofErr w:type="gramStart"/>
      <w:r w:rsidRPr="00D936D5">
        <w:rPr>
          <w:rFonts w:ascii="Book Antiqua" w:hAnsi="Book Antiqua"/>
          <w:sz w:val="24"/>
          <w:szCs w:val="24"/>
        </w:rPr>
        <w:t>HCC</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3]</w:t>
      </w:r>
      <w:r w:rsidRPr="00D936D5">
        <w:rPr>
          <w:rFonts w:ascii="Book Antiqua" w:hAnsi="Book Antiqua"/>
          <w:sz w:val="24"/>
          <w:szCs w:val="24"/>
        </w:rPr>
        <w:t xml:space="preserve">. All patients underwent dynamic computed tomographic scanning or dynamic magnetic resonance imaging before sorafenib treatment, at 1 </w:t>
      </w:r>
      <w:proofErr w:type="spellStart"/>
      <w:r w:rsidRPr="00D936D5">
        <w:rPr>
          <w:rFonts w:ascii="Book Antiqua" w:hAnsi="Book Antiqua"/>
          <w:sz w:val="24"/>
          <w:szCs w:val="24"/>
        </w:rPr>
        <w:t>mo</w:t>
      </w:r>
      <w:proofErr w:type="spellEnd"/>
      <w:r w:rsidRPr="00D936D5">
        <w:rPr>
          <w:rFonts w:ascii="Book Antiqua" w:hAnsi="Book Antiqua"/>
          <w:sz w:val="24"/>
          <w:szCs w:val="24"/>
        </w:rPr>
        <w:t xml:space="preserve"> after starting sorafenib treatment, and every 3 </w:t>
      </w:r>
      <w:proofErr w:type="spellStart"/>
      <w:r w:rsidRPr="00D936D5">
        <w:rPr>
          <w:rFonts w:ascii="Book Antiqua" w:hAnsi="Book Antiqua"/>
          <w:sz w:val="24"/>
          <w:szCs w:val="24"/>
        </w:rPr>
        <w:t>mo</w:t>
      </w:r>
      <w:proofErr w:type="spellEnd"/>
      <w:r w:rsidRPr="00D936D5">
        <w:rPr>
          <w:rFonts w:ascii="Book Antiqua" w:hAnsi="Book Antiqua"/>
          <w:sz w:val="24"/>
          <w:szCs w:val="24"/>
        </w:rPr>
        <w:t xml:space="preserve"> thereafter. Radiologic response to therapy was evaluated according to modified response evaluation criteria in solid </w:t>
      </w:r>
      <w:proofErr w:type="gramStart"/>
      <w:r w:rsidRPr="00D936D5">
        <w:rPr>
          <w:rFonts w:ascii="Book Antiqua" w:hAnsi="Book Antiqua"/>
          <w:sz w:val="24"/>
          <w:szCs w:val="24"/>
        </w:rPr>
        <w:t>tumors</w:t>
      </w:r>
      <w:r w:rsidRPr="00D936D5">
        <w:rPr>
          <w:rFonts w:ascii="Book Antiqua" w:hAnsi="Book Antiqua"/>
          <w:sz w:val="24"/>
          <w:szCs w:val="24"/>
          <w:vertAlign w:val="superscript"/>
        </w:rPr>
        <w:t>[</w:t>
      </w:r>
      <w:proofErr w:type="gramEnd"/>
      <w:r w:rsidR="00E10FCE" w:rsidRPr="00D936D5">
        <w:rPr>
          <w:rFonts w:ascii="Book Antiqua" w:hAnsi="Book Antiqua"/>
          <w:sz w:val="24"/>
          <w:szCs w:val="24"/>
          <w:vertAlign w:val="superscript"/>
        </w:rPr>
        <w:t>25</w:t>
      </w:r>
      <w:r w:rsidRPr="00D936D5">
        <w:rPr>
          <w:rFonts w:ascii="Book Antiqua" w:hAnsi="Book Antiqua"/>
          <w:sz w:val="24"/>
          <w:szCs w:val="24"/>
          <w:vertAlign w:val="superscript"/>
        </w:rPr>
        <w:t>]</w:t>
      </w:r>
      <w:r w:rsidRPr="00D936D5">
        <w:rPr>
          <w:rFonts w:ascii="Book Antiqua" w:hAnsi="Book Antiqua"/>
          <w:sz w:val="24"/>
          <w:szCs w:val="24"/>
        </w:rPr>
        <w:t xml:space="preserve">. Tumor-node-metastasis (TNM) stage was evaluated according to the TNM classification of the Union for the International Cancer Control of malignant tumors. No patient had infection, uncontrolled ascites, uncontrolled hepatic encephalopathy, or uncontrolled gastroesophageal varices. This study was approved by the local ethics committee of Nara Medical University and performed in accordance with the ethical standards stated in the Declaration of Helsinki. Informed consent was obtained from all participants included in the study. </w:t>
      </w:r>
    </w:p>
    <w:p w14:paraId="617D9930" w14:textId="77777777" w:rsidR="00741934" w:rsidRPr="00D936D5" w:rsidRDefault="00741934" w:rsidP="00120959">
      <w:pPr>
        <w:spacing w:line="360" w:lineRule="auto"/>
        <w:rPr>
          <w:rFonts w:ascii="Book Antiqua" w:hAnsi="Book Antiqua"/>
          <w:sz w:val="24"/>
          <w:szCs w:val="24"/>
        </w:rPr>
      </w:pPr>
    </w:p>
    <w:p w14:paraId="2A6AC24C" w14:textId="77777777" w:rsidR="00741934" w:rsidRPr="002A094B" w:rsidRDefault="00741934" w:rsidP="00120959">
      <w:pPr>
        <w:spacing w:line="360" w:lineRule="auto"/>
        <w:rPr>
          <w:rFonts w:ascii="Book Antiqua" w:hAnsi="Book Antiqua"/>
          <w:b/>
          <w:i/>
          <w:sz w:val="24"/>
          <w:szCs w:val="24"/>
        </w:rPr>
      </w:pPr>
      <w:r w:rsidRPr="002A094B">
        <w:rPr>
          <w:rFonts w:ascii="Book Antiqua" w:hAnsi="Book Antiqua"/>
          <w:b/>
          <w:i/>
          <w:sz w:val="24"/>
          <w:szCs w:val="24"/>
        </w:rPr>
        <w:t>Determination of ADAMTS13 activity and VWF antigen levels</w:t>
      </w:r>
    </w:p>
    <w:p w14:paraId="5CAC9AC0" w14:textId="5B28E861"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Blood samples were collected from all patients at the time of admission, during their hospital stay or during regular outpatient treatment within 1 </w:t>
      </w:r>
      <w:proofErr w:type="spellStart"/>
      <w:r w:rsidRPr="00D936D5">
        <w:rPr>
          <w:rFonts w:ascii="Book Antiqua" w:hAnsi="Book Antiqua"/>
          <w:sz w:val="24"/>
          <w:szCs w:val="24"/>
        </w:rPr>
        <w:t>mo</w:t>
      </w:r>
      <w:proofErr w:type="spellEnd"/>
      <w:r w:rsidRPr="00D936D5">
        <w:rPr>
          <w:rFonts w:ascii="Book Antiqua" w:hAnsi="Book Antiqua"/>
          <w:sz w:val="24"/>
          <w:szCs w:val="24"/>
        </w:rPr>
        <w:t xml:space="preserve"> before sorafenib treatment initiation. The samples were stored in plastic tubes containing 0.38% v/v</w:t>
      </w:r>
      <w:r w:rsidRPr="00D936D5" w:rsidDel="00292B49">
        <w:rPr>
          <w:rFonts w:ascii="Book Antiqua" w:hAnsi="Book Antiqua"/>
          <w:sz w:val="24"/>
          <w:szCs w:val="24"/>
        </w:rPr>
        <w:t xml:space="preserve"> </w:t>
      </w:r>
      <w:r w:rsidRPr="00D936D5">
        <w:rPr>
          <w:rFonts w:ascii="Book Antiqua" w:hAnsi="Book Antiqua"/>
          <w:sz w:val="24"/>
          <w:szCs w:val="24"/>
        </w:rPr>
        <w:t xml:space="preserve">sodium citrate. Platelet-poor plasma, which was prepared by centrifuging the samples at 3000 </w:t>
      </w:r>
      <w:r w:rsidRPr="00D936D5">
        <w:rPr>
          <w:rFonts w:ascii="Book Antiqua" w:hAnsi="Book Antiqua"/>
          <w:i/>
          <w:sz w:val="24"/>
          <w:szCs w:val="24"/>
        </w:rPr>
        <w:t>g</w:t>
      </w:r>
      <w:r w:rsidRPr="00D936D5">
        <w:rPr>
          <w:rFonts w:ascii="Book Antiqua" w:hAnsi="Book Antiqua"/>
          <w:sz w:val="24"/>
          <w:szCs w:val="24"/>
        </w:rPr>
        <w:t xml:space="preserve"> at 4</w:t>
      </w:r>
      <w:r w:rsidR="003703B3">
        <w:rPr>
          <w:rFonts w:ascii="Book Antiqua" w:eastAsia="SimSun" w:hAnsi="Book Antiqua" w:hint="eastAsia"/>
          <w:sz w:val="24"/>
          <w:szCs w:val="24"/>
          <w:lang w:eastAsia="zh-CN"/>
        </w:rPr>
        <w:t xml:space="preserve"> </w:t>
      </w:r>
      <w:r w:rsidRPr="00D936D5">
        <w:rPr>
          <w:rFonts w:ascii="SimSun" w:eastAsia="SimSun" w:hAnsi="SimSun" w:cs="SimSun" w:hint="eastAsia"/>
          <w:sz w:val="24"/>
          <w:szCs w:val="24"/>
        </w:rPr>
        <w:t>℃</w:t>
      </w:r>
      <w:r w:rsidRPr="00D936D5">
        <w:rPr>
          <w:rFonts w:ascii="Book Antiqua" w:hAnsi="Book Antiqua"/>
          <w:sz w:val="24"/>
          <w:szCs w:val="24"/>
        </w:rPr>
        <w:t xml:space="preserve"> for 15 min, was stored as aliquots at −80</w:t>
      </w:r>
      <w:r w:rsidR="003703B3">
        <w:rPr>
          <w:rFonts w:ascii="Book Antiqua" w:eastAsia="SimSun" w:hAnsi="Book Antiqua" w:hint="eastAsia"/>
          <w:sz w:val="24"/>
          <w:szCs w:val="24"/>
          <w:lang w:eastAsia="zh-CN"/>
        </w:rPr>
        <w:t xml:space="preserve"> </w:t>
      </w:r>
      <w:r w:rsidRPr="00D936D5">
        <w:rPr>
          <w:rFonts w:ascii="SimSun" w:eastAsia="SimSun" w:hAnsi="SimSun" w:cs="SimSun" w:hint="eastAsia"/>
          <w:sz w:val="24"/>
          <w:szCs w:val="24"/>
        </w:rPr>
        <w:t>℃</w:t>
      </w:r>
      <w:r w:rsidRPr="00D936D5">
        <w:rPr>
          <w:rFonts w:ascii="Book Antiqua" w:hAnsi="Book Antiqua"/>
          <w:sz w:val="24"/>
          <w:szCs w:val="24"/>
        </w:rPr>
        <w:t xml:space="preserve"> until analysis. Plasma ADAMTS13 activity (ADAMTS13:AC) was determined by a sensitive chromogenic enzyme-linked immunosorbent assay (</w:t>
      </w:r>
      <w:proofErr w:type="spellStart"/>
      <w:r w:rsidRPr="00D936D5">
        <w:rPr>
          <w:rFonts w:ascii="Book Antiqua" w:hAnsi="Book Antiqua"/>
          <w:sz w:val="24"/>
          <w:szCs w:val="24"/>
        </w:rPr>
        <w:t>Kainos</w:t>
      </w:r>
      <w:proofErr w:type="spellEnd"/>
      <w:r w:rsidRPr="00D936D5">
        <w:rPr>
          <w:rFonts w:ascii="Book Antiqua" w:hAnsi="Book Antiqua"/>
          <w:sz w:val="24"/>
          <w:szCs w:val="24"/>
        </w:rPr>
        <w:t xml:space="preserve"> Laboratories, Tokyo, </w:t>
      </w:r>
      <w:proofErr w:type="gramStart"/>
      <w:r w:rsidRPr="00D936D5">
        <w:rPr>
          <w:rFonts w:ascii="Book Antiqua" w:hAnsi="Book Antiqua"/>
          <w:sz w:val="24"/>
          <w:szCs w:val="24"/>
        </w:rPr>
        <w:t>Japan</w:t>
      </w:r>
      <w:r w:rsidR="00E10FCE" w:rsidRPr="00D936D5">
        <w:rPr>
          <w:rFonts w:ascii="Book Antiqua" w:hAnsi="Book Antiqua"/>
          <w:sz w:val="24"/>
          <w:szCs w:val="24"/>
        </w:rPr>
        <w:t>)</w:t>
      </w:r>
      <w:r w:rsidRPr="00D936D5">
        <w:rPr>
          <w:rFonts w:ascii="Book Antiqua" w:hAnsi="Book Antiqua"/>
          <w:sz w:val="24"/>
          <w:szCs w:val="24"/>
          <w:vertAlign w:val="superscript"/>
        </w:rPr>
        <w:t>[</w:t>
      </w:r>
      <w:proofErr w:type="gramEnd"/>
      <w:r w:rsidR="00E10FCE" w:rsidRPr="00D936D5">
        <w:rPr>
          <w:rFonts w:ascii="Book Antiqua" w:hAnsi="Book Antiqua"/>
          <w:noProof/>
          <w:sz w:val="24"/>
          <w:szCs w:val="24"/>
          <w:vertAlign w:val="superscript"/>
        </w:rPr>
        <w:t>26</w:t>
      </w:r>
      <w:r w:rsidRPr="00D936D5">
        <w:rPr>
          <w:rFonts w:ascii="Book Antiqua" w:hAnsi="Book Antiqua"/>
          <w:sz w:val="24"/>
          <w:szCs w:val="24"/>
          <w:vertAlign w:val="superscript"/>
        </w:rPr>
        <w:t>]</w:t>
      </w:r>
      <w:r w:rsidR="00E10FCE" w:rsidRPr="00D936D5">
        <w:rPr>
          <w:rFonts w:ascii="Book Antiqua" w:hAnsi="Book Antiqua"/>
          <w:sz w:val="24"/>
          <w:szCs w:val="24"/>
        </w:rPr>
        <w:t xml:space="preserve">. </w:t>
      </w:r>
      <w:r w:rsidRPr="00D936D5">
        <w:rPr>
          <w:rFonts w:ascii="Book Antiqua" w:hAnsi="Book Antiqua"/>
          <w:sz w:val="24"/>
          <w:szCs w:val="24"/>
        </w:rPr>
        <w:t xml:space="preserve">Mean normal ADAMTS13:AC level was </w:t>
      </w:r>
      <w:r w:rsidRPr="00D936D5">
        <w:rPr>
          <w:rFonts w:ascii="Book Antiqua" w:hAnsi="Book Antiqua"/>
          <w:sz w:val="24"/>
          <w:szCs w:val="24"/>
        </w:rPr>
        <w:lastRenderedPageBreak/>
        <w:t>99% ± 22%. Plasma VWF antigen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was measured by sandwich enzyme-linked immunosorbent assay using a rabbit anti-human VWF polyclonal antiserum (</w:t>
      </w:r>
      <w:proofErr w:type="spellStart"/>
      <w:r w:rsidRPr="00D936D5">
        <w:rPr>
          <w:rFonts w:ascii="Book Antiqua" w:hAnsi="Book Antiqua"/>
          <w:sz w:val="24"/>
          <w:szCs w:val="24"/>
        </w:rPr>
        <w:t>Dako</w:t>
      </w:r>
      <w:proofErr w:type="spellEnd"/>
      <w:r w:rsidRPr="00D936D5">
        <w:rPr>
          <w:rFonts w:ascii="Book Antiqua" w:hAnsi="Book Antiqua"/>
          <w:sz w:val="24"/>
          <w:szCs w:val="24"/>
        </w:rPr>
        <w:t xml:space="preserve">, </w:t>
      </w:r>
      <w:proofErr w:type="spellStart"/>
      <w:r w:rsidRPr="00D936D5">
        <w:rPr>
          <w:rFonts w:ascii="Book Antiqua" w:hAnsi="Book Antiqua"/>
          <w:sz w:val="24"/>
          <w:szCs w:val="24"/>
        </w:rPr>
        <w:t>Glostrup</w:t>
      </w:r>
      <w:proofErr w:type="spellEnd"/>
      <w:r w:rsidRPr="00D936D5">
        <w:rPr>
          <w:rFonts w:ascii="Book Antiqua" w:hAnsi="Book Antiqua"/>
          <w:sz w:val="24"/>
          <w:szCs w:val="24"/>
        </w:rPr>
        <w:t xml:space="preserve">, Denmark). Mean normal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level was 102% ± 33%</w:t>
      </w:r>
      <w:r w:rsidRPr="00D936D5">
        <w:rPr>
          <w:rFonts w:ascii="Book Antiqua" w:hAnsi="Book Antiqua"/>
          <w:sz w:val="24"/>
          <w:szCs w:val="24"/>
          <w:vertAlign w:val="superscript"/>
        </w:rPr>
        <w:t>[</w:t>
      </w:r>
      <w:r w:rsidR="00FE50AC" w:rsidRPr="00D936D5">
        <w:rPr>
          <w:rFonts w:ascii="Book Antiqua" w:hAnsi="Book Antiqua"/>
          <w:sz w:val="24"/>
          <w:szCs w:val="24"/>
          <w:vertAlign w:val="superscript"/>
        </w:rPr>
        <w:t>27</w:t>
      </w:r>
      <w:r w:rsidRPr="00D936D5">
        <w:rPr>
          <w:rFonts w:ascii="Book Antiqua" w:hAnsi="Book Antiqua"/>
          <w:sz w:val="24"/>
          <w:szCs w:val="24"/>
          <w:vertAlign w:val="superscript"/>
        </w:rPr>
        <w:t>]</w:t>
      </w:r>
      <w:r w:rsidRPr="00D936D5">
        <w:rPr>
          <w:rFonts w:ascii="Book Antiqua" w:hAnsi="Book Antiqua"/>
          <w:sz w:val="24"/>
          <w:szCs w:val="24"/>
        </w:rPr>
        <w:t>.</w:t>
      </w:r>
    </w:p>
    <w:p w14:paraId="64B999FB" w14:textId="77777777" w:rsidR="00741934" w:rsidRPr="00D936D5" w:rsidRDefault="00741934" w:rsidP="00120959">
      <w:pPr>
        <w:spacing w:line="360" w:lineRule="auto"/>
        <w:rPr>
          <w:rFonts w:ascii="Book Antiqua" w:hAnsi="Book Antiqua"/>
          <w:sz w:val="24"/>
          <w:szCs w:val="24"/>
        </w:rPr>
      </w:pPr>
    </w:p>
    <w:p w14:paraId="3F55110B" w14:textId="77777777" w:rsidR="00741934" w:rsidRPr="003703B3" w:rsidRDefault="00741934" w:rsidP="00120959">
      <w:pPr>
        <w:spacing w:line="360" w:lineRule="auto"/>
        <w:rPr>
          <w:rFonts w:ascii="Book Antiqua" w:hAnsi="Book Antiqua"/>
          <w:b/>
          <w:i/>
          <w:sz w:val="24"/>
          <w:szCs w:val="24"/>
        </w:rPr>
      </w:pPr>
      <w:r w:rsidRPr="003703B3">
        <w:rPr>
          <w:rFonts w:ascii="Book Antiqua" w:hAnsi="Book Antiqua"/>
          <w:b/>
          <w:i/>
          <w:sz w:val="24"/>
          <w:szCs w:val="24"/>
        </w:rPr>
        <w:t>Measurement of VEGF and VEGFR-2 levels</w:t>
      </w:r>
    </w:p>
    <w:p w14:paraId="3D7BAB30" w14:textId="5B0576D9"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VEGF and VEGF receptor 2 (VEGFR-2) levels were determined by commercially available immunoassay kits (</w:t>
      </w:r>
      <w:proofErr w:type="spellStart"/>
      <w:r w:rsidRPr="00D936D5">
        <w:rPr>
          <w:rFonts w:ascii="Book Antiqua" w:hAnsi="Book Antiqua"/>
          <w:sz w:val="24"/>
          <w:szCs w:val="24"/>
        </w:rPr>
        <w:t>RayBiotech</w:t>
      </w:r>
      <w:proofErr w:type="spellEnd"/>
      <w:r w:rsidRPr="00D936D5">
        <w:rPr>
          <w:rFonts w:ascii="Book Antiqua" w:hAnsi="Book Antiqua"/>
          <w:sz w:val="24"/>
          <w:szCs w:val="24"/>
        </w:rPr>
        <w:t xml:space="preserve">, </w:t>
      </w:r>
      <w:r w:rsidR="00461286" w:rsidRPr="00D936D5">
        <w:rPr>
          <w:rFonts w:ascii="Book Antiqua" w:hAnsi="Book Antiqua"/>
          <w:sz w:val="24"/>
          <w:szCs w:val="24"/>
        </w:rPr>
        <w:t>U</w:t>
      </w:r>
      <w:r w:rsidR="00461286">
        <w:rPr>
          <w:rFonts w:ascii="Book Antiqua" w:eastAsia="SimSun" w:hAnsi="Book Antiqua" w:hint="eastAsia"/>
          <w:sz w:val="24"/>
          <w:szCs w:val="24"/>
          <w:lang w:eastAsia="zh-CN"/>
        </w:rPr>
        <w:t xml:space="preserve">nited </w:t>
      </w:r>
      <w:r w:rsidR="00461286" w:rsidRPr="00D936D5">
        <w:rPr>
          <w:rFonts w:ascii="Book Antiqua" w:hAnsi="Book Antiqua"/>
          <w:sz w:val="24"/>
          <w:szCs w:val="24"/>
        </w:rPr>
        <w:t>S</w:t>
      </w:r>
      <w:r w:rsidR="00461286">
        <w:rPr>
          <w:rFonts w:ascii="Book Antiqua" w:eastAsia="SimSun" w:hAnsi="Book Antiqua" w:hint="eastAsia"/>
          <w:sz w:val="24"/>
          <w:szCs w:val="24"/>
          <w:lang w:eastAsia="zh-CN"/>
        </w:rPr>
        <w:t>tates</w:t>
      </w:r>
      <w:r w:rsidRPr="00D936D5">
        <w:rPr>
          <w:rFonts w:ascii="Book Antiqua" w:hAnsi="Book Antiqua"/>
          <w:sz w:val="24"/>
          <w:szCs w:val="24"/>
        </w:rPr>
        <w:t>, and R</w:t>
      </w:r>
      <w:r w:rsidR="003703B3">
        <w:rPr>
          <w:rFonts w:ascii="Book Antiqua" w:eastAsia="SimSun" w:hAnsi="Book Antiqua" w:hint="eastAsia"/>
          <w:sz w:val="24"/>
          <w:szCs w:val="24"/>
          <w:lang w:eastAsia="zh-CN"/>
        </w:rPr>
        <w:t xml:space="preserve"> and </w:t>
      </w:r>
      <w:r w:rsidRPr="00D936D5">
        <w:rPr>
          <w:rFonts w:ascii="Book Antiqua" w:hAnsi="Book Antiqua"/>
          <w:sz w:val="24"/>
          <w:szCs w:val="24"/>
        </w:rPr>
        <w:t>D Systems, U</w:t>
      </w:r>
      <w:r w:rsidR="00461286">
        <w:rPr>
          <w:rFonts w:ascii="Book Antiqua" w:eastAsia="SimSun" w:hAnsi="Book Antiqua" w:hint="eastAsia"/>
          <w:sz w:val="24"/>
          <w:szCs w:val="24"/>
          <w:lang w:eastAsia="zh-CN"/>
        </w:rPr>
        <w:t xml:space="preserve">nited </w:t>
      </w:r>
      <w:r w:rsidRPr="00D936D5">
        <w:rPr>
          <w:rFonts w:ascii="Book Antiqua" w:hAnsi="Book Antiqua"/>
          <w:sz w:val="24"/>
          <w:szCs w:val="24"/>
        </w:rPr>
        <w:t>S</w:t>
      </w:r>
      <w:r w:rsidR="00461286">
        <w:rPr>
          <w:rFonts w:ascii="Book Antiqua" w:eastAsia="SimSun" w:hAnsi="Book Antiqua" w:hint="eastAsia"/>
          <w:sz w:val="24"/>
          <w:szCs w:val="24"/>
          <w:lang w:eastAsia="zh-CN"/>
        </w:rPr>
        <w:t>tates</w:t>
      </w:r>
      <w:r w:rsidRPr="00D936D5">
        <w:rPr>
          <w:rFonts w:ascii="Book Antiqua" w:hAnsi="Book Antiqua"/>
          <w:sz w:val="24"/>
          <w:szCs w:val="24"/>
        </w:rPr>
        <w:t xml:space="preserve">, respectively). The detection limits for VEGF and VEGFR-2 were 10 and 11.4 </w:t>
      </w:r>
      <w:proofErr w:type="spellStart"/>
      <w:r w:rsidRPr="00D936D5">
        <w:rPr>
          <w:rFonts w:ascii="Book Antiqua" w:hAnsi="Book Antiqua"/>
          <w:sz w:val="24"/>
          <w:szCs w:val="24"/>
        </w:rPr>
        <w:t>pg</w:t>
      </w:r>
      <w:proofErr w:type="spellEnd"/>
      <w:r w:rsidRPr="00D936D5">
        <w:rPr>
          <w:rFonts w:ascii="Book Antiqua" w:hAnsi="Book Antiqua"/>
          <w:sz w:val="24"/>
          <w:szCs w:val="24"/>
        </w:rPr>
        <w:t>/m</w:t>
      </w:r>
      <w:r w:rsidR="003703B3" w:rsidRPr="00D936D5">
        <w:rPr>
          <w:rFonts w:ascii="Book Antiqua" w:hAnsi="Book Antiqua"/>
          <w:sz w:val="24"/>
          <w:szCs w:val="24"/>
        </w:rPr>
        <w:t>L</w:t>
      </w:r>
      <w:r w:rsidRPr="00D936D5">
        <w:rPr>
          <w:rFonts w:ascii="Book Antiqua" w:hAnsi="Book Antiqua"/>
          <w:sz w:val="24"/>
          <w:szCs w:val="24"/>
        </w:rPr>
        <w:t>, respectively.</w:t>
      </w:r>
    </w:p>
    <w:p w14:paraId="4C632242" w14:textId="77777777" w:rsidR="00741934" w:rsidRPr="00D936D5" w:rsidRDefault="00741934" w:rsidP="00120959">
      <w:pPr>
        <w:spacing w:line="360" w:lineRule="auto"/>
        <w:rPr>
          <w:rFonts w:ascii="Book Antiqua" w:hAnsi="Book Antiqua"/>
          <w:sz w:val="24"/>
          <w:szCs w:val="24"/>
        </w:rPr>
      </w:pPr>
    </w:p>
    <w:p w14:paraId="1226254E" w14:textId="77777777" w:rsidR="00741934" w:rsidRPr="00461286" w:rsidRDefault="00741934" w:rsidP="00120959">
      <w:pPr>
        <w:spacing w:line="360" w:lineRule="auto"/>
        <w:rPr>
          <w:rFonts w:ascii="Book Antiqua" w:hAnsi="Book Antiqua"/>
          <w:b/>
          <w:i/>
          <w:sz w:val="24"/>
          <w:szCs w:val="24"/>
        </w:rPr>
      </w:pPr>
      <w:r w:rsidRPr="00461286">
        <w:rPr>
          <w:rFonts w:ascii="Book Antiqua" w:hAnsi="Book Antiqua"/>
          <w:b/>
          <w:i/>
          <w:sz w:val="24"/>
          <w:szCs w:val="24"/>
        </w:rPr>
        <w:t>Statistical analysis</w:t>
      </w:r>
    </w:p>
    <w:p w14:paraId="5C71E751" w14:textId="4D85536D"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Differences between groups were analyzed using the Mann–Whitney </w:t>
      </w:r>
      <w:r w:rsidRPr="00D936D5">
        <w:rPr>
          <w:rFonts w:ascii="Book Antiqua" w:hAnsi="Book Antiqua"/>
          <w:i/>
          <w:sz w:val="24"/>
          <w:szCs w:val="24"/>
        </w:rPr>
        <w:t>U</w:t>
      </w:r>
      <w:r w:rsidRPr="00D936D5">
        <w:rPr>
          <w:rFonts w:ascii="Book Antiqua" w:hAnsi="Book Antiqua"/>
          <w:sz w:val="24"/>
          <w:szCs w:val="24"/>
        </w:rPr>
        <w:t>-test, and correlations were calculated with Spearman’s rank test. Categorical data were analyzed using Fisher</w:t>
      </w:r>
      <w:r w:rsidR="00461286">
        <w:rPr>
          <w:rFonts w:ascii="Book Antiqua" w:eastAsia="SimSun" w:hAnsi="Book Antiqua"/>
          <w:sz w:val="24"/>
          <w:szCs w:val="24"/>
          <w:lang w:eastAsia="zh-CN"/>
        </w:rPr>
        <w:t>’</w:t>
      </w:r>
      <w:r w:rsidRPr="00D936D5">
        <w:rPr>
          <w:rFonts w:ascii="Book Antiqua" w:hAnsi="Book Antiqua"/>
          <w:sz w:val="24"/>
          <w:szCs w:val="24"/>
        </w:rPr>
        <w:t xml:space="preserve">s exact test. Univariate and multivariate analyses were performed for predictive and prognostic factors for sorafenib treatment in HCC. Logistic regression analysis with stepwise selection of variables was performed to determine independent predictive factors of sorafenib treatment for HCC, and the Cox proportional hazards regression analysis with stepwise selection of variables was conducted to determine independent prognostic factors of sorafenib treatment for HCC. Progression-free survival (PFS) and OS curves were calculated using the Kaplan–Meier method, and differences between groups were assessed using the log-rank test. Data were expressed as medians with interquartile ranges. A two-tailed </w:t>
      </w:r>
      <w:r w:rsidR="00375ADA" w:rsidRPr="00D936D5">
        <w:rPr>
          <w:rFonts w:ascii="Book Antiqua" w:hAnsi="Book Antiqua"/>
          <w:i/>
          <w:sz w:val="24"/>
          <w:szCs w:val="24"/>
        </w:rPr>
        <w:t>P</w:t>
      </w:r>
      <w:r w:rsidRPr="00D936D5">
        <w:rPr>
          <w:rFonts w:ascii="Book Antiqua" w:hAnsi="Book Antiqua"/>
          <w:sz w:val="24"/>
          <w:szCs w:val="24"/>
        </w:rPr>
        <w:t xml:space="preserve"> value of less than 0.05 was considered </w:t>
      </w:r>
      <w:r w:rsidRPr="00D936D5">
        <w:rPr>
          <w:rFonts w:ascii="Book Antiqua" w:hAnsi="Book Antiqua"/>
          <w:sz w:val="24"/>
          <w:szCs w:val="24"/>
        </w:rPr>
        <w:lastRenderedPageBreak/>
        <w:t xml:space="preserve">statistically significant. Analyses were performed using EZR (Saitama Medical Center, </w:t>
      </w:r>
      <w:proofErr w:type="spellStart"/>
      <w:r w:rsidRPr="00D936D5">
        <w:rPr>
          <w:rFonts w:ascii="Book Antiqua" w:hAnsi="Book Antiqua"/>
          <w:sz w:val="24"/>
          <w:szCs w:val="24"/>
        </w:rPr>
        <w:t>Jichi</w:t>
      </w:r>
      <w:proofErr w:type="spellEnd"/>
      <w:r w:rsidRPr="00D936D5">
        <w:rPr>
          <w:rFonts w:ascii="Book Antiqua" w:hAnsi="Book Antiqua"/>
          <w:sz w:val="24"/>
          <w:szCs w:val="24"/>
        </w:rPr>
        <w:t xml:space="preserve"> Medical University), which is a graphical user interface for R (The R Foundation for Statistical Computing, version 2.13.0). Specifically, EZR is a modified version of R commander (version 1.6-3) that includes statistical functions that are frequently used in </w:t>
      </w:r>
      <w:proofErr w:type="gramStart"/>
      <w:r w:rsidRPr="00D936D5">
        <w:rPr>
          <w:rFonts w:ascii="Book Antiqua" w:hAnsi="Book Antiqua"/>
          <w:sz w:val="24"/>
          <w:szCs w:val="24"/>
        </w:rPr>
        <w:t>biostatistics</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2</w:t>
      </w:r>
      <w:r w:rsidR="00FE50AC" w:rsidRPr="00D936D5">
        <w:rPr>
          <w:rFonts w:ascii="Book Antiqua" w:hAnsi="Book Antiqua"/>
          <w:sz w:val="24"/>
          <w:szCs w:val="24"/>
          <w:vertAlign w:val="superscript"/>
        </w:rPr>
        <w:t>8</w:t>
      </w:r>
      <w:r w:rsidRPr="00D936D5">
        <w:rPr>
          <w:rFonts w:ascii="Book Antiqua" w:hAnsi="Book Antiqua"/>
          <w:sz w:val="24"/>
          <w:szCs w:val="24"/>
          <w:vertAlign w:val="superscript"/>
        </w:rPr>
        <w:t>]</w:t>
      </w:r>
      <w:r w:rsidRPr="00D936D5">
        <w:rPr>
          <w:rFonts w:ascii="Book Antiqua" w:hAnsi="Book Antiqua"/>
          <w:sz w:val="24"/>
          <w:szCs w:val="24"/>
        </w:rPr>
        <w:t>.</w:t>
      </w:r>
      <w:r w:rsidRPr="00D936D5" w:rsidDel="001A0955">
        <w:rPr>
          <w:rFonts w:ascii="Book Antiqua" w:hAnsi="Book Antiqua"/>
          <w:sz w:val="24"/>
          <w:szCs w:val="24"/>
        </w:rPr>
        <w:t xml:space="preserve"> </w:t>
      </w:r>
    </w:p>
    <w:p w14:paraId="18C4014B" w14:textId="77777777" w:rsidR="00741934" w:rsidRPr="00D936D5" w:rsidRDefault="00741934" w:rsidP="00120959">
      <w:pPr>
        <w:spacing w:line="360" w:lineRule="auto"/>
        <w:rPr>
          <w:rFonts w:ascii="Book Antiqua" w:hAnsi="Book Antiqua"/>
          <w:sz w:val="24"/>
          <w:szCs w:val="24"/>
        </w:rPr>
      </w:pPr>
    </w:p>
    <w:p w14:paraId="32725F2E" w14:textId="0090306B" w:rsidR="00741934" w:rsidRPr="00D936D5" w:rsidRDefault="00375ADA" w:rsidP="00120959">
      <w:pPr>
        <w:spacing w:line="360" w:lineRule="auto"/>
        <w:rPr>
          <w:rFonts w:ascii="Book Antiqua" w:hAnsi="Book Antiqua"/>
          <w:b/>
          <w:sz w:val="24"/>
          <w:szCs w:val="24"/>
        </w:rPr>
      </w:pPr>
      <w:r w:rsidRPr="00D936D5">
        <w:rPr>
          <w:rFonts w:ascii="Book Antiqua" w:hAnsi="Book Antiqua"/>
          <w:b/>
          <w:sz w:val="24"/>
          <w:szCs w:val="24"/>
        </w:rPr>
        <w:t>RESULTS</w:t>
      </w:r>
    </w:p>
    <w:p w14:paraId="68BA45BE" w14:textId="77777777" w:rsidR="00741934" w:rsidRPr="00375ADA" w:rsidRDefault="00741934" w:rsidP="00120959">
      <w:pPr>
        <w:spacing w:line="360" w:lineRule="auto"/>
        <w:rPr>
          <w:rFonts w:ascii="Book Antiqua" w:hAnsi="Book Antiqua"/>
          <w:b/>
          <w:i/>
          <w:sz w:val="24"/>
          <w:szCs w:val="24"/>
        </w:rPr>
      </w:pPr>
      <w:r w:rsidRPr="00375ADA">
        <w:rPr>
          <w:rFonts w:ascii="Book Antiqua" w:hAnsi="Book Antiqua"/>
          <w:b/>
          <w:i/>
          <w:sz w:val="24"/>
          <w:szCs w:val="24"/>
        </w:rPr>
        <w:t>Clinical characteristics of the patients</w:t>
      </w:r>
    </w:p>
    <w:p w14:paraId="4D1288A7" w14:textId="031F8A50"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The patient characteristics are shown in Table 1. The median age of patients with HCC was 74.0 (69.0–81.0) years. The study population comprised 38 males and three females. Among these, 7, 20, 3, and 11 patients had hepatitis B virus, hepatitis C virus, non-alcoholic steatohepatitis, and alcohol abuse, respectively. The median maximum tumor size was 3.3 (2.5–7.7) cm. In this cohort, 3, 2, 1, and 33 patients had 1, 2, 3, and ≥</w:t>
      </w:r>
      <w:r w:rsidR="003B7DE9">
        <w:rPr>
          <w:rFonts w:ascii="Book Antiqua" w:eastAsia="SimSun" w:hAnsi="Book Antiqua" w:hint="eastAsia"/>
          <w:sz w:val="24"/>
          <w:szCs w:val="24"/>
          <w:lang w:eastAsia="zh-CN"/>
        </w:rPr>
        <w:t xml:space="preserve"> </w:t>
      </w:r>
      <w:r w:rsidRPr="00D936D5">
        <w:rPr>
          <w:rFonts w:ascii="Book Antiqua" w:hAnsi="Book Antiqua"/>
          <w:sz w:val="24"/>
          <w:szCs w:val="24"/>
        </w:rPr>
        <w:t xml:space="preserve">4 tumors, respectively, whereas two patients had only distant metastases. Portal vein tumor thrombosis and distant metastasis were present in 7 and 17 patients, respectively. Serum levels of alpha-fetoprotein (AFP), des-γ-carboxy prothrombin (DCP), </w:t>
      </w:r>
      <w:r w:rsidRPr="00D936D5">
        <w:rPr>
          <w:rFonts w:ascii="Book Antiqua" w:hAnsi="Book Antiqua"/>
          <w:i/>
          <w:sz w:val="24"/>
          <w:szCs w:val="24"/>
        </w:rPr>
        <w:t>lens</w:t>
      </w:r>
      <w:r w:rsidRPr="00D936D5">
        <w:rPr>
          <w:rFonts w:ascii="Book Antiqua" w:hAnsi="Book Antiqua"/>
          <w:sz w:val="24"/>
          <w:szCs w:val="24"/>
        </w:rPr>
        <w:t xml:space="preserve"> </w:t>
      </w:r>
      <w:proofErr w:type="spellStart"/>
      <w:r w:rsidRPr="00D936D5">
        <w:rPr>
          <w:rFonts w:ascii="Book Antiqua" w:hAnsi="Book Antiqua"/>
          <w:i/>
          <w:sz w:val="24"/>
          <w:szCs w:val="24"/>
        </w:rPr>
        <w:t>culinaris</w:t>
      </w:r>
      <w:proofErr w:type="spellEnd"/>
      <w:r w:rsidRPr="00D936D5">
        <w:rPr>
          <w:rFonts w:ascii="Book Antiqua" w:hAnsi="Book Antiqua"/>
          <w:sz w:val="24"/>
          <w:szCs w:val="24"/>
        </w:rPr>
        <w:t xml:space="preserve"> agglutinin-reactive fraction of AFP (AFP-L3%), VEGF, and VEGFR-2 were 121.8 (11.3–2611.0) ng/m</w:t>
      </w:r>
      <w:r w:rsidR="003B7DE9" w:rsidRPr="00D936D5">
        <w:rPr>
          <w:rFonts w:ascii="Book Antiqua" w:hAnsi="Book Antiqua"/>
          <w:sz w:val="24"/>
          <w:szCs w:val="24"/>
        </w:rPr>
        <w:t>L</w:t>
      </w:r>
      <w:r w:rsidRPr="00D936D5">
        <w:rPr>
          <w:rFonts w:ascii="Book Antiqua" w:hAnsi="Book Antiqua"/>
          <w:sz w:val="24"/>
          <w:szCs w:val="24"/>
        </w:rPr>
        <w:t xml:space="preserve">, 359.5 (58.0–5277.5) </w:t>
      </w:r>
      <w:proofErr w:type="spellStart"/>
      <w:r w:rsidRPr="00D936D5">
        <w:rPr>
          <w:rFonts w:ascii="Book Antiqua" w:hAnsi="Book Antiqua"/>
          <w:sz w:val="24"/>
          <w:szCs w:val="24"/>
        </w:rPr>
        <w:t>mAU</w:t>
      </w:r>
      <w:proofErr w:type="spellEnd"/>
      <w:r w:rsidRPr="00D936D5">
        <w:rPr>
          <w:rFonts w:ascii="Book Antiqua" w:hAnsi="Book Antiqua"/>
          <w:sz w:val="24"/>
          <w:szCs w:val="24"/>
        </w:rPr>
        <w:t>/m</w:t>
      </w:r>
      <w:r w:rsidR="003B7DE9" w:rsidRPr="00D936D5">
        <w:rPr>
          <w:rFonts w:ascii="Book Antiqua" w:hAnsi="Book Antiqua"/>
          <w:sz w:val="24"/>
          <w:szCs w:val="24"/>
        </w:rPr>
        <w:t>L</w:t>
      </w:r>
      <w:r w:rsidRPr="00D936D5">
        <w:rPr>
          <w:rFonts w:ascii="Book Antiqua" w:hAnsi="Book Antiqua"/>
          <w:sz w:val="24"/>
          <w:szCs w:val="24"/>
        </w:rPr>
        <w:t>, 13.2 (1.7–42.4)</w:t>
      </w:r>
      <w:r w:rsidR="005417AE" w:rsidRPr="00D936D5">
        <w:rPr>
          <w:rFonts w:ascii="Book Antiqua" w:hAnsi="Book Antiqua"/>
          <w:sz w:val="24"/>
          <w:szCs w:val="24"/>
        </w:rPr>
        <w:t>%</w:t>
      </w:r>
      <w:r w:rsidRPr="00D936D5">
        <w:rPr>
          <w:rFonts w:ascii="Book Antiqua" w:hAnsi="Book Antiqua"/>
          <w:sz w:val="24"/>
          <w:szCs w:val="24"/>
        </w:rPr>
        <w:t xml:space="preserve">, 25.8 (14.1–40.1) </w:t>
      </w:r>
      <w:proofErr w:type="spellStart"/>
      <w:r w:rsidRPr="00D936D5">
        <w:rPr>
          <w:rFonts w:ascii="Book Antiqua" w:hAnsi="Book Antiqua"/>
          <w:sz w:val="24"/>
          <w:szCs w:val="24"/>
        </w:rPr>
        <w:t>pg</w:t>
      </w:r>
      <w:proofErr w:type="spellEnd"/>
      <w:r w:rsidRPr="00D936D5">
        <w:rPr>
          <w:rFonts w:ascii="Book Antiqua" w:hAnsi="Book Antiqua"/>
          <w:sz w:val="24"/>
          <w:szCs w:val="24"/>
        </w:rPr>
        <w:t>/m</w:t>
      </w:r>
      <w:r w:rsidR="003B7DE9" w:rsidRPr="00D936D5">
        <w:rPr>
          <w:rFonts w:ascii="Book Antiqua" w:hAnsi="Book Antiqua"/>
          <w:sz w:val="24"/>
          <w:szCs w:val="24"/>
        </w:rPr>
        <w:t>L</w:t>
      </w:r>
      <w:r w:rsidRPr="00D936D5">
        <w:rPr>
          <w:rFonts w:ascii="Book Antiqua" w:hAnsi="Book Antiqua"/>
          <w:sz w:val="24"/>
          <w:szCs w:val="24"/>
        </w:rPr>
        <w:t xml:space="preserve">, and 6500 (5750–7400) </w:t>
      </w:r>
      <w:proofErr w:type="spellStart"/>
      <w:r w:rsidRPr="00D936D5">
        <w:rPr>
          <w:rFonts w:ascii="Book Antiqua" w:hAnsi="Book Antiqua"/>
          <w:sz w:val="24"/>
          <w:szCs w:val="24"/>
        </w:rPr>
        <w:t>pg</w:t>
      </w:r>
      <w:proofErr w:type="spellEnd"/>
      <w:r w:rsidRPr="00D936D5">
        <w:rPr>
          <w:rFonts w:ascii="Book Antiqua" w:hAnsi="Book Antiqua"/>
          <w:sz w:val="24"/>
          <w:szCs w:val="24"/>
        </w:rPr>
        <w:t>/m</w:t>
      </w:r>
      <w:r w:rsidR="003B7DE9" w:rsidRPr="00D936D5">
        <w:rPr>
          <w:rFonts w:ascii="Book Antiqua" w:hAnsi="Book Antiqua"/>
          <w:sz w:val="24"/>
          <w:szCs w:val="24"/>
        </w:rPr>
        <w:t>L</w:t>
      </w:r>
      <w:r w:rsidRPr="00D936D5">
        <w:rPr>
          <w:rFonts w:ascii="Book Antiqua" w:hAnsi="Book Antiqua"/>
          <w:sz w:val="24"/>
          <w:szCs w:val="24"/>
        </w:rPr>
        <w:t>, respectively.</w:t>
      </w:r>
      <w:r w:rsidR="004120B4" w:rsidRPr="00D936D5">
        <w:rPr>
          <w:rFonts w:ascii="Book Antiqua" w:hAnsi="Book Antiqua"/>
          <w:sz w:val="24"/>
          <w:szCs w:val="24"/>
        </w:rPr>
        <w:t xml:space="preserve"> </w:t>
      </w:r>
      <w:r w:rsidR="00041DDA" w:rsidRPr="00D936D5">
        <w:rPr>
          <w:rFonts w:ascii="Book Antiqua" w:hAnsi="Book Antiqua"/>
          <w:sz w:val="24"/>
          <w:szCs w:val="24"/>
        </w:rPr>
        <w:t>DCP was directly correlated with VEGF (</w:t>
      </w:r>
      <w:r w:rsidR="00041DDA" w:rsidRPr="000B699E">
        <w:rPr>
          <w:rFonts w:ascii="Book Antiqua" w:hAnsi="Book Antiqua"/>
          <w:i/>
          <w:sz w:val="24"/>
          <w:szCs w:val="24"/>
        </w:rPr>
        <w:t>r</w:t>
      </w:r>
      <w:r w:rsidR="00041DDA" w:rsidRPr="00D936D5">
        <w:rPr>
          <w:rFonts w:ascii="Book Antiqua" w:hAnsi="Book Antiqua"/>
          <w:sz w:val="24"/>
          <w:szCs w:val="24"/>
        </w:rPr>
        <w:t xml:space="preserve"> = 0.503, </w:t>
      </w:r>
      <w:r w:rsidR="00D936D5" w:rsidRPr="00D936D5">
        <w:rPr>
          <w:rFonts w:ascii="Book Antiqua" w:hAnsi="Book Antiqua"/>
          <w:i/>
          <w:sz w:val="24"/>
          <w:szCs w:val="24"/>
        </w:rPr>
        <w:t xml:space="preserve">P &lt; </w:t>
      </w:r>
      <w:r w:rsidR="00041DDA" w:rsidRPr="00D936D5">
        <w:rPr>
          <w:rFonts w:ascii="Book Antiqua" w:hAnsi="Book Antiqua"/>
          <w:sz w:val="24"/>
          <w:szCs w:val="24"/>
        </w:rPr>
        <w:t xml:space="preserve">0.05). However, DCP was not correlated with </w:t>
      </w:r>
      <w:r w:rsidR="00D60F5B" w:rsidRPr="00D936D5">
        <w:rPr>
          <w:rFonts w:ascii="Book Antiqua" w:hAnsi="Book Antiqua"/>
          <w:sz w:val="24"/>
          <w:szCs w:val="24"/>
        </w:rPr>
        <w:t>VEGFR-2, and AFP or AFP-L3% was</w:t>
      </w:r>
      <w:r w:rsidR="00041DDA" w:rsidRPr="00D936D5">
        <w:rPr>
          <w:rFonts w:ascii="Book Antiqua" w:hAnsi="Book Antiqua"/>
          <w:sz w:val="24"/>
          <w:szCs w:val="24"/>
        </w:rPr>
        <w:t xml:space="preserve"> </w:t>
      </w:r>
      <w:r w:rsidR="00F417E1" w:rsidRPr="00D936D5">
        <w:rPr>
          <w:rFonts w:ascii="Book Antiqua" w:hAnsi="Book Antiqua"/>
          <w:sz w:val="24"/>
          <w:szCs w:val="24"/>
        </w:rPr>
        <w:t xml:space="preserve">not </w:t>
      </w:r>
      <w:r w:rsidR="00041DDA" w:rsidRPr="00D936D5">
        <w:rPr>
          <w:rFonts w:ascii="Book Antiqua" w:hAnsi="Book Antiqua"/>
          <w:sz w:val="24"/>
          <w:szCs w:val="24"/>
        </w:rPr>
        <w:t xml:space="preserve">correlated with VEGF or VEGFR-2. </w:t>
      </w:r>
      <w:r w:rsidRPr="00D936D5">
        <w:rPr>
          <w:rFonts w:ascii="Book Antiqua" w:hAnsi="Book Antiqua"/>
          <w:sz w:val="24"/>
          <w:szCs w:val="24"/>
        </w:rPr>
        <w:t xml:space="preserve">In the current study cohort, there were no differences in the characteristics of patients with </w:t>
      </w:r>
      <w:r w:rsidR="00D936D5" w:rsidRPr="00D936D5">
        <w:rPr>
          <w:rFonts w:ascii="Book Antiqua" w:hAnsi="Book Antiqua"/>
          <w:sz w:val="24"/>
          <w:szCs w:val="24"/>
        </w:rPr>
        <w:t>stable disease (SD)</w:t>
      </w:r>
      <w:r w:rsidRPr="00D936D5">
        <w:rPr>
          <w:rFonts w:ascii="Book Antiqua" w:hAnsi="Book Antiqua"/>
          <w:sz w:val="24"/>
          <w:szCs w:val="24"/>
        </w:rPr>
        <w:t xml:space="preserve">, partial response (PR), and complete response (CR) compared with those with </w:t>
      </w:r>
      <w:r w:rsidRPr="00D936D5">
        <w:rPr>
          <w:rFonts w:ascii="Book Antiqua" w:hAnsi="Book Antiqua"/>
          <w:sz w:val="24"/>
          <w:szCs w:val="24"/>
        </w:rPr>
        <w:lastRenderedPageBreak/>
        <w:t>progressive disease (PD), except the DCP levels and observation (survival) period.</w:t>
      </w:r>
    </w:p>
    <w:p w14:paraId="5B114775" w14:textId="77777777" w:rsidR="00741934" w:rsidRPr="00D936D5" w:rsidRDefault="00741934" w:rsidP="00120959">
      <w:pPr>
        <w:spacing w:line="360" w:lineRule="auto"/>
        <w:rPr>
          <w:rFonts w:ascii="Book Antiqua" w:hAnsi="Book Antiqua"/>
          <w:sz w:val="24"/>
          <w:szCs w:val="24"/>
        </w:rPr>
      </w:pPr>
    </w:p>
    <w:p w14:paraId="40EF36B6" w14:textId="77777777" w:rsidR="00741934" w:rsidRPr="00F52520" w:rsidRDefault="00741934" w:rsidP="00120959">
      <w:pPr>
        <w:spacing w:line="360" w:lineRule="auto"/>
        <w:rPr>
          <w:rFonts w:ascii="Book Antiqua" w:hAnsi="Book Antiqua"/>
          <w:b/>
          <w:i/>
          <w:sz w:val="24"/>
          <w:szCs w:val="24"/>
        </w:rPr>
      </w:pPr>
      <w:r w:rsidRPr="00F52520">
        <w:rPr>
          <w:rFonts w:ascii="Book Antiqua" w:hAnsi="Book Antiqua"/>
          <w:b/>
          <w:i/>
          <w:sz w:val="24"/>
          <w:szCs w:val="24"/>
        </w:rPr>
        <w:t xml:space="preserve">Plasma ADAMTS13:AC and </w:t>
      </w:r>
      <w:proofErr w:type="spellStart"/>
      <w:proofErr w:type="gramStart"/>
      <w:r w:rsidRPr="00F52520">
        <w:rPr>
          <w:rFonts w:ascii="Book Antiqua" w:hAnsi="Book Antiqua"/>
          <w:b/>
          <w:i/>
          <w:sz w:val="24"/>
          <w:szCs w:val="24"/>
        </w:rPr>
        <w:t>VWF:Ag</w:t>
      </w:r>
      <w:proofErr w:type="spellEnd"/>
      <w:proofErr w:type="gramEnd"/>
      <w:r w:rsidRPr="00F52520">
        <w:rPr>
          <w:rFonts w:ascii="Book Antiqua" w:hAnsi="Book Antiqua"/>
          <w:b/>
          <w:i/>
          <w:sz w:val="24"/>
          <w:szCs w:val="24"/>
        </w:rPr>
        <w:t xml:space="preserve"> level in patients with HCC receiving sorafenib treatment</w:t>
      </w:r>
    </w:p>
    <w:p w14:paraId="3412AA7A" w14:textId="71836285"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ADAMTS13:AC level was significantly higher in patients with HCC who had SD, PR, and CR than those with PD (</w:t>
      </w:r>
      <w:r w:rsidR="00D936D5" w:rsidRPr="00D936D5">
        <w:rPr>
          <w:rFonts w:ascii="Book Antiqua" w:hAnsi="Book Antiqua"/>
          <w:i/>
          <w:sz w:val="24"/>
          <w:szCs w:val="24"/>
        </w:rPr>
        <w:t xml:space="preserve">P &lt; </w:t>
      </w:r>
      <w:r w:rsidRPr="00D936D5">
        <w:rPr>
          <w:rFonts w:ascii="Book Antiqua" w:hAnsi="Book Antiqua"/>
          <w:sz w:val="24"/>
          <w:szCs w:val="24"/>
        </w:rPr>
        <w:t>0.05) (Fig</w:t>
      </w:r>
      <w:r w:rsidR="00F52520">
        <w:rPr>
          <w:rFonts w:ascii="Book Antiqua" w:eastAsia="SimSun" w:hAnsi="Book Antiqua" w:hint="eastAsia"/>
          <w:sz w:val="24"/>
          <w:szCs w:val="24"/>
          <w:lang w:eastAsia="zh-CN"/>
        </w:rPr>
        <w:t>ure</w:t>
      </w:r>
      <w:r w:rsidRPr="00D936D5">
        <w:rPr>
          <w:rFonts w:ascii="Book Antiqua" w:hAnsi="Book Antiqua"/>
          <w:sz w:val="24"/>
          <w:szCs w:val="24"/>
        </w:rPr>
        <w:t xml:space="preserve"> 1</w:t>
      </w:r>
      <w:r w:rsidR="00F52520" w:rsidRPr="00D936D5">
        <w:rPr>
          <w:rFonts w:ascii="Book Antiqua" w:hAnsi="Book Antiqua"/>
          <w:sz w:val="24"/>
          <w:szCs w:val="24"/>
        </w:rPr>
        <w:t>A</w:t>
      </w:r>
      <w:r w:rsidRPr="00D936D5">
        <w:rPr>
          <w:rFonts w:ascii="Book Antiqua" w:hAnsi="Book Antiqua"/>
          <w:sz w:val="24"/>
          <w:szCs w:val="24"/>
        </w:rPr>
        <w:t xml:space="preserve">). In contrast,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level</w:t>
      </w:r>
      <w:r w:rsidR="00D63735" w:rsidRPr="00D936D5">
        <w:rPr>
          <w:rFonts w:ascii="Book Antiqua" w:hAnsi="Book Antiqua"/>
          <w:sz w:val="24"/>
          <w:szCs w:val="24"/>
        </w:rPr>
        <w:t>s</w:t>
      </w:r>
      <w:r w:rsidRPr="00D936D5">
        <w:rPr>
          <w:rFonts w:ascii="Book Antiqua" w:hAnsi="Book Antiqua"/>
          <w:sz w:val="24"/>
          <w:szCs w:val="24"/>
        </w:rPr>
        <w:t xml:space="preserve"> were significantly lower in those with SD, PR, and CR than those with PD (</w:t>
      </w:r>
      <w:r w:rsidR="00D936D5" w:rsidRPr="00D936D5">
        <w:rPr>
          <w:rFonts w:ascii="Book Antiqua" w:hAnsi="Book Antiqua"/>
          <w:i/>
          <w:sz w:val="24"/>
          <w:szCs w:val="24"/>
        </w:rPr>
        <w:t xml:space="preserve">P &lt; </w:t>
      </w:r>
      <w:r w:rsidRPr="00D936D5">
        <w:rPr>
          <w:rFonts w:ascii="Book Antiqua" w:hAnsi="Book Antiqua"/>
          <w:sz w:val="24"/>
          <w:szCs w:val="24"/>
        </w:rPr>
        <w:t>0.05 for both) (Fig</w:t>
      </w:r>
      <w:r w:rsidR="00F52520">
        <w:rPr>
          <w:rFonts w:ascii="Book Antiqua" w:eastAsia="SimSun" w:hAnsi="Book Antiqua" w:hint="eastAsia"/>
          <w:sz w:val="24"/>
          <w:szCs w:val="24"/>
          <w:lang w:eastAsia="zh-CN"/>
        </w:rPr>
        <w:t>ure</w:t>
      </w:r>
      <w:r w:rsidRPr="00D936D5">
        <w:rPr>
          <w:rFonts w:ascii="Book Antiqua" w:hAnsi="Book Antiqua"/>
          <w:sz w:val="24"/>
          <w:szCs w:val="24"/>
        </w:rPr>
        <w:t xml:space="preserve"> 1</w:t>
      </w:r>
      <w:r w:rsidR="00F52520" w:rsidRPr="00D936D5">
        <w:rPr>
          <w:rFonts w:ascii="Book Antiqua" w:hAnsi="Book Antiqua"/>
          <w:sz w:val="24"/>
          <w:szCs w:val="24"/>
        </w:rPr>
        <w:t>B</w:t>
      </w:r>
      <w:r w:rsidRPr="00D936D5">
        <w:rPr>
          <w:rFonts w:ascii="Book Antiqua" w:hAnsi="Book Antiqua"/>
          <w:sz w:val="24"/>
          <w:szCs w:val="24"/>
        </w:rPr>
        <w:t xml:space="preserve"> and </w:t>
      </w:r>
      <w:r w:rsidR="00F52520" w:rsidRPr="00D936D5">
        <w:rPr>
          <w:rFonts w:ascii="Book Antiqua" w:hAnsi="Book Antiqua"/>
          <w:sz w:val="24"/>
          <w:szCs w:val="24"/>
        </w:rPr>
        <w:t>C</w:t>
      </w:r>
      <w:r w:rsidRPr="00D936D5">
        <w:rPr>
          <w:rFonts w:ascii="Book Antiqua" w:hAnsi="Book Antiqua"/>
          <w:sz w:val="24"/>
          <w:szCs w:val="24"/>
        </w:rPr>
        <w:t xml:space="preserve">). ADAMTS13:AC </w:t>
      </w:r>
      <w:r w:rsidR="00AC2E21" w:rsidRPr="00D936D5">
        <w:rPr>
          <w:rFonts w:ascii="Book Antiqua" w:hAnsi="Book Antiqua"/>
          <w:sz w:val="24"/>
          <w:szCs w:val="24"/>
        </w:rPr>
        <w:t xml:space="preserve">level </w:t>
      </w:r>
      <w:r w:rsidRPr="00D936D5">
        <w:rPr>
          <w:rFonts w:ascii="Book Antiqua" w:hAnsi="Book Antiqua"/>
          <w:sz w:val="24"/>
          <w:szCs w:val="24"/>
        </w:rPr>
        <w:t>was directly correlated with albumin (</w:t>
      </w:r>
      <w:r w:rsidRPr="0010049F">
        <w:rPr>
          <w:rFonts w:ascii="Book Antiqua" w:hAnsi="Book Antiqua"/>
          <w:i/>
          <w:sz w:val="24"/>
          <w:szCs w:val="24"/>
        </w:rPr>
        <w:t>r</w:t>
      </w:r>
      <w:r w:rsidRPr="00D936D5">
        <w:rPr>
          <w:rFonts w:ascii="Book Antiqua" w:hAnsi="Book Antiqua"/>
          <w:sz w:val="24"/>
          <w:szCs w:val="24"/>
        </w:rPr>
        <w:t xml:space="preserve"> = 0.457, </w:t>
      </w:r>
      <w:r w:rsidR="00D936D5" w:rsidRPr="00D936D5">
        <w:rPr>
          <w:rFonts w:ascii="Book Antiqua" w:hAnsi="Book Antiqua"/>
          <w:i/>
          <w:sz w:val="24"/>
          <w:szCs w:val="24"/>
        </w:rPr>
        <w:t xml:space="preserve">P &lt; </w:t>
      </w:r>
      <w:r w:rsidRPr="00D936D5">
        <w:rPr>
          <w:rFonts w:ascii="Book Antiqua" w:hAnsi="Book Antiqua"/>
          <w:sz w:val="24"/>
          <w:szCs w:val="24"/>
        </w:rPr>
        <w:t xml:space="preserve">0.05), and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w:t>
      </w:r>
      <w:r w:rsidR="00AC2E21" w:rsidRPr="00D936D5">
        <w:rPr>
          <w:rFonts w:ascii="Book Antiqua" w:hAnsi="Book Antiqua"/>
          <w:sz w:val="24"/>
          <w:szCs w:val="24"/>
        </w:rPr>
        <w:t xml:space="preserve">levels </w:t>
      </w:r>
      <w:r w:rsidRPr="00D936D5">
        <w:rPr>
          <w:rFonts w:ascii="Book Antiqua" w:hAnsi="Book Antiqua"/>
          <w:sz w:val="24"/>
          <w:szCs w:val="24"/>
        </w:rPr>
        <w:t>were directly correlated with total bilirubin(</w:t>
      </w:r>
      <w:r w:rsidRPr="0010049F">
        <w:rPr>
          <w:rFonts w:ascii="Book Antiqua" w:hAnsi="Book Antiqua"/>
          <w:i/>
          <w:sz w:val="24"/>
          <w:szCs w:val="24"/>
        </w:rPr>
        <w:t>r</w:t>
      </w:r>
      <w:r w:rsidRPr="00D936D5">
        <w:rPr>
          <w:rFonts w:ascii="Book Antiqua" w:hAnsi="Book Antiqua"/>
          <w:sz w:val="24"/>
          <w:szCs w:val="24"/>
        </w:rPr>
        <w:t xml:space="preserve"> = 0.329, </w:t>
      </w:r>
      <w:r w:rsidR="00D936D5" w:rsidRPr="00D936D5">
        <w:rPr>
          <w:rFonts w:ascii="Book Antiqua" w:hAnsi="Book Antiqua"/>
          <w:i/>
          <w:sz w:val="24"/>
          <w:szCs w:val="24"/>
        </w:rPr>
        <w:t xml:space="preserve">P &lt; </w:t>
      </w:r>
      <w:r w:rsidRPr="00D936D5">
        <w:rPr>
          <w:rFonts w:ascii="Book Antiqua" w:hAnsi="Book Antiqua"/>
          <w:sz w:val="24"/>
          <w:szCs w:val="24"/>
        </w:rPr>
        <w:t xml:space="preserve">0.05 and </w:t>
      </w:r>
      <w:r w:rsidRPr="0010049F">
        <w:rPr>
          <w:rFonts w:ascii="Book Antiqua" w:hAnsi="Book Antiqua"/>
          <w:i/>
          <w:sz w:val="24"/>
          <w:szCs w:val="24"/>
        </w:rPr>
        <w:t>r</w:t>
      </w:r>
      <w:r w:rsidRPr="00D936D5">
        <w:rPr>
          <w:rFonts w:ascii="Book Antiqua" w:hAnsi="Book Antiqua"/>
          <w:sz w:val="24"/>
          <w:szCs w:val="24"/>
        </w:rPr>
        <w:t xml:space="preserve"> = 0.316, </w:t>
      </w:r>
      <w:r w:rsidR="00D936D5" w:rsidRPr="00D936D5">
        <w:rPr>
          <w:rFonts w:ascii="Book Antiqua" w:hAnsi="Book Antiqua"/>
          <w:i/>
          <w:sz w:val="24"/>
          <w:szCs w:val="24"/>
        </w:rPr>
        <w:t xml:space="preserve">P &lt; </w:t>
      </w:r>
      <w:r w:rsidRPr="00D936D5">
        <w:rPr>
          <w:rFonts w:ascii="Book Antiqua" w:hAnsi="Book Antiqua"/>
          <w:sz w:val="24"/>
          <w:szCs w:val="24"/>
        </w:rPr>
        <w:t xml:space="preserve">0.05, respectively). In addition, the patients were categorized into two, according to the TNM stage </w:t>
      </w:r>
      <w:r w:rsidRPr="00D936D5">
        <w:rPr>
          <w:rFonts w:ascii="Book Antiqua" w:hAnsi="Book Antiqua"/>
          <w:kern w:val="0"/>
          <w:sz w:val="24"/>
          <w:szCs w:val="24"/>
        </w:rPr>
        <w:t xml:space="preserve">(TNM stage 2 and 3 is 21 patients, and TNM stage 4 is 20 patients). </w:t>
      </w:r>
      <w:r w:rsidRPr="00D936D5">
        <w:rPr>
          <w:rFonts w:ascii="Book Antiqua" w:hAnsi="Book Antiqua"/>
          <w:sz w:val="24"/>
          <w:szCs w:val="24"/>
        </w:rPr>
        <w:t xml:space="preserve">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level</w:t>
      </w:r>
      <w:r w:rsidR="00D63735" w:rsidRPr="00D936D5">
        <w:rPr>
          <w:rFonts w:ascii="Book Antiqua" w:hAnsi="Book Antiqua"/>
          <w:sz w:val="24"/>
          <w:szCs w:val="24"/>
        </w:rPr>
        <w:t>s</w:t>
      </w:r>
      <w:r w:rsidRPr="00D936D5">
        <w:rPr>
          <w:rFonts w:ascii="Book Antiqua" w:hAnsi="Book Antiqua"/>
          <w:sz w:val="24"/>
          <w:szCs w:val="24"/>
        </w:rPr>
        <w:t xml:space="preserve"> was higher in patients with TNM stage 4 HCC than those with TNM stage 2 and 3 HCC (Fig</w:t>
      </w:r>
      <w:r w:rsidR="00F52520">
        <w:rPr>
          <w:rFonts w:ascii="Book Antiqua" w:eastAsia="SimSun" w:hAnsi="Book Antiqua" w:hint="eastAsia"/>
          <w:sz w:val="24"/>
          <w:szCs w:val="24"/>
          <w:lang w:eastAsia="zh-CN"/>
        </w:rPr>
        <w:t xml:space="preserve">ure </w:t>
      </w:r>
      <w:r w:rsidRPr="00D936D5">
        <w:rPr>
          <w:rFonts w:ascii="Book Antiqua" w:hAnsi="Book Antiqua"/>
          <w:sz w:val="24"/>
          <w:szCs w:val="24"/>
        </w:rPr>
        <w:t>2).</w:t>
      </w:r>
    </w:p>
    <w:p w14:paraId="4B22D34D" w14:textId="77777777" w:rsidR="00741934" w:rsidRPr="00D936D5" w:rsidRDefault="00741934" w:rsidP="00120959">
      <w:pPr>
        <w:spacing w:line="360" w:lineRule="auto"/>
        <w:rPr>
          <w:rFonts w:ascii="Book Antiqua" w:hAnsi="Book Antiqua"/>
          <w:sz w:val="24"/>
          <w:szCs w:val="24"/>
        </w:rPr>
      </w:pPr>
    </w:p>
    <w:p w14:paraId="121107AB" w14:textId="77777777" w:rsidR="00741934" w:rsidRPr="00F52520" w:rsidRDefault="00741934" w:rsidP="00120959">
      <w:pPr>
        <w:spacing w:line="360" w:lineRule="auto"/>
        <w:rPr>
          <w:rFonts w:ascii="Book Antiqua" w:hAnsi="Book Antiqua"/>
          <w:b/>
          <w:i/>
          <w:sz w:val="24"/>
          <w:szCs w:val="24"/>
        </w:rPr>
      </w:pPr>
      <w:r w:rsidRPr="00F52520">
        <w:rPr>
          <w:rFonts w:ascii="Book Antiqua" w:hAnsi="Book Antiqua"/>
          <w:b/>
          <w:i/>
          <w:sz w:val="24"/>
          <w:szCs w:val="24"/>
        </w:rPr>
        <w:t xml:space="preserve">Predictive factors </w:t>
      </w:r>
      <w:bookmarkStart w:id="3" w:name="_Hlk527551652"/>
      <w:r w:rsidRPr="00F52520">
        <w:rPr>
          <w:rFonts w:ascii="Book Antiqua" w:hAnsi="Book Antiqua"/>
          <w:b/>
          <w:i/>
          <w:sz w:val="24"/>
          <w:szCs w:val="24"/>
        </w:rPr>
        <w:t xml:space="preserve">for sorafenib </w:t>
      </w:r>
      <w:bookmarkEnd w:id="3"/>
      <w:r w:rsidRPr="00F52520">
        <w:rPr>
          <w:rFonts w:ascii="Book Antiqua" w:hAnsi="Book Antiqua"/>
          <w:b/>
          <w:i/>
          <w:sz w:val="24"/>
          <w:szCs w:val="24"/>
        </w:rPr>
        <w:t>response</w:t>
      </w:r>
    </w:p>
    <w:p w14:paraId="325FE4AB" w14:textId="31B233DA"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ADAMTS13:AC and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were associated with sorafenib response in univariate analysis (Table 2). To determine predictive factors for sorafenib response, we performed multivariate analysis using albumin, DCP, VEGF, maximum tumor size, distant metastasis, ADAMTS13:AC,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which had </w:t>
      </w:r>
      <w:r w:rsidR="00C9616C" w:rsidRPr="00D936D5">
        <w:rPr>
          <w:rFonts w:ascii="Book Antiqua" w:hAnsi="Book Antiqua"/>
          <w:i/>
          <w:sz w:val="24"/>
          <w:szCs w:val="24"/>
        </w:rPr>
        <w:t>P</w:t>
      </w:r>
      <w:r w:rsidRPr="00D936D5">
        <w:rPr>
          <w:rFonts w:ascii="Book Antiqua" w:hAnsi="Book Antiqua"/>
          <w:sz w:val="24"/>
          <w:szCs w:val="24"/>
        </w:rPr>
        <w:t>-values of &lt;</w:t>
      </w:r>
      <w:r w:rsidR="00C9616C">
        <w:rPr>
          <w:rFonts w:ascii="Book Antiqua" w:eastAsia="SimSun" w:hAnsi="Book Antiqua" w:hint="eastAsia"/>
          <w:sz w:val="24"/>
          <w:szCs w:val="24"/>
          <w:lang w:eastAsia="zh-CN"/>
        </w:rPr>
        <w:t xml:space="preserve"> </w:t>
      </w:r>
      <w:r w:rsidRPr="00D936D5">
        <w:rPr>
          <w:rFonts w:ascii="Book Antiqua" w:hAnsi="Book Antiqua"/>
          <w:sz w:val="24"/>
          <w:szCs w:val="24"/>
        </w:rPr>
        <w:t xml:space="preserve">0.2 in the univariate analysis.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was significantly </w:t>
      </w:r>
      <w:r w:rsidRPr="00D936D5">
        <w:rPr>
          <w:rFonts w:ascii="Book Antiqua" w:hAnsi="Book Antiqua"/>
          <w:sz w:val="24"/>
          <w:szCs w:val="24"/>
        </w:rPr>
        <w:lastRenderedPageBreak/>
        <w:t xml:space="preserve">associated with sorafenib response in multivariate analysis (Table 2). The receiver operating characteristic (ROC) analysis revealed that a cutoff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of 2.609 had a </w:t>
      </w:r>
      <w:r w:rsidR="00D42633" w:rsidRPr="00D936D5">
        <w:rPr>
          <w:rFonts w:ascii="Book Antiqua" w:hAnsi="Book Antiqua"/>
          <w:sz w:val="24"/>
          <w:szCs w:val="24"/>
        </w:rPr>
        <w:t xml:space="preserve">specificity </w:t>
      </w:r>
      <w:r w:rsidRPr="00D936D5">
        <w:rPr>
          <w:rFonts w:ascii="Book Antiqua" w:hAnsi="Book Antiqua"/>
          <w:sz w:val="24"/>
          <w:szCs w:val="24"/>
        </w:rPr>
        <w:t xml:space="preserve">of 84.2% and a </w:t>
      </w:r>
      <w:r w:rsidR="00B51BF9" w:rsidRPr="00D936D5">
        <w:rPr>
          <w:rFonts w:ascii="Book Antiqua" w:hAnsi="Book Antiqua"/>
          <w:sz w:val="24"/>
          <w:szCs w:val="24"/>
        </w:rPr>
        <w:t>sensitivity</w:t>
      </w:r>
      <w:r w:rsidRPr="00D936D5">
        <w:rPr>
          <w:rFonts w:ascii="Book Antiqua" w:hAnsi="Book Antiqua"/>
          <w:sz w:val="24"/>
          <w:szCs w:val="24"/>
        </w:rPr>
        <w:t xml:space="preserve"> of 88.2%, and the area under the ROC curve (AUC) was 0.836 (Fig</w:t>
      </w:r>
      <w:r w:rsidR="00C9616C">
        <w:rPr>
          <w:rFonts w:ascii="Book Antiqua" w:eastAsia="SimSun" w:hAnsi="Book Antiqua" w:hint="eastAsia"/>
          <w:sz w:val="24"/>
          <w:szCs w:val="24"/>
          <w:lang w:eastAsia="zh-CN"/>
        </w:rPr>
        <w:t>ure</w:t>
      </w:r>
      <w:r w:rsidRPr="00D936D5">
        <w:rPr>
          <w:rFonts w:ascii="Book Antiqua" w:hAnsi="Book Antiqua"/>
          <w:sz w:val="24"/>
          <w:szCs w:val="24"/>
        </w:rPr>
        <w:t xml:space="preserve"> 3). Next, the study patients were categorized into two groups according to the ROC cutoff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low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&lt; 2.609) and high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 2.609). The patients with a high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had significantly higher VEGF</w:t>
      </w:r>
      <w:r w:rsidR="00885860" w:rsidRPr="00D936D5">
        <w:rPr>
          <w:rFonts w:ascii="Book Antiqua" w:hAnsi="Book Antiqua"/>
          <w:sz w:val="24"/>
          <w:szCs w:val="24"/>
        </w:rPr>
        <w:t xml:space="preserve"> </w:t>
      </w:r>
      <w:r w:rsidRPr="00D936D5">
        <w:rPr>
          <w:rFonts w:ascii="Book Antiqua" w:hAnsi="Book Antiqua"/>
          <w:sz w:val="24"/>
          <w:szCs w:val="24"/>
        </w:rPr>
        <w:t xml:space="preserve">levels than those with a low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(Fig</w:t>
      </w:r>
      <w:r w:rsidR="00C9616C">
        <w:rPr>
          <w:rFonts w:ascii="Book Antiqua" w:eastAsia="SimSun" w:hAnsi="Book Antiqua" w:hint="eastAsia"/>
          <w:sz w:val="24"/>
          <w:szCs w:val="24"/>
          <w:lang w:eastAsia="zh-CN"/>
        </w:rPr>
        <w:t>ure</w:t>
      </w:r>
      <w:r w:rsidRPr="00D936D5">
        <w:rPr>
          <w:rFonts w:ascii="Book Antiqua" w:hAnsi="Book Antiqua"/>
          <w:sz w:val="24"/>
          <w:szCs w:val="24"/>
        </w:rPr>
        <w:t xml:space="preserve"> 4</w:t>
      </w:r>
      <w:r w:rsidR="00C9616C" w:rsidRPr="00D936D5">
        <w:rPr>
          <w:rFonts w:ascii="Book Antiqua" w:hAnsi="Book Antiqua"/>
          <w:sz w:val="24"/>
          <w:szCs w:val="24"/>
        </w:rPr>
        <w:t>A</w:t>
      </w:r>
      <w:r w:rsidRPr="00D936D5">
        <w:rPr>
          <w:rFonts w:ascii="Book Antiqua" w:hAnsi="Book Antiqua"/>
          <w:sz w:val="24"/>
          <w:szCs w:val="24"/>
        </w:rPr>
        <w:t xml:space="preserve">), indicating that the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might be associated with VEGF in patients with HCC.</w:t>
      </w:r>
      <w:r w:rsidR="009F788A" w:rsidRPr="00D936D5">
        <w:rPr>
          <w:rFonts w:ascii="Book Antiqua" w:hAnsi="Book Antiqua"/>
          <w:sz w:val="24"/>
          <w:szCs w:val="24"/>
        </w:rPr>
        <w:t xml:space="preserve"> However, the patients with </w:t>
      </w:r>
      <w:r w:rsidR="00885860" w:rsidRPr="00D936D5">
        <w:rPr>
          <w:rFonts w:ascii="Book Antiqua" w:hAnsi="Book Antiqua"/>
          <w:sz w:val="24"/>
          <w:szCs w:val="24"/>
        </w:rPr>
        <w:t xml:space="preserve">VEGFR-2, AFP, DCP and </w:t>
      </w:r>
      <w:r w:rsidR="009F788A" w:rsidRPr="00D936D5">
        <w:rPr>
          <w:rFonts w:ascii="Book Antiqua" w:hAnsi="Book Antiqua"/>
          <w:sz w:val="24"/>
          <w:szCs w:val="24"/>
        </w:rPr>
        <w:t xml:space="preserve">AFP-L3% levels </w:t>
      </w:r>
      <w:r w:rsidR="00D63735" w:rsidRPr="00D936D5">
        <w:rPr>
          <w:rFonts w:ascii="Book Antiqua" w:hAnsi="Book Antiqua"/>
          <w:sz w:val="24"/>
          <w:szCs w:val="24"/>
        </w:rPr>
        <w:t>were not different between</w:t>
      </w:r>
      <w:r w:rsidR="004D73D8" w:rsidRPr="00D936D5">
        <w:rPr>
          <w:rFonts w:ascii="Book Antiqua" w:hAnsi="Book Antiqua"/>
          <w:sz w:val="24"/>
          <w:szCs w:val="24"/>
        </w:rPr>
        <w:t xml:space="preserve"> the low and high </w:t>
      </w:r>
      <w:proofErr w:type="spellStart"/>
      <w:proofErr w:type="gramStart"/>
      <w:r w:rsidR="004D73D8" w:rsidRPr="00D936D5">
        <w:rPr>
          <w:rFonts w:ascii="Book Antiqua" w:hAnsi="Book Antiqua"/>
          <w:sz w:val="24"/>
          <w:szCs w:val="24"/>
        </w:rPr>
        <w:t>VWF:Ag</w:t>
      </w:r>
      <w:proofErr w:type="spellEnd"/>
      <w:proofErr w:type="gramEnd"/>
      <w:r w:rsidR="004D73D8" w:rsidRPr="00D936D5">
        <w:rPr>
          <w:rFonts w:ascii="Book Antiqua" w:hAnsi="Book Antiqua"/>
          <w:sz w:val="24"/>
          <w:szCs w:val="24"/>
        </w:rPr>
        <w:t>/ADAMTS13:AC ratio groups</w:t>
      </w:r>
      <w:r w:rsidR="00885860" w:rsidRPr="00D936D5">
        <w:rPr>
          <w:rFonts w:ascii="Book Antiqua" w:hAnsi="Book Antiqua"/>
          <w:sz w:val="24"/>
          <w:szCs w:val="24"/>
        </w:rPr>
        <w:t>.</w:t>
      </w:r>
    </w:p>
    <w:p w14:paraId="23D43AC8" w14:textId="77777777" w:rsidR="00741934" w:rsidRPr="00D936D5" w:rsidRDefault="00741934" w:rsidP="00120959">
      <w:pPr>
        <w:spacing w:line="360" w:lineRule="auto"/>
        <w:rPr>
          <w:rFonts w:ascii="Book Antiqua" w:hAnsi="Book Antiqua"/>
          <w:sz w:val="24"/>
          <w:szCs w:val="24"/>
        </w:rPr>
      </w:pPr>
    </w:p>
    <w:p w14:paraId="1FDFC926" w14:textId="77777777" w:rsidR="00741934" w:rsidRPr="00C9616C" w:rsidRDefault="00741934" w:rsidP="00120959">
      <w:pPr>
        <w:spacing w:line="360" w:lineRule="auto"/>
        <w:rPr>
          <w:rFonts w:ascii="Book Antiqua" w:hAnsi="Book Antiqua"/>
          <w:b/>
          <w:i/>
          <w:sz w:val="24"/>
          <w:szCs w:val="24"/>
        </w:rPr>
      </w:pPr>
      <w:r w:rsidRPr="00C9616C">
        <w:rPr>
          <w:rFonts w:ascii="Book Antiqua" w:hAnsi="Book Antiqua"/>
          <w:b/>
          <w:i/>
          <w:sz w:val="24"/>
          <w:szCs w:val="24"/>
        </w:rPr>
        <w:t>Prognostic factors for patients with HCC receiving sorafenib treatment</w:t>
      </w:r>
    </w:p>
    <w:p w14:paraId="67347D03" w14:textId="62CEDAD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In univariate analysis, age, DCP, and ADAMTS13:AC were associated with prognosis in patients with HC</w:t>
      </w:r>
      <w:r w:rsidR="00C9616C">
        <w:rPr>
          <w:rFonts w:ascii="Book Antiqua" w:hAnsi="Book Antiqua"/>
          <w:sz w:val="24"/>
          <w:szCs w:val="24"/>
        </w:rPr>
        <w:t>C receiving sorafenib treatment</w:t>
      </w:r>
      <w:r w:rsidRPr="00D936D5">
        <w:rPr>
          <w:rFonts w:ascii="Book Antiqua" w:hAnsi="Book Antiqua"/>
          <w:sz w:val="24"/>
          <w:szCs w:val="24"/>
        </w:rPr>
        <w:t xml:space="preserve"> (Table 3). To determine prognostic factors in patients with HCC receiving sorafenib treatment, we performed multivariate analysis using age, sex, DCP, tumor number, ADAMTS13:AC,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which had </w:t>
      </w:r>
      <w:r w:rsidR="00C9616C" w:rsidRPr="00D936D5">
        <w:rPr>
          <w:rFonts w:ascii="Book Antiqua" w:hAnsi="Book Antiqua"/>
          <w:i/>
          <w:sz w:val="24"/>
          <w:szCs w:val="24"/>
        </w:rPr>
        <w:t>P</w:t>
      </w:r>
      <w:r w:rsidRPr="00D936D5">
        <w:rPr>
          <w:rFonts w:ascii="Book Antiqua" w:hAnsi="Book Antiqua"/>
          <w:sz w:val="24"/>
          <w:szCs w:val="24"/>
        </w:rPr>
        <w:t xml:space="preserve">-values &lt; 0.2 in the univariate analysis. ADAMTS13:AC was associated significantly with prognosis in multivariate analysis (Table 3). Therefore, the patients were categorized into two groups according to the median cutoff ADAMTS13:AC: low (ADAMTS13:AC &lt; 78.0) and high (ADAMTS13:AC ≥ 78.0). The patients with a </w:t>
      </w:r>
      <w:r w:rsidRPr="00D936D5">
        <w:rPr>
          <w:rFonts w:ascii="Book Antiqua" w:hAnsi="Book Antiqua"/>
          <w:sz w:val="24"/>
          <w:szCs w:val="24"/>
        </w:rPr>
        <w:lastRenderedPageBreak/>
        <w:t>high ADAMTS13:AC had significantly longer PFS and OS than those with a low ADAMTS13:AC (Fig</w:t>
      </w:r>
      <w:r w:rsidR="00C9616C">
        <w:rPr>
          <w:rFonts w:ascii="Book Antiqua" w:eastAsia="SimSun" w:hAnsi="Book Antiqua" w:hint="eastAsia"/>
          <w:sz w:val="24"/>
          <w:szCs w:val="24"/>
          <w:lang w:eastAsia="zh-CN"/>
        </w:rPr>
        <w:t>ure</w:t>
      </w:r>
      <w:r w:rsidRPr="00D936D5">
        <w:rPr>
          <w:rFonts w:ascii="Book Antiqua" w:hAnsi="Book Antiqua"/>
          <w:sz w:val="24"/>
          <w:szCs w:val="24"/>
        </w:rPr>
        <w:t xml:space="preserve"> 5). The patients with a low ADAMTS13:AC had significantly higher VEGF levels than those with a high ADAMTS13:AC (Fig</w:t>
      </w:r>
      <w:r w:rsidR="00C9616C">
        <w:rPr>
          <w:rFonts w:ascii="Book Antiqua" w:eastAsia="SimSun" w:hAnsi="Book Antiqua" w:hint="eastAsia"/>
          <w:sz w:val="24"/>
          <w:szCs w:val="24"/>
          <w:lang w:eastAsia="zh-CN"/>
        </w:rPr>
        <w:t>ure</w:t>
      </w:r>
      <w:r w:rsidRPr="00D936D5">
        <w:rPr>
          <w:rFonts w:ascii="Book Antiqua" w:hAnsi="Book Antiqua"/>
          <w:sz w:val="24"/>
          <w:szCs w:val="24"/>
        </w:rPr>
        <w:t xml:space="preserve"> 4</w:t>
      </w:r>
      <w:r w:rsidR="00C9616C" w:rsidRPr="00D936D5">
        <w:rPr>
          <w:rFonts w:ascii="Book Antiqua" w:hAnsi="Book Antiqua"/>
          <w:sz w:val="24"/>
          <w:szCs w:val="24"/>
        </w:rPr>
        <w:t>B</w:t>
      </w:r>
      <w:r w:rsidRPr="00D936D5">
        <w:rPr>
          <w:rFonts w:ascii="Book Antiqua" w:hAnsi="Book Antiqua"/>
          <w:sz w:val="24"/>
          <w:szCs w:val="24"/>
        </w:rPr>
        <w:t>). These results indicated that ADAMTS13:AC might be associated with VEGF in patients with HCC.</w:t>
      </w:r>
      <w:r w:rsidR="00885860" w:rsidRPr="00D936D5">
        <w:rPr>
          <w:rFonts w:ascii="Book Antiqua" w:hAnsi="Book Antiqua"/>
          <w:sz w:val="24"/>
          <w:szCs w:val="24"/>
        </w:rPr>
        <w:t xml:space="preserve"> However, the patients with </w:t>
      </w:r>
      <w:r w:rsidR="00833650" w:rsidRPr="00D936D5">
        <w:rPr>
          <w:rFonts w:ascii="Book Antiqua" w:hAnsi="Book Antiqua"/>
          <w:sz w:val="24"/>
          <w:szCs w:val="24"/>
        </w:rPr>
        <w:t xml:space="preserve">VEGFR-2, </w:t>
      </w:r>
      <w:r w:rsidR="00885860" w:rsidRPr="00D936D5">
        <w:rPr>
          <w:rFonts w:ascii="Book Antiqua" w:hAnsi="Book Antiqua"/>
          <w:sz w:val="24"/>
          <w:szCs w:val="24"/>
        </w:rPr>
        <w:t>AFP, DCP</w:t>
      </w:r>
      <w:r w:rsidR="00D63735" w:rsidRPr="00D936D5">
        <w:rPr>
          <w:rFonts w:ascii="Book Antiqua" w:hAnsi="Book Antiqua"/>
          <w:sz w:val="24"/>
          <w:szCs w:val="24"/>
        </w:rPr>
        <w:t>,</w:t>
      </w:r>
      <w:r w:rsidR="00885860" w:rsidRPr="00D936D5">
        <w:rPr>
          <w:rFonts w:ascii="Book Antiqua" w:hAnsi="Book Antiqua"/>
          <w:sz w:val="24"/>
          <w:szCs w:val="24"/>
        </w:rPr>
        <w:t xml:space="preserve"> and AFP-L3% lev</w:t>
      </w:r>
      <w:r w:rsidR="00D63735" w:rsidRPr="00D936D5">
        <w:rPr>
          <w:rFonts w:ascii="Book Antiqua" w:hAnsi="Book Antiqua"/>
          <w:sz w:val="24"/>
          <w:szCs w:val="24"/>
        </w:rPr>
        <w:t>els were not different between</w:t>
      </w:r>
      <w:r w:rsidR="006875F0" w:rsidRPr="00D936D5">
        <w:rPr>
          <w:rFonts w:ascii="Book Antiqua" w:hAnsi="Book Antiqua"/>
          <w:sz w:val="24"/>
          <w:szCs w:val="24"/>
        </w:rPr>
        <w:t xml:space="preserve"> the low and high ADAMTS13:AC groups</w:t>
      </w:r>
      <w:r w:rsidR="00885860" w:rsidRPr="00D936D5">
        <w:rPr>
          <w:rFonts w:ascii="Book Antiqua" w:hAnsi="Book Antiqua"/>
          <w:sz w:val="24"/>
          <w:szCs w:val="24"/>
        </w:rPr>
        <w:t>.</w:t>
      </w:r>
    </w:p>
    <w:p w14:paraId="63ACBD7F" w14:textId="77777777" w:rsidR="00741934" w:rsidRPr="00D936D5" w:rsidRDefault="00741934" w:rsidP="00120959">
      <w:pPr>
        <w:spacing w:line="360" w:lineRule="auto"/>
        <w:rPr>
          <w:rFonts w:ascii="Book Antiqua" w:hAnsi="Book Antiqua"/>
          <w:b/>
          <w:sz w:val="24"/>
          <w:szCs w:val="24"/>
        </w:rPr>
      </w:pPr>
    </w:p>
    <w:p w14:paraId="74EE9011" w14:textId="33B4B428" w:rsidR="00741934" w:rsidRPr="00D936D5" w:rsidRDefault="00C9616C" w:rsidP="00120959">
      <w:pPr>
        <w:spacing w:line="360" w:lineRule="auto"/>
        <w:rPr>
          <w:rFonts w:ascii="Book Antiqua" w:hAnsi="Book Antiqua"/>
          <w:b/>
          <w:sz w:val="24"/>
          <w:szCs w:val="24"/>
        </w:rPr>
      </w:pPr>
      <w:r w:rsidRPr="00D936D5">
        <w:rPr>
          <w:rFonts w:ascii="Book Antiqua" w:hAnsi="Book Antiqua"/>
          <w:b/>
          <w:sz w:val="24"/>
          <w:szCs w:val="24"/>
        </w:rPr>
        <w:t>DISCUSSION</w:t>
      </w:r>
    </w:p>
    <w:p w14:paraId="7F19E1B2" w14:textId="3F15FB4D"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The results of the present study suggest that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and ADAMTS13:AC are potential biomarkers for sorafenib response and prognosis, respectively, in patients with HCC receiving sorafenib treatment. Previous studies reported that Child-Pugh score A patients with HCC receiving sorafenib treatment had longer OS and PFS than those with Child-Pugh score B </w:t>
      </w:r>
      <w:proofErr w:type="gramStart"/>
      <w:r w:rsidRPr="00D936D5">
        <w:rPr>
          <w:rFonts w:ascii="Book Antiqua" w:hAnsi="Book Antiqua"/>
          <w:sz w:val="24"/>
          <w:szCs w:val="24"/>
        </w:rPr>
        <w:t>patients</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2</w:t>
      </w:r>
      <w:r w:rsidR="00FE50AC" w:rsidRPr="00D936D5">
        <w:rPr>
          <w:rFonts w:ascii="Book Antiqua" w:hAnsi="Book Antiqua"/>
          <w:sz w:val="24"/>
          <w:szCs w:val="24"/>
          <w:vertAlign w:val="superscript"/>
        </w:rPr>
        <w:t>9</w:t>
      </w:r>
      <w:r w:rsidRPr="00D936D5">
        <w:rPr>
          <w:rFonts w:ascii="Book Antiqua" w:hAnsi="Book Antiqua"/>
          <w:sz w:val="24"/>
          <w:szCs w:val="24"/>
          <w:vertAlign w:val="superscript"/>
        </w:rPr>
        <w:t>]</w:t>
      </w:r>
      <w:r w:rsidRPr="00D936D5">
        <w:rPr>
          <w:rFonts w:ascii="Book Antiqua" w:hAnsi="Book Antiqua"/>
          <w:sz w:val="24"/>
          <w:szCs w:val="24"/>
        </w:rPr>
        <w:t xml:space="preserve"> and that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 was associated with prognosis in cirrhotic patients</w:t>
      </w:r>
      <w:r w:rsidRPr="00D936D5">
        <w:rPr>
          <w:rFonts w:ascii="Book Antiqua" w:hAnsi="Book Antiqua"/>
          <w:sz w:val="24"/>
          <w:szCs w:val="24"/>
          <w:vertAlign w:val="superscript"/>
        </w:rPr>
        <w:t>[</w:t>
      </w:r>
      <w:r w:rsidR="00FE50AC" w:rsidRPr="00D936D5">
        <w:rPr>
          <w:rFonts w:ascii="Book Antiqua" w:hAnsi="Book Antiqua"/>
          <w:sz w:val="24"/>
          <w:szCs w:val="24"/>
          <w:vertAlign w:val="superscript"/>
        </w:rPr>
        <w:t>30</w:t>
      </w:r>
      <w:r w:rsidRPr="00D936D5">
        <w:rPr>
          <w:rFonts w:ascii="Book Antiqua" w:hAnsi="Book Antiqua"/>
          <w:sz w:val="24"/>
          <w:szCs w:val="24"/>
          <w:vertAlign w:val="superscript"/>
        </w:rPr>
        <w:t>]</w:t>
      </w:r>
      <w:r w:rsidR="00FE50AC" w:rsidRPr="00D936D5">
        <w:rPr>
          <w:rFonts w:ascii="Book Antiqua" w:hAnsi="Book Antiqua"/>
          <w:sz w:val="24"/>
          <w:szCs w:val="24"/>
        </w:rPr>
        <w:t xml:space="preserve">. </w:t>
      </w:r>
      <w:r w:rsidRPr="00D936D5">
        <w:rPr>
          <w:rFonts w:ascii="Book Antiqua" w:hAnsi="Book Antiqua"/>
          <w:sz w:val="24"/>
          <w:szCs w:val="24"/>
        </w:rPr>
        <w:t xml:space="preserve">Furthermore, we previously reported that ADAMTS13:AC and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were associated with functional liver capacity</w:t>
      </w:r>
      <w:r w:rsidRPr="00D936D5">
        <w:rPr>
          <w:rFonts w:ascii="Book Antiqua" w:hAnsi="Book Antiqua"/>
          <w:sz w:val="24"/>
          <w:szCs w:val="24"/>
          <w:vertAlign w:val="superscript"/>
        </w:rPr>
        <w:t>[12,13]</w:t>
      </w:r>
      <w:r w:rsidRPr="00D936D5">
        <w:rPr>
          <w:rFonts w:ascii="Book Antiqua" w:hAnsi="Book Antiqua"/>
          <w:sz w:val="24"/>
          <w:szCs w:val="24"/>
        </w:rPr>
        <w:t xml:space="preserve"> and that ADAMTS13:AC was associated with prognosis in cirrhotic patients</w:t>
      </w:r>
      <w:r w:rsidRPr="00D936D5">
        <w:rPr>
          <w:rFonts w:ascii="Book Antiqua" w:hAnsi="Book Antiqua"/>
          <w:sz w:val="24"/>
          <w:szCs w:val="24"/>
          <w:vertAlign w:val="superscript"/>
        </w:rPr>
        <w:t>[6]</w:t>
      </w:r>
      <w:r w:rsidRPr="00D936D5">
        <w:rPr>
          <w:rFonts w:ascii="Book Antiqua" w:hAnsi="Book Antiqua"/>
          <w:sz w:val="24"/>
          <w:szCs w:val="24"/>
        </w:rPr>
        <w:t xml:space="preserve">. In other words, ADAMTS13:AC and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are useful biomarkers to evaluate functional liver capacity in detail for cirrhotic patients</w:t>
      </w:r>
      <w:r w:rsidRPr="00D936D5">
        <w:rPr>
          <w:rFonts w:ascii="Book Antiqua" w:hAnsi="Book Antiqua"/>
          <w:sz w:val="24"/>
          <w:szCs w:val="24"/>
          <w:vertAlign w:val="superscript"/>
        </w:rPr>
        <w:t>[6,</w:t>
      </w:r>
      <w:r w:rsidR="009D3F65" w:rsidRPr="00D936D5">
        <w:rPr>
          <w:rFonts w:ascii="Book Antiqua" w:hAnsi="Book Antiqua"/>
          <w:sz w:val="24"/>
          <w:szCs w:val="24"/>
          <w:vertAlign w:val="superscript"/>
        </w:rPr>
        <w:t>30</w:t>
      </w:r>
      <w:r w:rsidRPr="00D936D5">
        <w:rPr>
          <w:rFonts w:ascii="Book Antiqua" w:hAnsi="Book Antiqua"/>
          <w:sz w:val="24"/>
          <w:szCs w:val="24"/>
          <w:vertAlign w:val="superscript"/>
        </w:rPr>
        <w:t>]</w:t>
      </w:r>
      <w:r w:rsidRPr="00D936D5">
        <w:rPr>
          <w:rFonts w:ascii="Book Antiqua" w:hAnsi="Book Antiqua"/>
          <w:sz w:val="24"/>
          <w:szCs w:val="24"/>
        </w:rPr>
        <w:t xml:space="preserve">. As the result,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and ADAMTS13:AC might be associated with sorafenib response and prognosis, respectively, in patients with HCC </w:t>
      </w:r>
      <w:bookmarkStart w:id="4" w:name="_Hlk528968199"/>
      <w:r w:rsidRPr="00D936D5">
        <w:rPr>
          <w:rFonts w:ascii="Book Antiqua" w:hAnsi="Book Antiqua"/>
          <w:sz w:val="24"/>
          <w:szCs w:val="24"/>
        </w:rPr>
        <w:t>receiving sorafenib treatment</w:t>
      </w:r>
      <w:bookmarkEnd w:id="4"/>
      <w:r w:rsidRPr="00D936D5">
        <w:rPr>
          <w:rFonts w:ascii="Book Antiqua" w:hAnsi="Book Antiqua"/>
          <w:sz w:val="24"/>
          <w:szCs w:val="24"/>
        </w:rPr>
        <w:t>.</w:t>
      </w:r>
    </w:p>
    <w:p w14:paraId="1EF45DE1" w14:textId="6D5299DE"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A recent study reported that HCC patients with Barcelona Clinic Liver Cancer (BCLC) stage B receiving sorafenib treatment had longer OS than those with </w:t>
      </w:r>
      <w:r w:rsidRPr="00D936D5">
        <w:rPr>
          <w:rFonts w:ascii="Book Antiqua" w:hAnsi="Book Antiqua"/>
          <w:sz w:val="24"/>
          <w:szCs w:val="24"/>
        </w:rPr>
        <w:lastRenderedPageBreak/>
        <w:t xml:space="preserve">BCLC stage </w:t>
      </w:r>
      <w:proofErr w:type="gramStart"/>
      <w:r w:rsidRPr="00D936D5">
        <w:rPr>
          <w:rFonts w:ascii="Book Antiqua" w:hAnsi="Book Antiqua"/>
          <w:sz w:val="24"/>
          <w:szCs w:val="24"/>
        </w:rPr>
        <w:t>C</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2</w:t>
      </w:r>
      <w:r w:rsidR="009D3F65" w:rsidRPr="00D936D5">
        <w:rPr>
          <w:rFonts w:ascii="Book Antiqua" w:hAnsi="Book Antiqua"/>
          <w:sz w:val="24"/>
          <w:szCs w:val="24"/>
          <w:vertAlign w:val="superscript"/>
        </w:rPr>
        <w:t>9</w:t>
      </w:r>
      <w:r w:rsidRPr="00D936D5">
        <w:rPr>
          <w:rFonts w:ascii="Book Antiqua" w:hAnsi="Book Antiqua"/>
          <w:sz w:val="24"/>
          <w:szCs w:val="24"/>
          <w:vertAlign w:val="superscript"/>
        </w:rPr>
        <w:t>]</w:t>
      </w:r>
      <w:r w:rsidRPr="00D936D5">
        <w:rPr>
          <w:rFonts w:ascii="Book Antiqua" w:hAnsi="Book Antiqua"/>
          <w:sz w:val="24"/>
          <w:szCs w:val="24"/>
        </w:rPr>
        <w:t xml:space="preserve">. The current study revealed that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was associated with TNM stage in HCC. Furthermore, several studies reported that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was associated with TNM stage and prognosis in various cancers</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24</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31</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32</w:t>
      </w:r>
      <w:r w:rsidRPr="00D936D5">
        <w:rPr>
          <w:rFonts w:ascii="Book Antiqua" w:hAnsi="Book Antiqua"/>
          <w:sz w:val="24"/>
          <w:szCs w:val="24"/>
          <w:vertAlign w:val="superscript"/>
        </w:rPr>
        <w:t>]</w:t>
      </w:r>
      <w:r w:rsidRPr="00D936D5">
        <w:rPr>
          <w:rFonts w:ascii="Book Antiqua" w:hAnsi="Book Antiqua"/>
          <w:sz w:val="24"/>
          <w:szCs w:val="24"/>
        </w:rPr>
        <w:t xml:space="preserve">. The association of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and ADAMTS13:AC with sorafenib response and prognosis, respectively, in patients with HCC receiving sorafenib treatment reflects that the ADAMTS13–VWF imbalance might be associated with tumor stage. Furthermore, this may be caused by blood coagulation cascade associated with cancer </w:t>
      </w:r>
      <w:proofErr w:type="gramStart"/>
      <w:r w:rsidRPr="00D936D5">
        <w:rPr>
          <w:rFonts w:ascii="Book Antiqua" w:hAnsi="Book Antiqua"/>
          <w:sz w:val="24"/>
          <w:szCs w:val="24"/>
        </w:rPr>
        <w:t>development</w:t>
      </w:r>
      <w:r w:rsidRPr="00D936D5">
        <w:rPr>
          <w:rFonts w:ascii="Book Antiqua" w:hAnsi="Book Antiqua"/>
          <w:sz w:val="24"/>
          <w:szCs w:val="24"/>
          <w:vertAlign w:val="superscript"/>
        </w:rPr>
        <w:t>[</w:t>
      </w:r>
      <w:proofErr w:type="gramEnd"/>
      <w:r w:rsidR="009D3F65" w:rsidRPr="00D936D5">
        <w:rPr>
          <w:rFonts w:ascii="Book Antiqua" w:hAnsi="Book Antiqua"/>
          <w:sz w:val="24"/>
          <w:szCs w:val="24"/>
          <w:vertAlign w:val="superscript"/>
        </w:rPr>
        <w:t>21</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22</w:t>
      </w:r>
      <w:r w:rsidRPr="00D936D5">
        <w:rPr>
          <w:rFonts w:ascii="Book Antiqua" w:hAnsi="Book Antiqua"/>
          <w:sz w:val="24"/>
          <w:szCs w:val="24"/>
          <w:vertAlign w:val="superscript"/>
        </w:rPr>
        <w:t>]</w:t>
      </w:r>
      <w:r w:rsidRPr="00D936D5">
        <w:rPr>
          <w:rFonts w:ascii="Book Antiqua" w:hAnsi="Book Antiqua"/>
          <w:sz w:val="24"/>
          <w:szCs w:val="24"/>
        </w:rPr>
        <w:t xml:space="preserve"> because the ADAMTS13–VWF imbalance associated with blood coagulation cascade</w:t>
      </w:r>
      <w:r w:rsidRPr="00D936D5">
        <w:rPr>
          <w:rFonts w:ascii="Book Antiqua" w:hAnsi="Book Antiqua"/>
          <w:sz w:val="24"/>
          <w:szCs w:val="24"/>
          <w:vertAlign w:val="superscript"/>
        </w:rPr>
        <w:t>[</w:t>
      </w:r>
      <w:r w:rsidRPr="00D936D5">
        <w:rPr>
          <w:rFonts w:ascii="Book Antiqua" w:hAnsi="Book Antiqua"/>
          <w:noProof/>
          <w:sz w:val="24"/>
          <w:szCs w:val="24"/>
          <w:vertAlign w:val="superscript"/>
        </w:rPr>
        <w:t>11</w:t>
      </w:r>
      <w:r w:rsidRPr="00D936D5">
        <w:rPr>
          <w:rFonts w:ascii="Book Antiqua" w:hAnsi="Book Antiqua"/>
          <w:sz w:val="24"/>
          <w:szCs w:val="24"/>
          <w:vertAlign w:val="superscript"/>
        </w:rPr>
        <w:t>]</w:t>
      </w:r>
      <w:r w:rsidRPr="00D936D5">
        <w:rPr>
          <w:rFonts w:ascii="Book Antiqua" w:hAnsi="Book Antiqua"/>
          <w:sz w:val="24"/>
          <w:szCs w:val="24"/>
        </w:rPr>
        <w:t>.</w:t>
      </w:r>
      <w:r w:rsidRPr="00D936D5">
        <w:rPr>
          <w:rFonts w:ascii="Book Antiqua" w:hAnsi="Book Antiqua"/>
          <w:sz w:val="24"/>
          <w:szCs w:val="24"/>
        </w:rPr>
        <w:tab/>
      </w:r>
    </w:p>
    <w:p w14:paraId="1FC25017" w14:textId="14EE105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In addition, angiogenesis plays an important role in LC and HCC development, which are related to VEGF, as VEGF levels are increased in patients with LC and </w:t>
      </w:r>
      <w:proofErr w:type="gramStart"/>
      <w:r w:rsidRPr="00D936D5">
        <w:rPr>
          <w:rFonts w:ascii="Book Antiqua" w:hAnsi="Book Antiqua"/>
          <w:sz w:val="24"/>
          <w:szCs w:val="24"/>
        </w:rPr>
        <w:t>HCC</w:t>
      </w:r>
      <w:r w:rsidRPr="00D936D5">
        <w:rPr>
          <w:rFonts w:ascii="Book Antiqua" w:hAnsi="Book Antiqua"/>
          <w:sz w:val="24"/>
          <w:szCs w:val="24"/>
          <w:vertAlign w:val="superscript"/>
        </w:rPr>
        <w:t>[</w:t>
      </w:r>
      <w:proofErr w:type="gramEnd"/>
      <w:r w:rsidR="009D3F65" w:rsidRPr="00D936D5">
        <w:rPr>
          <w:rFonts w:ascii="Book Antiqua" w:hAnsi="Book Antiqua"/>
          <w:sz w:val="24"/>
          <w:szCs w:val="24"/>
          <w:vertAlign w:val="superscript"/>
        </w:rPr>
        <w:t>18</w:t>
      </w:r>
      <w:r w:rsidRPr="00D936D5">
        <w:rPr>
          <w:rFonts w:ascii="Book Antiqua" w:hAnsi="Book Antiqua"/>
          <w:sz w:val="24"/>
          <w:szCs w:val="24"/>
          <w:vertAlign w:val="superscript"/>
        </w:rPr>
        <w:t>-2</w:t>
      </w:r>
      <w:r w:rsidR="009D3F65" w:rsidRPr="00D936D5">
        <w:rPr>
          <w:rFonts w:ascii="Book Antiqua" w:hAnsi="Book Antiqua"/>
          <w:sz w:val="24"/>
          <w:szCs w:val="24"/>
          <w:vertAlign w:val="superscript"/>
        </w:rPr>
        <w:t>0</w:t>
      </w:r>
      <w:r w:rsidRPr="00D936D5">
        <w:rPr>
          <w:rFonts w:ascii="Book Antiqua" w:hAnsi="Book Antiqua"/>
          <w:sz w:val="24"/>
          <w:szCs w:val="24"/>
          <w:vertAlign w:val="superscript"/>
        </w:rPr>
        <w:t>]</w:t>
      </w:r>
      <w:r w:rsidRPr="00D936D5">
        <w:rPr>
          <w:rFonts w:ascii="Book Antiqua" w:hAnsi="Book Antiqua"/>
          <w:sz w:val="24"/>
          <w:szCs w:val="24"/>
        </w:rPr>
        <w:t>. Recent studies reported that VWF reduced VEGF-depend angiogenesis via multiple intracellular and extracellular pathways involving integrin avβ3 and angiopoietin-2</w:t>
      </w:r>
      <w:r w:rsidRPr="00D936D5">
        <w:rPr>
          <w:rFonts w:ascii="Book Antiqua" w:hAnsi="Book Antiqua"/>
          <w:sz w:val="24"/>
          <w:szCs w:val="24"/>
          <w:vertAlign w:val="superscript"/>
        </w:rPr>
        <w:t>[</w:t>
      </w:r>
      <w:r w:rsidR="00502B0B" w:rsidRPr="00D936D5">
        <w:rPr>
          <w:rFonts w:ascii="Book Antiqua" w:hAnsi="Book Antiqua"/>
          <w:sz w:val="24"/>
          <w:szCs w:val="24"/>
          <w:vertAlign w:val="superscript"/>
        </w:rPr>
        <w:t>14-</w:t>
      </w:r>
      <w:r w:rsidR="00502B0B" w:rsidRPr="00D936D5">
        <w:rPr>
          <w:rFonts w:ascii="Book Antiqua" w:hAnsi="Book Antiqua"/>
          <w:noProof/>
          <w:sz w:val="24"/>
          <w:szCs w:val="24"/>
          <w:vertAlign w:val="superscript"/>
        </w:rPr>
        <w:t>16</w:t>
      </w:r>
      <w:r w:rsidRPr="00D936D5">
        <w:rPr>
          <w:rFonts w:ascii="Book Antiqua" w:hAnsi="Book Antiqua"/>
          <w:sz w:val="24"/>
          <w:szCs w:val="24"/>
          <w:vertAlign w:val="superscript"/>
        </w:rPr>
        <w:t>]</w:t>
      </w:r>
      <w:r w:rsidRPr="00D936D5">
        <w:rPr>
          <w:rFonts w:ascii="Book Antiqua" w:hAnsi="Book Antiqua"/>
          <w:sz w:val="24"/>
          <w:szCs w:val="24"/>
        </w:rPr>
        <w:t xml:space="preserve"> and that ADAMTS13 induced angiogenesis by ADAMTS13-mediated cleavage of VWF and ADAMTS13-mediated VEGFR-2 phosphorylation, which lead to enhanced VEGF </w:t>
      </w:r>
      <w:proofErr w:type="gramStart"/>
      <w:r w:rsidRPr="00D936D5">
        <w:rPr>
          <w:rFonts w:ascii="Book Antiqua" w:hAnsi="Book Antiqua"/>
          <w:sz w:val="24"/>
          <w:szCs w:val="24"/>
        </w:rPr>
        <w:t>expression</w:t>
      </w:r>
      <w:r w:rsidRPr="00D936D5">
        <w:rPr>
          <w:rFonts w:ascii="Book Antiqua" w:hAnsi="Book Antiqua"/>
          <w:sz w:val="24"/>
          <w:szCs w:val="24"/>
          <w:vertAlign w:val="superscript"/>
        </w:rPr>
        <w:t>[</w:t>
      </w:r>
      <w:proofErr w:type="gramEnd"/>
      <w:r w:rsidR="00F666B4" w:rsidRPr="00D936D5">
        <w:rPr>
          <w:rFonts w:ascii="Book Antiqua" w:hAnsi="Book Antiqua"/>
          <w:sz w:val="24"/>
          <w:szCs w:val="24"/>
          <w:vertAlign w:val="superscript"/>
        </w:rPr>
        <w:t>17</w:t>
      </w:r>
      <w:r w:rsidRPr="00D936D5">
        <w:rPr>
          <w:rFonts w:ascii="Book Antiqua" w:hAnsi="Book Antiqua"/>
          <w:sz w:val="24"/>
          <w:szCs w:val="24"/>
          <w:vertAlign w:val="superscript"/>
        </w:rPr>
        <w:t>]</w:t>
      </w:r>
      <w:r w:rsidRPr="00D936D5">
        <w:rPr>
          <w:rFonts w:ascii="Book Antiqua" w:hAnsi="Book Antiqua"/>
          <w:sz w:val="24"/>
          <w:szCs w:val="24"/>
        </w:rPr>
        <w:t xml:space="preserve">. Xu </w:t>
      </w:r>
      <w:r w:rsidRPr="00D936D5">
        <w:rPr>
          <w:rFonts w:ascii="Book Antiqua" w:hAnsi="Book Antiqua"/>
          <w:i/>
          <w:sz w:val="24"/>
          <w:szCs w:val="24"/>
        </w:rPr>
        <w:t>et</w:t>
      </w:r>
      <w:r w:rsidRPr="00D936D5">
        <w:rPr>
          <w:rFonts w:ascii="Book Antiqua" w:hAnsi="Book Antiqua"/>
          <w:sz w:val="24"/>
          <w:szCs w:val="24"/>
        </w:rPr>
        <w:t xml:space="preserve"> </w:t>
      </w:r>
      <w:proofErr w:type="gramStart"/>
      <w:r w:rsidRPr="00D936D5">
        <w:rPr>
          <w:rFonts w:ascii="Book Antiqua" w:hAnsi="Book Antiqua"/>
          <w:i/>
          <w:sz w:val="24"/>
          <w:szCs w:val="24"/>
        </w:rPr>
        <w:t>al</w:t>
      </w:r>
      <w:r w:rsidR="00106BCF" w:rsidRPr="00D936D5">
        <w:rPr>
          <w:rFonts w:ascii="Book Antiqua" w:hAnsi="Book Antiqua"/>
          <w:sz w:val="24"/>
          <w:szCs w:val="24"/>
          <w:vertAlign w:val="superscript"/>
        </w:rPr>
        <w:t>[</w:t>
      </w:r>
      <w:proofErr w:type="gramEnd"/>
      <w:r w:rsidR="00106BCF" w:rsidRPr="00D936D5">
        <w:rPr>
          <w:rFonts w:ascii="Book Antiqua" w:hAnsi="Book Antiqua"/>
          <w:sz w:val="24"/>
          <w:szCs w:val="24"/>
          <w:vertAlign w:val="superscript"/>
        </w:rPr>
        <w:t>16]</w:t>
      </w:r>
      <w:r w:rsidRPr="00D936D5">
        <w:rPr>
          <w:rFonts w:ascii="Book Antiqua" w:hAnsi="Book Antiqua"/>
          <w:sz w:val="24"/>
          <w:szCs w:val="24"/>
        </w:rPr>
        <w:t xml:space="preserve"> revealed the critical role of the balance between ADAMTS13 and VWF in regulating blood vessel formation. Furthermore, we observed that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 was a predictive factor</w:t>
      </w:r>
      <w:r w:rsidRPr="00D936D5">
        <w:rPr>
          <w:rFonts w:ascii="Book Antiqua" w:hAnsi="Book Antiqua"/>
          <w:sz w:val="24"/>
          <w:szCs w:val="24"/>
          <w:vertAlign w:val="superscript"/>
        </w:rPr>
        <w:t>[8]</w:t>
      </w:r>
      <w:r w:rsidRPr="00D936D5">
        <w:rPr>
          <w:rFonts w:ascii="Book Antiqua" w:hAnsi="Book Antiqua"/>
          <w:sz w:val="24"/>
          <w:szCs w:val="24"/>
        </w:rPr>
        <w:t xml:space="preserve"> and that the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was a diagnostic factor (unpublished observations) for HCC in cirrhotic patients. As sorafenib inhibits VEGF</w:t>
      </w:r>
      <w:r w:rsidR="00096FB3" w:rsidRPr="00D936D5">
        <w:rPr>
          <w:rFonts w:ascii="Book Antiqua" w:hAnsi="Book Antiqua"/>
          <w:sz w:val="24"/>
          <w:szCs w:val="24"/>
        </w:rPr>
        <w:t xml:space="preserve"> and </w:t>
      </w:r>
      <w:bookmarkStart w:id="5" w:name="_Hlk994636"/>
      <w:r w:rsidR="004928FD" w:rsidRPr="00D936D5">
        <w:rPr>
          <w:rFonts w:ascii="Book Antiqua" w:hAnsi="Book Antiqua"/>
          <w:sz w:val="24"/>
          <w:szCs w:val="24"/>
        </w:rPr>
        <w:t>the change in</w:t>
      </w:r>
      <w:r w:rsidR="00DB31F2" w:rsidRPr="00D936D5">
        <w:rPr>
          <w:rFonts w:ascii="Book Antiqua" w:hAnsi="Book Antiqua"/>
          <w:sz w:val="24"/>
          <w:szCs w:val="24"/>
        </w:rPr>
        <w:t xml:space="preserve"> </w:t>
      </w:r>
      <w:r w:rsidR="00096FB3" w:rsidRPr="00D936D5">
        <w:rPr>
          <w:rFonts w:ascii="Book Antiqua" w:hAnsi="Book Antiqua"/>
          <w:sz w:val="24"/>
          <w:szCs w:val="24"/>
        </w:rPr>
        <w:t>VEGF</w:t>
      </w:r>
      <w:r w:rsidR="00DB31F2" w:rsidRPr="00D936D5">
        <w:rPr>
          <w:rFonts w:ascii="Book Antiqua" w:hAnsi="Book Antiqua"/>
          <w:sz w:val="24"/>
          <w:szCs w:val="24"/>
        </w:rPr>
        <w:t xml:space="preserve"> during </w:t>
      </w:r>
      <w:r w:rsidR="00A34A0B" w:rsidRPr="00D936D5">
        <w:rPr>
          <w:rFonts w:ascii="Book Antiqua" w:hAnsi="Book Antiqua"/>
          <w:sz w:val="24"/>
          <w:szCs w:val="24"/>
        </w:rPr>
        <w:t>sorafenib treatment</w:t>
      </w:r>
      <w:r w:rsidR="00DB1D86" w:rsidRPr="00D936D5">
        <w:rPr>
          <w:rFonts w:ascii="Book Antiqua" w:hAnsi="Book Antiqua"/>
          <w:sz w:val="24"/>
          <w:szCs w:val="24"/>
        </w:rPr>
        <w:t xml:space="preserve"> is associated with </w:t>
      </w:r>
      <w:r w:rsidR="004928FD" w:rsidRPr="00D936D5">
        <w:rPr>
          <w:rFonts w:ascii="Book Antiqua" w:hAnsi="Book Antiqua"/>
          <w:sz w:val="24"/>
          <w:szCs w:val="24"/>
        </w:rPr>
        <w:t xml:space="preserve">the </w:t>
      </w:r>
      <w:r w:rsidR="00DB1D86" w:rsidRPr="00D936D5">
        <w:rPr>
          <w:rFonts w:ascii="Book Antiqua" w:hAnsi="Book Antiqua"/>
          <w:sz w:val="24"/>
          <w:szCs w:val="24"/>
        </w:rPr>
        <w:t xml:space="preserve">prognosis of patients with HCC receiving sorafenib </w:t>
      </w:r>
      <w:proofErr w:type="gramStart"/>
      <w:r w:rsidR="00DB1D86" w:rsidRPr="00D936D5">
        <w:rPr>
          <w:rFonts w:ascii="Book Antiqua" w:hAnsi="Book Antiqua"/>
          <w:sz w:val="24"/>
          <w:szCs w:val="24"/>
        </w:rPr>
        <w:t>treatment</w:t>
      </w:r>
      <w:bookmarkEnd w:id="5"/>
      <w:r w:rsidR="002F0AB8" w:rsidRPr="00D936D5">
        <w:rPr>
          <w:rFonts w:ascii="Book Antiqua" w:hAnsi="Book Antiqua"/>
          <w:sz w:val="24"/>
          <w:szCs w:val="24"/>
          <w:vertAlign w:val="superscript"/>
        </w:rPr>
        <w:t>[</w:t>
      </w:r>
      <w:proofErr w:type="gramEnd"/>
      <w:r w:rsidR="002F0AB8" w:rsidRPr="00D936D5">
        <w:rPr>
          <w:rFonts w:ascii="Book Antiqua" w:hAnsi="Book Antiqua"/>
          <w:sz w:val="24"/>
          <w:szCs w:val="24"/>
          <w:vertAlign w:val="superscript"/>
        </w:rPr>
        <w:t>4]</w:t>
      </w:r>
      <w:r w:rsidR="002F0AB8" w:rsidRPr="00D936D5">
        <w:rPr>
          <w:rFonts w:ascii="Book Antiqua" w:hAnsi="Book Antiqua"/>
          <w:sz w:val="24"/>
          <w:szCs w:val="24"/>
        </w:rPr>
        <w:t xml:space="preserve">, </w:t>
      </w:r>
      <w:r w:rsidRPr="00D936D5">
        <w:rPr>
          <w:rFonts w:ascii="Book Antiqua" w:hAnsi="Book Antiqua"/>
          <w:sz w:val="24"/>
          <w:szCs w:val="24"/>
        </w:rPr>
        <w:t xml:space="preserve">the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and ADAMTS13:AC might be </w:t>
      </w:r>
      <w:r w:rsidRPr="00D936D5">
        <w:rPr>
          <w:rFonts w:ascii="Book Antiqua" w:hAnsi="Book Antiqua"/>
          <w:sz w:val="24"/>
          <w:szCs w:val="24"/>
        </w:rPr>
        <w:lastRenderedPageBreak/>
        <w:t xml:space="preserve">associated sorafenib response and prognosis, respectively, in patients with HCC receiving sorafenib treatment, through angiogenesis. In fact, in the present study, </w:t>
      </w:r>
      <w:bookmarkStart w:id="6" w:name="_Hlk532735528"/>
      <w:r w:rsidRPr="00D936D5">
        <w:rPr>
          <w:rFonts w:ascii="Book Antiqua" w:hAnsi="Book Antiqua"/>
          <w:sz w:val="24"/>
          <w:szCs w:val="24"/>
        </w:rPr>
        <w:t xml:space="preserve">we also found that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were associated with VEGF levels.</w:t>
      </w:r>
      <w:bookmarkEnd w:id="6"/>
    </w:p>
    <w:p w14:paraId="7C87438A" w14:textId="6A33F8F8"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Furthermore, antiplatelet therapy inhibits PDGF, which induces HCC </w:t>
      </w:r>
      <w:proofErr w:type="gramStart"/>
      <w:r w:rsidRPr="00D936D5">
        <w:rPr>
          <w:rFonts w:ascii="Book Antiqua" w:hAnsi="Book Antiqua"/>
          <w:sz w:val="24"/>
          <w:szCs w:val="24"/>
        </w:rPr>
        <w:t>development</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3</w:t>
      </w:r>
      <w:r w:rsidRPr="00D936D5">
        <w:rPr>
          <w:rFonts w:ascii="Book Antiqua" w:hAnsi="Book Antiqua"/>
          <w:sz w:val="24"/>
          <w:szCs w:val="24"/>
          <w:vertAlign w:val="superscript"/>
        </w:rPr>
        <w:t>]</w:t>
      </w:r>
      <w:r w:rsidRPr="00D936D5">
        <w:rPr>
          <w:rFonts w:ascii="Book Antiqua" w:hAnsi="Book Antiqua"/>
          <w:sz w:val="24"/>
          <w:szCs w:val="24"/>
        </w:rPr>
        <w:t xml:space="preserve">. Recent studies reported that antiplatelet therapy prevented HCC development in cirrhotic </w:t>
      </w:r>
      <w:proofErr w:type="gramStart"/>
      <w:r w:rsidRPr="00D936D5">
        <w:rPr>
          <w:rFonts w:ascii="Book Antiqua" w:hAnsi="Book Antiqua"/>
          <w:sz w:val="24"/>
          <w:szCs w:val="24"/>
        </w:rPr>
        <w:t>patients</w:t>
      </w:r>
      <w:r w:rsidRPr="00D936D5">
        <w:rPr>
          <w:rFonts w:ascii="Book Antiqua" w:hAnsi="Book Antiqua"/>
          <w:sz w:val="24"/>
          <w:szCs w:val="24"/>
          <w:vertAlign w:val="superscript"/>
        </w:rPr>
        <w:t>[</w:t>
      </w:r>
      <w:proofErr w:type="gramEnd"/>
      <w:r w:rsidR="00F666B4" w:rsidRPr="00D936D5">
        <w:rPr>
          <w:rFonts w:ascii="Book Antiqua" w:hAnsi="Book Antiqua"/>
          <w:sz w:val="24"/>
          <w:szCs w:val="24"/>
          <w:vertAlign w:val="superscript"/>
        </w:rPr>
        <w:t>34</w:t>
      </w:r>
      <w:r w:rsidRPr="00D936D5">
        <w:rPr>
          <w:rFonts w:ascii="Book Antiqua" w:hAnsi="Book Antiqua"/>
          <w:sz w:val="24"/>
          <w:szCs w:val="24"/>
          <w:vertAlign w:val="superscript"/>
        </w:rPr>
        <w:t>]</w:t>
      </w:r>
      <w:r w:rsidRPr="00D936D5">
        <w:rPr>
          <w:rFonts w:ascii="Book Antiqua" w:hAnsi="Book Antiqua"/>
          <w:sz w:val="24"/>
          <w:szCs w:val="24"/>
        </w:rPr>
        <w:t xml:space="preserve"> and improved survival in a mouse model of chronic hepatitis B</w:t>
      </w:r>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3</w:t>
      </w:r>
      <w:r w:rsidRPr="00D936D5">
        <w:rPr>
          <w:rFonts w:ascii="Book Antiqua" w:hAnsi="Book Antiqua"/>
          <w:sz w:val="24"/>
          <w:szCs w:val="24"/>
          <w:vertAlign w:val="superscript"/>
        </w:rPr>
        <w:t>]</w:t>
      </w:r>
      <w:r w:rsidRPr="00D936D5">
        <w:rPr>
          <w:rFonts w:ascii="Book Antiqua" w:hAnsi="Book Antiqua"/>
          <w:sz w:val="24"/>
          <w:szCs w:val="24"/>
        </w:rPr>
        <w:t xml:space="preserve">. An imbalance between ADAMTS13 and VWF induces platelet thrombus </w:t>
      </w:r>
      <w:proofErr w:type="gramStart"/>
      <w:r w:rsidRPr="00D936D5">
        <w:rPr>
          <w:rFonts w:ascii="Book Antiqua" w:hAnsi="Book Antiqua"/>
          <w:sz w:val="24"/>
          <w:szCs w:val="24"/>
        </w:rPr>
        <w:t>formation</w:t>
      </w:r>
      <w:r w:rsidRPr="00D936D5">
        <w:rPr>
          <w:rFonts w:ascii="Book Antiqua" w:hAnsi="Book Antiqua"/>
          <w:sz w:val="24"/>
          <w:szCs w:val="24"/>
          <w:vertAlign w:val="superscript"/>
        </w:rPr>
        <w:t>[</w:t>
      </w:r>
      <w:proofErr w:type="gramEnd"/>
      <w:r w:rsidRPr="00D936D5">
        <w:rPr>
          <w:rFonts w:ascii="Book Antiqua" w:hAnsi="Book Antiqua"/>
          <w:sz w:val="24"/>
          <w:szCs w:val="24"/>
          <w:vertAlign w:val="superscript"/>
        </w:rPr>
        <w:t>11]</w:t>
      </w:r>
      <w:r w:rsidRPr="00D936D5">
        <w:rPr>
          <w:rFonts w:ascii="Book Antiqua" w:hAnsi="Book Antiqua"/>
          <w:sz w:val="24"/>
          <w:szCs w:val="24"/>
        </w:rPr>
        <w:t xml:space="preserve"> and thereby is possibly associated with PDGF. The association of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with sorafenib response and prognosis in patients with HCC receiving sorafenib treatment might be occurring via PDGF, which is inhibited by sorafenib and VEGF. The relationship of the ADAMTS13-VWF imbalance with angiogenic factors requires further investigation.</w:t>
      </w:r>
    </w:p>
    <w:p w14:paraId="6C370662" w14:textId="7297B831"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There are several promising candidate biomarkers for predicting </w:t>
      </w:r>
      <w:bookmarkStart w:id="7" w:name="_Hlk528701271"/>
      <w:r w:rsidRPr="00D936D5">
        <w:rPr>
          <w:rFonts w:ascii="Book Antiqua" w:hAnsi="Book Antiqua"/>
          <w:sz w:val="24"/>
          <w:szCs w:val="24"/>
        </w:rPr>
        <w:t xml:space="preserve">sorafenib </w:t>
      </w:r>
      <w:bookmarkEnd w:id="7"/>
      <w:r w:rsidRPr="00D936D5">
        <w:rPr>
          <w:rFonts w:ascii="Book Antiqua" w:hAnsi="Book Antiqua"/>
          <w:sz w:val="24"/>
          <w:szCs w:val="24"/>
        </w:rPr>
        <w:t>response and prognosis in patients with HCC receiving sorafenib treatment, including VEGF-A, angiopoietin-2, insulin-like growth factor-1, and neutrophil/lymphocyte ratio</w:t>
      </w:r>
      <w:r w:rsidRPr="00D936D5">
        <w:rPr>
          <w:rFonts w:ascii="Book Antiqua" w:hAnsi="Book Antiqua"/>
          <w:sz w:val="24"/>
          <w:szCs w:val="24"/>
          <w:vertAlign w:val="superscript"/>
        </w:rPr>
        <w:t>[2</w:t>
      </w:r>
      <w:r w:rsidR="00F666B4" w:rsidRPr="00D936D5">
        <w:rPr>
          <w:rFonts w:ascii="Book Antiqua" w:hAnsi="Book Antiqua"/>
          <w:sz w:val="24"/>
          <w:szCs w:val="24"/>
          <w:vertAlign w:val="superscript"/>
        </w:rPr>
        <w:t>9</w:t>
      </w:r>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5</w:t>
      </w:r>
      <w:r w:rsidRPr="00D936D5">
        <w:rPr>
          <w:rFonts w:ascii="Book Antiqua" w:hAnsi="Book Antiqua"/>
          <w:sz w:val="24"/>
          <w:szCs w:val="24"/>
          <w:vertAlign w:val="superscript"/>
        </w:rPr>
        <w:t>]</w:t>
      </w:r>
      <w:r w:rsidRPr="00D936D5">
        <w:rPr>
          <w:rFonts w:ascii="Book Antiqua" w:hAnsi="Book Antiqua"/>
          <w:sz w:val="24"/>
          <w:szCs w:val="24"/>
        </w:rPr>
        <w:t>, most of which are not identified as biomarkers for these patients due to high costs and limited practicality in a clinical setting</w:t>
      </w:r>
      <w:r w:rsidRPr="00D936D5">
        <w:rPr>
          <w:rFonts w:ascii="Book Antiqua" w:hAnsi="Book Antiqua"/>
          <w:sz w:val="24"/>
          <w:szCs w:val="24"/>
          <w:vertAlign w:val="superscript"/>
        </w:rPr>
        <w:t>[2</w:t>
      </w:r>
      <w:r w:rsidR="00F666B4" w:rsidRPr="00D936D5">
        <w:rPr>
          <w:rFonts w:ascii="Book Antiqua" w:hAnsi="Book Antiqua"/>
          <w:sz w:val="24"/>
          <w:szCs w:val="24"/>
          <w:vertAlign w:val="superscript"/>
        </w:rPr>
        <w:t>9</w:t>
      </w:r>
      <w:r w:rsidRPr="00D936D5">
        <w:rPr>
          <w:rFonts w:ascii="Book Antiqua" w:hAnsi="Book Antiqua"/>
          <w:sz w:val="24"/>
          <w:szCs w:val="24"/>
          <w:vertAlign w:val="superscript"/>
        </w:rPr>
        <w:t>,3</w:t>
      </w:r>
      <w:r w:rsidR="00093018" w:rsidRPr="00D936D5">
        <w:rPr>
          <w:rFonts w:ascii="Book Antiqua" w:hAnsi="Book Antiqua"/>
          <w:sz w:val="24"/>
          <w:szCs w:val="24"/>
          <w:vertAlign w:val="superscript"/>
        </w:rPr>
        <w:t>5</w:t>
      </w:r>
      <w:r w:rsidRPr="00D936D5">
        <w:rPr>
          <w:rFonts w:ascii="Book Antiqua" w:hAnsi="Book Antiqua"/>
          <w:sz w:val="24"/>
          <w:szCs w:val="24"/>
          <w:vertAlign w:val="superscript"/>
        </w:rPr>
        <w:t>]</w:t>
      </w:r>
      <w:r w:rsidRPr="00D936D5">
        <w:rPr>
          <w:rFonts w:ascii="Book Antiqua" w:hAnsi="Book Antiqua"/>
          <w:sz w:val="24"/>
          <w:szCs w:val="24"/>
        </w:rPr>
        <w:t xml:space="preserve">. In addition, while these biomarkers were reported as prognostic factors for OS in patients with HCC receiving sorafenib treatment, their relationship with PFS was not determined. Importantly, OS is affected by after-treatment. In fact, in the present study, several patients underwent TACE and/or hepatic arterial infusion chemotherapy using cisplatin. Therefore, we propose </w:t>
      </w:r>
      <w:r w:rsidRPr="00D936D5">
        <w:rPr>
          <w:rFonts w:ascii="Book Antiqua" w:hAnsi="Book Antiqua"/>
          <w:sz w:val="24"/>
          <w:szCs w:val="24"/>
        </w:rPr>
        <w:lastRenderedPageBreak/>
        <w:t>that PFS might be more important than OS for evaluating sorafenib treatment efficiency in patients with HCC in clinical setting. Because ADAMTS13:AC is a prognostic factor for OS and PFS in patients with HCC receiving sorafenib treatment, we believe that ADAMTS13:AC is a more useful biomarker than other biomarkers.</w:t>
      </w:r>
    </w:p>
    <w:p w14:paraId="15FCC42E" w14:textId="629556F2" w:rsidR="00D750C3"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The present study has several limitations, including a short observation period and the small sample size. Cirrhotic patients with HCC occasionally develop thrombosis or inflammation, including portal thrombosis and bacterial overgrowth and translocation, which may impact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and impact their value as biomarkers.</w:t>
      </w:r>
      <w:r w:rsidR="00182961" w:rsidRPr="00D936D5">
        <w:rPr>
          <w:rFonts w:ascii="Book Antiqua" w:hAnsi="Book Antiqua"/>
          <w:sz w:val="24"/>
          <w:szCs w:val="24"/>
        </w:rPr>
        <w:t xml:space="preserve"> In addition, </w:t>
      </w:r>
      <w:r w:rsidR="00940F94" w:rsidRPr="00D936D5">
        <w:rPr>
          <w:rFonts w:ascii="Book Antiqua" w:hAnsi="Book Antiqua"/>
          <w:sz w:val="24"/>
          <w:szCs w:val="24"/>
        </w:rPr>
        <w:t xml:space="preserve">only </w:t>
      </w:r>
      <w:r w:rsidR="00182961" w:rsidRPr="00D936D5">
        <w:rPr>
          <w:rFonts w:ascii="Book Antiqua" w:hAnsi="Book Antiqua"/>
          <w:sz w:val="24"/>
          <w:szCs w:val="24"/>
        </w:rPr>
        <w:t xml:space="preserve">7.3% of patients were female (male: 38, female: 3). </w:t>
      </w:r>
      <w:r w:rsidR="003D5782" w:rsidRPr="00D936D5">
        <w:rPr>
          <w:rFonts w:ascii="Book Antiqua" w:hAnsi="Book Antiqua"/>
          <w:sz w:val="24"/>
          <w:szCs w:val="24"/>
        </w:rPr>
        <w:t>W</w:t>
      </w:r>
      <w:r w:rsidR="00161DFE" w:rsidRPr="00D936D5">
        <w:rPr>
          <w:rFonts w:ascii="Book Antiqua" w:hAnsi="Book Antiqua"/>
          <w:sz w:val="24"/>
          <w:szCs w:val="24"/>
        </w:rPr>
        <w:t>e believe that the diffe</w:t>
      </w:r>
      <w:r w:rsidR="00CE41D6" w:rsidRPr="00D936D5">
        <w:rPr>
          <w:rFonts w:ascii="Book Antiqua" w:hAnsi="Book Antiqua"/>
          <w:sz w:val="24"/>
          <w:szCs w:val="24"/>
        </w:rPr>
        <w:t>rence in</w:t>
      </w:r>
      <w:r w:rsidR="00D750C3" w:rsidRPr="00D936D5">
        <w:rPr>
          <w:rFonts w:ascii="Book Antiqua" w:hAnsi="Book Antiqua"/>
          <w:sz w:val="24"/>
          <w:szCs w:val="24"/>
        </w:rPr>
        <w:t xml:space="preserve"> gender</w:t>
      </w:r>
      <w:r w:rsidR="00CE41D6" w:rsidRPr="00D936D5">
        <w:rPr>
          <w:rFonts w:ascii="Book Antiqua" w:hAnsi="Book Antiqua"/>
          <w:sz w:val="24"/>
          <w:szCs w:val="24"/>
        </w:rPr>
        <w:t xml:space="preserve"> had no effects in </w:t>
      </w:r>
      <w:r w:rsidR="00E15E0E" w:rsidRPr="00D936D5">
        <w:rPr>
          <w:rFonts w:ascii="Book Antiqua" w:hAnsi="Book Antiqua"/>
          <w:sz w:val="24"/>
          <w:szCs w:val="24"/>
        </w:rPr>
        <w:t xml:space="preserve">our study </w:t>
      </w:r>
      <w:r w:rsidR="00161DFE" w:rsidRPr="00D936D5">
        <w:rPr>
          <w:rFonts w:ascii="Book Antiqua" w:hAnsi="Book Antiqua"/>
          <w:sz w:val="24"/>
          <w:szCs w:val="24"/>
        </w:rPr>
        <w:t xml:space="preserve">because </w:t>
      </w:r>
      <w:r w:rsidR="00CE41D6" w:rsidRPr="00D936D5">
        <w:rPr>
          <w:rFonts w:ascii="Book Antiqua" w:hAnsi="Book Antiqua"/>
          <w:sz w:val="24"/>
          <w:szCs w:val="24"/>
        </w:rPr>
        <w:t xml:space="preserve">a </w:t>
      </w:r>
      <w:r w:rsidR="00161DFE" w:rsidRPr="00D936D5">
        <w:rPr>
          <w:rFonts w:ascii="Book Antiqua" w:hAnsi="Book Antiqua"/>
          <w:sz w:val="24"/>
          <w:szCs w:val="24"/>
        </w:rPr>
        <w:t>previous study</w:t>
      </w:r>
      <w:r w:rsidR="00CE41D6" w:rsidRPr="00D936D5">
        <w:rPr>
          <w:rFonts w:ascii="Book Antiqua" w:hAnsi="Book Antiqua"/>
          <w:sz w:val="24"/>
          <w:szCs w:val="24"/>
        </w:rPr>
        <w:t xml:space="preserve"> has</w:t>
      </w:r>
      <w:r w:rsidR="00161DFE" w:rsidRPr="00D936D5">
        <w:rPr>
          <w:rFonts w:ascii="Book Antiqua" w:hAnsi="Book Antiqua"/>
          <w:sz w:val="24"/>
          <w:szCs w:val="24"/>
        </w:rPr>
        <w:t xml:space="preserve"> reported that the relationship</w:t>
      </w:r>
      <w:r w:rsidR="006321CC" w:rsidRPr="00D936D5">
        <w:rPr>
          <w:rFonts w:ascii="Book Antiqua" w:hAnsi="Book Antiqua"/>
          <w:sz w:val="24"/>
          <w:szCs w:val="24"/>
        </w:rPr>
        <w:t>s</w:t>
      </w:r>
      <w:r w:rsidR="00161DFE" w:rsidRPr="00D936D5">
        <w:rPr>
          <w:rFonts w:ascii="Book Antiqua" w:hAnsi="Book Antiqua"/>
          <w:sz w:val="24"/>
          <w:szCs w:val="24"/>
        </w:rPr>
        <w:t xml:space="preserve"> between ADAMTS13:AC and other parameter</w:t>
      </w:r>
      <w:r w:rsidR="00CE41D6" w:rsidRPr="00D936D5">
        <w:rPr>
          <w:rFonts w:ascii="Book Antiqua" w:hAnsi="Book Antiqua"/>
          <w:sz w:val="24"/>
          <w:szCs w:val="24"/>
        </w:rPr>
        <w:t>s</w:t>
      </w:r>
      <w:r w:rsidR="00644305" w:rsidRPr="00D936D5">
        <w:rPr>
          <w:rFonts w:ascii="Book Antiqua" w:hAnsi="Book Antiqua"/>
          <w:sz w:val="24"/>
          <w:szCs w:val="24"/>
        </w:rPr>
        <w:t xml:space="preserve"> (</w:t>
      </w:r>
      <w:r w:rsidR="00644305" w:rsidRPr="00106BCF">
        <w:rPr>
          <w:rFonts w:ascii="Book Antiqua" w:hAnsi="Book Antiqua"/>
          <w:i/>
          <w:sz w:val="24"/>
          <w:szCs w:val="24"/>
        </w:rPr>
        <w:t>e.g.</w:t>
      </w:r>
      <w:r w:rsidR="00644305" w:rsidRPr="00D936D5">
        <w:rPr>
          <w:rFonts w:ascii="Book Antiqua" w:hAnsi="Book Antiqua"/>
          <w:sz w:val="24"/>
          <w:szCs w:val="24"/>
        </w:rPr>
        <w:t>,</w:t>
      </w:r>
      <w:r w:rsidR="00C6626A" w:rsidRPr="00D936D5">
        <w:rPr>
          <w:rFonts w:ascii="Book Antiqua" w:hAnsi="Book Antiqua"/>
          <w:sz w:val="24"/>
          <w:szCs w:val="24"/>
        </w:rPr>
        <w:t xml:space="preserve"> </w:t>
      </w:r>
      <w:r w:rsidR="00644305" w:rsidRPr="00D936D5">
        <w:rPr>
          <w:rFonts w:ascii="Book Antiqua" w:hAnsi="Book Antiqua"/>
          <w:sz w:val="24"/>
          <w:szCs w:val="24"/>
        </w:rPr>
        <w:t>albumin</w:t>
      </w:r>
      <w:r w:rsidR="00C6626A" w:rsidRPr="00D936D5">
        <w:rPr>
          <w:rFonts w:ascii="Book Antiqua" w:hAnsi="Book Antiqua"/>
          <w:sz w:val="24"/>
          <w:szCs w:val="24"/>
        </w:rPr>
        <w:t>, total bilirubin</w:t>
      </w:r>
      <w:r w:rsidR="00644305" w:rsidRPr="00D936D5">
        <w:rPr>
          <w:rFonts w:ascii="Book Antiqua" w:hAnsi="Book Antiqua"/>
          <w:sz w:val="24"/>
          <w:szCs w:val="24"/>
        </w:rPr>
        <w:t xml:space="preserve">, </w:t>
      </w:r>
      <w:r w:rsidR="00C6626A" w:rsidRPr="00D936D5">
        <w:rPr>
          <w:rFonts w:ascii="Book Antiqua" w:hAnsi="Book Antiqua"/>
          <w:sz w:val="24"/>
          <w:szCs w:val="24"/>
        </w:rPr>
        <w:t>aspartate aminotransferase, alkaline phosphatase, and creatinine</w:t>
      </w:r>
      <w:r w:rsidR="00644305" w:rsidRPr="00D936D5">
        <w:rPr>
          <w:rFonts w:ascii="Book Antiqua" w:hAnsi="Book Antiqua"/>
          <w:sz w:val="24"/>
          <w:szCs w:val="24"/>
        </w:rPr>
        <w:t>)</w:t>
      </w:r>
      <w:r w:rsidR="00C6626A" w:rsidRPr="00D936D5">
        <w:rPr>
          <w:rFonts w:ascii="Book Antiqua" w:hAnsi="Book Antiqua"/>
          <w:sz w:val="24"/>
          <w:szCs w:val="24"/>
        </w:rPr>
        <w:t xml:space="preserve"> </w:t>
      </w:r>
      <w:r w:rsidR="00CE41D6" w:rsidRPr="00D936D5">
        <w:rPr>
          <w:rFonts w:ascii="Book Antiqua" w:hAnsi="Book Antiqua"/>
          <w:sz w:val="24"/>
          <w:szCs w:val="24"/>
        </w:rPr>
        <w:t xml:space="preserve">are not associated with </w:t>
      </w:r>
      <w:r w:rsidR="00D750C3" w:rsidRPr="00D936D5">
        <w:rPr>
          <w:rFonts w:ascii="Book Antiqua" w:hAnsi="Book Antiqua"/>
          <w:sz w:val="24"/>
          <w:szCs w:val="24"/>
        </w:rPr>
        <w:t xml:space="preserve">gender </w:t>
      </w:r>
      <w:proofErr w:type="gramStart"/>
      <w:r w:rsidR="00D750C3" w:rsidRPr="00D936D5">
        <w:rPr>
          <w:rFonts w:ascii="Book Antiqua" w:hAnsi="Book Antiqua"/>
          <w:sz w:val="24"/>
          <w:szCs w:val="24"/>
        </w:rPr>
        <w:t>bias</w:t>
      </w:r>
      <w:r w:rsidR="002F0AB8" w:rsidRPr="00D936D5">
        <w:rPr>
          <w:rFonts w:ascii="Book Antiqua" w:hAnsi="Book Antiqua"/>
          <w:sz w:val="24"/>
          <w:szCs w:val="24"/>
          <w:vertAlign w:val="superscript"/>
        </w:rPr>
        <w:t>[</w:t>
      </w:r>
      <w:proofErr w:type="gramEnd"/>
      <w:r w:rsidR="002F0AB8" w:rsidRPr="00D936D5">
        <w:rPr>
          <w:rFonts w:ascii="Book Antiqua" w:hAnsi="Book Antiqua"/>
          <w:sz w:val="24"/>
          <w:szCs w:val="24"/>
          <w:vertAlign w:val="superscript"/>
        </w:rPr>
        <w:t>36]</w:t>
      </w:r>
      <w:r w:rsidR="00D750C3" w:rsidRPr="00D936D5">
        <w:rPr>
          <w:rFonts w:ascii="Book Antiqua" w:hAnsi="Book Antiqua"/>
          <w:sz w:val="24"/>
          <w:szCs w:val="24"/>
        </w:rPr>
        <w:t>.</w:t>
      </w:r>
    </w:p>
    <w:p w14:paraId="1CFEE5D1" w14:textId="7777777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In summary,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/ADAMTS13:AC ratio and ADAMTS13:AC, which were associated with VEGF, were independent predictive factors for sorafenib response and prognosis, respectively, in patients with HCC receiving sorafenib treatment. To our knowledge, this is the first report the ADAMTS13-VWF imbalance in association with sorafenib response and prognosis in patients with HCC receiving sorafenib treatment.</w:t>
      </w:r>
    </w:p>
    <w:p w14:paraId="69DBEE72" w14:textId="77777777" w:rsidR="00B07858" w:rsidRPr="008D188F" w:rsidRDefault="00B07858" w:rsidP="008D188F">
      <w:pPr>
        <w:spacing w:line="360" w:lineRule="auto"/>
        <w:rPr>
          <w:rFonts w:ascii="Book Antiqua" w:eastAsia="SimSun" w:hAnsi="Book Antiqua"/>
          <w:sz w:val="24"/>
          <w:szCs w:val="24"/>
          <w:lang w:eastAsia="zh-CN"/>
        </w:rPr>
      </w:pPr>
    </w:p>
    <w:p w14:paraId="5E1B5DB4" w14:textId="0A297837" w:rsidR="008D188F" w:rsidRPr="008D188F" w:rsidRDefault="00B07858" w:rsidP="008D188F">
      <w:pPr>
        <w:spacing w:line="360" w:lineRule="auto"/>
        <w:rPr>
          <w:rFonts w:ascii="Book Antiqua" w:eastAsia="SimSun" w:hAnsi="Book Antiqua"/>
          <w:sz w:val="24"/>
          <w:szCs w:val="24"/>
          <w:lang w:eastAsia="zh-CN"/>
        </w:rPr>
      </w:pPr>
      <w:r w:rsidRPr="008D188F">
        <w:rPr>
          <w:rFonts w:ascii="Book Antiqua" w:hAnsi="Book Antiqua" w:cs="Segoe UI"/>
          <w:b/>
          <w:sz w:val="24"/>
          <w:szCs w:val="24"/>
        </w:rPr>
        <w:t>ARTICLE HIGHLIGHTS</w:t>
      </w:r>
    </w:p>
    <w:p w14:paraId="5AE69FFA" w14:textId="73F58435"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background</w:t>
      </w:r>
    </w:p>
    <w:p w14:paraId="6627714C"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lastRenderedPageBreak/>
        <w:t>Sorafenib reportedly improves overall survival (OS) significantly in patients with HCC. Prediction of sorafenib response and prognosis in patients with HCC receiving sorafenib treatment are important due to the potentially serious side effects of sorafenib.</w:t>
      </w:r>
    </w:p>
    <w:p w14:paraId="3355764A" w14:textId="77777777" w:rsidR="008D188F" w:rsidRPr="008D188F" w:rsidRDefault="008D188F" w:rsidP="008D188F">
      <w:pPr>
        <w:spacing w:line="360" w:lineRule="auto"/>
        <w:rPr>
          <w:rFonts w:ascii="Book Antiqua" w:eastAsia="SimSun" w:hAnsi="Book Antiqua"/>
          <w:sz w:val="24"/>
          <w:szCs w:val="24"/>
          <w:lang w:eastAsia="zh-CN"/>
        </w:rPr>
      </w:pPr>
    </w:p>
    <w:p w14:paraId="370274BB" w14:textId="70A7BBD6"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motivation</w:t>
      </w:r>
    </w:p>
    <w:p w14:paraId="0F7C4019"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t xml:space="preserve">A </w:t>
      </w:r>
      <w:proofErr w:type="spellStart"/>
      <w:r w:rsidRPr="008D188F">
        <w:rPr>
          <w:rFonts w:ascii="Book Antiqua" w:hAnsi="Book Antiqua"/>
          <w:sz w:val="24"/>
          <w:szCs w:val="24"/>
        </w:rPr>
        <w:t>disintegrin</w:t>
      </w:r>
      <w:proofErr w:type="spellEnd"/>
      <w:r w:rsidRPr="008D188F">
        <w:rPr>
          <w:rFonts w:ascii="Book Antiqua" w:hAnsi="Book Antiqua"/>
          <w:sz w:val="24"/>
          <w:szCs w:val="24"/>
        </w:rPr>
        <w:t>-like and metalloproteinase with thrombospondin type-1 motifs 13 (ADAMTS13) and von Willebrand factor (VWF) are associated with the pathophysiology of liver cirrhosis and HCC through their roles in hypercoagulability; they are also associated with angiogenesis via vascular endothelial growth factor (VEGF). The imbalance between ADAMTS13 and VWF was associated with prognosis of various cancers in patients undergoing chemotherapy.</w:t>
      </w:r>
    </w:p>
    <w:p w14:paraId="0393F81C" w14:textId="77777777" w:rsidR="008D188F" w:rsidRPr="008D188F" w:rsidRDefault="008D188F" w:rsidP="008D188F">
      <w:pPr>
        <w:spacing w:line="360" w:lineRule="auto"/>
        <w:rPr>
          <w:rFonts w:ascii="Book Antiqua" w:eastAsia="SimSun" w:hAnsi="Book Antiqua"/>
          <w:sz w:val="24"/>
          <w:szCs w:val="24"/>
          <w:lang w:eastAsia="zh-CN"/>
        </w:rPr>
      </w:pPr>
    </w:p>
    <w:p w14:paraId="17BFA852" w14:textId="5EA1FE65"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 xml:space="preserve">Research objectives </w:t>
      </w:r>
    </w:p>
    <w:p w14:paraId="69AA96E9"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t>To investigate ADAMTS13 and VWF as potential biomarkers for sorafenib response and prognosis in patients with HCC receiving sorafenib treatment.</w:t>
      </w:r>
    </w:p>
    <w:p w14:paraId="65C92F00" w14:textId="77777777" w:rsidR="008D188F" w:rsidRPr="008D188F" w:rsidRDefault="008D188F" w:rsidP="008D188F">
      <w:pPr>
        <w:spacing w:line="360" w:lineRule="auto"/>
        <w:rPr>
          <w:rFonts w:ascii="Book Antiqua" w:eastAsia="SimSun" w:hAnsi="Book Antiqua"/>
          <w:sz w:val="24"/>
          <w:szCs w:val="24"/>
          <w:lang w:eastAsia="zh-CN"/>
        </w:rPr>
      </w:pPr>
    </w:p>
    <w:p w14:paraId="23FFA19A" w14:textId="721CF740"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methods</w:t>
      </w:r>
    </w:p>
    <w:p w14:paraId="2405C03F"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t>Forty-one patients with HCC receiving sorafenib treatment were included in this study. The initial daily sorafenib dose was 400 mg in all patients. ADAMTS13 activity (ADAMTS13:AC), VWF antigen (</w:t>
      </w:r>
      <w:proofErr w:type="spellStart"/>
      <w:proofErr w:type="gramStart"/>
      <w:r w:rsidRPr="008D188F">
        <w:rPr>
          <w:rFonts w:ascii="Book Antiqua" w:hAnsi="Book Antiqua"/>
          <w:sz w:val="24"/>
          <w:szCs w:val="24"/>
        </w:rPr>
        <w:t>VWF:Ag</w:t>
      </w:r>
      <w:proofErr w:type="spellEnd"/>
      <w:proofErr w:type="gramEnd"/>
      <w:r w:rsidRPr="008D188F">
        <w:rPr>
          <w:rFonts w:ascii="Book Antiqua" w:hAnsi="Book Antiqua"/>
          <w:sz w:val="24"/>
          <w:szCs w:val="24"/>
        </w:rPr>
        <w:t xml:space="preserve">), VEGF levels were determined by enzyme-linked immunosorbent assay. Univariate and multivariate analyses were used to determine predictive factors for sorafenib </w:t>
      </w:r>
      <w:r w:rsidRPr="008D188F">
        <w:rPr>
          <w:rFonts w:ascii="Book Antiqua" w:hAnsi="Book Antiqua"/>
          <w:sz w:val="24"/>
          <w:szCs w:val="24"/>
        </w:rPr>
        <w:lastRenderedPageBreak/>
        <w:t>response and prognosis in patients with HCC receiving sorafenib treatment.</w:t>
      </w:r>
    </w:p>
    <w:p w14:paraId="07CF1B44" w14:textId="77777777" w:rsidR="008D188F" w:rsidRPr="008D188F" w:rsidRDefault="008D188F" w:rsidP="008D188F">
      <w:pPr>
        <w:spacing w:line="360" w:lineRule="auto"/>
        <w:rPr>
          <w:rFonts w:ascii="Book Antiqua" w:eastAsia="SimSun" w:hAnsi="Book Antiqua"/>
          <w:i/>
          <w:sz w:val="24"/>
          <w:szCs w:val="24"/>
          <w:lang w:eastAsia="zh-CN"/>
        </w:rPr>
      </w:pPr>
    </w:p>
    <w:p w14:paraId="67D8FF9F" w14:textId="2F55A5B1"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results</w:t>
      </w:r>
    </w:p>
    <w:p w14:paraId="5C3D7C05"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t xml:space="preserve">Multivariate analysis showed that the </w:t>
      </w:r>
      <w:proofErr w:type="spellStart"/>
      <w:proofErr w:type="gramStart"/>
      <w:r w:rsidRPr="008D188F">
        <w:rPr>
          <w:rFonts w:ascii="Book Antiqua" w:hAnsi="Book Antiqua"/>
          <w:sz w:val="24"/>
          <w:szCs w:val="24"/>
        </w:rPr>
        <w:t>VWF:Ag</w:t>
      </w:r>
      <w:proofErr w:type="spellEnd"/>
      <w:proofErr w:type="gramEnd"/>
      <w:r w:rsidRPr="008D188F">
        <w:rPr>
          <w:rFonts w:ascii="Book Antiqua" w:hAnsi="Book Antiqua"/>
          <w:sz w:val="24"/>
          <w:szCs w:val="24"/>
        </w:rPr>
        <w:t>/ADAMTS13:AC ratio was the only predictive factor for sorafenib response and ADAMTS13:AC was the only prognostic factor in patients with HCC receiving sorafenib treatment. The patients with a low ADAMTS13:AC (&lt; 78.0) had significantly higher VEGF levels than those with a high ADAMTS13:AC (≥ 78.0) (P &lt; 0.05).</w:t>
      </w:r>
    </w:p>
    <w:p w14:paraId="4A485C90" w14:textId="77777777" w:rsidR="008D188F" w:rsidRPr="008D188F" w:rsidRDefault="008D188F" w:rsidP="008D188F">
      <w:pPr>
        <w:spacing w:line="360" w:lineRule="auto"/>
        <w:rPr>
          <w:rFonts w:ascii="Book Antiqua" w:eastAsia="SimSun" w:hAnsi="Book Antiqua"/>
          <w:sz w:val="24"/>
          <w:szCs w:val="24"/>
          <w:lang w:eastAsia="zh-CN"/>
        </w:rPr>
      </w:pPr>
    </w:p>
    <w:p w14:paraId="6BFB053F" w14:textId="5513DD99" w:rsidR="008D188F" w:rsidRPr="008D188F" w:rsidRDefault="008D188F" w:rsidP="008D188F">
      <w:pPr>
        <w:spacing w:line="360" w:lineRule="auto"/>
        <w:rPr>
          <w:rFonts w:ascii="Book Antiqua" w:hAnsi="Book Antiqua" w:cs="Segoe UI"/>
          <w:b/>
          <w:i/>
          <w:sz w:val="24"/>
          <w:szCs w:val="24"/>
        </w:rPr>
      </w:pPr>
      <w:r w:rsidRPr="008D188F">
        <w:rPr>
          <w:rFonts w:ascii="Book Antiqua" w:hAnsi="Book Antiqua"/>
          <w:b/>
          <w:i/>
          <w:sz w:val="24"/>
          <w:szCs w:val="24"/>
        </w:rPr>
        <w:t>Research conclusions</w:t>
      </w:r>
    </w:p>
    <w:p w14:paraId="4398AC62" w14:textId="77777777" w:rsidR="008D188F" w:rsidRPr="008D188F" w:rsidRDefault="008D188F" w:rsidP="008D188F">
      <w:pPr>
        <w:spacing w:line="360" w:lineRule="auto"/>
        <w:rPr>
          <w:rFonts w:ascii="Book Antiqua" w:eastAsia="SimSun" w:hAnsi="Book Antiqua"/>
          <w:sz w:val="24"/>
          <w:szCs w:val="24"/>
          <w:lang w:eastAsia="zh-CN"/>
        </w:rPr>
      </w:pPr>
      <w:r w:rsidRPr="008D188F">
        <w:rPr>
          <w:rFonts w:ascii="Book Antiqua" w:hAnsi="Book Antiqua"/>
          <w:sz w:val="24"/>
          <w:szCs w:val="24"/>
        </w:rPr>
        <w:t xml:space="preserve">The </w:t>
      </w:r>
      <w:proofErr w:type="spellStart"/>
      <w:proofErr w:type="gramStart"/>
      <w:r w:rsidRPr="008D188F">
        <w:rPr>
          <w:rFonts w:ascii="Book Antiqua" w:hAnsi="Book Antiqua"/>
          <w:sz w:val="24"/>
          <w:szCs w:val="24"/>
        </w:rPr>
        <w:t>VWF:Ag</w:t>
      </w:r>
      <w:proofErr w:type="spellEnd"/>
      <w:proofErr w:type="gramEnd"/>
      <w:r w:rsidRPr="008D188F">
        <w:rPr>
          <w:rFonts w:ascii="Book Antiqua" w:hAnsi="Book Antiqua"/>
          <w:sz w:val="24"/>
          <w:szCs w:val="24"/>
        </w:rPr>
        <w:t>/ADAMTS13:AC ratio and ADAMTS13:AC are potentially useful biomarkers for sorafenib response and prognosis, respectively, in patients with HCC receiving sorafenib treatment.</w:t>
      </w:r>
    </w:p>
    <w:p w14:paraId="274CDD5D" w14:textId="77777777" w:rsidR="008D188F" w:rsidRPr="008D188F" w:rsidRDefault="008D188F" w:rsidP="008D188F">
      <w:pPr>
        <w:spacing w:line="360" w:lineRule="auto"/>
        <w:rPr>
          <w:rFonts w:ascii="Book Antiqua" w:eastAsia="SimSun" w:hAnsi="Book Antiqua"/>
          <w:sz w:val="24"/>
          <w:szCs w:val="24"/>
          <w:lang w:eastAsia="zh-CN"/>
        </w:rPr>
      </w:pPr>
    </w:p>
    <w:p w14:paraId="525083AB" w14:textId="4AD50570" w:rsidR="008D188F" w:rsidRPr="008D188F" w:rsidRDefault="008D188F" w:rsidP="008D188F">
      <w:pPr>
        <w:spacing w:line="360" w:lineRule="auto"/>
        <w:rPr>
          <w:rFonts w:ascii="Book Antiqua" w:hAnsi="Book Antiqua" w:cs="Segoe UI"/>
          <w:b/>
          <w:i/>
          <w:sz w:val="24"/>
          <w:szCs w:val="24"/>
        </w:rPr>
      </w:pPr>
      <w:r w:rsidRPr="008D188F">
        <w:rPr>
          <w:rFonts w:ascii="Book Antiqua" w:hAnsi="Book Antiqua" w:cs="Segoe UI"/>
          <w:b/>
          <w:i/>
          <w:sz w:val="24"/>
          <w:szCs w:val="24"/>
        </w:rPr>
        <w:t>Research perspectives</w:t>
      </w:r>
    </w:p>
    <w:p w14:paraId="786F3F68" w14:textId="289FBEB0" w:rsidR="008D188F" w:rsidRDefault="008D188F" w:rsidP="008D188F">
      <w:pPr>
        <w:spacing w:line="360" w:lineRule="auto"/>
        <w:rPr>
          <w:rFonts w:ascii="Book Antiqua" w:eastAsia="SimSun" w:hAnsi="Book Antiqua" w:cs="Segoe UI"/>
          <w:sz w:val="24"/>
          <w:szCs w:val="24"/>
          <w:lang w:eastAsia="zh-CN"/>
        </w:rPr>
      </w:pPr>
      <w:r w:rsidRPr="008D188F">
        <w:rPr>
          <w:rFonts w:ascii="Book Antiqua" w:hAnsi="Book Antiqua" w:cs="Segoe UI"/>
          <w:sz w:val="24"/>
          <w:szCs w:val="24"/>
        </w:rPr>
        <w:t>This is the first report the ADAMTS13-VWF imbalance in association with sorafenib response and prognosis in patients with HCC receiving sorafenib treatment.</w:t>
      </w:r>
    </w:p>
    <w:p w14:paraId="317B7037" w14:textId="77777777" w:rsidR="0010049F" w:rsidRDefault="0010049F" w:rsidP="008D188F">
      <w:pPr>
        <w:spacing w:line="360" w:lineRule="auto"/>
        <w:rPr>
          <w:rFonts w:ascii="Book Antiqua" w:eastAsia="SimSun" w:hAnsi="Book Antiqua" w:cs="Segoe UI"/>
          <w:sz w:val="24"/>
          <w:szCs w:val="24"/>
          <w:lang w:eastAsia="zh-CN"/>
        </w:rPr>
      </w:pPr>
    </w:p>
    <w:p w14:paraId="1F2DF136" w14:textId="77777777" w:rsidR="0010049F" w:rsidRPr="008D188F" w:rsidRDefault="0010049F" w:rsidP="0010049F">
      <w:pPr>
        <w:spacing w:line="360" w:lineRule="auto"/>
        <w:rPr>
          <w:rFonts w:ascii="Book Antiqua" w:hAnsi="Book Antiqua"/>
          <w:b/>
          <w:sz w:val="24"/>
          <w:szCs w:val="24"/>
        </w:rPr>
      </w:pPr>
      <w:r w:rsidRPr="008D188F">
        <w:rPr>
          <w:rFonts w:ascii="Book Antiqua" w:hAnsi="Book Antiqua"/>
          <w:b/>
          <w:sz w:val="24"/>
          <w:szCs w:val="24"/>
        </w:rPr>
        <w:t>ACKNOWLEDGMENTS</w:t>
      </w:r>
    </w:p>
    <w:p w14:paraId="408B7996" w14:textId="77777777" w:rsidR="0010049F" w:rsidRPr="008D188F" w:rsidRDefault="0010049F" w:rsidP="0010049F">
      <w:pPr>
        <w:spacing w:line="360" w:lineRule="auto"/>
        <w:rPr>
          <w:rFonts w:ascii="Book Antiqua" w:hAnsi="Book Antiqua"/>
          <w:sz w:val="24"/>
          <w:szCs w:val="24"/>
        </w:rPr>
      </w:pPr>
      <w:r w:rsidRPr="008D188F">
        <w:rPr>
          <w:rFonts w:ascii="Book Antiqua" w:hAnsi="Book Antiqua"/>
          <w:sz w:val="24"/>
          <w:szCs w:val="24"/>
        </w:rPr>
        <w:t xml:space="preserve">This work was completed with the help of Ms. Yoshie </w:t>
      </w:r>
      <w:proofErr w:type="spellStart"/>
      <w:r w:rsidRPr="008D188F">
        <w:rPr>
          <w:rFonts w:ascii="Book Antiqua" w:hAnsi="Book Antiqua"/>
          <w:sz w:val="24"/>
          <w:szCs w:val="24"/>
        </w:rPr>
        <w:t>Nakai</w:t>
      </w:r>
      <w:proofErr w:type="spellEnd"/>
      <w:r w:rsidRPr="008D188F">
        <w:rPr>
          <w:rFonts w:ascii="Book Antiqua" w:hAnsi="Book Antiqua"/>
          <w:sz w:val="24"/>
          <w:szCs w:val="24"/>
        </w:rPr>
        <w:t>, Prof</w:t>
      </w:r>
      <w:r w:rsidRPr="008D188F">
        <w:rPr>
          <w:rFonts w:ascii="Book Antiqua" w:eastAsia="SimSun" w:hAnsi="Book Antiqua"/>
          <w:sz w:val="24"/>
          <w:szCs w:val="24"/>
          <w:lang w:eastAsia="zh-CN"/>
        </w:rPr>
        <w:t>essor</w:t>
      </w:r>
      <w:r w:rsidRPr="008D188F">
        <w:rPr>
          <w:rFonts w:ascii="Book Antiqua" w:hAnsi="Book Antiqua"/>
          <w:sz w:val="24"/>
          <w:szCs w:val="24"/>
        </w:rPr>
        <w:t xml:space="preserve"> Hiroshi Fukui, and Prof</w:t>
      </w:r>
      <w:r w:rsidRPr="008D188F">
        <w:rPr>
          <w:rFonts w:ascii="Book Antiqua" w:eastAsia="SimSun" w:hAnsi="Book Antiqua"/>
          <w:sz w:val="24"/>
          <w:szCs w:val="24"/>
          <w:lang w:eastAsia="zh-CN"/>
        </w:rPr>
        <w:t>essor</w:t>
      </w:r>
      <w:r w:rsidRPr="008D188F">
        <w:rPr>
          <w:rFonts w:ascii="Book Antiqua" w:hAnsi="Book Antiqua"/>
          <w:sz w:val="24"/>
          <w:szCs w:val="24"/>
        </w:rPr>
        <w:t xml:space="preserve"> Masahito </w:t>
      </w:r>
      <w:proofErr w:type="spellStart"/>
      <w:r w:rsidRPr="008D188F">
        <w:rPr>
          <w:rFonts w:ascii="Book Antiqua" w:hAnsi="Book Antiqua"/>
          <w:sz w:val="24"/>
          <w:szCs w:val="24"/>
        </w:rPr>
        <w:t>Uemura</w:t>
      </w:r>
      <w:proofErr w:type="spellEnd"/>
      <w:r w:rsidRPr="008D188F">
        <w:rPr>
          <w:rFonts w:ascii="Book Antiqua" w:hAnsi="Book Antiqua"/>
          <w:sz w:val="24"/>
          <w:szCs w:val="24"/>
        </w:rPr>
        <w:t>.</w:t>
      </w:r>
    </w:p>
    <w:p w14:paraId="678CC9FE" w14:textId="77777777" w:rsidR="0010049F" w:rsidRPr="0010049F" w:rsidRDefault="0010049F" w:rsidP="008D188F">
      <w:pPr>
        <w:spacing w:line="360" w:lineRule="auto"/>
        <w:rPr>
          <w:rFonts w:ascii="Book Antiqua" w:eastAsia="SimSun" w:hAnsi="Book Antiqua"/>
          <w:sz w:val="24"/>
          <w:szCs w:val="24"/>
          <w:lang w:eastAsia="zh-CN"/>
        </w:rPr>
      </w:pPr>
    </w:p>
    <w:p w14:paraId="5EE07BE7" w14:textId="77777777" w:rsidR="008D188F" w:rsidRDefault="008D188F" w:rsidP="008D188F">
      <w:pPr>
        <w:pStyle w:val="CommentText"/>
      </w:pPr>
    </w:p>
    <w:p w14:paraId="48F62F6B" w14:textId="77777777" w:rsidR="00706A5A" w:rsidRDefault="00706A5A">
      <w:pPr>
        <w:widowControl/>
        <w:jc w:val="left"/>
        <w:rPr>
          <w:rFonts w:ascii="Book Antiqua" w:eastAsia="SimSun" w:hAnsi="Book Antiqua"/>
          <w:sz w:val="24"/>
          <w:szCs w:val="24"/>
          <w:lang w:eastAsia="zh-CN"/>
        </w:rPr>
      </w:pPr>
      <w:r>
        <w:rPr>
          <w:rFonts w:ascii="Book Antiqua" w:eastAsia="SimSun" w:hAnsi="Book Antiqua"/>
          <w:sz w:val="24"/>
          <w:szCs w:val="24"/>
          <w:lang w:eastAsia="zh-CN"/>
        </w:rPr>
        <w:br w:type="page"/>
      </w:r>
    </w:p>
    <w:p w14:paraId="49215036" w14:textId="59F28C1E" w:rsidR="00B3147D" w:rsidRPr="00CE4B44" w:rsidRDefault="00B07858" w:rsidP="00CE4B44">
      <w:pPr>
        <w:spacing w:line="360" w:lineRule="auto"/>
        <w:rPr>
          <w:rFonts w:ascii="Book Antiqua" w:hAnsi="Book Antiqua"/>
          <w:sz w:val="24"/>
          <w:szCs w:val="24"/>
        </w:rPr>
      </w:pPr>
      <w:r w:rsidRPr="00CE4B44">
        <w:rPr>
          <w:rFonts w:ascii="Book Antiqua" w:hAnsi="Book Antiqua"/>
          <w:b/>
          <w:sz w:val="24"/>
          <w:szCs w:val="24"/>
        </w:rPr>
        <w:lastRenderedPageBreak/>
        <w:t>REFERENCES</w:t>
      </w:r>
    </w:p>
    <w:p w14:paraId="2ABAD0A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 </w:t>
      </w:r>
      <w:proofErr w:type="spellStart"/>
      <w:r w:rsidRPr="00CE4B44">
        <w:rPr>
          <w:rFonts w:ascii="Book Antiqua" w:hAnsi="Book Antiqua"/>
          <w:b/>
          <w:sz w:val="24"/>
          <w:szCs w:val="24"/>
        </w:rPr>
        <w:t>Llovet</w:t>
      </w:r>
      <w:proofErr w:type="spellEnd"/>
      <w:r w:rsidRPr="00CE4B44">
        <w:rPr>
          <w:rFonts w:ascii="Book Antiqua" w:hAnsi="Book Antiqua"/>
          <w:b/>
          <w:sz w:val="24"/>
          <w:szCs w:val="24"/>
        </w:rPr>
        <w:t xml:space="preserve"> JM</w:t>
      </w:r>
      <w:r w:rsidRPr="00CE4B44">
        <w:rPr>
          <w:rFonts w:ascii="Book Antiqua" w:hAnsi="Book Antiqua"/>
          <w:sz w:val="24"/>
          <w:szCs w:val="24"/>
        </w:rPr>
        <w:t xml:space="preserve">, </w:t>
      </w:r>
      <w:proofErr w:type="spellStart"/>
      <w:r w:rsidRPr="00CE4B44">
        <w:rPr>
          <w:rFonts w:ascii="Book Antiqua" w:hAnsi="Book Antiqua"/>
          <w:sz w:val="24"/>
          <w:szCs w:val="24"/>
        </w:rPr>
        <w:t>Zucman</w:t>
      </w:r>
      <w:proofErr w:type="spellEnd"/>
      <w:r w:rsidRPr="00CE4B44">
        <w:rPr>
          <w:rFonts w:ascii="Book Antiqua" w:hAnsi="Book Antiqua"/>
          <w:sz w:val="24"/>
          <w:szCs w:val="24"/>
        </w:rPr>
        <w:t xml:space="preserve">-Rossi J, </w:t>
      </w:r>
      <w:proofErr w:type="spellStart"/>
      <w:r w:rsidRPr="00CE4B44">
        <w:rPr>
          <w:rFonts w:ascii="Book Antiqua" w:hAnsi="Book Antiqua"/>
          <w:sz w:val="24"/>
          <w:szCs w:val="24"/>
        </w:rPr>
        <w:t>Pikarsky</w:t>
      </w:r>
      <w:proofErr w:type="spellEnd"/>
      <w:r w:rsidRPr="00CE4B44">
        <w:rPr>
          <w:rFonts w:ascii="Book Antiqua" w:hAnsi="Book Antiqua"/>
          <w:sz w:val="24"/>
          <w:szCs w:val="24"/>
        </w:rPr>
        <w:t xml:space="preserve"> E, </w:t>
      </w:r>
      <w:proofErr w:type="spellStart"/>
      <w:r w:rsidRPr="00CE4B44">
        <w:rPr>
          <w:rFonts w:ascii="Book Antiqua" w:hAnsi="Book Antiqua"/>
          <w:sz w:val="24"/>
          <w:szCs w:val="24"/>
        </w:rPr>
        <w:t>Sangro</w:t>
      </w:r>
      <w:proofErr w:type="spellEnd"/>
      <w:r w:rsidRPr="00CE4B44">
        <w:rPr>
          <w:rFonts w:ascii="Book Antiqua" w:hAnsi="Book Antiqua"/>
          <w:sz w:val="24"/>
          <w:szCs w:val="24"/>
        </w:rPr>
        <w:t xml:space="preserve"> B, Schwartz M, Sherman M, Gores G. Hepatocellular carcinoma. </w:t>
      </w:r>
      <w:r w:rsidRPr="00CE4B44">
        <w:rPr>
          <w:rFonts w:ascii="Book Antiqua" w:hAnsi="Book Antiqua"/>
          <w:i/>
          <w:sz w:val="24"/>
          <w:szCs w:val="24"/>
        </w:rPr>
        <w:t>Nat Rev Dis Primers</w:t>
      </w:r>
      <w:r w:rsidRPr="00CE4B44">
        <w:rPr>
          <w:rFonts w:ascii="Book Antiqua" w:hAnsi="Book Antiqua"/>
          <w:sz w:val="24"/>
          <w:szCs w:val="24"/>
        </w:rPr>
        <w:t xml:space="preserve"> 2016; </w:t>
      </w:r>
      <w:r w:rsidRPr="00CE4B44">
        <w:rPr>
          <w:rFonts w:ascii="Book Antiqua" w:hAnsi="Book Antiqua"/>
          <w:b/>
          <w:sz w:val="24"/>
          <w:szCs w:val="24"/>
        </w:rPr>
        <w:t>2</w:t>
      </w:r>
      <w:r w:rsidRPr="00CE4B44">
        <w:rPr>
          <w:rFonts w:ascii="Book Antiqua" w:hAnsi="Book Antiqua"/>
          <w:sz w:val="24"/>
          <w:szCs w:val="24"/>
        </w:rPr>
        <w:t>: 16018 [PMID: 27158749 DOI: 10.1038/nrdp.2016.18]</w:t>
      </w:r>
    </w:p>
    <w:p w14:paraId="5BE2C29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 </w:t>
      </w:r>
      <w:r w:rsidRPr="00CE4B44">
        <w:rPr>
          <w:rFonts w:ascii="Book Antiqua" w:hAnsi="Book Antiqua"/>
          <w:b/>
          <w:sz w:val="24"/>
          <w:szCs w:val="24"/>
        </w:rPr>
        <w:t>Zhu RX</w:t>
      </w:r>
      <w:r w:rsidRPr="00CE4B44">
        <w:rPr>
          <w:rFonts w:ascii="Book Antiqua" w:hAnsi="Book Antiqua"/>
          <w:sz w:val="24"/>
          <w:szCs w:val="24"/>
        </w:rPr>
        <w:t xml:space="preserve">, </w:t>
      </w:r>
      <w:proofErr w:type="spellStart"/>
      <w:r w:rsidRPr="00CE4B44">
        <w:rPr>
          <w:rFonts w:ascii="Book Antiqua" w:hAnsi="Book Antiqua"/>
          <w:sz w:val="24"/>
          <w:szCs w:val="24"/>
        </w:rPr>
        <w:t>Seto</w:t>
      </w:r>
      <w:proofErr w:type="spellEnd"/>
      <w:r w:rsidRPr="00CE4B44">
        <w:rPr>
          <w:rFonts w:ascii="Book Antiqua" w:hAnsi="Book Antiqua"/>
          <w:sz w:val="24"/>
          <w:szCs w:val="24"/>
        </w:rPr>
        <w:t xml:space="preserve"> WK, Lai CL, Yuen MF. Epidemiology of Hepatocellular Carcinoma in the Asia-Pacific Region. </w:t>
      </w:r>
      <w:r w:rsidRPr="00CE4B44">
        <w:rPr>
          <w:rFonts w:ascii="Book Antiqua" w:hAnsi="Book Antiqua"/>
          <w:i/>
          <w:sz w:val="24"/>
          <w:szCs w:val="24"/>
        </w:rPr>
        <w:t>Gut Liver</w:t>
      </w:r>
      <w:r w:rsidRPr="00CE4B44">
        <w:rPr>
          <w:rFonts w:ascii="Book Antiqua" w:hAnsi="Book Antiqua"/>
          <w:sz w:val="24"/>
          <w:szCs w:val="24"/>
        </w:rPr>
        <w:t xml:space="preserve"> 2016; </w:t>
      </w:r>
      <w:r w:rsidRPr="00CE4B44">
        <w:rPr>
          <w:rFonts w:ascii="Book Antiqua" w:hAnsi="Book Antiqua"/>
          <w:b/>
          <w:sz w:val="24"/>
          <w:szCs w:val="24"/>
        </w:rPr>
        <w:t>10</w:t>
      </w:r>
      <w:r w:rsidRPr="00CE4B44">
        <w:rPr>
          <w:rFonts w:ascii="Book Antiqua" w:hAnsi="Book Antiqua"/>
          <w:sz w:val="24"/>
          <w:szCs w:val="24"/>
        </w:rPr>
        <w:t>: 332-339 [PMID: 27114433 DOI: 10.5009/gnl15257]</w:t>
      </w:r>
    </w:p>
    <w:p w14:paraId="25504911"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 </w:t>
      </w:r>
      <w:r w:rsidRPr="00CE4B44">
        <w:rPr>
          <w:rFonts w:ascii="Book Antiqua" w:hAnsi="Book Antiqua"/>
          <w:b/>
          <w:sz w:val="24"/>
          <w:szCs w:val="24"/>
        </w:rPr>
        <w:t>Kudo M</w:t>
      </w:r>
      <w:r w:rsidRPr="00CE4B44">
        <w:rPr>
          <w:rFonts w:ascii="Book Antiqua" w:hAnsi="Book Antiqua"/>
          <w:sz w:val="24"/>
          <w:szCs w:val="24"/>
        </w:rPr>
        <w:t xml:space="preserve">, Matsui O, Izumi N, </w:t>
      </w:r>
      <w:proofErr w:type="spellStart"/>
      <w:r w:rsidRPr="00CE4B44">
        <w:rPr>
          <w:rFonts w:ascii="Book Antiqua" w:hAnsi="Book Antiqua"/>
          <w:sz w:val="24"/>
          <w:szCs w:val="24"/>
        </w:rPr>
        <w:t>Iijima</w:t>
      </w:r>
      <w:proofErr w:type="spellEnd"/>
      <w:r w:rsidRPr="00CE4B44">
        <w:rPr>
          <w:rFonts w:ascii="Book Antiqua" w:hAnsi="Book Antiqua"/>
          <w:sz w:val="24"/>
          <w:szCs w:val="24"/>
        </w:rPr>
        <w:t xml:space="preserve"> H, </w:t>
      </w:r>
      <w:proofErr w:type="spellStart"/>
      <w:r w:rsidRPr="00CE4B44">
        <w:rPr>
          <w:rFonts w:ascii="Book Antiqua" w:hAnsi="Book Antiqua"/>
          <w:sz w:val="24"/>
          <w:szCs w:val="24"/>
        </w:rPr>
        <w:t>Kadoya</w:t>
      </w:r>
      <w:proofErr w:type="spellEnd"/>
      <w:r w:rsidRPr="00CE4B44">
        <w:rPr>
          <w:rFonts w:ascii="Book Antiqua" w:hAnsi="Book Antiqua"/>
          <w:sz w:val="24"/>
          <w:szCs w:val="24"/>
        </w:rPr>
        <w:t xml:space="preserve"> M, Imai Y, </w:t>
      </w:r>
      <w:proofErr w:type="spellStart"/>
      <w:r w:rsidRPr="00CE4B44">
        <w:rPr>
          <w:rFonts w:ascii="Book Antiqua" w:hAnsi="Book Antiqua"/>
          <w:sz w:val="24"/>
          <w:szCs w:val="24"/>
        </w:rPr>
        <w:t>Okusaka</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Miyayama</w:t>
      </w:r>
      <w:proofErr w:type="spellEnd"/>
      <w:r w:rsidRPr="00CE4B44">
        <w:rPr>
          <w:rFonts w:ascii="Book Antiqua" w:hAnsi="Book Antiqua"/>
          <w:sz w:val="24"/>
          <w:szCs w:val="24"/>
        </w:rPr>
        <w:t xml:space="preserve"> S, Tsuchiya K, </w:t>
      </w:r>
      <w:proofErr w:type="spellStart"/>
      <w:r w:rsidRPr="00CE4B44">
        <w:rPr>
          <w:rFonts w:ascii="Book Antiqua" w:hAnsi="Book Antiqua"/>
          <w:sz w:val="24"/>
          <w:szCs w:val="24"/>
        </w:rPr>
        <w:t>Ueshima</w:t>
      </w:r>
      <w:proofErr w:type="spellEnd"/>
      <w:r w:rsidRPr="00CE4B44">
        <w:rPr>
          <w:rFonts w:ascii="Book Antiqua" w:hAnsi="Book Antiqua"/>
          <w:sz w:val="24"/>
          <w:szCs w:val="24"/>
        </w:rPr>
        <w:t xml:space="preserve"> K, </w:t>
      </w:r>
      <w:proofErr w:type="spellStart"/>
      <w:r w:rsidRPr="00CE4B44">
        <w:rPr>
          <w:rFonts w:ascii="Book Antiqua" w:hAnsi="Book Antiqua"/>
          <w:sz w:val="24"/>
          <w:szCs w:val="24"/>
        </w:rPr>
        <w:t>Hiraoka</w:t>
      </w:r>
      <w:proofErr w:type="spellEnd"/>
      <w:r w:rsidRPr="00CE4B44">
        <w:rPr>
          <w:rFonts w:ascii="Book Antiqua" w:hAnsi="Book Antiqua"/>
          <w:sz w:val="24"/>
          <w:szCs w:val="24"/>
        </w:rPr>
        <w:t xml:space="preserve"> A, Ikeda M, Ogasawara S, Yamashita T, Minami T, </w:t>
      </w:r>
      <w:proofErr w:type="spellStart"/>
      <w:r w:rsidRPr="00CE4B44">
        <w:rPr>
          <w:rFonts w:ascii="Book Antiqua" w:hAnsi="Book Antiqua"/>
          <w:sz w:val="24"/>
          <w:szCs w:val="24"/>
        </w:rPr>
        <w:t>Yamakado</w:t>
      </w:r>
      <w:proofErr w:type="spellEnd"/>
      <w:r w:rsidRPr="00CE4B44">
        <w:rPr>
          <w:rFonts w:ascii="Book Antiqua" w:hAnsi="Book Antiqua"/>
          <w:sz w:val="24"/>
          <w:szCs w:val="24"/>
        </w:rPr>
        <w:t xml:space="preserve"> K; Liver Cancer Study Group of Japan. JSH Consensus-Based Clinical Practice Guidelines for the Management of Hepatocellular Carcinoma: 2014 Update by the Liver Cancer Study Group of Japan. </w:t>
      </w:r>
      <w:r w:rsidRPr="00CE4B44">
        <w:rPr>
          <w:rFonts w:ascii="Book Antiqua" w:hAnsi="Book Antiqua"/>
          <w:i/>
          <w:sz w:val="24"/>
          <w:szCs w:val="24"/>
        </w:rPr>
        <w:t>Liver Cancer</w:t>
      </w:r>
      <w:r w:rsidRPr="00CE4B44">
        <w:rPr>
          <w:rFonts w:ascii="Book Antiqua" w:hAnsi="Book Antiqua"/>
          <w:sz w:val="24"/>
          <w:szCs w:val="24"/>
        </w:rPr>
        <w:t xml:space="preserve"> 2014; </w:t>
      </w:r>
      <w:r w:rsidRPr="00CE4B44">
        <w:rPr>
          <w:rFonts w:ascii="Book Antiqua" w:hAnsi="Book Antiqua"/>
          <w:b/>
          <w:sz w:val="24"/>
          <w:szCs w:val="24"/>
        </w:rPr>
        <w:t>3</w:t>
      </w:r>
      <w:r w:rsidRPr="00CE4B44">
        <w:rPr>
          <w:rFonts w:ascii="Book Antiqua" w:hAnsi="Book Antiqua"/>
          <w:sz w:val="24"/>
          <w:szCs w:val="24"/>
        </w:rPr>
        <w:t>: 458-468 [PMID: 26280007 DOI: 10.1159/000343875]</w:t>
      </w:r>
    </w:p>
    <w:p w14:paraId="140FD0B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4 </w:t>
      </w:r>
      <w:r w:rsidRPr="00CE4B44">
        <w:rPr>
          <w:rFonts w:ascii="Book Antiqua" w:hAnsi="Book Antiqua"/>
          <w:b/>
          <w:sz w:val="24"/>
          <w:szCs w:val="24"/>
        </w:rPr>
        <w:t>Tsuchiya K</w:t>
      </w:r>
      <w:r w:rsidRPr="00CE4B44">
        <w:rPr>
          <w:rFonts w:ascii="Book Antiqua" w:hAnsi="Book Antiqua"/>
          <w:sz w:val="24"/>
          <w:szCs w:val="24"/>
        </w:rPr>
        <w:t xml:space="preserve">, </w:t>
      </w:r>
      <w:proofErr w:type="spellStart"/>
      <w:r w:rsidRPr="00CE4B44">
        <w:rPr>
          <w:rFonts w:ascii="Book Antiqua" w:hAnsi="Book Antiqua"/>
          <w:sz w:val="24"/>
          <w:szCs w:val="24"/>
        </w:rPr>
        <w:t>Asahina</w:t>
      </w:r>
      <w:proofErr w:type="spellEnd"/>
      <w:r w:rsidRPr="00CE4B44">
        <w:rPr>
          <w:rFonts w:ascii="Book Antiqua" w:hAnsi="Book Antiqua"/>
          <w:sz w:val="24"/>
          <w:szCs w:val="24"/>
        </w:rPr>
        <w:t xml:space="preserve"> Y, Matsuda S, Muraoka M, Nakata T, Suzuki Y, Tamaki N, </w:t>
      </w:r>
      <w:proofErr w:type="spellStart"/>
      <w:r w:rsidRPr="00CE4B44">
        <w:rPr>
          <w:rFonts w:ascii="Book Antiqua" w:hAnsi="Book Antiqua"/>
          <w:sz w:val="24"/>
          <w:szCs w:val="24"/>
        </w:rPr>
        <w:t>Yasui</w:t>
      </w:r>
      <w:proofErr w:type="spellEnd"/>
      <w:r w:rsidRPr="00CE4B44">
        <w:rPr>
          <w:rFonts w:ascii="Book Antiqua" w:hAnsi="Book Antiqua"/>
          <w:sz w:val="24"/>
          <w:szCs w:val="24"/>
        </w:rPr>
        <w:t xml:space="preserve"> Y, Suzuki S, Hosokawa T, Nishimura T, Ueda K, </w:t>
      </w:r>
      <w:proofErr w:type="spellStart"/>
      <w:r w:rsidRPr="00CE4B44">
        <w:rPr>
          <w:rFonts w:ascii="Book Antiqua" w:hAnsi="Book Antiqua"/>
          <w:sz w:val="24"/>
          <w:szCs w:val="24"/>
        </w:rPr>
        <w:t>Kuzuya</w:t>
      </w:r>
      <w:proofErr w:type="spellEnd"/>
      <w:r w:rsidRPr="00CE4B44">
        <w:rPr>
          <w:rFonts w:ascii="Book Antiqua" w:hAnsi="Book Antiqua"/>
          <w:sz w:val="24"/>
          <w:szCs w:val="24"/>
        </w:rPr>
        <w:t xml:space="preserve"> T, Nakanishi H, </w:t>
      </w:r>
      <w:proofErr w:type="spellStart"/>
      <w:r w:rsidRPr="00CE4B44">
        <w:rPr>
          <w:rFonts w:ascii="Book Antiqua" w:hAnsi="Book Antiqua"/>
          <w:sz w:val="24"/>
          <w:szCs w:val="24"/>
        </w:rPr>
        <w:t>Itakura</w:t>
      </w:r>
      <w:proofErr w:type="spellEnd"/>
      <w:r w:rsidRPr="00CE4B44">
        <w:rPr>
          <w:rFonts w:ascii="Book Antiqua" w:hAnsi="Book Antiqua"/>
          <w:sz w:val="24"/>
          <w:szCs w:val="24"/>
        </w:rPr>
        <w:t xml:space="preserve"> J, Takahashi Y, Kurosaki M, </w:t>
      </w:r>
      <w:proofErr w:type="spellStart"/>
      <w:r w:rsidRPr="00CE4B44">
        <w:rPr>
          <w:rFonts w:ascii="Book Antiqua" w:hAnsi="Book Antiqua"/>
          <w:sz w:val="24"/>
          <w:szCs w:val="24"/>
        </w:rPr>
        <w:t>Enomoto</w:t>
      </w:r>
      <w:proofErr w:type="spellEnd"/>
      <w:r w:rsidRPr="00CE4B44">
        <w:rPr>
          <w:rFonts w:ascii="Book Antiqua" w:hAnsi="Book Antiqua"/>
          <w:sz w:val="24"/>
          <w:szCs w:val="24"/>
        </w:rPr>
        <w:t xml:space="preserve"> N, Izumi N. Changes in plasma vascular endothelial growth factor at 8 weeks after sorafenib administration as predictors of survival for advanced hepatocellular carcinoma. </w:t>
      </w:r>
      <w:r w:rsidRPr="00CE4B44">
        <w:rPr>
          <w:rFonts w:ascii="Book Antiqua" w:hAnsi="Book Antiqua"/>
          <w:i/>
          <w:sz w:val="24"/>
          <w:szCs w:val="24"/>
        </w:rPr>
        <w:t>Cancer</w:t>
      </w:r>
      <w:r w:rsidRPr="00CE4B44">
        <w:rPr>
          <w:rFonts w:ascii="Book Antiqua" w:hAnsi="Book Antiqua"/>
          <w:sz w:val="24"/>
          <w:szCs w:val="24"/>
        </w:rPr>
        <w:t xml:space="preserve"> 2014; </w:t>
      </w:r>
      <w:r w:rsidRPr="00CE4B44">
        <w:rPr>
          <w:rFonts w:ascii="Book Antiqua" w:hAnsi="Book Antiqua"/>
          <w:b/>
          <w:sz w:val="24"/>
          <w:szCs w:val="24"/>
        </w:rPr>
        <w:t>120</w:t>
      </w:r>
      <w:r w:rsidRPr="00CE4B44">
        <w:rPr>
          <w:rFonts w:ascii="Book Antiqua" w:hAnsi="Book Antiqua"/>
          <w:sz w:val="24"/>
          <w:szCs w:val="24"/>
        </w:rPr>
        <w:t>: 229-237 [PMID: 24122122 DOI: 10.1002/cncr.28384]</w:t>
      </w:r>
    </w:p>
    <w:p w14:paraId="3DC6D785"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5 </w:t>
      </w:r>
      <w:r w:rsidRPr="00CE4B44">
        <w:rPr>
          <w:rFonts w:ascii="Book Antiqua" w:hAnsi="Book Antiqua"/>
          <w:b/>
          <w:sz w:val="24"/>
          <w:szCs w:val="24"/>
        </w:rPr>
        <w:t>Takaya H</w:t>
      </w:r>
      <w:r w:rsidRPr="00CE4B44">
        <w:rPr>
          <w:rFonts w:ascii="Book Antiqua" w:hAnsi="Book Antiqua"/>
          <w:sz w:val="24"/>
          <w:szCs w:val="24"/>
        </w:rPr>
        <w:t xml:space="preserve">, </w:t>
      </w:r>
      <w:proofErr w:type="spellStart"/>
      <w:r w:rsidRPr="00CE4B44">
        <w:rPr>
          <w:rFonts w:ascii="Book Antiqua" w:hAnsi="Book Antiqua"/>
          <w:sz w:val="24"/>
          <w:szCs w:val="24"/>
        </w:rPr>
        <w:t>Kawaratani</w:t>
      </w:r>
      <w:proofErr w:type="spellEnd"/>
      <w:r w:rsidRPr="00CE4B44">
        <w:rPr>
          <w:rFonts w:ascii="Book Antiqua" w:hAnsi="Book Antiqua"/>
          <w:sz w:val="24"/>
          <w:szCs w:val="24"/>
        </w:rPr>
        <w:t xml:space="preserve"> H, Kubo T, Seki K, Sawada Y, </w:t>
      </w:r>
      <w:proofErr w:type="spellStart"/>
      <w:r w:rsidRPr="00CE4B44">
        <w:rPr>
          <w:rFonts w:ascii="Book Antiqua" w:hAnsi="Book Antiqua"/>
          <w:sz w:val="24"/>
          <w:szCs w:val="24"/>
        </w:rPr>
        <w:t>Kaji</w:t>
      </w:r>
      <w:proofErr w:type="spellEnd"/>
      <w:r w:rsidRPr="00CE4B44">
        <w:rPr>
          <w:rFonts w:ascii="Book Antiqua" w:hAnsi="Book Antiqua"/>
          <w:sz w:val="24"/>
          <w:szCs w:val="24"/>
        </w:rPr>
        <w:t xml:space="preserve"> K, Okura Y, Takeda K, </w:t>
      </w:r>
      <w:proofErr w:type="spellStart"/>
      <w:r w:rsidRPr="00CE4B44">
        <w:rPr>
          <w:rFonts w:ascii="Book Antiqua" w:hAnsi="Book Antiqua"/>
          <w:sz w:val="24"/>
          <w:szCs w:val="24"/>
        </w:rPr>
        <w:t>Kitade</w:t>
      </w:r>
      <w:proofErr w:type="spellEnd"/>
      <w:r w:rsidRPr="00CE4B44">
        <w:rPr>
          <w:rFonts w:ascii="Book Antiqua" w:hAnsi="Book Antiqua"/>
          <w:sz w:val="24"/>
          <w:szCs w:val="24"/>
        </w:rPr>
        <w:t xml:space="preserve"> M, Moriya K, </w:t>
      </w:r>
      <w:proofErr w:type="spellStart"/>
      <w:r w:rsidRPr="00CE4B44">
        <w:rPr>
          <w:rFonts w:ascii="Book Antiqua" w:hAnsi="Book Antiqua"/>
          <w:sz w:val="24"/>
          <w:szCs w:val="24"/>
        </w:rPr>
        <w:t>Namisaki</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Mitoro</w:t>
      </w:r>
      <w:proofErr w:type="spellEnd"/>
      <w:r w:rsidRPr="00CE4B44">
        <w:rPr>
          <w:rFonts w:ascii="Book Antiqua" w:hAnsi="Book Antiqua"/>
          <w:sz w:val="24"/>
          <w:szCs w:val="24"/>
        </w:rPr>
        <w:t xml:space="preserve"> A, Matsumoto M, Fukui H, </w:t>
      </w:r>
      <w:proofErr w:type="spellStart"/>
      <w:r w:rsidRPr="00CE4B44">
        <w:rPr>
          <w:rFonts w:ascii="Book Antiqua" w:hAnsi="Book Antiqua"/>
          <w:sz w:val="24"/>
          <w:szCs w:val="24"/>
        </w:rPr>
        <w:t>Yoshiji</w:t>
      </w:r>
      <w:proofErr w:type="spellEnd"/>
      <w:r w:rsidRPr="00CE4B44">
        <w:rPr>
          <w:rFonts w:ascii="Book Antiqua" w:hAnsi="Book Antiqua"/>
          <w:sz w:val="24"/>
          <w:szCs w:val="24"/>
        </w:rPr>
        <w:t xml:space="preserve"> H. Platelet hyperaggregability is associated with decreased ADAMTS13 activity and enhanced endotoxemia in patients with acute cholangitis. </w:t>
      </w:r>
      <w:proofErr w:type="spellStart"/>
      <w:r w:rsidRPr="00CE4B44">
        <w:rPr>
          <w:rFonts w:ascii="Book Antiqua" w:hAnsi="Book Antiqua"/>
          <w:i/>
          <w:sz w:val="24"/>
          <w:szCs w:val="24"/>
        </w:rPr>
        <w:t>Hepatol</w:t>
      </w:r>
      <w:proofErr w:type="spellEnd"/>
      <w:r w:rsidRPr="00CE4B44">
        <w:rPr>
          <w:rFonts w:ascii="Book Antiqua" w:hAnsi="Book Antiqua"/>
          <w:i/>
          <w:sz w:val="24"/>
          <w:szCs w:val="24"/>
        </w:rPr>
        <w:t xml:space="preserve"> Res</w:t>
      </w:r>
      <w:r w:rsidRPr="00CE4B44">
        <w:rPr>
          <w:rFonts w:ascii="Book Antiqua" w:hAnsi="Book Antiqua"/>
          <w:sz w:val="24"/>
          <w:szCs w:val="24"/>
        </w:rPr>
        <w:t xml:space="preserve"> 2018; </w:t>
      </w:r>
      <w:r w:rsidRPr="00CE4B44">
        <w:rPr>
          <w:rFonts w:ascii="Book Antiqua" w:hAnsi="Book Antiqua"/>
          <w:b/>
          <w:sz w:val="24"/>
          <w:szCs w:val="24"/>
        </w:rPr>
        <w:t>48</w:t>
      </w:r>
      <w:r w:rsidRPr="00CE4B44">
        <w:rPr>
          <w:rFonts w:ascii="Book Antiqua" w:hAnsi="Book Antiqua"/>
          <w:sz w:val="24"/>
          <w:szCs w:val="24"/>
        </w:rPr>
        <w:t>: E52-E60 [PMID: 28628948 DOI: 10.1111/hepr.12926]</w:t>
      </w:r>
    </w:p>
    <w:p w14:paraId="1046D765"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lastRenderedPageBreak/>
        <w:t xml:space="preserve">6 </w:t>
      </w:r>
      <w:r w:rsidRPr="00CE4B44">
        <w:rPr>
          <w:rFonts w:ascii="Book Antiqua" w:hAnsi="Book Antiqua"/>
          <w:b/>
          <w:sz w:val="24"/>
          <w:szCs w:val="24"/>
        </w:rPr>
        <w:t>Takaya H</w:t>
      </w:r>
      <w:r w:rsidRPr="00CE4B44">
        <w:rPr>
          <w:rFonts w:ascii="Book Antiqua" w:hAnsi="Book Antiqua"/>
          <w:sz w:val="24"/>
          <w:szCs w:val="24"/>
        </w:rPr>
        <w:t xml:space="preserve">, </w:t>
      </w:r>
      <w:proofErr w:type="spellStart"/>
      <w:r w:rsidRPr="00CE4B44">
        <w:rPr>
          <w:rFonts w:ascii="Book Antiqua" w:hAnsi="Book Antiqua"/>
          <w:sz w:val="24"/>
          <w:szCs w:val="24"/>
        </w:rPr>
        <w:t>Uemura</w:t>
      </w:r>
      <w:proofErr w:type="spellEnd"/>
      <w:r w:rsidRPr="00CE4B44">
        <w:rPr>
          <w:rFonts w:ascii="Book Antiqua" w:hAnsi="Book Antiqua"/>
          <w:sz w:val="24"/>
          <w:szCs w:val="24"/>
        </w:rPr>
        <w:t xml:space="preserve"> M, Fujimura Y, Matsumoto M, Matsuyama T, Kato S, Morioka C, </w:t>
      </w:r>
      <w:proofErr w:type="spellStart"/>
      <w:r w:rsidRPr="00CE4B44">
        <w:rPr>
          <w:rFonts w:ascii="Book Antiqua" w:hAnsi="Book Antiqua"/>
          <w:sz w:val="24"/>
          <w:szCs w:val="24"/>
        </w:rPr>
        <w:t>Ishizashi</w:t>
      </w:r>
      <w:proofErr w:type="spellEnd"/>
      <w:r w:rsidRPr="00CE4B44">
        <w:rPr>
          <w:rFonts w:ascii="Book Antiqua" w:hAnsi="Book Antiqua"/>
          <w:sz w:val="24"/>
          <w:szCs w:val="24"/>
        </w:rPr>
        <w:t xml:space="preserve"> H, Hori Y, Fujimoto M, </w:t>
      </w:r>
      <w:proofErr w:type="spellStart"/>
      <w:r w:rsidRPr="00CE4B44">
        <w:rPr>
          <w:rFonts w:ascii="Book Antiqua" w:hAnsi="Book Antiqua"/>
          <w:sz w:val="24"/>
          <w:szCs w:val="24"/>
        </w:rPr>
        <w:t>Tsujimoto</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Kawaratani</w:t>
      </w:r>
      <w:proofErr w:type="spellEnd"/>
      <w:r w:rsidRPr="00CE4B44">
        <w:rPr>
          <w:rFonts w:ascii="Book Antiqua" w:hAnsi="Book Antiqua"/>
          <w:sz w:val="24"/>
          <w:szCs w:val="24"/>
        </w:rPr>
        <w:t xml:space="preserve"> H, </w:t>
      </w:r>
      <w:proofErr w:type="spellStart"/>
      <w:r w:rsidRPr="00CE4B44">
        <w:rPr>
          <w:rFonts w:ascii="Book Antiqua" w:hAnsi="Book Antiqua"/>
          <w:sz w:val="24"/>
          <w:szCs w:val="24"/>
        </w:rPr>
        <w:t>Toyohara</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Kurumatani</w:t>
      </w:r>
      <w:proofErr w:type="spellEnd"/>
      <w:r w:rsidRPr="00CE4B44">
        <w:rPr>
          <w:rFonts w:ascii="Book Antiqua" w:hAnsi="Book Antiqua"/>
          <w:sz w:val="24"/>
          <w:szCs w:val="24"/>
        </w:rPr>
        <w:t xml:space="preserve"> N, Fukui H. ADAMTS13 activity may predict the cumulative survival of patients with liver cirrhosis in comparison with the Child-Turcotte-Pugh score and the Model for End-Stage Liver Disease score. </w:t>
      </w:r>
      <w:proofErr w:type="spellStart"/>
      <w:r w:rsidRPr="00CE4B44">
        <w:rPr>
          <w:rFonts w:ascii="Book Antiqua" w:hAnsi="Book Antiqua"/>
          <w:i/>
          <w:sz w:val="24"/>
          <w:szCs w:val="24"/>
        </w:rPr>
        <w:t>Hepatol</w:t>
      </w:r>
      <w:proofErr w:type="spellEnd"/>
      <w:r w:rsidRPr="00CE4B44">
        <w:rPr>
          <w:rFonts w:ascii="Book Antiqua" w:hAnsi="Book Antiqua"/>
          <w:i/>
          <w:sz w:val="24"/>
          <w:szCs w:val="24"/>
        </w:rPr>
        <w:t xml:space="preserve"> Res</w:t>
      </w:r>
      <w:r w:rsidRPr="00CE4B44">
        <w:rPr>
          <w:rFonts w:ascii="Book Antiqua" w:hAnsi="Book Antiqua"/>
          <w:sz w:val="24"/>
          <w:szCs w:val="24"/>
        </w:rPr>
        <w:t xml:space="preserve"> 2012; </w:t>
      </w:r>
      <w:r w:rsidRPr="00CE4B44">
        <w:rPr>
          <w:rFonts w:ascii="Book Antiqua" w:hAnsi="Book Antiqua"/>
          <w:b/>
          <w:sz w:val="24"/>
          <w:szCs w:val="24"/>
        </w:rPr>
        <w:t>42</w:t>
      </w:r>
      <w:r w:rsidRPr="00CE4B44">
        <w:rPr>
          <w:rFonts w:ascii="Book Antiqua" w:hAnsi="Book Antiqua"/>
          <w:sz w:val="24"/>
          <w:szCs w:val="24"/>
        </w:rPr>
        <w:t>: 459-472 [PMID: 22292786 DOI: 10.1111/j.1872-034X.2011.00950.x]</w:t>
      </w:r>
    </w:p>
    <w:p w14:paraId="08C1FB8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7 </w:t>
      </w:r>
      <w:r w:rsidRPr="00CE4B44">
        <w:rPr>
          <w:rFonts w:ascii="Book Antiqua" w:hAnsi="Book Antiqua"/>
          <w:b/>
          <w:sz w:val="24"/>
          <w:szCs w:val="24"/>
        </w:rPr>
        <w:t>Takaya H</w:t>
      </w:r>
      <w:r w:rsidRPr="00CE4B44">
        <w:rPr>
          <w:rFonts w:ascii="Book Antiqua" w:hAnsi="Book Antiqua"/>
          <w:sz w:val="24"/>
          <w:szCs w:val="24"/>
        </w:rPr>
        <w:t xml:space="preserve">, </w:t>
      </w:r>
      <w:proofErr w:type="spellStart"/>
      <w:r w:rsidRPr="00CE4B44">
        <w:rPr>
          <w:rFonts w:ascii="Book Antiqua" w:hAnsi="Book Antiqua"/>
          <w:sz w:val="24"/>
          <w:szCs w:val="24"/>
        </w:rPr>
        <w:t>Yoshiji</w:t>
      </w:r>
      <w:proofErr w:type="spellEnd"/>
      <w:r w:rsidRPr="00CE4B44">
        <w:rPr>
          <w:rFonts w:ascii="Book Antiqua" w:hAnsi="Book Antiqua"/>
          <w:sz w:val="24"/>
          <w:szCs w:val="24"/>
        </w:rPr>
        <w:t xml:space="preserve"> H, </w:t>
      </w:r>
      <w:proofErr w:type="spellStart"/>
      <w:r w:rsidRPr="00CE4B44">
        <w:rPr>
          <w:rFonts w:ascii="Book Antiqua" w:hAnsi="Book Antiqua"/>
          <w:sz w:val="24"/>
          <w:szCs w:val="24"/>
        </w:rPr>
        <w:t>Kawaratani</w:t>
      </w:r>
      <w:proofErr w:type="spellEnd"/>
      <w:r w:rsidRPr="00CE4B44">
        <w:rPr>
          <w:rFonts w:ascii="Book Antiqua" w:hAnsi="Book Antiqua"/>
          <w:sz w:val="24"/>
          <w:szCs w:val="24"/>
        </w:rPr>
        <w:t xml:space="preserve"> H, Sakai K, Matsumoto M, Fujimura Y, Fukui H. Decreased activity of plasma ADAMTS13 are related to enhanced </w:t>
      </w:r>
      <w:proofErr w:type="spellStart"/>
      <w:r w:rsidRPr="00CE4B44">
        <w:rPr>
          <w:rFonts w:ascii="Book Antiqua" w:hAnsi="Book Antiqua"/>
          <w:sz w:val="24"/>
          <w:szCs w:val="24"/>
        </w:rPr>
        <w:t>cytokinemia</w:t>
      </w:r>
      <w:proofErr w:type="spellEnd"/>
      <w:r w:rsidRPr="00CE4B44">
        <w:rPr>
          <w:rFonts w:ascii="Book Antiqua" w:hAnsi="Book Antiqua"/>
          <w:sz w:val="24"/>
          <w:szCs w:val="24"/>
        </w:rPr>
        <w:t xml:space="preserve"> and endotoxemia in patients with acute liver failure. </w:t>
      </w:r>
      <w:r w:rsidRPr="00CE4B44">
        <w:rPr>
          <w:rFonts w:ascii="Book Antiqua" w:hAnsi="Book Antiqua"/>
          <w:i/>
          <w:sz w:val="24"/>
          <w:szCs w:val="24"/>
        </w:rPr>
        <w:t>Biomed Rep</w:t>
      </w:r>
      <w:r w:rsidRPr="00CE4B44">
        <w:rPr>
          <w:rFonts w:ascii="Book Antiqua" w:hAnsi="Book Antiqua"/>
          <w:sz w:val="24"/>
          <w:szCs w:val="24"/>
        </w:rPr>
        <w:t xml:space="preserve"> 2017; </w:t>
      </w:r>
      <w:r w:rsidRPr="00CE4B44">
        <w:rPr>
          <w:rFonts w:ascii="Book Antiqua" w:hAnsi="Book Antiqua"/>
          <w:b/>
          <w:sz w:val="24"/>
          <w:szCs w:val="24"/>
        </w:rPr>
        <w:t>7</w:t>
      </w:r>
      <w:r w:rsidRPr="00CE4B44">
        <w:rPr>
          <w:rFonts w:ascii="Book Antiqua" w:hAnsi="Book Antiqua"/>
          <w:sz w:val="24"/>
          <w:szCs w:val="24"/>
        </w:rPr>
        <w:t>: 277-285 [PMID: 28894574 DOI: 10.3892/br.2017.945]</w:t>
      </w:r>
    </w:p>
    <w:p w14:paraId="14DA7E7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8 </w:t>
      </w:r>
      <w:r w:rsidRPr="00CE4B44">
        <w:rPr>
          <w:rFonts w:ascii="Book Antiqua" w:hAnsi="Book Antiqua"/>
          <w:b/>
          <w:sz w:val="24"/>
          <w:szCs w:val="24"/>
        </w:rPr>
        <w:t>Takaya H</w:t>
      </w:r>
      <w:r w:rsidRPr="00CE4B44">
        <w:rPr>
          <w:rFonts w:ascii="Book Antiqua" w:hAnsi="Book Antiqua"/>
          <w:sz w:val="24"/>
          <w:szCs w:val="24"/>
        </w:rPr>
        <w:t xml:space="preserve">, </w:t>
      </w:r>
      <w:proofErr w:type="spellStart"/>
      <w:r w:rsidRPr="00CE4B44">
        <w:rPr>
          <w:rFonts w:ascii="Book Antiqua" w:hAnsi="Book Antiqua"/>
          <w:sz w:val="24"/>
          <w:szCs w:val="24"/>
        </w:rPr>
        <w:t>Kawaratani</w:t>
      </w:r>
      <w:proofErr w:type="spellEnd"/>
      <w:r w:rsidRPr="00CE4B44">
        <w:rPr>
          <w:rFonts w:ascii="Book Antiqua" w:hAnsi="Book Antiqua"/>
          <w:sz w:val="24"/>
          <w:szCs w:val="24"/>
        </w:rPr>
        <w:t xml:space="preserve"> H, Tsuji Y, Nakanishi K, </w:t>
      </w:r>
      <w:proofErr w:type="spellStart"/>
      <w:r w:rsidRPr="00CE4B44">
        <w:rPr>
          <w:rFonts w:ascii="Book Antiqua" w:hAnsi="Book Antiqua"/>
          <w:sz w:val="24"/>
          <w:szCs w:val="24"/>
        </w:rPr>
        <w:t>Saikawa</w:t>
      </w:r>
      <w:proofErr w:type="spellEnd"/>
      <w:r w:rsidRPr="00CE4B44">
        <w:rPr>
          <w:rFonts w:ascii="Book Antiqua" w:hAnsi="Book Antiqua"/>
          <w:sz w:val="24"/>
          <w:szCs w:val="24"/>
        </w:rPr>
        <w:t xml:space="preserve"> S, Sato S, Sawada Y, </w:t>
      </w:r>
      <w:proofErr w:type="spellStart"/>
      <w:r w:rsidRPr="00CE4B44">
        <w:rPr>
          <w:rFonts w:ascii="Book Antiqua" w:hAnsi="Book Antiqua"/>
          <w:sz w:val="24"/>
          <w:szCs w:val="24"/>
        </w:rPr>
        <w:t>Kaji</w:t>
      </w:r>
      <w:proofErr w:type="spellEnd"/>
      <w:r w:rsidRPr="00CE4B44">
        <w:rPr>
          <w:rFonts w:ascii="Book Antiqua" w:hAnsi="Book Antiqua"/>
          <w:sz w:val="24"/>
          <w:szCs w:val="24"/>
        </w:rPr>
        <w:t xml:space="preserve"> K, Okura Y, </w:t>
      </w:r>
      <w:proofErr w:type="spellStart"/>
      <w:r w:rsidRPr="00CE4B44">
        <w:rPr>
          <w:rFonts w:ascii="Book Antiqua" w:hAnsi="Book Antiqua"/>
          <w:sz w:val="24"/>
          <w:szCs w:val="24"/>
        </w:rPr>
        <w:t>Shimozato</w:t>
      </w:r>
      <w:proofErr w:type="spellEnd"/>
      <w:r w:rsidRPr="00CE4B44">
        <w:rPr>
          <w:rFonts w:ascii="Book Antiqua" w:hAnsi="Book Antiqua"/>
          <w:sz w:val="24"/>
          <w:szCs w:val="24"/>
        </w:rPr>
        <w:t xml:space="preserve"> N, </w:t>
      </w:r>
      <w:proofErr w:type="spellStart"/>
      <w:r w:rsidRPr="00CE4B44">
        <w:rPr>
          <w:rFonts w:ascii="Book Antiqua" w:hAnsi="Book Antiqua"/>
          <w:sz w:val="24"/>
          <w:szCs w:val="24"/>
        </w:rPr>
        <w:t>Kitade</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Akahane</w:t>
      </w:r>
      <w:proofErr w:type="spellEnd"/>
      <w:r w:rsidRPr="00CE4B44">
        <w:rPr>
          <w:rFonts w:ascii="Book Antiqua" w:hAnsi="Book Antiqua"/>
          <w:sz w:val="24"/>
          <w:szCs w:val="24"/>
        </w:rPr>
        <w:t xml:space="preserve"> T, Moriya K, </w:t>
      </w:r>
      <w:proofErr w:type="spellStart"/>
      <w:r w:rsidRPr="00CE4B44">
        <w:rPr>
          <w:rFonts w:ascii="Book Antiqua" w:hAnsi="Book Antiqua"/>
          <w:sz w:val="24"/>
          <w:szCs w:val="24"/>
        </w:rPr>
        <w:t>Namisaki</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Mitoro</w:t>
      </w:r>
      <w:proofErr w:type="spellEnd"/>
      <w:r w:rsidRPr="00CE4B44">
        <w:rPr>
          <w:rFonts w:ascii="Book Antiqua" w:hAnsi="Book Antiqua"/>
          <w:sz w:val="24"/>
          <w:szCs w:val="24"/>
        </w:rPr>
        <w:t xml:space="preserve"> A, Matsumoto M, Fukui H, </w:t>
      </w:r>
      <w:proofErr w:type="spellStart"/>
      <w:r w:rsidRPr="00CE4B44">
        <w:rPr>
          <w:rFonts w:ascii="Book Antiqua" w:hAnsi="Book Antiqua"/>
          <w:sz w:val="24"/>
          <w:szCs w:val="24"/>
        </w:rPr>
        <w:t>Yoshiji</w:t>
      </w:r>
      <w:proofErr w:type="spellEnd"/>
      <w:r w:rsidRPr="00CE4B44">
        <w:rPr>
          <w:rFonts w:ascii="Book Antiqua" w:hAnsi="Book Antiqua"/>
          <w:sz w:val="24"/>
          <w:szCs w:val="24"/>
        </w:rPr>
        <w:t xml:space="preserve"> H. von Willebrand factor is a useful biomarker for liver fibrosis and prediction of hepatocellular carcinoma development in patients with hepatitis B and C. </w:t>
      </w:r>
      <w:r w:rsidRPr="00CE4B44">
        <w:rPr>
          <w:rFonts w:ascii="Book Antiqua" w:hAnsi="Book Antiqua"/>
          <w:i/>
          <w:sz w:val="24"/>
          <w:szCs w:val="24"/>
        </w:rPr>
        <w:t>United European Gastroenterol J</w:t>
      </w:r>
      <w:r w:rsidRPr="00CE4B44">
        <w:rPr>
          <w:rFonts w:ascii="Book Antiqua" w:hAnsi="Book Antiqua"/>
          <w:sz w:val="24"/>
          <w:szCs w:val="24"/>
        </w:rPr>
        <w:t xml:space="preserve"> 2018; </w:t>
      </w:r>
      <w:r w:rsidRPr="00CE4B44">
        <w:rPr>
          <w:rFonts w:ascii="Book Antiqua" w:hAnsi="Book Antiqua"/>
          <w:b/>
          <w:sz w:val="24"/>
          <w:szCs w:val="24"/>
        </w:rPr>
        <w:t>6</w:t>
      </w:r>
      <w:r w:rsidRPr="00CE4B44">
        <w:rPr>
          <w:rFonts w:ascii="Book Antiqua" w:hAnsi="Book Antiqua"/>
          <w:sz w:val="24"/>
          <w:szCs w:val="24"/>
        </w:rPr>
        <w:t>: 1401-1409 [PMID: 30386613 DOI: 10.1177/2050640618779660]</w:t>
      </w:r>
    </w:p>
    <w:p w14:paraId="1D31BB8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9 </w:t>
      </w:r>
      <w:proofErr w:type="spellStart"/>
      <w:r w:rsidRPr="00CE4B44">
        <w:rPr>
          <w:rFonts w:ascii="Book Antiqua" w:hAnsi="Book Antiqua"/>
          <w:b/>
          <w:sz w:val="24"/>
          <w:szCs w:val="24"/>
        </w:rPr>
        <w:t>Uemura</w:t>
      </w:r>
      <w:proofErr w:type="spellEnd"/>
      <w:r w:rsidRPr="00CE4B44">
        <w:rPr>
          <w:rFonts w:ascii="Book Antiqua" w:hAnsi="Book Antiqua"/>
          <w:b/>
          <w:sz w:val="24"/>
          <w:szCs w:val="24"/>
        </w:rPr>
        <w:t xml:space="preserve"> M</w:t>
      </w:r>
      <w:r w:rsidRPr="00CE4B44">
        <w:rPr>
          <w:rFonts w:ascii="Book Antiqua" w:hAnsi="Book Antiqua"/>
          <w:sz w:val="24"/>
          <w:szCs w:val="24"/>
        </w:rPr>
        <w:t xml:space="preserve">, Tatsumi K, Matsumoto M, Fujimoto M, Matsuyama T, Ishikawa M, Iwamoto TA, Mori T, Wanaka A, Fukui H, Fujimura Y. Localization of ADAMTS13 to the stellate cells of human liver. </w:t>
      </w:r>
      <w:r w:rsidRPr="00CE4B44">
        <w:rPr>
          <w:rFonts w:ascii="Book Antiqua" w:hAnsi="Book Antiqua"/>
          <w:i/>
          <w:sz w:val="24"/>
          <w:szCs w:val="24"/>
        </w:rPr>
        <w:t>Blood</w:t>
      </w:r>
      <w:r w:rsidRPr="00CE4B44">
        <w:rPr>
          <w:rFonts w:ascii="Book Antiqua" w:hAnsi="Book Antiqua"/>
          <w:sz w:val="24"/>
          <w:szCs w:val="24"/>
        </w:rPr>
        <w:t xml:space="preserve"> 2005; </w:t>
      </w:r>
      <w:r w:rsidRPr="00CE4B44">
        <w:rPr>
          <w:rFonts w:ascii="Book Antiqua" w:hAnsi="Book Antiqua"/>
          <w:b/>
          <w:sz w:val="24"/>
          <w:szCs w:val="24"/>
        </w:rPr>
        <w:t>106</w:t>
      </w:r>
      <w:r w:rsidRPr="00CE4B44">
        <w:rPr>
          <w:rFonts w:ascii="Book Antiqua" w:hAnsi="Book Antiqua"/>
          <w:sz w:val="24"/>
          <w:szCs w:val="24"/>
        </w:rPr>
        <w:t>: 922-924 [PMID: 15855280 DOI: 10.1182/blood-2005-01-0152]</w:t>
      </w:r>
    </w:p>
    <w:p w14:paraId="17F4C56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10 </w:t>
      </w:r>
      <w:proofErr w:type="spellStart"/>
      <w:r w:rsidRPr="00CE4B44">
        <w:rPr>
          <w:rFonts w:ascii="Book Antiqua" w:hAnsi="Book Antiqua"/>
          <w:b/>
          <w:sz w:val="24"/>
          <w:szCs w:val="24"/>
        </w:rPr>
        <w:t>Moake</w:t>
      </w:r>
      <w:proofErr w:type="spellEnd"/>
      <w:r w:rsidRPr="00CE4B44">
        <w:rPr>
          <w:rFonts w:ascii="Book Antiqua" w:hAnsi="Book Antiqua"/>
          <w:b/>
          <w:sz w:val="24"/>
          <w:szCs w:val="24"/>
        </w:rPr>
        <w:t xml:space="preserve"> JL</w:t>
      </w:r>
      <w:r w:rsidRPr="00CE4B44">
        <w:rPr>
          <w:rFonts w:ascii="Book Antiqua" w:hAnsi="Book Antiqua"/>
          <w:sz w:val="24"/>
          <w:szCs w:val="24"/>
        </w:rPr>
        <w:t xml:space="preserve">, Turner NA, Stathopoulos NA, Nolasco LH, </w:t>
      </w:r>
      <w:proofErr w:type="spellStart"/>
      <w:r w:rsidRPr="00CE4B44">
        <w:rPr>
          <w:rFonts w:ascii="Book Antiqua" w:hAnsi="Book Antiqua"/>
          <w:sz w:val="24"/>
          <w:szCs w:val="24"/>
        </w:rPr>
        <w:t>Hellums</w:t>
      </w:r>
      <w:proofErr w:type="spellEnd"/>
      <w:r w:rsidRPr="00CE4B44">
        <w:rPr>
          <w:rFonts w:ascii="Book Antiqua" w:hAnsi="Book Antiqua"/>
          <w:sz w:val="24"/>
          <w:szCs w:val="24"/>
        </w:rPr>
        <w:t xml:space="preserve"> JD. Involvement of large plasma von Willebrand factor (</w:t>
      </w:r>
      <w:proofErr w:type="spellStart"/>
      <w:r w:rsidRPr="00CE4B44">
        <w:rPr>
          <w:rFonts w:ascii="Book Antiqua" w:hAnsi="Book Antiqua"/>
          <w:sz w:val="24"/>
          <w:szCs w:val="24"/>
        </w:rPr>
        <w:t>vWF</w:t>
      </w:r>
      <w:proofErr w:type="spellEnd"/>
      <w:r w:rsidRPr="00CE4B44">
        <w:rPr>
          <w:rFonts w:ascii="Book Antiqua" w:hAnsi="Book Antiqua"/>
          <w:sz w:val="24"/>
          <w:szCs w:val="24"/>
        </w:rPr>
        <w:t xml:space="preserve">) multimers and unusually large </w:t>
      </w:r>
      <w:proofErr w:type="spellStart"/>
      <w:r w:rsidRPr="00CE4B44">
        <w:rPr>
          <w:rFonts w:ascii="Book Antiqua" w:hAnsi="Book Antiqua"/>
          <w:sz w:val="24"/>
          <w:szCs w:val="24"/>
        </w:rPr>
        <w:t>vWF</w:t>
      </w:r>
      <w:proofErr w:type="spellEnd"/>
      <w:r w:rsidRPr="00CE4B44">
        <w:rPr>
          <w:rFonts w:ascii="Book Antiqua" w:hAnsi="Book Antiqua"/>
          <w:sz w:val="24"/>
          <w:szCs w:val="24"/>
        </w:rPr>
        <w:t xml:space="preserve"> forms derived from endothelial cells in shear stress-induced platelet aggregation. </w:t>
      </w:r>
      <w:r w:rsidRPr="00CE4B44">
        <w:rPr>
          <w:rFonts w:ascii="Book Antiqua" w:hAnsi="Book Antiqua"/>
          <w:i/>
          <w:sz w:val="24"/>
          <w:szCs w:val="24"/>
        </w:rPr>
        <w:t xml:space="preserve">J </w:t>
      </w:r>
      <w:proofErr w:type="spellStart"/>
      <w:r w:rsidRPr="00CE4B44">
        <w:rPr>
          <w:rFonts w:ascii="Book Antiqua" w:hAnsi="Book Antiqua"/>
          <w:i/>
          <w:sz w:val="24"/>
          <w:szCs w:val="24"/>
        </w:rPr>
        <w:t>Clin</w:t>
      </w:r>
      <w:proofErr w:type="spellEnd"/>
      <w:r w:rsidRPr="00CE4B44">
        <w:rPr>
          <w:rFonts w:ascii="Book Antiqua" w:hAnsi="Book Antiqua"/>
          <w:i/>
          <w:sz w:val="24"/>
          <w:szCs w:val="24"/>
        </w:rPr>
        <w:t xml:space="preserve"> Invest</w:t>
      </w:r>
      <w:r w:rsidRPr="00CE4B44">
        <w:rPr>
          <w:rFonts w:ascii="Book Antiqua" w:hAnsi="Book Antiqua"/>
          <w:sz w:val="24"/>
          <w:szCs w:val="24"/>
        </w:rPr>
        <w:t xml:space="preserve"> 1986; </w:t>
      </w:r>
      <w:r w:rsidRPr="00CE4B44">
        <w:rPr>
          <w:rFonts w:ascii="Book Antiqua" w:hAnsi="Book Antiqua"/>
          <w:b/>
          <w:sz w:val="24"/>
          <w:szCs w:val="24"/>
        </w:rPr>
        <w:t>78</w:t>
      </w:r>
      <w:r w:rsidRPr="00CE4B44">
        <w:rPr>
          <w:rFonts w:ascii="Book Antiqua" w:hAnsi="Book Antiqua"/>
          <w:sz w:val="24"/>
          <w:szCs w:val="24"/>
        </w:rPr>
        <w:t xml:space="preserve">: 1456-1461 [PMID: 3491092 DOI: </w:t>
      </w:r>
      <w:r w:rsidRPr="00CE4B44">
        <w:rPr>
          <w:rFonts w:ascii="Book Antiqua" w:hAnsi="Book Antiqua"/>
          <w:sz w:val="24"/>
          <w:szCs w:val="24"/>
        </w:rPr>
        <w:lastRenderedPageBreak/>
        <w:t>10.1172/JCI112736]</w:t>
      </w:r>
    </w:p>
    <w:p w14:paraId="244698BA"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11 </w:t>
      </w:r>
      <w:proofErr w:type="spellStart"/>
      <w:r w:rsidRPr="00CE4B44">
        <w:rPr>
          <w:rFonts w:ascii="Book Antiqua" w:hAnsi="Book Antiqua"/>
          <w:b/>
          <w:sz w:val="24"/>
          <w:szCs w:val="24"/>
        </w:rPr>
        <w:t>Furlan</w:t>
      </w:r>
      <w:proofErr w:type="spellEnd"/>
      <w:r w:rsidRPr="00CE4B44">
        <w:rPr>
          <w:rFonts w:ascii="Book Antiqua" w:hAnsi="Book Antiqua"/>
          <w:b/>
          <w:sz w:val="24"/>
          <w:szCs w:val="24"/>
        </w:rPr>
        <w:t xml:space="preserve"> M</w:t>
      </w:r>
      <w:r w:rsidRPr="00CE4B44">
        <w:rPr>
          <w:rFonts w:ascii="Book Antiqua" w:hAnsi="Book Antiqua"/>
          <w:sz w:val="24"/>
          <w:szCs w:val="24"/>
        </w:rPr>
        <w:t xml:space="preserve">, Robles R, </w:t>
      </w:r>
      <w:proofErr w:type="spellStart"/>
      <w:r w:rsidRPr="00CE4B44">
        <w:rPr>
          <w:rFonts w:ascii="Book Antiqua" w:hAnsi="Book Antiqua"/>
          <w:sz w:val="24"/>
          <w:szCs w:val="24"/>
        </w:rPr>
        <w:t>Galbusera</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Remuzzi</w:t>
      </w:r>
      <w:proofErr w:type="spellEnd"/>
      <w:r w:rsidRPr="00CE4B44">
        <w:rPr>
          <w:rFonts w:ascii="Book Antiqua" w:hAnsi="Book Antiqua"/>
          <w:sz w:val="24"/>
          <w:szCs w:val="24"/>
        </w:rPr>
        <w:t xml:space="preserve"> G, </w:t>
      </w:r>
      <w:proofErr w:type="spellStart"/>
      <w:r w:rsidRPr="00CE4B44">
        <w:rPr>
          <w:rFonts w:ascii="Book Antiqua" w:hAnsi="Book Antiqua"/>
          <w:sz w:val="24"/>
          <w:szCs w:val="24"/>
        </w:rPr>
        <w:t>Kyrle</w:t>
      </w:r>
      <w:proofErr w:type="spellEnd"/>
      <w:r w:rsidRPr="00CE4B44">
        <w:rPr>
          <w:rFonts w:ascii="Book Antiqua" w:hAnsi="Book Antiqua"/>
          <w:sz w:val="24"/>
          <w:szCs w:val="24"/>
        </w:rPr>
        <w:t xml:space="preserve"> PA, Brenner B, Krause M, </w:t>
      </w:r>
      <w:proofErr w:type="spellStart"/>
      <w:r w:rsidRPr="00CE4B44">
        <w:rPr>
          <w:rFonts w:ascii="Book Antiqua" w:hAnsi="Book Antiqua"/>
          <w:sz w:val="24"/>
          <w:szCs w:val="24"/>
        </w:rPr>
        <w:t>Scharrer</w:t>
      </w:r>
      <w:proofErr w:type="spellEnd"/>
      <w:r w:rsidRPr="00CE4B44">
        <w:rPr>
          <w:rFonts w:ascii="Book Antiqua" w:hAnsi="Book Antiqua"/>
          <w:sz w:val="24"/>
          <w:szCs w:val="24"/>
        </w:rPr>
        <w:t xml:space="preserve"> I, </w:t>
      </w:r>
      <w:proofErr w:type="spellStart"/>
      <w:r w:rsidRPr="00CE4B44">
        <w:rPr>
          <w:rFonts w:ascii="Book Antiqua" w:hAnsi="Book Antiqua"/>
          <w:sz w:val="24"/>
          <w:szCs w:val="24"/>
        </w:rPr>
        <w:t>Aumann</w:t>
      </w:r>
      <w:proofErr w:type="spellEnd"/>
      <w:r w:rsidRPr="00CE4B44">
        <w:rPr>
          <w:rFonts w:ascii="Book Antiqua" w:hAnsi="Book Antiqua"/>
          <w:sz w:val="24"/>
          <w:szCs w:val="24"/>
        </w:rPr>
        <w:t xml:space="preserve"> V, </w:t>
      </w:r>
      <w:proofErr w:type="spellStart"/>
      <w:r w:rsidRPr="00CE4B44">
        <w:rPr>
          <w:rFonts w:ascii="Book Antiqua" w:hAnsi="Book Antiqua"/>
          <w:sz w:val="24"/>
          <w:szCs w:val="24"/>
        </w:rPr>
        <w:t>Mittler</w:t>
      </w:r>
      <w:proofErr w:type="spellEnd"/>
      <w:r w:rsidRPr="00CE4B44">
        <w:rPr>
          <w:rFonts w:ascii="Book Antiqua" w:hAnsi="Book Antiqua"/>
          <w:sz w:val="24"/>
          <w:szCs w:val="24"/>
        </w:rPr>
        <w:t xml:space="preserve"> U, </w:t>
      </w:r>
      <w:proofErr w:type="spellStart"/>
      <w:r w:rsidRPr="00CE4B44">
        <w:rPr>
          <w:rFonts w:ascii="Book Antiqua" w:hAnsi="Book Antiqua"/>
          <w:sz w:val="24"/>
          <w:szCs w:val="24"/>
        </w:rPr>
        <w:t>Solenthaler</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Lämmle</w:t>
      </w:r>
      <w:proofErr w:type="spellEnd"/>
      <w:r w:rsidRPr="00CE4B44">
        <w:rPr>
          <w:rFonts w:ascii="Book Antiqua" w:hAnsi="Book Antiqua"/>
          <w:sz w:val="24"/>
          <w:szCs w:val="24"/>
        </w:rPr>
        <w:t xml:space="preserve"> B. von Willebrand factor-cleaving protease in thrombotic thrombocytopenic purpura and the hemolytic-uremic syndrome. </w:t>
      </w:r>
      <w:r w:rsidRPr="00CE4B44">
        <w:rPr>
          <w:rFonts w:ascii="Book Antiqua" w:hAnsi="Book Antiqua"/>
          <w:i/>
          <w:sz w:val="24"/>
          <w:szCs w:val="24"/>
        </w:rPr>
        <w:t xml:space="preserve">N </w:t>
      </w:r>
      <w:proofErr w:type="spellStart"/>
      <w:r w:rsidRPr="00CE4B44">
        <w:rPr>
          <w:rFonts w:ascii="Book Antiqua" w:hAnsi="Book Antiqua"/>
          <w:i/>
          <w:sz w:val="24"/>
          <w:szCs w:val="24"/>
        </w:rPr>
        <w:t>Engl</w:t>
      </w:r>
      <w:proofErr w:type="spellEnd"/>
      <w:r w:rsidRPr="00CE4B44">
        <w:rPr>
          <w:rFonts w:ascii="Book Antiqua" w:hAnsi="Book Antiqua"/>
          <w:i/>
          <w:sz w:val="24"/>
          <w:szCs w:val="24"/>
        </w:rPr>
        <w:t xml:space="preserve"> J Med</w:t>
      </w:r>
      <w:r w:rsidRPr="00CE4B44">
        <w:rPr>
          <w:rFonts w:ascii="Book Antiqua" w:hAnsi="Book Antiqua"/>
          <w:sz w:val="24"/>
          <w:szCs w:val="24"/>
        </w:rPr>
        <w:t xml:space="preserve"> 1998; </w:t>
      </w:r>
      <w:r w:rsidRPr="00CE4B44">
        <w:rPr>
          <w:rFonts w:ascii="Book Antiqua" w:hAnsi="Book Antiqua"/>
          <w:b/>
          <w:sz w:val="24"/>
          <w:szCs w:val="24"/>
        </w:rPr>
        <w:t>339</w:t>
      </w:r>
      <w:r w:rsidRPr="00CE4B44">
        <w:rPr>
          <w:rFonts w:ascii="Book Antiqua" w:hAnsi="Book Antiqua"/>
          <w:sz w:val="24"/>
          <w:szCs w:val="24"/>
        </w:rPr>
        <w:t>: 1578-1584 [PMID: 9828245 DOI: 10.1056/NEJM199811263392202]</w:t>
      </w:r>
    </w:p>
    <w:p w14:paraId="435DDEE7"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12 </w:t>
      </w:r>
      <w:proofErr w:type="spellStart"/>
      <w:r w:rsidRPr="00CE4B44">
        <w:rPr>
          <w:rFonts w:ascii="Book Antiqua" w:hAnsi="Book Antiqua"/>
          <w:b/>
          <w:sz w:val="24"/>
          <w:szCs w:val="24"/>
        </w:rPr>
        <w:t>Uemura</w:t>
      </w:r>
      <w:proofErr w:type="spellEnd"/>
      <w:r w:rsidRPr="00CE4B44">
        <w:rPr>
          <w:rFonts w:ascii="Book Antiqua" w:hAnsi="Book Antiqua"/>
          <w:b/>
          <w:sz w:val="24"/>
          <w:szCs w:val="24"/>
        </w:rPr>
        <w:t xml:space="preserve"> M</w:t>
      </w:r>
      <w:r w:rsidRPr="00CE4B44">
        <w:rPr>
          <w:rFonts w:ascii="Book Antiqua" w:hAnsi="Book Antiqua"/>
          <w:sz w:val="24"/>
          <w:szCs w:val="24"/>
        </w:rPr>
        <w:t xml:space="preserve">, Fujimura Y, </w:t>
      </w:r>
      <w:proofErr w:type="spellStart"/>
      <w:r w:rsidRPr="00CE4B44">
        <w:rPr>
          <w:rFonts w:ascii="Book Antiqua" w:hAnsi="Book Antiqua"/>
          <w:sz w:val="24"/>
          <w:szCs w:val="24"/>
        </w:rPr>
        <w:t>Ko</w:t>
      </w:r>
      <w:proofErr w:type="spellEnd"/>
      <w:r w:rsidRPr="00CE4B44">
        <w:rPr>
          <w:rFonts w:ascii="Book Antiqua" w:hAnsi="Book Antiqua"/>
          <w:sz w:val="24"/>
          <w:szCs w:val="24"/>
        </w:rPr>
        <w:t xml:space="preserve"> S, Matsumoto M, Nakajima Y, Fukui H. Determination of ADAMTS13 and Its Clinical Significance for ADAMTS13 Supplementation Therapy to Improve the Survival of Patients with Decompensated Liver Cirrhosis. </w:t>
      </w:r>
      <w:proofErr w:type="spellStart"/>
      <w:r w:rsidRPr="00CE4B44">
        <w:rPr>
          <w:rFonts w:ascii="Book Antiqua" w:hAnsi="Book Antiqua"/>
          <w:i/>
          <w:sz w:val="24"/>
          <w:szCs w:val="24"/>
        </w:rPr>
        <w:t>Int</w:t>
      </w:r>
      <w:proofErr w:type="spellEnd"/>
      <w:r w:rsidRPr="00CE4B44">
        <w:rPr>
          <w:rFonts w:ascii="Book Antiqua" w:hAnsi="Book Antiqua"/>
          <w:i/>
          <w:sz w:val="24"/>
          <w:szCs w:val="24"/>
        </w:rPr>
        <w:t xml:space="preserve"> J </w:t>
      </w:r>
      <w:proofErr w:type="spellStart"/>
      <w:r w:rsidRPr="00CE4B44">
        <w:rPr>
          <w:rFonts w:ascii="Book Antiqua" w:hAnsi="Book Antiqua"/>
          <w:i/>
          <w:sz w:val="24"/>
          <w:szCs w:val="24"/>
        </w:rPr>
        <w:t>Hepatol</w:t>
      </w:r>
      <w:proofErr w:type="spellEnd"/>
      <w:r w:rsidRPr="00CE4B44">
        <w:rPr>
          <w:rFonts w:ascii="Book Antiqua" w:hAnsi="Book Antiqua"/>
          <w:sz w:val="24"/>
          <w:szCs w:val="24"/>
        </w:rPr>
        <w:t xml:space="preserve"> 2011; </w:t>
      </w:r>
      <w:r w:rsidRPr="00CE4B44">
        <w:rPr>
          <w:rFonts w:ascii="Book Antiqua" w:hAnsi="Book Antiqua"/>
          <w:b/>
          <w:sz w:val="24"/>
          <w:szCs w:val="24"/>
        </w:rPr>
        <w:t>2011</w:t>
      </w:r>
      <w:r w:rsidRPr="00CE4B44">
        <w:rPr>
          <w:rFonts w:ascii="Book Antiqua" w:hAnsi="Book Antiqua"/>
          <w:sz w:val="24"/>
          <w:szCs w:val="24"/>
        </w:rPr>
        <w:t>: 759047 [PMID: 21994870 DOI: 10.4061/2011/759047]</w:t>
      </w:r>
    </w:p>
    <w:p w14:paraId="033D1AC4"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13 </w:t>
      </w:r>
      <w:proofErr w:type="spellStart"/>
      <w:r w:rsidRPr="00CE4B44">
        <w:rPr>
          <w:rFonts w:ascii="Book Antiqua" w:hAnsi="Book Antiqua"/>
          <w:b/>
          <w:sz w:val="24"/>
          <w:szCs w:val="24"/>
        </w:rPr>
        <w:t>Uemura</w:t>
      </w:r>
      <w:proofErr w:type="spellEnd"/>
      <w:r w:rsidRPr="00CE4B44">
        <w:rPr>
          <w:rFonts w:ascii="Book Antiqua" w:hAnsi="Book Antiqua"/>
          <w:b/>
          <w:sz w:val="24"/>
          <w:szCs w:val="24"/>
        </w:rPr>
        <w:t xml:space="preserve"> M</w:t>
      </w:r>
      <w:r w:rsidRPr="00CE4B44">
        <w:rPr>
          <w:rFonts w:ascii="Book Antiqua" w:hAnsi="Book Antiqua"/>
          <w:sz w:val="24"/>
          <w:szCs w:val="24"/>
        </w:rPr>
        <w:t xml:space="preserve">, Fujimura Y, Matsumoto M, </w:t>
      </w:r>
      <w:proofErr w:type="spellStart"/>
      <w:r w:rsidRPr="00CE4B44">
        <w:rPr>
          <w:rFonts w:ascii="Book Antiqua" w:hAnsi="Book Antiqua"/>
          <w:sz w:val="24"/>
          <w:szCs w:val="24"/>
        </w:rPr>
        <w:t>Ishizashi</w:t>
      </w:r>
      <w:proofErr w:type="spellEnd"/>
      <w:r w:rsidRPr="00CE4B44">
        <w:rPr>
          <w:rFonts w:ascii="Book Antiqua" w:hAnsi="Book Antiqua"/>
          <w:sz w:val="24"/>
          <w:szCs w:val="24"/>
        </w:rPr>
        <w:t xml:space="preserve"> H, Kato S, Matsuyama T, </w:t>
      </w:r>
      <w:proofErr w:type="spellStart"/>
      <w:r w:rsidRPr="00CE4B44">
        <w:rPr>
          <w:rFonts w:ascii="Book Antiqua" w:hAnsi="Book Antiqua"/>
          <w:sz w:val="24"/>
          <w:szCs w:val="24"/>
        </w:rPr>
        <w:t>Isonishi</w:t>
      </w:r>
      <w:proofErr w:type="spellEnd"/>
      <w:r w:rsidRPr="00CE4B44">
        <w:rPr>
          <w:rFonts w:ascii="Book Antiqua" w:hAnsi="Book Antiqua"/>
          <w:sz w:val="24"/>
          <w:szCs w:val="24"/>
        </w:rPr>
        <w:t xml:space="preserve"> A, Ishikawa M, </w:t>
      </w:r>
      <w:proofErr w:type="spellStart"/>
      <w:r w:rsidRPr="00CE4B44">
        <w:rPr>
          <w:rFonts w:ascii="Book Antiqua" w:hAnsi="Book Antiqua"/>
          <w:sz w:val="24"/>
          <w:szCs w:val="24"/>
        </w:rPr>
        <w:t>Yagita</w:t>
      </w:r>
      <w:proofErr w:type="spellEnd"/>
      <w:r w:rsidRPr="00CE4B44">
        <w:rPr>
          <w:rFonts w:ascii="Book Antiqua" w:hAnsi="Book Antiqua"/>
          <w:sz w:val="24"/>
          <w:szCs w:val="24"/>
        </w:rPr>
        <w:t xml:space="preserve"> M, Morioka C, </w:t>
      </w:r>
      <w:proofErr w:type="spellStart"/>
      <w:r w:rsidRPr="00CE4B44">
        <w:rPr>
          <w:rFonts w:ascii="Book Antiqua" w:hAnsi="Book Antiqua"/>
          <w:sz w:val="24"/>
          <w:szCs w:val="24"/>
        </w:rPr>
        <w:t>Yoshiji</w:t>
      </w:r>
      <w:proofErr w:type="spellEnd"/>
      <w:r w:rsidRPr="00CE4B44">
        <w:rPr>
          <w:rFonts w:ascii="Book Antiqua" w:hAnsi="Book Antiqua"/>
          <w:sz w:val="24"/>
          <w:szCs w:val="24"/>
        </w:rPr>
        <w:t xml:space="preserve"> H, </w:t>
      </w:r>
      <w:proofErr w:type="spellStart"/>
      <w:r w:rsidRPr="00CE4B44">
        <w:rPr>
          <w:rFonts w:ascii="Book Antiqua" w:hAnsi="Book Antiqua"/>
          <w:sz w:val="24"/>
          <w:szCs w:val="24"/>
        </w:rPr>
        <w:t>Tsujimoto</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Kurumatani</w:t>
      </w:r>
      <w:proofErr w:type="spellEnd"/>
      <w:r w:rsidRPr="00CE4B44">
        <w:rPr>
          <w:rFonts w:ascii="Book Antiqua" w:hAnsi="Book Antiqua"/>
          <w:sz w:val="24"/>
          <w:szCs w:val="24"/>
        </w:rPr>
        <w:t xml:space="preserve"> N, Fukui H. Comprehensive analysis of ADAMTS13 in patients with liver cirrhosis. </w:t>
      </w:r>
      <w:proofErr w:type="spellStart"/>
      <w:r w:rsidRPr="00CE4B44">
        <w:rPr>
          <w:rFonts w:ascii="Book Antiqua" w:hAnsi="Book Antiqua"/>
          <w:i/>
          <w:sz w:val="24"/>
          <w:szCs w:val="24"/>
        </w:rPr>
        <w:t>Thromb</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Haemost</w:t>
      </w:r>
      <w:proofErr w:type="spellEnd"/>
      <w:r w:rsidRPr="00CE4B44">
        <w:rPr>
          <w:rFonts w:ascii="Book Antiqua" w:hAnsi="Book Antiqua"/>
          <w:sz w:val="24"/>
          <w:szCs w:val="24"/>
        </w:rPr>
        <w:t xml:space="preserve"> 2008; </w:t>
      </w:r>
      <w:r w:rsidRPr="00CE4B44">
        <w:rPr>
          <w:rFonts w:ascii="Book Antiqua" w:hAnsi="Book Antiqua"/>
          <w:b/>
          <w:sz w:val="24"/>
          <w:szCs w:val="24"/>
        </w:rPr>
        <w:t>99</w:t>
      </w:r>
      <w:r w:rsidRPr="00CE4B44">
        <w:rPr>
          <w:rFonts w:ascii="Book Antiqua" w:hAnsi="Book Antiqua"/>
          <w:sz w:val="24"/>
          <w:szCs w:val="24"/>
        </w:rPr>
        <w:t>: 1019-1029 [PMID: 18521503 DOI: 10.1160/TH08-01-0006]</w:t>
      </w:r>
    </w:p>
    <w:p w14:paraId="5A38725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14 </w:t>
      </w:r>
      <w:proofErr w:type="spellStart"/>
      <w:r w:rsidRPr="00CE4B44">
        <w:rPr>
          <w:rFonts w:ascii="Book Antiqua" w:hAnsi="Book Antiqua"/>
          <w:b/>
          <w:sz w:val="24"/>
          <w:szCs w:val="24"/>
        </w:rPr>
        <w:t>Marisi</w:t>
      </w:r>
      <w:proofErr w:type="spellEnd"/>
      <w:r w:rsidRPr="00CE4B44">
        <w:rPr>
          <w:rFonts w:ascii="Book Antiqua" w:hAnsi="Book Antiqua"/>
          <w:b/>
          <w:sz w:val="24"/>
          <w:szCs w:val="24"/>
        </w:rPr>
        <w:t xml:space="preserve"> G</w:t>
      </w:r>
      <w:r w:rsidRPr="00CE4B44">
        <w:rPr>
          <w:rFonts w:ascii="Book Antiqua" w:hAnsi="Book Antiqua"/>
          <w:sz w:val="24"/>
          <w:szCs w:val="24"/>
        </w:rPr>
        <w:t xml:space="preserve">, </w:t>
      </w:r>
      <w:proofErr w:type="spellStart"/>
      <w:r w:rsidRPr="00CE4B44">
        <w:rPr>
          <w:rFonts w:ascii="Book Antiqua" w:hAnsi="Book Antiqua"/>
          <w:sz w:val="24"/>
          <w:szCs w:val="24"/>
        </w:rPr>
        <w:t>Cucchetti</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Ulivi</w:t>
      </w:r>
      <w:proofErr w:type="spellEnd"/>
      <w:r w:rsidRPr="00CE4B44">
        <w:rPr>
          <w:rFonts w:ascii="Book Antiqua" w:hAnsi="Book Antiqua"/>
          <w:sz w:val="24"/>
          <w:szCs w:val="24"/>
        </w:rPr>
        <w:t xml:space="preserve"> P, </w:t>
      </w:r>
      <w:proofErr w:type="spellStart"/>
      <w:r w:rsidRPr="00CE4B44">
        <w:rPr>
          <w:rFonts w:ascii="Book Antiqua" w:hAnsi="Book Antiqua"/>
          <w:sz w:val="24"/>
          <w:szCs w:val="24"/>
        </w:rPr>
        <w:t>Canale</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Cabibbo</w:t>
      </w:r>
      <w:proofErr w:type="spellEnd"/>
      <w:r w:rsidRPr="00CE4B44">
        <w:rPr>
          <w:rFonts w:ascii="Book Antiqua" w:hAnsi="Book Antiqua"/>
          <w:sz w:val="24"/>
          <w:szCs w:val="24"/>
        </w:rPr>
        <w:t xml:space="preserve"> G, </w:t>
      </w:r>
      <w:proofErr w:type="spellStart"/>
      <w:r w:rsidRPr="00CE4B44">
        <w:rPr>
          <w:rFonts w:ascii="Book Antiqua" w:hAnsi="Book Antiqua"/>
          <w:sz w:val="24"/>
          <w:szCs w:val="24"/>
        </w:rPr>
        <w:t>Solaini</w:t>
      </w:r>
      <w:proofErr w:type="spellEnd"/>
      <w:r w:rsidRPr="00CE4B44">
        <w:rPr>
          <w:rFonts w:ascii="Book Antiqua" w:hAnsi="Book Antiqua"/>
          <w:sz w:val="24"/>
          <w:szCs w:val="24"/>
        </w:rPr>
        <w:t xml:space="preserve"> L, </w:t>
      </w:r>
      <w:proofErr w:type="spellStart"/>
      <w:r w:rsidRPr="00CE4B44">
        <w:rPr>
          <w:rFonts w:ascii="Book Antiqua" w:hAnsi="Book Antiqua"/>
          <w:sz w:val="24"/>
          <w:szCs w:val="24"/>
        </w:rPr>
        <w:t>Foschi</w:t>
      </w:r>
      <w:proofErr w:type="spellEnd"/>
      <w:r w:rsidRPr="00CE4B44">
        <w:rPr>
          <w:rFonts w:ascii="Book Antiqua" w:hAnsi="Book Antiqua"/>
          <w:sz w:val="24"/>
          <w:szCs w:val="24"/>
        </w:rPr>
        <w:t xml:space="preserve"> FG, De </w:t>
      </w:r>
      <w:proofErr w:type="spellStart"/>
      <w:r w:rsidRPr="00CE4B44">
        <w:rPr>
          <w:rFonts w:ascii="Book Antiqua" w:hAnsi="Book Antiqua"/>
          <w:sz w:val="24"/>
          <w:szCs w:val="24"/>
        </w:rPr>
        <w:t>Matteis</w:t>
      </w:r>
      <w:proofErr w:type="spellEnd"/>
      <w:r w:rsidRPr="00CE4B44">
        <w:rPr>
          <w:rFonts w:ascii="Book Antiqua" w:hAnsi="Book Antiqua"/>
          <w:sz w:val="24"/>
          <w:szCs w:val="24"/>
        </w:rPr>
        <w:t xml:space="preserve"> S, </w:t>
      </w:r>
      <w:proofErr w:type="spellStart"/>
      <w:r w:rsidRPr="00CE4B44">
        <w:rPr>
          <w:rFonts w:ascii="Book Antiqua" w:hAnsi="Book Antiqua"/>
          <w:sz w:val="24"/>
          <w:szCs w:val="24"/>
        </w:rPr>
        <w:t>Ercolani</w:t>
      </w:r>
      <w:proofErr w:type="spellEnd"/>
      <w:r w:rsidRPr="00CE4B44">
        <w:rPr>
          <w:rFonts w:ascii="Book Antiqua" w:hAnsi="Book Antiqua"/>
          <w:sz w:val="24"/>
          <w:szCs w:val="24"/>
        </w:rPr>
        <w:t xml:space="preserve"> G, </w:t>
      </w:r>
      <w:proofErr w:type="spellStart"/>
      <w:r w:rsidRPr="00CE4B44">
        <w:rPr>
          <w:rFonts w:ascii="Book Antiqua" w:hAnsi="Book Antiqua"/>
          <w:sz w:val="24"/>
          <w:szCs w:val="24"/>
        </w:rPr>
        <w:t>Valgiusti</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Frassineti</w:t>
      </w:r>
      <w:proofErr w:type="spellEnd"/>
      <w:r w:rsidRPr="00CE4B44">
        <w:rPr>
          <w:rFonts w:ascii="Book Antiqua" w:hAnsi="Book Antiqua"/>
          <w:sz w:val="24"/>
          <w:szCs w:val="24"/>
        </w:rPr>
        <w:t xml:space="preserve"> GL, </w:t>
      </w:r>
      <w:proofErr w:type="spellStart"/>
      <w:r w:rsidRPr="00CE4B44">
        <w:rPr>
          <w:rFonts w:ascii="Book Antiqua" w:hAnsi="Book Antiqua"/>
          <w:sz w:val="24"/>
          <w:szCs w:val="24"/>
        </w:rPr>
        <w:t>Scartozzi</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Casadei</w:t>
      </w:r>
      <w:proofErr w:type="spellEnd"/>
      <w:r w:rsidRPr="00CE4B44">
        <w:rPr>
          <w:rFonts w:ascii="Book Antiqua" w:hAnsi="Book Antiqua"/>
          <w:sz w:val="24"/>
          <w:szCs w:val="24"/>
        </w:rPr>
        <w:t xml:space="preserve"> </w:t>
      </w:r>
      <w:proofErr w:type="spellStart"/>
      <w:r w:rsidRPr="00CE4B44">
        <w:rPr>
          <w:rFonts w:ascii="Book Antiqua" w:hAnsi="Book Antiqua"/>
          <w:sz w:val="24"/>
          <w:szCs w:val="24"/>
        </w:rPr>
        <w:t>Gardini</w:t>
      </w:r>
      <w:proofErr w:type="spellEnd"/>
      <w:r w:rsidRPr="00CE4B44">
        <w:rPr>
          <w:rFonts w:ascii="Book Antiqua" w:hAnsi="Book Antiqua"/>
          <w:sz w:val="24"/>
          <w:szCs w:val="24"/>
        </w:rPr>
        <w:t xml:space="preserve"> A. Ten years of sorafenib in hepatocellular carcinoma: Are there any predictive and/or prognostic markers? </w:t>
      </w:r>
      <w:r w:rsidRPr="00CE4B44">
        <w:rPr>
          <w:rFonts w:ascii="Book Antiqua" w:hAnsi="Book Antiqua"/>
          <w:i/>
          <w:sz w:val="24"/>
          <w:szCs w:val="24"/>
        </w:rPr>
        <w:t>World J Gastroenterol</w:t>
      </w:r>
      <w:r w:rsidRPr="00CE4B44">
        <w:rPr>
          <w:rFonts w:ascii="Book Antiqua" w:hAnsi="Book Antiqua"/>
          <w:sz w:val="24"/>
          <w:szCs w:val="24"/>
        </w:rPr>
        <w:t xml:space="preserve"> 2018; </w:t>
      </w:r>
      <w:r w:rsidRPr="00CE4B44">
        <w:rPr>
          <w:rFonts w:ascii="Book Antiqua" w:hAnsi="Book Antiqua"/>
          <w:b/>
          <w:sz w:val="24"/>
          <w:szCs w:val="24"/>
        </w:rPr>
        <w:t>24</w:t>
      </w:r>
      <w:r w:rsidRPr="00CE4B44">
        <w:rPr>
          <w:rFonts w:ascii="Book Antiqua" w:hAnsi="Book Antiqua"/>
          <w:sz w:val="24"/>
          <w:szCs w:val="24"/>
        </w:rPr>
        <w:t>: 4152-4163 [PMID: 30271080 DOI: 10.3748/wjg.v24.i36.4152]</w:t>
      </w:r>
    </w:p>
    <w:p w14:paraId="4286989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15 </w:t>
      </w:r>
      <w:proofErr w:type="spellStart"/>
      <w:r w:rsidRPr="00CE4B44">
        <w:rPr>
          <w:rFonts w:ascii="Book Antiqua" w:hAnsi="Book Antiqua"/>
          <w:b/>
          <w:sz w:val="24"/>
          <w:szCs w:val="24"/>
        </w:rPr>
        <w:t>Kalambokis</w:t>
      </w:r>
      <w:proofErr w:type="spellEnd"/>
      <w:r w:rsidRPr="00CE4B44">
        <w:rPr>
          <w:rFonts w:ascii="Book Antiqua" w:hAnsi="Book Antiqua"/>
          <w:b/>
          <w:sz w:val="24"/>
          <w:szCs w:val="24"/>
        </w:rPr>
        <w:t xml:space="preserve"> GN</w:t>
      </w:r>
      <w:r w:rsidRPr="00CE4B44">
        <w:rPr>
          <w:rFonts w:ascii="Book Antiqua" w:hAnsi="Book Antiqua"/>
          <w:sz w:val="24"/>
          <w:szCs w:val="24"/>
        </w:rPr>
        <w:t xml:space="preserve">, </w:t>
      </w:r>
      <w:proofErr w:type="spellStart"/>
      <w:r w:rsidRPr="00CE4B44">
        <w:rPr>
          <w:rFonts w:ascii="Book Antiqua" w:hAnsi="Book Antiqua"/>
          <w:sz w:val="24"/>
          <w:szCs w:val="24"/>
        </w:rPr>
        <w:t>Oikonomou</w:t>
      </w:r>
      <w:proofErr w:type="spellEnd"/>
      <w:r w:rsidRPr="00CE4B44">
        <w:rPr>
          <w:rFonts w:ascii="Book Antiqua" w:hAnsi="Book Antiqua"/>
          <w:sz w:val="24"/>
          <w:szCs w:val="24"/>
        </w:rPr>
        <w:t xml:space="preserve"> A, Christou L, </w:t>
      </w:r>
      <w:proofErr w:type="spellStart"/>
      <w:r w:rsidRPr="00CE4B44">
        <w:rPr>
          <w:rFonts w:ascii="Book Antiqua" w:hAnsi="Book Antiqua"/>
          <w:sz w:val="24"/>
          <w:szCs w:val="24"/>
        </w:rPr>
        <w:t>Kolaitis</w:t>
      </w:r>
      <w:proofErr w:type="spellEnd"/>
      <w:r w:rsidRPr="00CE4B44">
        <w:rPr>
          <w:rFonts w:ascii="Book Antiqua" w:hAnsi="Book Antiqua"/>
          <w:sz w:val="24"/>
          <w:szCs w:val="24"/>
        </w:rPr>
        <w:t xml:space="preserve"> NI, </w:t>
      </w:r>
      <w:proofErr w:type="spellStart"/>
      <w:r w:rsidRPr="00CE4B44">
        <w:rPr>
          <w:rFonts w:ascii="Book Antiqua" w:hAnsi="Book Antiqua"/>
          <w:sz w:val="24"/>
          <w:szCs w:val="24"/>
        </w:rPr>
        <w:t>Tsianos</w:t>
      </w:r>
      <w:proofErr w:type="spellEnd"/>
      <w:r w:rsidRPr="00CE4B44">
        <w:rPr>
          <w:rFonts w:ascii="Book Antiqua" w:hAnsi="Book Antiqua"/>
          <w:sz w:val="24"/>
          <w:szCs w:val="24"/>
        </w:rPr>
        <w:t xml:space="preserve"> EV, Christodoulou D, </w:t>
      </w:r>
      <w:proofErr w:type="spellStart"/>
      <w:r w:rsidRPr="00CE4B44">
        <w:rPr>
          <w:rFonts w:ascii="Book Antiqua" w:hAnsi="Book Antiqua"/>
          <w:sz w:val="24"/>
          <w:szCs w:val="24"/>
        </w:rPr>
        <w:t>Baltayiannis</w:t>
      </w:r>
      <w:proofErr w:type="spellEnd"/>
      <w:r w:rsidRPr="00CE4B44">
        <w:rPr>
          <w:rFonts w:ascii="Book Antiqua" w:hAnsi="Book Antiqua"/>
          <w:sz w:val="24"/>
          <w:szCs w:val="24"/>
        </w:rPr>
        <w:t xml:space="preserve"> G. von Willebrand factor and procoagulant imbalance predict outcome in patients with cirrhosis and thrombocytopenia. </w:t>
      </w:r>
      <w:r w:rsidRPr="00CE4B44">
        <w:rPr>
          <w:rFonts w:ascii="Book Antiqua" w:hAnsi="Book Antiqua"/>
          <w:i/>
          <w:sz w:val="24"/>
          <w:szCs w:val="24"/>
        </w:rPr>
        <w:t xml:space="preserve">J </w:t>
      </w:r>
      <w:proofErr w:type="spellStart"/>
      <w:r w:rsidRPr="00CE4B44">
        <w:rPr>
          <w:rFonts w:ascii="Book Antiqua" w:hAnsi="Book Antiqua"/>
          <w:i/>
          <w:sz w:val="24"/>
          <w:szCs w:val="24"/>
        </w:rPr>
        <w:lastRenderedPageBreak/>
        <w:t>Hepatol</w:t>
      </w:r>
      <w:proofErr w:type="spellEnd"/>
      <w:r w:rsidRPr="00CE4B44">
        <w:rPr>
          <w:rFonts w:ascii="Book Antiqua" w:hAnsi="Book Antiqua"/>
          <w:sz w:val="24"/>
          <w:szCs w:val="24"/>
        </w:rPr>
        <w:t xml:space="preserve"> 2016; </w:t>
      </w:r>
      <w:r w:rsidRPr="00CE4B44">
        <w:rPr>
          <w:rFonts w:ascii="Book Antiqua" w:hAnsi="Book Antiqua"/>
          <w:b/>
          <w:sz w:val="24"/>
          <w:szCs w:val="24"/>
        </w:rPr>
        <w:t>65</w:t>
      </w:r>
      <w:r w:rsidRPr="00CE4B44">
        <w:rPr>
          <w:rFonts w:ascii="Book Antiqua" w:hAnsi="Book Antiqua"/>
          <w:sz w:val="24"/>
          <w:szCs w:val="24"/>
        </w:rPr>
        <w:t>: 921-928 [PMID: 27297911 DOI: 10.1016/j.jhep.2016.06.002]</w:t>
      </w:r>
    </w:p>
    <w:p w14:paraId="4097EF4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16 </w:t>
      </w:r>
      <w:proofErr w:type="spellStart"/>
      <w:r w:rsidRPr="00CE4B44">
        <w:rPr>
          <w:rFonts w:ascii="Book Antiqua" w:hAnsi="Book Antiqua"/>
          <w:b/>
          <w:sz w:val="24"/>
          <w:szCs w:val="24"/>
        </w:rPr>
        <w:t>Tabernero</w:t>
      </w:r>
      <w:proofErr w:type="spellEnd"/>
      <w:r w:rsidRPr="00CE4B44">
        <w:rPr>
          <w:rFonts w:ascii="Book Antiqua" w:hAnsi="Book Antiqua"/>
          <w:b/>
          <w:sz w:val="24"/>
          <w:szCs w:val="24"/>
        </w:rPr>
        <w:t xml:space="preserve"> J</w:t>
      </w:r>
      <w:r w:rsidRPr="00CE4B44">
        <w:rPr>
          <w:rFonts w:ascii="Book Antiqua" w:hAnsi="Book Antiqua"/>
          <w:sz w:val="24"/>
          <w:szCs w:val="24"/>
        </w:rPr>
        <w:t xml:space="preserve">, Lenz HJ, Siena S, </w:t>
      </w:r>
      <w:proofErr w:type="spellStart"/>
      <w:r w:rsidRPr="00CE4B44">
        <w:rPr>
          <w:rFonts w:ascii="Book Antiqua" w:hAnsi="Book Antiqua"/>
          <w:sz w:val="24"/>
          <w:szCs w:val="24"/>
        </w:rPr>
        <w:t>Sobrero</w:t>
      </w:r>
      <w:proofErr w:type="spellEnd"/>
      <w:r w:rsidRPr="00CE4B44">
        <w:rPr>
          <w:rFonts w:ascii="Book Antiqua" w:hAnsi="Book Antiqua"/>
          <w:sz w:val="24"/>
          <w:szCs w:val="24"/>
        </w:rPr>
        <w:t xml:space="preserve"> A, Falcone A, </w:t>
      </w:r>
      <w:proofErr w:type="spellStart"/>
      <w:r w:rsidRPr="00CE4B44">
        <w:rPr>
          <w:rFonts w:ascii="Book Antiqua" w:hAnsi="Book Antiqua"/>
          <w:sz w:val="24"/>
          <w:szCs w:val="24"/>
        </w:rPr>
        <w:t>Ychou</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Humblet</w:t>
      </w:r>
      <w:proofErr w:type="spellEnd"/>
      <w:r w:rsidRPr="00CE4B44">
        <w:rPr>
          <w:rFonts w:ascii="Book Antiqua" w:hAnsi="Book Antiqua"/>
          <w:sz w:val="24"/>
          <w:szCs w:val="24"/>
        </w:rPr>
        <w:t xml:space="preserve"> Y, </w:t>
      </w:r>
      <w:proofErr w:type="spellStart"/>
      <w:r w:rsidRPr="00CE4B44">
        <w:rPr>
          <w:rFonts w:ascii="Book Antiqua" w:hAnsi="Book Antiqua"/>
          <w:sz w:val="24"/>
          <w:szCs w:val="24"/>
        </w:rPr>
        <w:t>Bouché</w:t>
      </w:r>
      <w:proofErr w:type="spellEnd"/>
      <w:r w:rsidRPr="00CE4B44">
        <w:rPr>
          <w:rFonts w:ascii="Book Antiqua" w:hAnsi="Book Antiqua"/>
          <w:sz w:val="24"/>
          <w:szCs w:val="24"/>
        </w:rPr>
        <w:t xml:space="preserve"> O, </w:t>
      </w:r>
      <w:proofErr w:type="spellStart"/>
      <w:r w:rsidRPr="00CE4B44">
        <w:rPr>
          <w:rFonts w:ascii="Book Antiqua" w:hAnsi="Book Antiqua"/>
          <w:sz w:val="24"/>
          <w:szCs w:val="24"/>
        </w:rPr>
        <w:t>Mineur</w:t>
      </w:r>
      <w:proofErr w:type="spellEnd"/>
      <w:r w:rsidRPr="00CE4B44">
        <w:rPr>
          <w:rFonts w:ascii="Book Antiqua" w:hAnsi="Book Antiqua"/>
          <w:sz w:val="24"/>
          <w:szCs w:val="24"/>
        </w:rPr>
        <w:t xml:space="preserve"> L, Barone C, </w:t>
      </w:r>
      <w:proofErr w:type="spellStart"/>
      <w:r w:rsidRPr="00CE4B44">
        <w:rPr>
          <w:rFonts w:ascii="Book Antiqua" w:hAnsi="Book Antiqua"/>
          <w:sz w:val="24"/>
          <w:szCs w:val="24"/>
        </w:rPr>
        <w:t>Adenis</w:t>
      </w:r>
      <w:proofErr w:type="spellEnd"/>
      <w:r w:rsidRPr="00CE4B44">
        <w:rPr>
          <w:rFonts w:ascii="Book Antiqua" w:hAnsi="Book Antiqua"/>
          <w:sz w:val="24"/>
          <w:szCs w:val="24"/>
        </w:rPr>
        <w:t xml:space="preserve"> A, Yoshino T, Goldberg RM, Sargent DJ, Wagner A, Laurent D, Teufel M, Jeffers M, </w:t>
      </w:r>
      <w:proofErr w:type="spellStart"/>
      <w:r w:rsidRPr="00CE4B44">
        <w:rPr>
          <w:rFonts w:ascii="Book Antiqua" w:hAnsi="Book Antiqua"/>
          <w:sz w:val="24"/>
          <w:szCs w:val="24"/>
        </w:rPr>
        <w:t>Grothey</w:t>
      </w:r>
      <w:proofErr w:type="spellEnd"/>
      <w:r w:rsidRPr="00CE4B44">
        <w:rPr>
          <w:rFonts w:ascii="Book Antiqua" w:hAnsi="Book Antiqua"/>
          <w:sz w:val="24"/>
          <w:szCs w:val="24"/>
        </w:rPr>
        <w:t xml:space="preserve"> A, Van </w:t>
      </w:r>
      <w:proofErr w:type="spellStart"/>
      <w:r w:rsidRPr="00CE4B44">
        <w:rPr>
          <w:rFonts w:ascii="Book Antiqua" w:hAnsi="Book Antiqua"/>
          <w:sz w:val="24"/>
          <w:szCs w:val="24"/>
        </w:rPr>
        <w:t>Cutsem</w:t>
      </w:r>
      <w:proofErr w:type="spellEnd"/>
      <w:r w:rsidRPr="00CE4B44">
        <w:rPr>
          <w:rFonts w:ascii="Book Antiqua" w:hAnsi="Book Antiqua"/>
          <w:sz w:val="24"/>
          <w:szCs w:val="24"/>
        </w:rPr>
        <w:t xml:space="preserve"> E. Analysis of circulating DNA and protein biomarkers to predict the clinical activity of regorafenib and assess prognosis in patients with metastatic colorectal cancer: a retrospective, exploratory analysis of the CORRECT trial. </w:t>
      </w:r>
      <w:r w:rsidRPr="00CE4B44">
        <w:rPr>
          <w:rFonts w:ascii="Book Antiqua" w:hAnsi="Book Antiqua"/>
          <w:i/>
          <w:sz w:val="24"/>
          <w:szCs w:val="24"/>
        </w:rPr>
        <w:t>Lancet Oncol</w:t>
      </w:r>
      <w:r w:rsidRPr="00CE4B44">
        <w:rPr>
          <w:rFonts w:ascii="Book Antiqua" w:hAnsi="Book Antiqua"/>
          <w:sz w:val="24"/>
          <w:szCs w:val="24"/>
        </w:rPr>
        <w:t xml:space="preserve"> 2015; </w:t>
      </w:r>
      <w:r w:rsidRPr="00CE4B44">
        <w:rPr>
          <w:rFonts w:ascii="Book Antiqua" w:hAnsi="Book Antiqua"/>
          <w:b/>
          <w:sz w:val="24"/>
          <w:szCs w:val="24"/>
        </w:rPr>
        <w:t>16</w:t>
      </w:r>
      <w:r w:rsidRPr="00CE4B44">
        <w:rPr>
          <w:rFonts w:ascii="Book Antiqua" w:hAnsi="Book Antiqua"/>
          <w:sz w:val="24"/>
          <w:szCs w:val="24"/>
        </w:rPr>
        <w:t>: 937-948 [PMID: 26184520 DOI: 10.1016/S1470-2045(15)00138-2]</w:t>
      </w:r>
    </w:p>
    <w:p w14:paraId="1FC3799F"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17 </w:t>
      </w:r>
      <w:proofErr w:type="spellStart"/>
      <w:r w:rsidRPr="00CE4B44">
        <w:rPr>
          <w:rFonts w:ascii="Book Antiqua" w:hAnsi="Book Antiqua"/>
          <w:b/>
          <w:sz w:val="24"/>
          <w:szCs w:val="24"/>
        </w:rPr>
        <w:t>Salum</w:t>
      </w:r>
      <w:proofErr w:type="spellEnd"/>
      <w:r w:rsidRPr="00CE4B44">
        <w:rPr>
          <w:rFonts w:ascii="Book Antiqua" w:hAnsi="Book Antiqua"/>
          <w:b/>
          <w:sz w:val="24"/>
          <w:szCs w:val="24"/>
        </w:rPr>
        <w:t xml:space="preserve"> GM</w:t>
      </w:r>
      <w:r w:rsidRPr="00CE4B44">
        <w:rPr>
          <w:rFonts w:ascii="Book Antiqua" w:hAnsi="Book Antiqua"/>
          <w:sz w:val="24"/>
          <w:szCs w:val="24"/>
        </w:rPr>
        <w:t xml:space="preserve">, Bader El Din NG, Ibrahim MK, </w:t>
      </w:r>
      <w:proofErr w:type="spellStart"/>
      <w:r w:rsidRPr="00CE4B44">
        <w:rPr>
          <w:rFonts w:ascii="Book Antiqua" w:hAnsi="Book Antiqua"/>
          <w:sz w:val="24"/>
          <w:szCs w:val="24"/>
        </w:rPr>
        <w:t>Anany</w:t>
      </w:r>
      <w:proofErr w:type="spellEnd"/>
      <w:r w:rsidRPr="00CE4B44">
        <w:rPr>
          <w:rFonts w:ascii="Book Antiqua" w:hAnsi="Book Antiqua"/>
          <w:sz w:val="24"/>
          <w:szCs w:val="24"/>
        </w:rPr>
        <w:t xml:space="preserve"> MA, Dawood RM, </w:t>
      </w:r>
      <w:proofErr w:type="spellStart"/>
      <w:r w:rsidRPr="00CE4B44">
        <w:rPr>
          <w:rFonts w:ascii="Book Antiqua" w:hAnsi="Book Antiqua"/>
          <w:sz w:val="24"/>
          <w:szCs w:val="24"/>
        </w:rPr>
        <w:t>Khairy</w:t>
      </w:r>
      <w:proofErr w:type="spellEnd"/>
      <w:r w:rsidRPr="00CE4B44">
        <w:rPr>
          <w:rFonts w:ascii="Book Antiqua" w:hAnsi="Book Antiqua"/>
          <w:sz w:val="24"/>
          <w:szCs w:val="24"/>
        </w:rPr>
        <w:t xml:space="preserve"> A, El </w:t>
      </w:r>
      <w:proofErr w:type="spellStart"/>
      <w:r w:rsidRPr="00CE4B44">
        <w:rPr>
          <w:rFonts w:ascii="Book Antiqua" w:hAnsi="Book Antiqua"/>
          <w:sz w:val="24"/>
          <w:szCs w:val="24"/>
        </w:rPr>
        <w:t>Awady</w:t>
      </w:r>
      <w:proofErr w:type="spellEnd"/>
      <w:r w:rsidRPr="00CE4B44">
        <w:rPr>
          <w:rFonts w:ascii="Book Antiqua" w:hAnsi="Book Antiqua"/>
          <w:sz w:val="24"/>
          <w:szCs w:val="24"/>
        </w:rPr>
        <w:t xml:space="preserve"> MK. Vascular Endothelial Growth Factor Expression in Hepatitis C Virus-Induced Liver Fibrosis: A Potential Biomarker. </w:t>
      </w:r>
      <w:r w:rsidRPr="00CE4B44">
        <w:rPr>
          <w:rFonts w:ascii="Book Antiqua" w:hAnsi="Book Antiqua"/>
          <w:i/>
          <w:sz w:val="24"/>
          <w:szCs w:val="24"/>
        </w:rPr>
        <w:t>J Interferon Cytokine Res</w:t>
      </w:r>
      <w:r w:rsidRPr="00CE4B44">
        <w:rPr>
          <w:rFonts w:ascii="Book Antiqua" w:hAnsi="Book Antiqua"/>
          <w:sz w:val="24"/>
          <w:szCs w:val="24"/>
        </w:rPr>
        <w:t xml:space="preserve"> 2017; </w:t>
      </w:r>
      <w:r w:rsidRPr="00CE4B44">
        <w:rPr>
          <w:rFonts w:ascii="Book Antiqua" w:hAnsi="Book Antiqua"/>
          <w:b/>
          <w:sz w:val="24"/>
          <w:szCs w:val="24"/>
        </w:rPr>
        <w:t>37</w:t>
      </w:r>
      <w:r w:rsidRPr="00CE4B44">
        <w:rPr>
          <w:rFonts w:ascii="Book Antiqua" w:hAnsi="Book Antiqua"/>
          <w:sz w:val="24"/>
          <w:szCs w:val="24"/>
        </w:rPr>
        <w:t>: 310-316 [PMID: 28472595 DOI: 10.1089/jir.2016.0127]</w:t>
      </w:r>
    </w:p>
    <w:p w14:paraId="291D81C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18 </w:t>
      </w:r>
      <w:r w:rsidRPr="00CE4B44">
        <w:rPr>
          <w:rFonts w:ascii="Book Antiqua" w:hAnsi="Book Antiqua"/>
          <w:b/>
          <w:sz w:val="24"/>
          <w:szCs w:val="24"/>
        </w:rPr>
        <w:t>Sergio A</w:t>
      </w:r>
      <w:r w:rsidRPr="00CE4B44">
        <w:rPr>
          <w:rFonts w:ascii="Book Antiqua" w:hAnsi="Book Antiqua"/>
          <w:sz w:val="24"/>
          <w:szCs w:val="24"/>
        </w:rPr>
        <w:t xml:space="preserve">, Cristofori C, Cardin R, </w:t>
      </w:r>
      <w:proofErr w:type="spellStart"/>
      <w:r w:rsidRPr="00CE4B44">
        <w:rPr>
          <w:rFonts w:ascii="Book Antiqua" w:hAnsi="Book Antiqua"/>
          <w:sz w:val="24"/>
          <w:szCs w:val="24"/>
        </w:rPr>
        <w:t>Pivetta</w:t>
      </w:r>
      <w:proofErr w:type="spellEnd"/>
      <w:r w:rsidRPr="00CE4B44">
        <w:rPr>
          <w:rFonts w:ascii="Book Antiqua" w:hAnsi="Book Antiqua"/>
          <w:sz w:val="24"/>
          <w:szCs w:val="24"/>
        </w:rPr>
        <w:t xml:space="preserve"> G, </w:t>
      </w:r>
      <w:proofErr w:type="spellStart"/>
      <w:r w:rsidRPr="00CE4B44">
        <w:rPr>
          <w:rFonts w:ascii="Book Antiqua" w:hAnsi="Book Antiqua"/>
          <w:sz w:val="24"/>
          <w:szCs w:val="24"/>
        </w:rPr>
        <w:t>Ragazzi</w:t>
      </w:r>
      <w:proofErr w:type="spellEnd"/>
      <w:r w:rsidRPr="00CE4B44">
        <w:rPr>
          <w:rFonts w:ascii="Book Antiqua" w:hAnsi="Book Antiqua"/>
          <w:sz w:val="24"/>
          <w:szCs w:val="24"/>
        </w:rPr>
        <w:t xml:space="preserve"> R, </w:t>
      </w:r>
      <w:proofErr w:type="spellStart"/>
      <w:r w:rsidRPr="00CE4B44">
        <w:rPr>
          <w:rFonts w:ascii="Book Antiqua" w:hAnsi="Book Antiqua"/>
          <w:sz w:val="24"/>
          <w:szCs w:val="24"/>
        </w:rPr>
        <w:t>Baldan</w:t>
      </w:r>
      <w:proofErr w:type="spellEnd"/>
      <w:r w:rsidRPr="00CE4B44">
        <w:rPr>
          <w:rFonts w:ascii="Book Antiqua" w:hAnsi="Book Antiqua"/>
          <w:sz w:val="24"/>
          <w:szCs w:val="24"/>
        </w:rPr>
        <w:t xml:space="preserve"> A, Girardi L, </w:t>
      </w:r>
      <w:proofErr w:type="spellStart"/>
      <w:r w:rsidRPr="00CE4B44">
        <w:rPr>
          <w:rFonts w:ascii="Book Antiqua" w:hAnsi="Book Antiqua"/>
          <w:sz w:val="24"/>
          <w:szCs w:val="24"/>
        </w:rPr>
        <w:t>Cillo</w:t>
      </w:r>
      <w:proofErr w:type="spellEnd"/>
      <w:r w:rsidRPr="00CE4B44">
        <w:rPr>
          <w:rFonts w:ascii="Book Antiqua" w:hAnsi="Book Antiqua"/>
          <w:sz w:val="24"/>
          <w:szCs w:val="24"/>
        </w:rPr>
        <w:t xml:space="preserve"> U, Burra P, </w:t>
      </w:r>
      <w:proofErr w:type="spellStart"/>
      <w:r w:rsidRPr="00CE4B44">
        <w:rPr>
          <w:rFonts w:ascii="Book Antiqua" w:hAnsi="Book Antiqua"/>
          <w:sz w:val="24"/>
          <w:szCs w:val="24"/>
        </w:rPr>
        <w:t>Giacomin</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Farinati</w:t>
      </w:r>
      <w:proofErr w:type="spellEnd"/>
      <w:r w:rsidRPr="00CE4B44">
        <w:rPr>
          <w:rFonts w:ascii="Book Antiqua" w:hAnsi="Book Antiqua"/>
          <w:sz w:val="24"/>
          <w:szCs w:val="24"/>
        </w:rPr>
        <w:t xml:space="preserve"> F. Transcatheter arterial chemoembolization (TACE) in hepatocellular carcinoma (HCC): the role of angiogenesis and invasiveness. </w:t>
      </w:r>
      <w:r w:rsidRPr="00CE4B44">
        <w:rPr>
          <w:rFonts w:ascii="Book Antiqua" w:hAnsi="Book Antiqua"/>
          <w:i/>
          <w:sz w:val="24"/>
          <w:szCs w:val="24"/>
        </w:rPr>
        <w:t>Am J Gastroenterol</w:t>
      </w:r>
      <w:r w:rsidRPr="00CE4B44">
        <w:rPr>
          <w:rFonts w:ascii="Book Antiqua" w:hAnsi="Book Antiqua"/>
          <w:sz w:val="24"/>
          <w:szCs w:val="24"/>
        </w:rPr>
        <w:t xml:space="preserve"> 2008; </w:t>
      </w:r>
      <w:r w:rsidRPr="00CE4B44">
        <w:rPr>
          <w:rFonts w:ascii="Book Antiqua" w:hAnsi="Book Antiqua"/>
          <w:b/>
          <w:sz w:val="24"/>
          <w:szCs w:val="24"/>
        </w:rPr>
        <w:t>103</w:t>
      </w:r>
      <w:r w:rsidRPr="00CE4B44">
        <w:rPr>
          <w:rFonts w:ascii="Book Antiqua" w:hAnsi="Book Antiqua"/>
          <w:sz w:val="24"/>
          <w:szCs w:val="24"/>
        </w:rPr>
        <w:t>: 914-921 [PMID: 18177453 DOI: 10.1111/j.1572-0241.2007.01712.x]</w:t>
      </w:r>
    </w:p>
    <w:p w14:paraId="6C08B84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19 </w:t>
      </w:r>
      <w:proofErr w:type="spellStart"/>
      <w:r w:rsidRPr="00CE4B44">
        <w:rPr>
          <w:rFonts w:ascii="Book Antiqua" w:hAnsi="Book Antiqua"/>
          <w:b/>
          <w:sz w:val="24"/>
          <w:szCs w:val="24"/>
        </w:rPr>
        <w:t>Yoshiji</w:t>
      </w:r>
      <w:proofErr w:type="spellEnd"/>
      <w:r w:rsidRPr="00CE4B44">
        <w:rPr>
          <w:rFonts w:ascii="Book Antiqua" w:hAnsi="Book Antiqua"/>
          <w:b/>
          <w:sz w:val="24"/>
          <w:szCs w:val="24"/>
        </w:rPr>
        <w:t xml:space="preserve"> H</w:t>
      </w:r>
      <w:r w:rsidRPr="00CE4B44">
        <w:rPr>
          <w:rFonts w:ascii="Book Antiqua" w:hAnsi="Book Antiqua"/>
          <w:sz w:val="24"/>
          <w:szCs w:val="24"/>
        </w:rPr>
        <w:t xml:space="preserve">, </w:t>
      </w:r>
      <w:proofErr w:type="spellStart"/>
      <w:r w:rsidRPr="00CE4B44">
        <w:rPr>
          <w:rFonts w:ascii="Book Antiqua" w:hAnsi="Book Antiqua"/>
          <w:sz w:val="24"/>
          <w:szCs w:val="24"/>
        </w:rPr>
        <w:t>Kuriyama</w:t>
      </w:r>
      <w:proofErr w:type="spellEnd"/>
      <w:r w:rsidRPr="00CE4B44">
        <w:rPr>
          <w:rFonts w:ascii="Book Antiqua" w:hAnsi="Book Antiqua"/>
          <w:sz w:val="24"/>
          <w:szCs w:val="24"/>
        </w:rPr>
        <w:t xml:space="preserve"> S, Yoshii J, </w:t>
      </w:r>
      <w:proofErr w:type="spellStart"/>
      <w:r w:rsidRPr="00CE4B44">
        <w:rPr>
          <w:rFonts w:ascii="Book Antiqua" w:hAnsi="Book Antiqua"/>
          <w:sz w:val="24"/>
          <w:szCs w:val="24"/>
        </w:rPr>
        <w:t>Ikenaka</w:t>
      </w:r>
      <w:proofErr w:type="spellEnd"/>
      <w:r w:rsidRPr="00CE4B44">
        <w:rPr>
          <w:rFonts w:ascii="Book Antiqua" w:hAnsi="Book Antiqua"/>
          <w:sz w:val="24"/>
          <w:szCs w:val="24"/>
        </w:rPr>
        <w:t xml:space="preserve"> Y, Noguchi R, Hicklin DJ, Wu Y, Yanase K, </w:t>
      </w:r>
      <w:proofErr w:type="spellStart"/>
      <w:r w:rsidRPr="00CE4B44">
        <w:rPr>
          <w:rFonts w:ascii="Book Antiqua" w:hAnsi="Book Antiqua"/>
          <w:sz w:val="24"/>
          <w:szCs w:val="24"/>
        </w:rPr>
        <w:t>Namisaki</w:t>
      </w:r>
      <w:proofErr w:type="spellEnd"/>
      <w:r w:rsidRPr="00CE4B44">
        <w:rPr>
          <w:rFonts w:ascii="Book Antiqua" w:hAnsi="Book Antiqua"/>
          <w:sz w:val="24"/>
          <w:szCs w:val="24"/>
        </w:rPr>
        <w:t xml:space="preserve"> T, </w:t>
      </w:r>
      <w:proofErr w:type="spellStart"/>
      <w:r w:rsidRPr="00CE4B44">
        <w:rPr>
          <w:rFonts w:ascii="Book Antiqua" w:hAnsi="Book Antiqua"/>
          <w:sz w:val="24"/>
          <w:szCs w:val="24"/>
        </w:rPr>
        <w:t>Kitade</w:t>
      </w:r>
      <w:proofErr w:type="spellEnd"/>
      <w:r w:rsidRPr="00CE4B44">
        <w:rPr>
          <w:rFonts w:ascii="Book Antiqua" w:hAnsi="Book Antiqua"/>
          <w:sz w:val="24"/>
          <w:szCs w:val="24"/>
        </w:rPr>
        <w:t xml:space="preserve"> M, Yamazaki M, </w:t>
      </w:r>
      <w:proofErr w:type="spellStart"/>
      <w:r w:rsidRPr="00CE4B44">
        <w:rPr>
          <w:rFonts w:ascii="Book Antiqua" w:hAnsi="Book Antiqua"/>
          <w:sz w:val="24"/>
          <w:szCs w:val="24"/>
        </w:rPr>
        <w:t>Tsujinoue</w:t>
      </w:r>
      <w:proofErr w:type="spellEnd"/>
      <w:r w:rsidRPr="00CE4B44">
        <w:rPr>
          <w:rFonts w:ascii="Book Antiqua" w:hAnsi="Book Antiqua"/>
          <w:sz w:val="24"/>
          <w:szCs w:val="24"/>
        </w:rPr>
        <w:t xml:space="preserve"> H, Masaki T, Fukui H. Halting the interaction between vascular endothelial growth factor and its receptors attenuates liver carcinogenesis in mice. </w:t>
      </w:r>
      <w:r w:rsidRPr="00CE4B44">
        <w:rPr>
          <w:rFonts w:ascii="Book Antiqua" w:hAnsi="Book Antiqua"/>
          <w:i/>
          <w:sz w:val="24"/>
          <w:szCs w:val="24"/>
        </w:rPr>
        <w:t>Hepatology</w:t>
      </w:r>
      <w:r w:rsidRPr="00CE4B44">
        <w:rPr>
          <w:rFonts w:ascii="Book Antiqua" w:hAnsi="Book Antiqua"/>
          <w:sz w:val="24"/>
          <w:szCs w:val="24"/>
        </w:rPr>
        <w:t xml:space="preserve"> 2004; </w:t>
      </w:r>
      <w:r w:rsidRPr="00CE4B44">
        <w:rPr>
          <w:rFonts w:ascii="Book Antiqua" w:hAnsi="Book Antiqua"/>
          <w:b/>
          <w:sz w:val="24"/>
          <w:szCs w:val="24"/>
        </w:rPr>
        <w:t>39</w:t>
      </w:r>
      <w:r w:rsidRPr="00CE4B44">
        <w:rPr>
          <w:rFonts w:ascii="Book Antiqua" w:hAnsi="Book Antiqua"/>
          <w:sz w:val="24"/>
          <w:szCs w:val="24"/>
        </w:rPr>
        <w:t>: 1517-1524 [PMID: 15185292 DOI: 10.1002/hep.20218]</w:t>
      </w:r>
    </w:p>
    <w:p w14:paraId="2591BDAE"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20 </w:t>
      </w:r>
      <w:r w:rsidRPr="00CE4B44">
        <w:rPr>
          <w:rFonts w:ascii="Book Antiqua" w:hAnsi="Book Antiqua"/>
          <w:b/>
          <w:sz w:val="24"/>
          <w:szCs w:val="24"/>
        </w:rPr>
        <w:t>Starke RD</w:t>
      </w:r>
      <w:r w:rsidRPr="00CE4B44">
        <w:rPr>
          <w:rFonts w:ascii="Book Antiqua" w:hAnsi="Book Antiqua"/>
          <w:sz w:val="24"/>
          <w:szCs w:val="24"/>
        </w:rPr>
        <w:t xml:space="preserve">, Ferraro F, </w:t>
      </w:r>
      <w:proofErr w:type="spellStart"/>
      <w:r w:rsidRPr="00CE4B44">
        <w:rPr>
          <w:rFonts w:ascii="Book Antiqua" w:hAnsi="Book Antiqua"/>
          <w:sz w:val="24"/>
          <w:szCs w:val="24"/>
        </w:rPr>
        <w:t>Paschalaki</w:t>
      </w:r>
      <w:proofErr w:type="spellEnd"/>
      <w:r w:rsidRPr="00CE4B44">
        <w:rPr>
          <w:rFonts w:ascii="Book Antiqua" w:hAnsi="Book Antiqua"/>
          <w:sz w:val="24"/>
          <w:szCs w:val="24"/>
        </w:rPr>
        <w:t xml:space="preserve"> KE, Dryden NH, McKinnon TA, Sutton RE, Payne EM, </w:t>
      </w:r>
      <w:proofErr w:type="spellStart"/>
      <w:r w:rsidRPr="00CE4B44">
        <w:rPr>
          <w:rFonts w:ascii="Book Antiqua" w:hAnsi="Book Antiqua"/>
          <w:sz w:val="24"/>
          <w:szCs w:val="24"/>
        </w:rPr>
        <w:t>Haskard</w:t>
      </w:r>
      <w:proofErr w:type="spellEnd"/>
      <w:r w:rsidRPr="00CE4B44">
        <w:rPr>
          <w:rFonts w:ascii="Book Antiqua" w:hAnsi="Book Antiqua"/>
          <w:sz w:val="24"/>
          <w:szCs w:val="24"/>
        </w:rPr>
        <w:t xml:space="preserve"> DO, Hughes AD, Cutler DF, Laffan MA, Randi AM. </w:t>
      </w:r>
      <w:r w:rsidRPr="00CE4B44">
        <w:rPr>
          <w:rFonts w:ascii="Book Antiqua" w:hAnsi="Book Antiqua"/>
          <w:sz w:val="24"/>
          <w:szCs w:val="24"/>
        </w:rPr>
        <w:lastRenderedPageBreak/>
        <w:t xml:space="preserve">Endothelial von Willebrand factor regulates angiogenesis. </w:t>
      </w:r>
      <w:r w:rsidRPr="00CE4B44">
        <w:rPr>
          <w:rFonts w:ascii="Book Antiqua" w:hAnsi="Book Antiqua"/>
          <w:i/>
          <w:sz w:val="24"/>
          <w:szCs w:val="24"/>
        </w:rPr>
        <w:t>Blood</w:t>
      </w:r>
      <w:r w:rsidRPr="00CE4B44">
        <w:rPr>
          <w:rFonts w:ascii="Book Antiqua" w:hAnsi="Book Antiqua"/>
          <w:sz w:val="24"/>
          <w:szCs w:val="24"/>
        </w:rPr>
        <w:t xml:space="preserve"> 2011; </w:t>
      </w:r>
      <w:r w:rsidRPr="00CE4B44">
        <w:rPr>
          <w:rFonts w:ascii="Book Antiqua" w:hAnsi="Book Antiqua"/>
          <w:b/>
          <w:sz w:val="24"/>
          <w:szCs w:val="24"/>
        </w:rPr>
        <w:t>117</w:t>
      </w:r>
      <w:r w:rsidRPr="00CE4B44">
        <w:rPr>
          <w:rFonts w:ascii="Book Antiqua" w:hAnsi="Book Antiqua"/>
          <w:sz w:val="24"/>
          <w:szCs w:val="24"/>
        </w:rPr>
        <w:t>: 1071-1080 [PMID: 21048155 DOI: 10.1182/blood-2010-01-264507]</w:t>
      </w:r>
    </w:p>
    <w:p w14:paraId="63267FDF"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21 </w:t>
      </w:r>
      <w:proofErr w:type="spellStart"/>
      <w:r w:rsidRPr="00CE4B44">
        <w:rPr>
          <w:rFonts w:ascii="Book Antiqua" w:hAnsi="Book Antiqua"/>
          <w:b/>
          <w:sz w:val="24"/>
          <w:szCs w:val="24"/>
        </w:rPr>
        <w:t>Lenting</w:t>
      </w:r>
      <w:proofErr w:type="spellEnd"/>
      <w:r w:rsidRPr="00CE4B44">
        <w:rPr>
          <w:rFonts w:ascii="Book Antiqua" w:hAnsi="Book Antiqua"/>
          <w:b/>
          <w:sz w:val="24"/>
          <w:szCs w:val="24"/>
        </w:rPr>
        <w:t xml:space="preserve"> PJ</w:t>
      </w:r>
      <w:r w:rsidRPr="00CE4B44">
        <w:rPr>
          <w:rFonts w:ascii="Book Antiqua" w:hAnsi="Book Antiqua"/>
          <w:sz w:val="24"/>
          <w:szCs w:val="24"/>
        </w:rPr>
        <w:t xml:space="preserve">, </w:t>
      </w:r>
      <w:proofErr w:type="spellStart"/>
      <w:r w:rsidRPr="00CE4B44">
        <w:rPr>
          <w:rFonts w:ascii="Book Antiqua" w:hAnsi="Book Antiqua"/>
          <w:sz w:val="24"/>
          <w:szCs w:val="24"/>
        </w:rPr>
        <w:t>Casari</w:t>
      </w:r>
      <w:proofErr w:type="spellEnd"/>
      <w:r w:rsidRPr="00CE4B44">
        <w:rPr>
          <w:rFonts w:ascii="Book Antiqua" w:hAnsi="Book Antiqua"/>
          <w:sz w:val="24"/>
          <w:szCs w:val="24"/>
        </w:rPr>
        <w:t xml:space="preserve"> C, Christophe OD, Denis CV. von Willebrand factor: the old, the new and the unknown. </w:t>
      </w:r>
      <w:r w:rsidRPr="00CE4B44">
        <w:rPr>
          <w:rFonts w:ascii="Book Antiqua" w:hAnsi="Book Antiqua"/>
          <w:i/>
          <w:sz w:val="24"/>
          <w:szCs w:val="24"/>
        </w:rPr>
        <w:t xml:space="preserve">J </w:t>
      </w:r>
      <w:proofErr w:type="spellStart"/>
      <w:r w:rsidRPr="00CE4B44">
        <w:rPr>
          <w:rFonts w:ascii="Book Antiqua" w:hAnsi="Book Antiqua"/>
          <w:i/>
          <w:sz w:val="24"/>
          <w:szCs w:val="24"/>
        </w:rPr>
        <w:t>Thromb</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Haemost</w:t>
      </w:r>
      <w:proofErr w:type="spellEnd"/>
      <w:r w:rsidRPr="00CE4B44">
        <w:rPr>
          <w:rFonts w:ascii="Book Antiqua" w:hAnsi="Book Antiqua"/>
          <w:sz w:val="24"/>
          <w:szCs w:val="24"/>
        </w:rPr>
        <w:t xml:space="preserve"> 2012; </w:t>
      </w:r>
      <w:r w:rsidRPr="00CE4B44">
        <w:rPr>
          <w:rFonts w:ascii="Book Antiqua" w:hAnsi="Book Antiqua"/>
          <w:b/>
          <w:sz w:val="24"/>
          <w:szCs w:val="24"/>
        </w:rPr>
        <w:t>10</w:t>
      </w:r>
      <w:r w:rsidRPr="00CE4B44">
        <w:rPr>
          <w:rFonts w:ascii="Book Antiqua" w:hAnsi="Book Antiqua"/>
          <w:sz w:val="24"/>
          <w:szCs w:val="24"/>
        </w:rPr>
        <w:t>: 2428-2437 [PMID: 23020315 DOI: 10.1111/jth.12008]</w:t>
      </w:r>
    </w:p>
    <w:p w14:paraId="570468A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22 </w:t>
      </w:r>
      <w:r w:rsidRPr="00CE4B44">
        <w:rPr>
          <w:rFonts w:ascii="Book Antiqua" w:hAnsi="Book Antiqua"/>
          <w:b/>
          <w:sz w:val="24"/>
          <w:szCs w:val="24"/>
        </w:rPr>
        <w:t>Randi AM</w:t>
      </w:r>
      <w:r w:rsidRPr="00CE4B44">
        <w:rPr>
          <w:rFonts w:ascii="Book Antiqua" w:hAnsi="Book Antiqua"/>
          <w:sz w:val="24"/>
          <w:szCs w:val="24"/>
        </w:rPr>
        <w:t xml:space="preserve">. Angiogenesis and the ADAMTS13-VWF balance. </w:t>
      </w:r>
      <w:r w:rsidRPr="00CE4B44">
        <w:rPr>
          <w:rFonts w:ascii="Book Antiqua" w:hAnsi="Book Antiqua"/>
          <w:i/>
          <w:sz w:val="24"/>
          <w:szCs w:val="24"/>
        </w:rPr>
        <w:t>Blood</w:t>
      </w:r>
      <w:r w:rsidRPr="00CE4B44">
        <w:rPr>
          <w:rFonts w:ascii="Book Antiqua" w:hAnsi="Book Antiqua"/>
          <w:sz w:val="24"/>
          <w:szCs w:val="24"/>
        </w:rPr>
        <w:t xml:space="preserve"> 2017; </w:t>
      </w:r>
      <w:r w:rsidRPr="00CE4B44">
        <w:rPr>
          <w:rFonts w:ascii="Book Antiqua" w:hAnsi="Book Antiqua"/>
          <w:b/>
          <w:sz w:val="24"/>
          <w:szCs w:val="24"/>
        </w:rPr>
        <w:t>130</w:t>
      </w:r>
      <w:r w:rsidRPr="00CE4B44">
        <w:rPr>
          <w:rFonts w:ascii="Book Antiqua" w:hAnsi="Book Antiqua"/>
          <w:sz w:val="24"/>
          <w:szCs w:val="24"/>
        </w:rPr>
        <w:t>: 1-2 [PMID: 28684444 DOI: 10.1182/blood-2017-05-781260]</w:t>
      </w:r>
    </w:p>
    <w:p w14:paraId="5F308671"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23 </w:t>
      </w:r>
      <w:r w:rsidRPr="00CE4B44">
        <w:rPr>
          <w:rFonts w:ascii="Book Antiqua" w:hAnsi="Book Antiqua"/>
          <w:b/>
          <w:sz w:val="24"/>
          <w:szCs w:val="24"/>
        </w:rPr>
        <w:t>Lee M</w:t>
      </w:r>
      <w:r w:rsidRPr="00CE4B44">
        <w:rPr>
          <w:rFonts w:ascii="Book Antiqua" w:hAnsi="Book Antiqua"/>
          <w:sz w:val="24"/>
          <w:szCs w:val="24"/>
        </w:rPr>
        <w:t xml:space="preserve">, Keener J, Xiao J, Long Zheng X, Rodgers GM. ADAMTS13 and its variants promote angiogenesis via upregulation of VEGF and VEGFR2. </w:t>
      </w:r>
      <w:r w:rsidRPr="00CE4B44">
        <w:rPr>
          <w:rFonts w:ascii="Book Antiqua" w:hAnsi="Book Antiqua"/>
          <w:i/>
          <w:sz w:val="24"/>
          <w:szCs w:val="24"/>
        </w:rPr>
        <w:t xml:space="preserve">Cell </w:t>
      </w:r>
      <w:proofErr w:type="spellStart"/>
      <w:r w:rsidRPr="00CE4B44">
        <w:rPr>
          <w:rFonts w:ascii="Book Antiqua" w:hAnsi="Book Antiqua"/>
          <w:i/>
          <w:sz w:val="24"/>
          <w:szCs w:val="24"/>
        </w:rPr>
        <w:t>Mol</w:t>
      </w:r>
      <w:proofErr w:type="spellEnd"/>
      <w:r w:rsidRPr="00CE4B44">
        <w:rPr>
          <w:rFonts w:ascii="Book Antiqua" w:hAnsi="Book Antiqua"/>
          <w:i/>
          <w:sz w:val="24"/>
          <w:szCs w:val="24"/>
        </w:rPr>
        <w:t xml:space="preserve"> Life Sci</w:t>
      </w:r>
      <w:r w:rsidRPr="00CE4B44">
        <w:rPr>
          <w:rFonts w:ascii="Book Antiqua" w:hAnsi="Book Antiqua"/>
          <w:sz w:val="24"/>
          <w:szCs w:val="24"/>
        </w:rPr>
        <w:t xml:space="preserve"> 2015; </w:t>
      </w:r>
      <w:r w:rsidRPr="00CE4B44">
        <w:rPr>
          <w:rFonts w:ascii="Book Antiqua" w:hAnsi="Book Antiqua"/>
          <w:b/>
          <w:sz w:val="24"/>
          <w:szCs w:val="24"/>
        </w:rPr>
        <w:t>72</w:t>
      </w:r>
      <w:r w:rsidRPr="00CE4B44">
        <w:rPr>
          <w:rFonts w:ascii="Book Antiqua" w:hAnsi="Book Antiqua"/>
          <w:sz w:val="24"/>
          <w:szCs w:val="24"/>
        </w:rPr>
        <w:t>: 349-356 [PMID: 24950743 DOI: 10.1007/s00018-014-1667-3]</w:t>
      </w:r>
    </w:p>
    <w:p w14:paraId="63A295D5" w14:textId="76A432E3"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24 </w:t>
      </w:r>
      <w:proofErr w:type="spellStart"/>
      <w:r w:rsidRPr="00CE4B44">
        <w:rPr>
          <w:rFonts w:ascii="Book Antiqua" w:hAnsi="Book Antiqua"/>
          <w:b/>
          <w:sz w:val="24"/>
          <w:szCs w:val="24"/>
        </w:rPr>
        <w:t>Sitia</w:t>
      </w:r>
      <w:proofErr w:type="spellEnd"/>
      <w:r w:rsidRPr="00CE4B44">
        <w:rPr>
          <w:rFonts w:ascii="Book Antiqua" w:hAnsi="Book Antiqua"/>
          <w:b/>
          <w:sz w:val="24"/>
          <w:szCs w:val="24"/>
        </w:rPr>
        <w:t xml:space="preserve"> G</w:t>
      </w:r>
      <w:r w:rsidRPr="00CE4B44">
        <w:rPr>
          <w:rFonts w:ascii="Book Antiqua" w:hAnsi="Book Antiqua"/>
          <w:sz w:val="24"/>
          <w:szCs w:val="24"/>
        </w:rPr>
        <w:t xml:space="preserve">, </w:t>
      </w:r>
      <w:proofErr w:type="spellStart"/>
      <w:r w:rsidRPr="00CE4B44">
        <w:rPr>
          <w:rFonts w:ascii="Book Antiqua" w:hAnsi="Book Antiqua"/>
          <w:sz w:val="24"/>
          <w:szCs w:val="24"/>
        </w:rPr>
        <w:t>Aiolfi</w:t>
      </w:r>
      <w:proofErr w:type="spellEnd"/>
      <w:r w:rsidRPr="00CE4B44">
        <w:rPr>
          <w:rFonts w:ascii="Book Antiqua" w:hAnsi="Book Antiqua"/>
          <w:sz w:val="24"/>
          <w:szCs w:val="24"/>
        </w:rPr>
        <w:t xml:space="preserve"> R, Di Lucia P, </w:t>
      </w:r>
      <w:proofErr w:type="spellStart"/>
      <w:r w:rsidRPr="00CE4B44">
        <w:rPr>
          <w:rFonts w:ascii="Book Antiqua" w:hAnsi="Book Antiqua"/>
          <w:sz w:val="24"/>
          <w:szCs w:val="24"/>
        </w:rPr>
        <w:t>Mainetti</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Fiocchi</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Mingozzi</w:t>
      </w:r>
      <w:proofErr w:type="spellEnd"/>
      <w:r w:rsidRPr="00CE4B44">
        <w:rPr>
          <w:rFonts w:ascii="Book Antiqua" w:hAnsi="Book Antiqua"/>
          <w:sz w:val="24"/>
          <w:szCs w:val="24"/>
        </w:rPr>
        <w:t xml:space="preserve"> F, Esposito A, Ruggeri ZM, </w:t>
      </w:r>
      <w:proofErr w:type="spellStart"/>
      <w:r w:rsidRPr="00CE4B44">
        <w:rPr>
          <w:rFonts w:ascii="Book Antiqua" w:hAnsi="Book Antiqua"/>
          <w:sz w:val="24"/>
          <w:szCs w:val="24"/>
        </w:rPr>
        <w:t>Chisari</w:t>
      </w:r>
      <w:proofErr w:type="spellEnd"/>
      <w:r w:rsidRPr="00CE4B44">
        <w:rPr>
          <w:rFonts w:ascii="Book Antiqua" w:hAnsi="Book Antiqua"/>
          <w:sz w:val="24"/>
          <w:szCs w:val="24"/>
        </w:rPr>
        <w:t xml:space="preserve"> FV, </w:t>
      </w:r>
      <w:proofErr w:type="spellStart"/>
      <w:r w:rsidRPr="00CE4B44">
        <w:rPr>
          <w:rFonts w:ascii="Book Antiqua" w:hAnsi="Book Antiqua"/>
          <w:sz w:val="24"/>
          <w:szCs w:val="24"/>
        </w:rPr>
        <w:t>Iannacone</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Guidotti</w:t>
      </w:r>
      <w:proofErr w:type="spellEnd"/>
      <w:r w:rsidRPr="00CE4B44">
        <w:rPr>
          <w:rFonts w:ascii="Book Antiqua" w:hAnsi="Book Antiqua"/>
          <w:sz w:val="24"/>
          <w:szCs w:val="24"/>
        </w:rPr>
        <w:t xml:space="preserve"> LG. Antiplatelet therapy prevents hepatocellular carcinoma and improves survival in a mouse model of chronic hepatitis B. </w:t>
      </w:r>
      <w:r w:rsidR="00036D0B">
        <w:rPr>
          <w:rFonts w:ascii="Book Antiqua" w:hAnsi="Book Antiqua"/>
          <w:i/>
          <w:sz w:val="24"/>
          <w:szCs w:val="24"/>
        </w:rPr>
        <w:t xml:space="preserve">Proc Natl </w:t>
      </w:r>
      <w:proofErr w:type="spellStart"/>
      <w:r w:rsidR="00036D0B">
        <w:rPr>
          <w:rFonts w:ascii="Book Antiqua" w:hAnsi="Book Antiqua"/>
          <w:i/>
          <w:sz w:val="24"/>
          <w:szCs w:val="24"/>
        </w:rPr>
        <w:t>Acad</w:t>
      </w:r>
      <w:proofErr w:type="spellEnd"/>
      <w:r w:rsidR="00036D0B">
        <w:rPr>
          <w:rFonts w:ascii="Book Antiqua" w:hAnsi="Book Antiqua"/>
          <w:i/>
          <w:sz w:val="24"/>
          <w:szCs w:val="24"/>
        </w:rPr>
        <w:t xml:space="preserve"> Sci US</w:t>
      </w:r>
      <w:r w:rsidRPr="00CE4B44">
        <w:rPr>
          <w:rFonts w:ascii="Book Antiqua" w:hAnsi="Book Antiqua"/>
          <w:i/>
          <w:sz w:val="24"/>
          <w:szCs w:val="24"/>
        </w:rPr>
        <w:t>A</w:t>
      </w:r>
      <w:r w:rsidRPr="00CE4B44">
        <w:rPr>
          <w:rFonts w:ascii="Book Antiqua" w:hAnsi="Book Antiqua"/>
          <w:sz w:val="24"/>
          <w:szCs w:val="24"/>
        </w:rPr>
        <w:t xml:space="preserve"> 2012; </w:t>
      </w:r>
      <w:r w:rsidRPr="00CE4B44">
        <w:rPr>
          <w:rFonts w:ascii="Book Antiqua" w:hAnsi="Book Antiqua"/>
          <w:b/>
          <w:sz w:val="24"/>
          <w:szCs w:val="24"/>
        </w:rPr>
        <w:t>109</w:t>
      </w:r>
      <w:r w:rsidRPr="00CE4B44">
        <w:rPr>
          <w:rFonts w:ascii="Book Antiqua" w:hAnsi="Book Antiqua"/>
          <w:sz w:val="24"/>
          <w:szCs w:val="24"/>
        </w:rPr>
        <w:t>: E2165-E2172 [PMID: 22753481 DOI: 10.1073/pnas.1209182109]</w:t>
      </w:r>
    </w:p>
    <w:p w14:paraId="6F5B0516"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25 </w:t>
      </w:r>
      <w:r w:rsidRPr="00CE4B44">
        <w:rPr>
          <w:rFonts w:ascii="Book Antiqua" w:hAnsi="Book Antiqua"/>
          <w:b/>
          <w:sz w:val="24"/>
          <w:szCs w:val="24"/>
        </w:rPr>
        <w:t>Kato S</w:t>
      </w:r>
      <w:r w:rsidRPr="00CE4B44">
        <w:rPr>
          <w:rFonts w:ascii="Book Antiqua" w:hAnsi="Book Antiqua"/>
          <w:sz w:val="24"/>
          <w:szCs w:val="24"/>
        </w:rPr>
        <w:t xml:space="preserve">, Matsumoto M, Matsuyama T, </w:t>
      </w:r>
      <w:proofErr w:type="spellStart"/>
      <w:r w:rsidRPr="00CE4B44">
        <w:rPr>
          <w:rFonts w:ascii="Book Antiqua" w:hAnsi="Book Antiqua"/>
          <w:sz w:val="24"/>
          <w:szCs w:val="24"/>
        </w:rPr>
        <w:t>Isonishi</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Hiura</w:t>
      </w:r>
      <w:proofErr w:type="spellEnd"/>
      <w:r w:rsidRPr="00CE4B44">
        <w:rPr>
          <w:rFonts w:ascii="Book Antiqua" w:hAnsi="Book Antiqua"/>
          <w:sz w:val="24"/>
          <w:szCs w:val="24"/>
        </w:rPr>
        <w:t xml:space="preserve"> H, Fujimura Y. Novel monoclonal antibody-based enzyme immunoassay for determining plasma levels of ADAMTS13 activity. </w:t>
      </w:r>
      <w:r w:rsidRPr="00CE4B44">
        <w:rPr>
          <w:rFonts w:ascii="Book Antiqua" w:hAnsi="Book Antiqua"/>
          <w:i/>
          <w:sz w:val="24"/>
          <w:szCs w:val="24"/>
        </w:rPr>
        <w:t>Transfusion</w:t>
      </w:r>
      <w:r w:rsidRPr="00CE4B44">
        <w:rPr>
          <w:rFonts w:ascii="Book Antiqua" w:hAnsi="Book Antiqua"/>
          <w:sz w:val="24"/>
          <w:szCs w:val="24"/>
        </w:rPr>
        <w:t xml:space="preserve"> 2006; </w:t>
      </w:r>
      <w:r w:rsidRPr="00CE4B44">
        <w:rPr>
          <w:rFonts w:ascii="Book Antiqua" w:hAnsi="Book Antiqua"/>
          <w:b/>
          <w:sz w:val="24"/>
          <w:szCs w:val="24"/>
        </w:rPr>
        <w:t>46</w:t>
      </w:r>
      <w:r w:rsidRPr="00CE4B44">
        <w:rPr>
          <w:rFonts w:ascii="Book Antiqua" w:hAnsi="Book Antiqua"/>
          <w:sz w:val="24"/>
          <w:szCs w:val="24"/>
        </w:rPr>
        <w:t>: 1444-1452 [PMID: 16934083 DOI: 10.1111/j.1537-2995.2006.00914.x]</w:t>
      </w:r>
    </w:p>
    <w:p w14:paraId="11DF0EB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26 </w:t>
      </w:r>
      <w:r w:rsidRPr="00CE4B44">
        <w:rPr>
          <w:rFonts w:ascii="Book Antiqua" w:hAnsi="Book Antiqua"/>
          <w:b/>
          <w:sz w:val="24"/>
          <w:szCs w:val="24"/>
        </w:rPr>
        <w:t>Matsumoto M</w:t>
      </w:r>
      <w:r w:rsidRPr="00CE4B44">
        <w:rPr>
          <w:rFonts w:ascii="Book Antiqua" w:hAnsi="Book Antiqua"/>
          <w:sz w:val="24"/>
          <w:szCs w:val="24"/>
        </w:rPr>
        <w:t xml:space="preserve">, Kawaguchi S, </w:t>
      </w:r>
      <w:proofErr w:type="spellStart"/>
      <w:r w:rsidRPr="00CE4B44">
        <w:rPr>
          <w:rFonts w:ascii="Book Antiqua" w:hAnsi="Book Antiqua"/>
          <w:sz w:val="24"/>
          <w:szCs w:val="24"/>
        </w:rPr>
        <w:t>Ishizashi</w:t>
      </w:r>
      <w:proofErr w:type="spellEnd"/>
      <w:r w:rsidRPr="00CE4B44">
        <w:rPr>
          <w:rFonts w:ascii="Book Antiqua" w:hAnsi="Book Antiqua"/>
          <w:sz w:val="24"/>
          <w:szCs w:val="24"/>
        </w:rPr>
        <w:t xml:space="preserve"> H, Yagi H, Iida J, </w:t>
      </w:r>
      <w:proofErr w:type="spellStart"/>
      <w:r w:rsidRPr="00CE4B44">
        <w:rPr>
          <w:rFonts w:ascii="Book Antiqua" w:hAnsi="Book Antiqua"/>
          <w:sz w:val="24"/>
          <w:szCs w:val="24"/>
        </w:rPr>
        <w:t>Sakaki</w:t>
      </w:r>
      <w:proofErr w:type="spellEnd"/>
      <w:r w:rsidRPr="00CE4B44">
        <w:rPr>
          <w:rFonts w:ascii="Book Antiqua" w:hAnsi="Book Antiqua"/>
          <w:sz w:val="24"/>
          <w:szCs w:val="24"/>
        </w:rPr>
        <w:t xml:space="preserve"> T, Fujimura Y. Platelets treated with ticlopidine are less reactive to unusually large von Willebrand factor multimers than are those treated with aspirin under high shear stress. </w:t>
      </w:r>
      <w:proofErr w:type="spellStart"/>
      <w:r w:rsidRPr="00CE4B44">
        <w:rPr>
          <w:rFonts w:ascii="Book Antiqua" w:hAnsi="Book Antiqua"/>
          <w:i/>
          <w:sz w:val="24"/>
          <w:szCs w:val="24"/>
        </w:rPr>
        <w:t>Pathophysiol</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Haemost</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Thromb</w:t>
      </w:r>
      <w:proofErr w:type="spellEnd"/>
      <w:r w:rsidRPr="00CE4B44">
        <w:rPr>
          <w:rFonts w:ascii="Book Antiqua" w:hAnsi="Book Antiqua"/>
          <w:sz w:val="24"/>
          <w:szCs w:val="24"/>
        </w:rPr>
        <w:t xml:space="preserve"> 2005; </w:t>
      </w:r>
      <w:r w:rsidRPr="00CE4B44">
        <w:rPr>
          <w:rFonts w:ascii="Book Antiqua" w:hAnsi="Book Antiqua"/>
          <w:b/>
          <w:sz w:val="24"/>
          <w:szCs w:val="24"/>
        </w:rPr>
        <w:t>34</w:t>
      </w:r>
      <w:r w:rsidRPr="00CE4B44">
        <w:rPr>
          <w:rFonts w:ascii="Book Antiqua" w:hAnsi="Book Antiqua"/>
          <w:sz w:val="24"/>
          <w:szCs w:val="24"/>
        </w:rPr>
        <w:t>: 35-40 [PMID: 16293984 DOI: 10.1159/000088546]</w:t>
      </w:r>
    </w:p>
    <w:p w14:paraId="354511F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lastRenderedPageBreak/>
        <w:t xml:space="preserve">27 </w:t>
      </w:r>
      <w:r w:rsidRPr="00CE4B44">
        <w:rPr>
          <w:rFonts w:ascii="Book Antiqua" w:hAnsi="Book Antiqua"/>
          <w:b/>
          <w:sz w:val="24"/>
          <w:szCs w:val="24"/>
        </w:rPr>
        <w:t>Kanda Y</w:t>
      </w:r>
      <w:r w:rsidRPr="00CE4B44">
        <w:rPr>
          <w:rFonts w:ascii="Book Antiqua" w:hAnsi="Book Antiqua"/>
          <w:sz w:val="24"/>
          <w:szCs w:val="24"/>
        </w:rPr>
        <w:t xml:space="preserve">. Investigation of the freely available easy-to-use software 'EZR' for medical statistics. </w:t>
      </w:r>
      <w:r w:rsidRPr="00CE4B44">
        <w:rPr>
          <w:rFonts w:ascii="Book Antiqua" w:hAnsi="Book Antiqua"/>
          <w:i/>
          <w:sz w:val="24"/>
          <w:szCs w:val="24"/>
        </w:rPr>
        <w:t>Bone Marrow Transplant</w:t>
      </w:r>
      <w:r w:rsidRPr="00CE4B44">
        <w:rPr>
          <w:rFonts w:ascii="Book Antiqua" w:hAnsi="Book Antiqua"/>
          <w:sz w:val="24"/>
          <w:szCs w:val="24"/>
        </w:rPr>
        <w:t xml:space="preserve"> 2013; </w:t>
      </w:r>
      <w:r w:rsidRPr="00CE4B44">
        <w:rPr>
          <w:rFonts w:ascii="Book Antiqua" w:hAnsi="Book Antiqua"/>
          <w:b/>
          <w:sz w:val="24"/>
          <w:szCs w:val="24"/>
        </w:rPr>
        <w:t>48</w:t>
      </w:r>
      <w:r w:rsidRPr="00CE4B44">
        <w:rPr>
          <w:rFonts w:ascii="Book Antiqua" w:hAnsi="Book Antiqua"/>
          <w:sz w:val="24"/>
          <w:szCs w:val="24"/>
        </w:rPr>
        <w:t>: 452-458 [PMID: 23208313 DOI: 10.1038/bmt.2012.244]</w:t>
      </w:r>
    </w:p>
    <w:p w14:paraId="35CE4DFA"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28 </w:t>
      </w:r>
      <w:proofErr w:type="spellStart"/>
      <w:r w:rsidRPr="00CE4B44">
        <w:rPr>
          <w:rFonts w:ascii="Book Antiqua" w:hAnsi="Book Antiqua"/>
          <w:b/>
          <w:sz w:val="24"/>
          <w:szCs w:val="24"/>
        </w:rPr>
        <w:t>Nierodzik</w:t>
      </w:r>
      <w:proofErr w:type="spellEnd"/>
      <w:r w:rsidRPr="00CE4B44">
        <w:rPr>
          <w:rFonts w:ascii="Book Antiqua" w:hAnsi="Book Antiqua"/>
          <w:b/>
          <w:sz w:val="24"/>
          <w:szCs w:val="24"/>
        </w:rPr>
        <w:t xml:space="preserve"> ML</w:t>
      </w:r>
      <w:r w:rsidRPr="00CE4B44">
        <w:rPr>
          <w:rFonts w:ascii="Book Antiqua" w:hAnsi="Book Antiqua"/>
          <w:sz w:val="24"/>
          <w:szCs w:val="24"/>
        </w:rPr>
        <w:t xml:space="preserve">, </w:t>
      </w:r>
      <w:proofErr w:type="spellStart"/>
      <w:r w:rsidRPr="00CE4B44">
        <w:rPr>
          <w:rFonts w:ascii="Book Antiqua" w:hAnsi="Book Antiqua"/>
          <w:sz w:val="24"/>
          <w:szCs w:val="24"/>
        </w:rPr>
        <w:t>Kajumo</w:t>
      </w:r>
      <w:proofErr w:type="spellEnd"/>
      <w:r w:rsidRPr="00CE4B44">
        <w:rPr>
          <w:rFonts w:ascii="Book Antiqua" w:hAnsi="Book Antiqua"/>
          <w:sz w:val="24"/>
          <w:szCs w:val="24"/>
        </w:rPr>
        <w:t xml:space="preserve"> F, </w:t>
      </w:r>
      <w:proofErr w:type="spellStart"/>
      <w:r w:rsidRPr="00CE4B44">
        <w:rPr>
          <w:rFonts w:ascii="Book Antiqua" w:hAnsi="Book Antiqua"/>
          <w:sz w:val="24"/>
          <w:szCs w:val="24"/>
        </w:rPr>
        <w:t>Karpatkin</w:t>
      </w:r>
      <w:proofErr w:type="spellEnd"/>
      <w:r w:rsidRPr="00CE4B44">
        <w:rPr>
          <w:rFonts w:ascii="Book Antiqua" w:hAnsi="Book Antiqua"/>
          <w:sz w:val="24"/>
          <w:szCs w:val="24"/>
        </w:rPr>
        <w:t xml:space="preserve"> S. Effect of thrombin treatment of tumor cells on adhesion of tumor cells to platelets in vitro and tumor metastasis in vivo. </w:t>
      </w:r>
      <w:r w:rsidRPr="00CE4B44">
        <w:rPr>
          <w:rFonts w:ascii="Book Antiqua" w:hAnsi="Book Antiqua"/>
          <w:i/>
          <w:sz w:val="24"/>
          <w:szCs w:val="24"/>
        </w:rPr>
        <w:t>Cancer Res</w:t>
      </w:r>
      <w:r w:rsidRPr="00CE4B44">
        <w:rPr>
          <w:rFonts w:ascii="Book Antiqua" w:hAnsi="Book Antiqua"/>
          <w:sz w:val="24"/>
          <w:szCs w:val="24"/>
        </w:rPr>
        <w:t xml:space="preserve"> 1992; </w:t>
      </w:r>
      <w:r w:rsidRPr="00CE4B44">
        <w:rPr>
          <w:rFonts w:ascii="Book Antiqua" w:hAnsi="Book Antiqua"/>
          <w:b/>
          <w:sz w:val="24"/>
          <w:szCs w:val="24"/>
        </w:rPr>
        <w:t>52</w:t>
      </w:r>
      <w:r w:rsidRPr="00CE4B44">
        <w:rPr>
          <w:rFonts w:ascii="Book Antiqua" w:hAnsi="Book Antiqua"/>
          <w:sz w:val="24"/>
          <w:szCs w:val="24"/>
        </w:rPr>
        <w:t>: 3267-3272 [PMID: 1596884 DOI: 10.1016/0304-3835(92)90079-B]</w:t>
      </w:r>
    </w:p>
    <w:p w14:paraId="46923A3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29 </w:t>
      </w:r>
      <w:r w:rsidRPr="00CE4B44">
        <w:rPr>
          <w:rFonts w:ascii="Book Antiqua" w:hAnsi="Book Antiqua"/>
          <w:b/>
          <w:sz w:val="24"/>
          <w:szCs w:val="24"/>
        </w:rPr>
        <w:t>Snyder KM</w:t>
      </w:r>
      <w:r w:rsidRPr="00CE4B44">
        <w:rPr>
          <w:rFonts w:ascii="Book Antiqua" w:hAnsi="Book Antiqua"/>
          <w:sz w:val="24"/>
          <w:szCs w:val="24"/>
        </w:rPr>
        <w:t xml:space="preserve">, Kessler CM. The pivotal role of thrombin in cancer biology and tumorigenesis. </w:t>
      </w:r>
      <w:proofErr w:type="spellStart"/>
      <w:r w:rsidRPr="00CE4B44">
        <w:rPr>
          <w:rFonts w:ascii="Book Antiqua" w:hAnsi="Book Antiqua"/>
          <w:i/>
          <w:sz w:val="24"/>
          <w:szCs w:val="24"/>
        </w:rPr>
        <w:t>Semin</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Thromb</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Hemost</w:t>
      </w:r>
      <w:proofErr w:type="spellEnd"/>
      <w:r w:rsidRPr="00CE4B44">
        <w:rPr>
          <w:rFonts w:ascii="Book Antiqua" w:hAnsi="Book Antiqua"/>
          <w:sz w:val="24"/>
          <w:szCs w:val="24"/>
        </w:rPr>
        <w:t xml:space="preserve"> 2008; </w:t>
      </w:r>
      <w:r w:rsidRPr="00CE4B44">
        <w:rPr>
          <w:rFonts w:ascii="Book Antiqua" w:hAnsi="Book Antiqua"/>
          <w:b/>
          <w:sz w:val="24"/>
          <w:szCs w:val="24"/>
        </w:rPr>
        <w:t>34</w:t>
      </w:r>
      <w:r w:rsidRPr="00CE4B44">
        <w:rPr>
          <w:rFonts w:ascii="Book Antiqua" w:hAnsi="Book Antiqua"/>
          <w:sz w:val="24"/>
          <w:szCs w:val="24"/>
        </w:rPr>
        <w:t>: 734-741 [PMID: 19214911 DOI: 10.1055/s-0029-1145255]</w:t>
      </w:r>
    </w:p>
    <w:p w14:paraId="72D084B4" w14:textId="0FE595C8"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30 </w:t>
      </w:r>
      <w:r w:rsidRPr="00CE4B44">
        <w:rPr>
          <w:rFonts w:ascii="Book Antiqua" w:hAnsi="Book Antiqua"/>
          <w:b/>
          <w:sz w:val="24"/>
          <w:szCs w:val="24"/>
        </w:rPr>
        <w:t>Guo R</w:t>
      </w:r>
      <w:r w:rsidRPr="00CE4B44">
        <w:rPr>
          <w:rFonts w:ascii="Book Antiqua" w:hAnsi="Book Antiqua"/>
          <w:sz w:val="24"/>
          <w:szCs w:val="24"/>
        </w:rPr>
        <w:t xml:space="preserve">, Yang J, Liu X, Wu J, Chen Y. Increased von Willebrand factor over decreased ADAMTS-13 activity is associated with poor prognosis in patients with advanced non-small-cell lung cancer. </w:t>
      </w:r>
      <w:r w:rsidRPr="00CE4B44">
        <w:rPr>
          <w:rFonts w:ascii="Book Antiqua" w:hAnsi="Book Antiqua"/>
          <w:i/>
          <w:sz w:val="24"/>
          <w:szCs w:val="24"/>
        </w:rPr>
        <w:t xml:space="preserve">J </w:t>
      </w:r>
      <w:proofErr w:type="spellStart"/>
      <w:r w:rsidRPr="00CE4B44">
        <w:rPr>
          <w:rFonts w:ascii="Book Antiqua" w:hAnsi="Book Antiqua"/>
          <w:i/>
          <w:sz w:val="24"/>
          <w:szCs w:val="24"/>
        </w:rPr>
        <w:t>Clin</w:t>
      </w:r>
      <w:proofErr w:type="spellEnd"/>
      <w:r w:rsidRPr="00CE4B44">
        <w:rPr>
          <w:rFonts w:ascii="Book Antiqua" w:hAnsi="Book Antiqua"/>
          <w:i/>
          <w:sz w:val="24"/>
          <w:szCs w:val="24"/>
        </w:rPr>
        <w:t xml:space="preserve"> Lab Anal</w:t>
      </w:r>
      <w:r w:rsidRPr="00CE4B44">
        <w:rPr>
          <w:rFonts w:ascii="Book Antiqua" w:hAnsi="Book Antiqua"/>
          <w:sz w:val="24"/>
          <w:szCs w:val="24"/>
        </w:rPr>
        <w:t xml:space="preserve"> 2018; </w:t>
      </w:r>
      <w:r w:rsidRPr="00CE4B44">
        <w:rPr>
          <w:rFonts w:ascii="Book Antiqua" w:hAnsi="Book Antiqua"/>
          <w:b/>
          <w:sz w:val="24"/>
          <w:szCs w:val="24"/>
        </w:rPr>
        <w:t>32</w:t>
      </w:r>
      <w:r w:rsidR="00036D0B">
        <w:rPr>
          <w:rFonts w:ascii="Book Antiqua" w:eastAsia="SimSun" w:hAnsi="Book Antiqua" w:hint="eastAsia"/>
          <w:sz w:val="24"/>
          <w:szCs w:val="24"/>
          <w:lang w:eastAsia="zh-CN"/>
        </w:rPr>
        <w:t xml:space="preserve"> </w:t>
      </w:r>
      <w:r w:rsidRPr="00CE4B44">
        <w:rPr>
          <w:rFonts w:ascii="Book Antiqua" w:hAnsi="Book Antiqua"/>
          <w:sz w:val="24"/>
          <w:szCs w:val="24"/>
        </w:rPr>
        <w:t>[PMID: 28374895 DOI: 10.1002/jcla.22219]</w:t>
      </w:r>
    </w:p>
    <w:p w14:paraId="447FF217"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31 </w:t>
      </w:r>
      <w:r w:rsidRPr="00CE4B44">
        <w:rPr>
          <w:rFonts w:ascii="Book Antiqua" w:hAnsi="Book Antiqua"/>
          <w:b/>
          <w:sz w:val="24"/>
          <w:szCs w:val="24"/>
        </w:rPr>
        <w:t>Lencioni R</w:t>
      </w:r>
      <w:r w:rsidRPr="00CE4B44">
        <w:rPr>
          <w:rFonts w:ascii="Book Antiqua" w:hAnsi="Book Antiqua"/>
          <w:sz w:val="24"/>
          <w:szCs w:val="24"/>
        </w:rPr>
        <w:t xml:space="preserve">, </w:t>
      </w:r>
      <w:proofErr w:type="spellStart"/>
      <w:r w:rsidRPr="00CE4B44">
        <w:rPr>
          <w:rFonts w:ascii="Book Antiqua" w:hAnsi="Book Antiqua"/>
          <w:sz w:val="24"/>
          <w:szCs w:val="24"/>
        </w:rPr>
        <w:t>Llovet</w:t>
      </w:r>
      <w:proofErr w:type="spellEnd"/>
      <w:r w:rsidRPr="00CE4B44">
        <w:rPr>
          <w:rFonts w:ascii="Book Antiqua" w:hAnsi="Book Antiqua"/>
          <w:sz w:val="24"/>
          <w:szCs w:val="24"/>
        </w:rPr>
        <w:t xml:space="preserve"> JM. Modified RECIST (</w:t>
      </w:r>
      <w:proofErr w:type="spellStart"/>
      <w:r w:rsidRPr="00CE4B44">
        <w:rPr>
          <w:rFonts w:ascii="Book Antiqua" w:hAnsi="Book Antiqua"/>
          <w:sz w:val="24"/>
          <w:szCs w:val="24"/>
        </w:rPr>
        <w:t>mRECIST</w:t>
      </w:r>
      <w:proofErr w:type="spellEnd"/>
      <w:r w:rsidRPr="00CE4B44">
        <w:rPr>
          <w:rFonts w:ascii="Book Antiqua" w:hAnsi="Book Antiqua"/>
          <w:sz w:val="24"/>
          <w:szCs w:val="24"/>
        </w:rPr>
        <w:t xml:space="preserve">) assessment for hepatocellular carcinoma. </w:t>
      </w:r>
      <w:proofErr w:type="spellStart"/>
      <w:r w:rsidRPr="00CE4B44">
        <w:rPr>
          <w:rFonts w:ascii="Book Antiqua" w:hAnsi="Book Antiqua"/>
          <w:i/>
          <w:sz w:val="24"/>
          <w:szCs w:val="24"/>
        </w:rPr>
        <w:t>Semin</w:t>
      </w:r>
      <w:proofErr w:type="spellEnd"/>
      <w:r w:rsidRPr="00CE4B44">
        <w:rPr>
          <w:rFonts w:ascii="Book Antiqua" w:hAnsi="Book Antiqua"/>
          <w:i/>
          <w:sz w:val="24"/>
          <w:szCs w:val="24"/>
        </w:rPr>
        <w:t xml:space="preserve"> Liver Dis</w:t>
      </w:r>
      <w:r w:rsidRPr="00CE4B44">
        <w:rPr>
          <w:rFonts w:ascii="Book Antiqua" w:hAnsi="Book Antiqua"/>
          <w:sz w:val="24"/>
          <w:szCs w:val="24"/>
        </w:rPr>
        <w:t xml:space="preserve"> 2010; </w:t>
      </w:r>
      <w:r w:rsidRPr="00CE4B44">
        <w:rPr>
          <w:rFonts w:ascii="Book Antiqua" w:hAnsi="Book Antiqua"/>
          <w:b/>
          <w:sz w:val="24"/>
          <w:szCs w:val="24"/>
        </w:rPr>
        <w:t>30</w:t>
      </w:r>
      <w:r w:rsidRPr="00CE4B44">
        <w:rPr>
          <w:rFonts w:ascii="Book Antiqua" w:hAnsi="Book Antiqua"/>
          <w:sz w:val="24"/>
          <w:szCs w:val="24"/>
        </w:rPr>
        <w:t>: 52-60 [PMID: 20175033 DOI: 10.1055/s-0030-1247132]</w:t>
      </w:r>
    </w:p>
    <w:p w14:paraId="7B772A34"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32 </w:t>
      </w:r>
      <w:r w:rsidRPr="00CE4B44">
        <w:rPr>
          <w:rFonts w:ascii="Book Antiqua" w:hAnsi="Book Antiqua"/>
          <w:b/>
          <w:sz w:val="24"/>
          <w:szCs w:val="24"/>
        </w:rPr>
        <w:t>Lee M</w:t>
      </w:r>
      <w:r w:rsidRPr="00CE4B44">
        <w:rPr>
          <w:rFonts w:ascii="Book Antiqua" w:hAnsi="Book Antiqua"/>
          <w:sz w:val="24"/>
          <w:szCs w:val="24"/>
        </w:rPr>
        <w:t xml:space="preserve">, Chung GE, Lee JH, Oh S, Nam JY, Chang Y, Cho H, </w:t>
      </w:r>
      <w:proofErr w:type="spellStart"/>
      <w:r w:rsidRPr="00CE4B44">
        <w:rPr>
          <w:rFonts w:ascii="Book Antiqua" w:hAnsi="Book Antiqua"/>
          <w:sz w:val="24"/>
          <w:szCs w:val="24"/>
        </w:rPr>
        <w:t>Ahn</w:t>
      </w:r>
      <w:proofErr w:type="spellEnd"/>
      <w:r w:rsidRPr="00CE4B44">
        <w:rPr>
          <w:rFonts w:ascii="Book Antiqua" w:hAnsi="Book Antiqua"/>
          <w:sz w:val="24"/>
          <w:szCs w:val="24"/>
        </w:rPr>
        <w:t xml:space="preserve"> H, Cho YY, </w:t>
      </w:r>
      <w:proofErr w:type="spellStart"/>
      <w:r w:rsidRPr="00CE4B44">
        <w:rPr>
          <w:rFonts w:ascii="Book Antiqua" w:hAnsi="Book Antiqua"/>
          <w:sz w:val="24"/>
          <w:szCs w:val="24"/>
        </w:rPr>
        <w:t>Yoo</w:t>
      </w:r>
      <w:proofErr w:type="spellEnd"/>
      <w:r w:rsidRPr="00CE4B44">
        <w:rPr>
          <w:rFonts w:ascii="Book Antiqua" w:hAnsi="Book Antiqua"/>
          <w:sz w:val="24"/>
          <w:szCs w:val="24"/>
        </w:rPr>
        <w:t xml:space="preserve"> JJ, Cho Y, Lee DH, Cho EJ, Yu SJ, Lee DH, Lee JM, Kim YJ, Yoon JH. Antiplatelet therapy and the risk of hepatocellular carcinoma in chronic hepatitis B patients on antiviral treatment. </w:t>
      </w:r>
      <w:r w:rsidRPr="00CE4B44">
        <w:rPr>
          <w:rFonts w:ascii="Book Antiqua" w:hAnsi="Book Antiqua"/>
          <w:i/>
          <w:sz w:val="24"/>
          <w:szCs w:val="24"/>
        </w:rPr>
        <w:t>Hepatology</w:t>
      </w:r>
      <w:r w:rsidRPr="00CE4B44">
        <w:rPr>
          <w:rFonts w:ascii="Book Antiqua" w:hAnsi="Book Antiqua"/>
          <w:sz w:val="24"/>
          <w:szCs w:val="24"/>
        </w:rPr>
        <w:t xml:space="preserve"> 2017; </w:t>
      </w:r>
      <w:r w:rsidRPr="00CE4B44">
        <w:rPr>
          <w:rFonts w:ascii="Book Antiqua" w:hAnsi="Book Antiqua"/>
          <w:b/>
          <w:sz w:val="24"/>
          <w:szCs w:val="24"/>
        </w:rPr>
        <w:t>66</w:t>
      </w:r>
      <w:r w:rsidRPr="00CE4B44">
        <w:rPr>
          <w:rFonts w:ascii="Book Antiqua" w:hAnsi="Book Antiqua"/>
          <w:sz w:val="24"/>
          <w:szCs w:val="24"/>
        </w:rPr>
        <w:t>: 1556-1569 [PMID: 28617992 DOI: 10.1002/hep.29318]</w:t>
      </w:r>
    </w:p>
    <w:p w14:paraId="259B028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33 </w:t>
      </w:r>
      <w:proofErr w:type="spellStart"/>
      <w:r w:rsidRPr="00CE4B44">
        <w:rPr>
          <w:rFonts w:ascii="Book Antiqua" w:hAnsi="Book Antiqua"/>
          <w:b/>
          <w:sz w:val="24"/>
          <w:szCs w:val="24"/>
        </w:rPr>
        <w:t>Kanthaje</w:t>
      </w:r>
      <w:proofErr w:type="spellEnd"/>
      <w:r w:rsidRPr="00CE4B44">
        <w:rPr>
          <w:rFonts w:ascii="Book Antiqua" w:hAnsi="Book Antiqua"/>
          <w:b/>
          <w:sz w:val="24"/>
          <w:szCs w:val="24"/>
        </w:rPr>
        <w:t xml:space="preserve"> S</w:t>
      </w:r>
      <w:r w:rsidRPr="00CE4B44">
        <w:rPr>
          <w:rFonts w:ascii="Book Antiqua" w:hAnsi="Book Antiqua"/>
          <w:sz w:val="24"/>
          <w:szCs w:val="24"/>
        </w:rPr>
        <w:t xml:space="preserve">, </w:t>
      </w:r>
      <w:proofErr w:type="spellStart"/>
      <w:r w:rsidRPr="00CE4B44">
        <w:rPr>
          <w:rFonts w:ascii="Book Antiqua" w:hAnsi="Book Antiqua"/>
          <w:sz w:val="24"/>
          <w:szCs w:val="24"/>
        </w:rPr>
        <w:t>Makol</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Chakraborti</w:t>
      </w:r>
      <w:proofErr w:type="spellEnd"/>
      <w:r w:rsidRPr="00CE4B44">
        <w:rPr>
          <w:rFonts w:ascii="Book Antiqua" w:hAnsi="Book Antiqua"/>
          <w:sz w:val="24"/>
          <w:szCs w:val="24"/>
        </w:rPr>
        <w:t xml:space="preserve"> A. Sorafenib response in hepatocellular carcinoma: MicroRNAs as tuning forks. </w:t>
      </w:r>
      <w:proofErr w:type="spellStart"/>
      <w:r w:rsidRPr="00CE4B44">
        <w:rPr>
          <w:rFonts w:ascii="Book Antiqua" w:hAnsi="Book Antiqua"/>
          <w:i/>
          <w:sz w:val="24"/>
          <w:szCs w:val="24"/>
        </w:rPr>
        <w:t>Hepatol</w:t>
      </w:r>
      <w:proofErr w:type="spellEnd"/>
      <w:r w:rsidRPr="00CE4B44">
        <w:rPr>
          <w:rFonts w:ascii="Book Antiqua" w:hAnsi="Book Antiqua"/>
          <w:i/>
          <w:sz w:val="24"/>
          <w:szCs w:val="24"/>
        </w:rPr>
        <w:t xml:space="preserve"> Res</w:t>
      </w:r>
      <w:r w:rsidRPr="00CE4B44">
        <w:rPr>
          <w:rFonts w:ascii="Book Antiqua" w:hAnsi="Book Antiqua"/>
          <w:sz w:val="24"/>
          <w:szCs w:val="24"/>
        </w:rPr>
        <w:t xml:space="preserve"> 2018; </w:t>
      </w:r>
      <w:r w:rsidRPr="00CE4B44">
        <w:rPr>
          <w:rFonts w:ascii="Book Antiqua" w:hAnsi="Book Antiqua"/>
          <w:b/>
          <w:sz w:val="24"/>
          <w:szCs w:val="24"/>
        </w:rPr>
        <w:t>48</w:t>
      </w:r>
      <w:r w:rsidRPr="00CE4B44">
        <w:rPr>
          <w:rFonts w:ascii="Book Antiqua" w:hAnsi="Book Antiqua"/>
          <w:sz w:val="24"/>
          <w:szCs w:val="24"/>
        </w:rPr>
        <w:t xml:space="preserve">: 5-14 [PMID: </w:t>
      </w:r>
      <w:r w:rsidRPr="00CE4B44">
        <w:rPr>
          <w:rFonts w:ascii="Book Antiqua" w:hAnsi="Book Antiqua"/>
          <w:sz w:val="24"/>
          <w:szCs w:val="24"/>
        </w:rPr>
        <w:lastRenderedPageBreak/>
        <w:t>29055114 DOI: 10.1111/hepr.12991]</w:t>
      </w:r>
    </w:p>
    <w:p w14:paraId="46BCD5C6"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34 </w:t>
      </w:r>
      <w:proofErr w:type="spellStart"/>
      <w:r w:rsidRPr="00CE4B44">
        <w:rPr>
          <w:rFonts w:ascii="Book Antiqua" w:hAnsi="Book Antiqua"/>
          <w:b/>
          <w:sz w:val="24"/>
          <w:szCs w:val="24"/>
        </w:rPr>
        <w:t>Pépin</w:t>
      </w:r>
      <w:proofErr w:type="spellEnd"/>
      <w:r w:rsidRPr="00CE4B44">
        <w:rPr>
          <w:rFonts w:ascii="Book Antiqua" w:hAnsi="Book Antiqua"/>
          <w:b/>
          <w:sz w:val="24"/>
          <w:szCs w:val="24"/>
        </w:rPr>
        <w:t xml:space="preserve"> M</w:t>
      </w:r>
      <w:r w:rsidRPr="00CE4B44">
        <w:rPr>
          <w:rFonts w:ascii="Book Antiqua" w:hAnsi="Book Antiqua"/>
          <w:sz w:val="24"/>
          <w:szCs w:val="24"/>
        </w:rPr>
        <w:t xml:space="preserve">, </w:t>
      </w:r>
      <w:proofErr w:type="spellStart"/>
      <w:r w:rsidRPr="00CE4B44">
        <w:rPr>
          <w:rFonts w:ascii="Book Antiqua" w:hAnsi="Book Antiqua"/>
          <w:sz w:val="24"/>
          <w:szCs w:val="24"/>
        </w:rPr>
        <w:t>Kleinjan</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Hajage</w:t>
      </w:r>
      <w:proofErr w:type="spellEnd"/>
      <w:r w:rsidRPr="00CE4B44">
        <w:rPr>
          <w:rFonts w:ascii="Book Antiqua" w:hAnsi="Book Antiqua"/>
          <w:sz w:val="24"/>
          <w:szCs w:val="24"/>
        </w:rPr>
        <w:t xml:space="preserve"> D, </w:t>
      </w:r>
      <w:proofErr w:type="spellStart"/>
      <w:r w:rsidRPr="00CE4B44">
        <w:rPr>
          <w:rFonts w:ascii="Book Antiqua" w:hAnsi="Book Antiqua"/>
          <w:sz w:val="24"/>
          <w:szCs w:val="24"/>
        </w:rPr>
        <w:t>Büller</w:t>
      </w:r>
      <w:proofErr w:type="spellEnd"/>
      <w:r w:rsidRPr="00CE4B44">
        <w:rPr>
          <w:rFonts w:ascii="Book Antiqua" w:hAnsi="Book Antiqua"/>
          <w:sz w:val="24"/>
          <w:szCs w:val="24"/>
        </w:rPr>
        <w:t xml:space="preserve"> HR, Di </w:t>
      </w:r>
      <w:proofErr w:type="spellStart"/>
      <w:r w:rsidRPr="00CE4B44">
        <w:rPr>
          <w:rFonts w:ascii="Book Antiqua" w:hAnsi="Book Antiqua"/>
          <w:sz w:val="24"/>
          <w:szCs w:val="24"/>
        </w:rPr>
        <w:t>Nisio</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Kamphuisen</w:t>
      </w:r>
      <w:proofErr w:type="spellEnd"/>
      <w:r w:rsidRPr="00CE4B44">
        <w:rPr>
          <w:rFonts w:ascii="Book Antiqua" w:hAnsi="Book Antiqua"/>
          <w:sz w:val="24"/>
          <w:szCs w:val="24"/>
        </w:rPr>
        <w:t xml:space="preserve"> PW, Salomon L, </w:t>
      </w:r>
      <w:proofErr w:type="spellStart"/>
      <w:r w:rsidRPr="00CE4B44">
        <w:rPr>
          <w:rFonts w:ascii="Book Antiqua" w:hAnsi="Book Antiqua"/>
          <w:sz w:val="24"/>
          <w:szCs w:val="24"/>
        </w:rPr>
        <w:t>Veyradier</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Stepanian</w:t>
      </w:r>
      <w:proofErr w:type="spellEnd"/>
      <w:r w:rsidRPr="00CE4B44">
        <w:rPr>
          <w:rFonts w:ascii="Book Antiqua" w:hAnsi="Book Antiqua"/>
          <w:sz w:val="24"/>
          <w:szCs w:val="24"/>
        </w:rPr>
        <w:t xml:space="preserve"> A, </w:t>
      </w:r>
      <w:proofErr w:type="spellStart"/>
      <w:r w:rsidRPr="00CE4B44">
        <w:rPr>
          <w:rFonts w:ascii="Book Antiqua" w:hAnsi="Book Antiqua"/>
          <w:sz w:val="24"/>
          <w:szCs w:val="24"/>
        </w:rPr>
        <w:t>Mahé</w:t>
      </w:r>
      <w:proofErr w:type="spellEnd"/>
      <w:r w:rsidRPr="00CE4B44">
        <w:rPr>
          <w:rFonts w:ascii="Book Antiqua" w:hAnsi="Book Antiqua"/>
          <w:sz w:val="24"/>
          <w:szCs w:val="24"/>
        </w:rPr>
        <w:t xml:space="preserve"> I. ADAMTS-13 and von Willebrand factor predict venous thromboembolism in patients with cancer. </w:t>
      </w:r>
      <w:r w:rsidRPr="00CE4B44">
        <w:rPr>
          <w:rFonts w:ascii="Book Antiqua" w:hAnsi="Book Antiqua"/>
          <w:i/>
          <w:sz w:val="24"/>
          <w:szCs w:val="24"/>
        </w:rPr>
        <w:t xml:space="preserve">J </w:t>
      </w:r>
      <w:proofErr w:type="spellStart"/>
      <w:r w:rsidRPr="00CE4B44">
        <w:rPr>
          <w:rFonts w:ascii="Book Antiqua" w:hAnsi="Book Antiqua"/>
          <w:i/>
          <w:sz w:val="24"/>
          <w:szCs w:val="24"/>
        </w:rPr>
        <w:t>Thromb</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Haemost</w:t>
      </w:r>
      <w:proofErr w:type="spellEnd"/>
      <w:r w:rsidRPr="00CE4B44">
        <w:rPr>
          <w:rFonts w:ascii="Book Antiqua" w:hAnsi="Book Antiqua"/>
          <w:sz w:val="24"/>
          <w:szCs w:val="24"/>
        </w:rPr>
        <w:t xml:space="preserve"> 2016; </w:t>
      </w:r>
      <w:r w:rsidRPr="00CE4B44">
        <w:rPr>
          <w:rFonts w:ascii="Book Antiqua" w:hAnsi="Book Antiqua"/>
          <w:b/>
          <w:sz w:val="24"/>
          <w:szCs w:val="24"/>
        </w:rPr>
        <w:t>14</w:t>
      </w:r>
      <w:r w:rsidRPr="00CE4B44">
        <w:rPr>
          <w:rFonts w:ascii="Book Antiqua" w:hAnsi="Book Antiqua"/>
          <w:sz w:val="24"/>
          <w:szCs w:val="24"/>
        </w:rPr>
        <w:t>: 306-315 [PMID: 26589836 DOI: 10.1111/jth.13205]</w:t>
      </w:r>
    </w:p>
    <w:p w14:paraId="5561F9E0"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35 </w:t>
      </w:r>
      <w:r w:rsidRPr="00CE4B44">
        <w:rPr>
          <w:rFonts w:ascii="Book Antiqua" w:hAnsi="Book Antiqua"/>
          <w:b/>
          <w:sz w:val="24"/>
          <w:szCs w:val="24"/>
        </w:rPr>
        <w:t>Yang X</w:t>
      </w:r>
      <w:r w:rsidRPr="00CE4B44">
        <w:rPr>
          <w:rFonts w:ascii="Book Antiqua" w:hAnsi="Book Antiqua"/>
          <w:sz w:val="24"/>
          <w:szCs w:val="24"/>
        </w:rPr>
        <w:t xml:space="preserve">, Sun HJ, Li ZR, Zhang H, Yang WJ, Ni B, Wu YZ. Gastric cancer-associated enhancement of von Willebrand factor is regulated by vascular endothelial growth factor and related to disease severity. </w:t>
      </w:r>
      <w:r w:rsidRPr="00CE4B44">
        <w:rPr>
          <w:rFonts w:ascii="Book Antiqua" w:hAnsi="Book Antiqua"/>
          <w:i/>
          <w:sz w:val="24"/>
          <w:szCs w:val="24"/>
        </w:rPr>
        <w:t>BMC Cancer</w:t>
      </w:r>
      <w:r w:rsidRPr="00CE4B44">
        <w:rPr>
          <w:rFonts w:ascii="Book Antiqua" w:hAnsi="Book Antiqua"/>
          <w:sz w:val="24"/>
          <w:szCs w:val="24"/>
        </w:rPr>
        <w:t xml:space="preserve"> 2015; </w:t>
      </w:r>
      <w:r w:rsidRPr="00CE4B44">
        <w:rPr>
          <w:rFonts w:ascii="Book Antiqua" w:hAnsi="Book Antiqua"/>
          <w:b/>
          <w:sz w:val="24"/>
          <w:szCs w:val="24"/>
        </w:rPr>
        <w:t>15</w:t>
      </w:r>
      <w:r w:rsidRPr="00CE4B44">
        <w:rPr>
          <w:rFonts w:ascii="Book Antiqua" w:hAnsi="Book Antiqua"/>
          <w:sz w:val="24"/>
          <w:szCs w:val="24"/>
        </w:rPr>
        <w:t>: 80 [PMID: 25886574 DOI: 10.1186/s12885-015-1083-6]</w:t>
      </w:r>
    </w:p>
    <w:p w14:paraId="2ABBE44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36 </w:t>
      </w:r>
      <w:proofErr w:type="spellStart"/>
      <w:r w:rsidRPr="00CE4B44">
        <w:rPr>
          <w:rFonts w:ascii="Book Antiqua" w:hAnsi="Book Antiqua"/>
          <w:b/>
          <w:sz w:val="24"/>
          <w:szCs w:val="24"/>
        </w:rPr>
        <w:t>Enooku</w:t>
      </w:r>
      <w:proofErr w:type="spellEnd"/>
      <w:r w:rsidRPr="00CE4B44">
        <w:rPr>
          <w:rFonts w:ascii="Book Antiqua" w:hAnsi="Book Antiqua"/>
          <w:b/>
          <w:sz w:val="24"/>
          <w:szCs w:val="24"/>
        </w:rPr>
        <w:t xml:space="preserve"> K</w:t>
      </w:r>
      <w:r w:rsidRPr="00CE4B44">
        <w:rPr>
          <w:rFonts w:ascii="Book Antiqua" w:hAnsi="Book Antiqua"/>
          <w:sz w:val="24"/>
          <w:szCs w:val="24"/>
        </w:rPr>
        <w:t xml:space="preserve">, Kato R, Ikeda H, </w:t>
      </w:r>
      <w:proofErr w:type="spellStart"/>
      <w:r w:rsidRPr="00CE4B44">
        <w:rPr>
          <w:rFonts w:ascii="Book Antiqua" w:hAnsi="Book Antiqua"/>
          <w:sz w:val="24"/>
          <w:szCs w:val="24"/>
        </w:rPr>
        <w:t>Kurano</w:t>
      </w:r>
      <w:proofErr w:type="spellEnd"/>
      <w:r w:rsidRPr="00CE4B44">
        <w:rPr>
          <w:rFonts w:ascii="Book Antiqua" w:hAnsi="Book Antiqua"/>
          <w:sz w:val="24"/>
          <w:szCs w:val="24"/>
        </w:rPr>
        <w:t xml:space="preserve"> M, </w:t>
      </w:r>
      <w:proofErr w:type="spellStart"/>
      <w:r w:rsidRPr="00CE4B44">
        <w:rPr>
          <w:rFonts w:ascii="Book Antiqua" w:hAnsi="Book Antiqua"/>
          <w:sz w:val="24"/>
          <w:szCs w:val="24"/>
        </w:rPr>
        <w:t>Kume</w:t>
      </w:r>
      <w:proofErr w:type="spellEnd"/>
      <w:r w:rsidRPr="00CE4B44">
        <w:rPr>
          <w:rFonts w:ascii="Book Antiqua" w:hAnsi="Book Antiqua"/>
          <w:sz w:val="24"/>
          <w:szCs w:val="24"/>
        </w:rPr>
        <w:t xml:space="preserve"> Y, Yoshida H, Ono T, </w:t>
      </w:r>
      <w:proofErr w:type="spellStart"/>
      <w:r w:rsidRPr="00CE4B44">
        <w:rPr>
          <w:rFonts w:ascii="Book Antiqua" w:hAnsi="Book Antiqua"/>
          <w:sz w:val="24"/>
          <w:szCs w:val="24"/>
        </w:rPr>
        <w:t>Aizawa</w:t>
      </w:r>
      <w:proofErr w:type="spellEnd"/>
      <w:r w:rsidRPr="00CE4B44">
        <w:rPr>
          <w:rFonts w:ascii="Book Antiqua" w:hAnsi="Book Antiqua"/>
          <w:sz w:val="24"/>
          <w:szCs w:val="24"/>
        </w:rPr>
        <w:t xml:space="preserve"> K, Suzuki T, Yamazaki T, </w:t>
      </w:r>
      <w:proofErr w:type="spellStart"/>
      <w:r w:rsidRPr="00CE4B44">
        <w:rPr>
          <w:rFonts w:ascii="Book Antiqua" w:hAnsi="Book Antiqua"/>
          <w:sz w:val="24"/>
          <w:szCs w:val="24"/>
        </w:rPr>
        <w:t>Yatomi</w:t>
      </w:r>
      <w:proofErr w:type="spellEnd"/>
      <w:r w:rsidRPr="00CE4B44">
        <w:rPr>
          <w:rFonts w:ascii="Book Antiqua" w:hAnsi="Book Antiqua"/>
          <w:sz w:val="24"/>
          <w:szCs w:val="24"/>
        </w:rPr>
        <w:t xml:space="preserve"> Y. Inverse correlations between serum ADAMTS13 levels and systolic blood pressure, pulse pressure, and serum C-reactive protein levels observed at a general health examination in a Japanese population: a cross-sectional study. </w:t>
      </w:r>
      <w:proofErr w:type="spellStart"/>
      <w:r w:rsidRPr="00CE4B44">
        <w:rPr>
          <w:rFonts w:ascii="Book Antiqua" w:hAnsi="Book Antiqua"/>
          <w:i/>
          <w:sz w:val="24"/>
          <w:szCs w:val="24"/>
        </w:rPr>
        <w:t>Clin</w:t>
      </w:r>
      <w:proofErr w:type="spellEnd"/>
      <w:r w:rsidRPr="00CE4B44">
        <w:rPr>
          <w:rFonts w:ascii="Book Antiqua" w:hAnsi="Book Antiqua"/>
          <w:i/>
          <w:sz w:val="24"/>
          <w:szCs w:val="24"/>
        </w:rPr>
        <w:t xml:space="preserve"> </w:t>
      </w:r>
      <w:proofErr w:type="spellStart"/>
      <w:r w:rsidRPr="00CE4B44">
        <w:rPr>
          <w:rFonts w:ascii="Book Antiqua" w:hAnsi="Book Antiqua"/>
          <w:i/>
          <w:sz w:val="24"/>
          <w:szCs w:val="24"/>
        </w:rPr>
        <w:t>Chim</w:t>
      </w:r>
      <w:proofErr w:type="spellEnd"/>
      <w:r w:rsidRPr="00CE4B44">
        <w:rPr>
          <w:rFonts w:ascii="Book Antiqua" w:hAnsi="Book Antiqua"/>
          <w:i/>
          <w:sz w:val="24"/>
          <w:szCs w:val="24"/>
        </w:rPr>
        <w:t xml:space="preserve"> Acta</w:t>
      </w:r>
      <w:r w:rsidRPr="00CE4B44">
        <w:rPr>
          <w:rFonts w:ascii="Book Antiqua" w:hAnsi="Book Antiqua"/>
          <w:sz w:val="24"/>
          <w:szCs w:val="24"/>
        </w:rPr>
        <w:t xml:space="preserve"> 2013; </w:t>
      </w:r>
      <w:r w:rsidRPr="00CE4B44">
        <w:rPr>
          <w:rFonts w:ascii="Book Antiqua" w:hAnsi="Book Antiqua"/>
          <w:b/>
          <w:sz w:val="24"/>
          <w:szCs w:val="24"/>
        </w:rPr>
        <w:t>421</w:t>
      </w:r>
      <w:r w:rsidRPr="00CE4B44">
        <w:rPr>
          <w:rFonts w:ascii="Book Antiqua" w:hAnsi="Book Antiqua"/>
          <w:sz w:val="24"/>
          <w:szCs w:val="24"/>
        </w:rPr>
        <w:t>: 147-151 [PMID: 23523588 DOI: 10.1016/j.cca.2013.03.012]</w:t>
      </w:r>
    </w:p>
    <w:p w14:paraId="6CB0FB96" w14:textId="77777777" w:rsidR="00741934" w:rsidRPr="00CE4B44" w:rsidRDefault="00741934" w:rsidP="00CE4B44">
      <w:pPr>
        <w:spacing w:line="360" w:lineRule="auto"/>
        <w:rPr>
          <w:rFonts w:ascii="Book Antiqua" w:hAnsi="Book Antiqua"/>
          <w:sz w:val="24"/>
          <w:szCs w:val="24"/>
        </w:rPr>
      </w:pPr>
    </w:p>
    <w:p w14:paraId="3A9BA710" w14:textId="78217CA2" w:rsidR="00B07858" w:rsidRPr="00CE4B44" w:rsidRDefault="00B07858" w:rsidP="00036D0B">
      <w:pPr>
        <w:pStyle w:val="PlainText"/>
        <w:spacing w:line="360" w:lineRule="auto"/>
        <w:jc w:val="right"/>
        <w:rPr>
          <w:rFonts w:ascii="Book Antiqua" w:hAnsi="Book Antiqua"/>
          <w:b/>
          <w:sz w:val="24"/>
          <w:szCs w:val="24"/>
        </w:rPr>
      </w:pPr>
      <w:r w:rsidRPr="00036D0B">
        <w:rPr>
          <w:rFonts w:ascii="Book Antiqua" w:hAnsi="Book Antiqua"/>
          <w:b/>
          <w:sz w:val="24"/>
          <w:szCs w:val="24"/>
        </w:rPr>
        <w:t xml:space="preserve">P-Reviewer: </w:t>
      </w:r>
      <w:r w:rsidR="00E73699" w:rsidRPr="00036D0B">
        <w:rPr>
          <w:rFonts w:ascii="Book Antiqua" w:hAnsi="Book Antiqua"/>
          <w:color w:val="000000"/>
          <w:sz w:val="24"/>
          <w:szCs w:val="24"/>
        </w:rPr>
        <w:t>Hu</w:t>
      </w:r>
      <w:r w:rsidR="00E73699" w:rsidRPr="00036D0B">
        <w:rPr>
          <w:rFonts w:ascii="Book Antiqua" w:hAnsi="Book Antiqua"/>
          <w:sz w:val="24"/>
          <w:szCs w:val="24"/>
        </w:rPr>
        <w:t xml:space="preserve"> X,</w:t>
      </w:r>
      <w:r w:rsidR="00E73699" w:rsidRPr="00036D0B">
        <w:rPr>
          <w:rFonts w:ascii="Book Antiqua" w:hAnsi="Book Antiqua"/>
          <w:color w:val="000000"/>
          <w:sz w:val="24"/>
          <w:szCs w:val="24"/>
        </w:rPr>
        <w:t xml:space="preserve"> </w:t>
      </w:r>
      <w:proofErr w:type="spellStart"/>
      <w:r w:rsidR="00E73699" w:rsidRPr="00036D0B">
        <w:rPr>
          <w:rFonts w:ascii="Book Antiqua" w:hAnsi="Book Antiqua"/>
          <w:color w:val="000000"/>
          <w:sz w:val="24"/>
          <w:szCs w:val="24"/>
        </w:rPr>
        <w:t>Raffaniello</w:t>
      </w:r>
      <w:proofErr w:type="spellEnd"/>
      <w:r w:rsidR="00E73699" w:rsidRPr="00036D0B">
        <w:rPr>
          <w:rFonts w:ascii="Book Antiqua" w:hAnsi="Book Antiqua"/>
          <w:color w:val="000000"/>
          <w:sz w:val="24"/>
          <w:szCs w:val="24"/>
        </w:rPr>
        <w:t xml:space="preserve"> R, </w:t>
      </w:r>
      <w:proofErr w:type="spellStart"/>
      <w:r w:rsidR="00E73699" w:rsidRPr="00036D0B">
        <w:rPr>
          <w:rFonts w:ascii="Book Antiqua" w:hAnsi="Book Antiqua"/>
          <w:color w:val="000000"/>
          <w:sz w:val="24"/>
          <w:szCs w:val="24"/>
        </w:rPr>
        <w:t>Saglam</w:t>
      </w:r>
      <w:proofErr w:type="spellEnd"/>
      <w:r w:rsidR="00E73699" w:rsidRPr="00036D0B">
        <w:rPr>
          <w:rFonts w:ascii="Book Antiqua" w:hAnsi="Book Antiqua"/>
          <w:color w:val="000000"/>
          <w:sz w:val="24"/>
          <w:szCs w:val="24"/>
        </w:rPr>
        <w:t xml:space="preserve"> S</w:t>
      </w:r>
      <w:r w:rsidR="00E73699" w:rsidRPr="00036D0B">
        <w:rPr>
          <w:rFonts w:ascii="Book Antiqua" w:hAnsi="Book Antiqua"/>
          <w:b/>
          <w:sz w:val="24"/>
          <w:szCs w:val="24"/>
        </w:rPr>
        <w:t xml:space="preserve"> </w:t>
      </w:r>
      <w:r w:rsidRPr="00036D0B">
        <w:rPr>
          <w:rFonts w:ascii="Book Antiqua" w:hAnsi="Book Antiqua"/>
          <w:b/>
          <w:sz w:val="24"/>
          <w:szCs w:val="24"/>
        </w:rPr>
        <w:t xml:space="preserve">S-Editor: </w:t>
      </w:r>
      <w:r w:rsidRPr="00036D0B">
        <w:rPr>
          <w:rFonts w:ascii="Book Antiqua" w:hAnsi="Book Antiqua"/>
          <w:sz w:val="24"/>
          <w:szCs w:val="24"/>
        </w:rPr>
        <w:t>Ji FF</w:t>
      </w:r>
      <w:r w:rsidRPr="00036D0B">
        <w:rPr>
          <w:rFonts w:ascii="Book Antiqua" w:hAnsi="Book Antiqua"/>
          <w:b/>
          <w:sz w:val="24"/>
          <w:szCs w:val="24"/>
        </w:rPr>
        <w:t xml:space="preserve"> L-Editor: E-Editor:</w:t>
      </w:r>
      <w:r w:rsidRPr="00CE4B44">
        <w:rPr>
          <w:rFonts w:ascii="Book Antiqua" w:hAnsi="Book Antiqua"/>
          <w:b/>
          <w:sz w:val="24"/>
          <w:szCs w:val="24"/>
        </w:rPr>
        <w:t xml:space="preserve"> </w:t>
      </w:r>
    </w:p>
    <w:p w14:paraId="0064DD05" w14:textId="77777777" w:rsidR="00B07858" w:rsidRPr="00CE4B44" w:rsidRDefault="00B07858" w:rsidP="00CE4B44">
      <w:pPr>
        <w:pStyle w:val="PlainText"/>
        <w:spacing w:line="360" w:lineRule="auto"/>
        <w:rPr>
          <w:rFonts w:ascii="Book Antiqua" w:hAnsi="Book Antiqua"/>
          <w:b/>
          <w:sz w:val="24"/>
          <w:szCs w:val="24"/>
        </w:rPr>
      </w:pPr>
      <w:r w:rsidRPr="00CE4B44">
        <w:rPr>
          <w:rFonts w:ascii="Book Antiqua" w:hAnsi="Book Antiqua"/>
          <w:b/>
          <w:sz w:val="24"/>
          <w:szCs w:val="24"/>
        </w:rPr>
        <w:t xml:space="preserve"> </w:t>
      </w:r>
    </w:p>
    <w:p w14:paraId="387FB1E1" w14:textId="6BF39AD0" w:rsidR="00B07858" w:rsidRPr="00CE4B44" w:rsidRDefault="00B07858" w:rsidP="00CE4B44">
      <w:pPr>
        <w:widowControl/>
        <w:snapToGrid w:val="0"/>
        <w:spacing w:line="360" w:lineRule="auto"/>
        <w:rPr>
          <w:rFonts w:ascii="Book Antiqua" w:eastAsia="SimSun" w:hAnsi="Book Antiqua" w:cs="Helvetica"/>
          <w:b/>
          <w:kern w:val="0"/>
          <w:sz w:val="24"/>
          <w:szCs w:val="24"/>
        </w:rPr>
      </w:pPr>
      <w:r w:rsidRPr="00CE4B44">
        <w:rPr>
          <w:rFonts w:ascii="Book Antiqua" w:eastAsia="SimSun" w:hAnsi="Book Antiqua" w:cs="Helvetica"/>
          <w:b/>
          <w:kern w:val="0"/>
          <w:sz w:val="24"/>
          <w:szCs w:val="24"/>
        </w:rPr>
        <w:t xml:space="preserve">Specialty type: </w:t>
      </w:r>
      <w:r w:rsidR="00E73699" w:rsidRPr="00CE4B44">
        <w:rPr>
          <w:rFonts w:ascii="Book Antiqua" w:eastAsia="Microsoft YaHei" w:hAnsi="Book Antiqua" w:cs="SimSun"/>
          <w:kern w:val="0"/>
          <w:sz w:val="24"/>
          <w:szCs w:val="24"/>
        </w:rPr>
        <w:t>Oncology</w:t>
      </w:r>
    </w:p>
    <w:p w14:paraId="15D7CCE6" w14:textId="0D246BC6" w:rsidR="00B07858" w:rsidRPr="00CE4B44" w:rsidRDefault="00B07858" w:rsidP="00CE4B44">
      <w:pPr>
        <w:widowControl/>
        <w:snapToGrid w:val="0"/>
        <w:spacing w:line="360" w:lineRule="auto"/>
        <w:rPr>
          <w:rFonts w:ascii="Book Antiqua" w:eastAsia="SimSun" w:hAnsi="Book Antiqua" w:cs="Helvetica"/>
          <w:b/>
          <w:kern w:val="0"/>
          <w:sz w:val="24"/>
          <w:szCs w:val="24"/>
        </w:rPr>
      </w:pPr>
      <w:r w:rsidRPr="00CE4B44">
        <w:rPr>
          <w:rFonts w:ascii="Book Antiqua" w:eastAsia="SimSun" w:hAnsi="Book Antiqua" w:cs="Helvetica"/>
          <w:b/>
          <w:kern w:val="0"/>
          <w:sz w:val="24"/>
          <w:szCs w:val="24"/>
        </w:rPr>
        <w:t xml:space="preserve">Country of origin: </w:t>
      </w:r>
      <w:r w:rsidR="00E73699" w:rsidRPr="00CE4B44">
        <w:rPr>
          <w:rFonts w:ascii="Book Antiqua" w:eastAsia="SimSun" w:hAnsi="Book Antiqua"/>
          <w:kern w:val="0"/>
          <w:sz w:val="24"/>
          <w:szCs w:val="24"/>
        </w:rPr>
        <w:t>Japan</w:t>
      </w:r>
    </w:p>
    <w:p w14:paraId="12DC5259" w14:textId="77777777" w:rsidR="00B07858" w:rsidRPr="00CE4B44" w:rsidRDefault="00B07858" w:rsidP="00CE4B44">
      <w:pPr>
        <w:widowControl/>
        <w:snapToGrid w:val="0"/>
        <w:spacing w:line="360" w:lineRule="auto"/>
        <w:rPr>
          <w:rFonts w:ascii="Book Antiqua" w:eastAsia="SimSun" w:hAnsi="Book Antiqua" w:cs="Helvetica"/>
          <w:b/>
          <w:kern w:val="0"/>
          <w:sz w:val="24"/>
          <w:szCs w:val="24"/>
        </w:rPr>
      </w:pPr>
      <w:r w:rsidRPr="00CE4B44">
        <w:rPr>
          <w:rFonts w:ascii="Book Antiqua" w:eastAsia="SimSun" w:hAnsi="Book Antiqua" w:cs="Helvetica"/>
          <w:b/>
          <w:kern w:val="0"/>
          <w:sz w:val="24"/>
          <w:szCs w:val="24"/>
        </w:rPr>
        <w:t>Peer-review report classification</w:t>
      </w:r>
    </w:p>
    <w:p w14:paraId="294FDC0D" w14:textId="4B68E204" w:rsidR="00B07858" w:rsidRPr="00CE4B44" w:rsidRDefault="00B07858" w:rsidP="00CE4B44">
      <w:pPr>
        <w:widowControl/>
        <w:snapToGrid w:val="0"/>
        <w:spacing w:line="360" w:lineRule="auto"/>
        <w:rPr>
          <w:rFonts w:ascii="Book Antiqua" w:eastAsia="SimSun" w:hAnsi="Book Antiqua" w:cs="Helvetica"/>
          <w:kern w:val="0"/>
          <w:sz w:val="24"/>
          <w:szCs w:val="24"/>
          <w:lang w:eastAsia="zh-CN"/>
        </w:rPr>
      </w:pPr>
      <w:r w:rsidRPr="00CE4B44">
        <w:rPr>
          <w:rFonts w:ascii="Book Antiqua" w:eastAsia="SimSun" w:hAnsi="Book Antiqua" w:cs="Helvetica"/>
          <w:kern w:val="0"/>
          <w:sz w:val="24"/>
          <w:szCs w:val="24"/>
        </w:rPr>
        <w:t xml:space="preserve">Grade A (Excellent): </w:t>
      </w:r>
      <w:r w:rsidR="00E73699" w:rsidRPr="00CE4B44">
        <w:rPr>
          <w:rFonts w:ascii="Book Antiqua" w:eastAsia="SimSun" w:hAnsi="Book Antiqua" w:cs="Helvetica"/>
          <w:kern w:val="0"/>
          <w:sz w:val="24"/>
          <w:szCs w:val="24"/>
          <w:lang w:eastAsia="zh-CN"/>
        </w:rPr>
        <w:t>0</w:t>
      </w:r>
    </w:p>
    <w:p w14:paraId="77B9AFA4" w14:textId="30A4E365" w:rsidR="00B07858" w:rsidRPr="00CE4B44" w:rsidRDefault="00B07858" w:rsidP="00CE4B44">
      <w:pPr>
        <w:widowControl/>
        <w:snapToGrid w:val="0"/>
        <w:spacing w:line="360" w:lineRule="auto"/>
        <w:rPr>
          <w:rFonts w:ascii="Book Antiqua" w:eastAsia="SimSun" w:hAnsi="Book Antiqua" w:cs="Helvetica"/>
          <w:kern w:val="0"/>
          <w:sz w:val="24"/>
          <w:szCs w:val="24"/>
          <w:lang w:eastAsia="zh-CN"/>
        </w:rPr>
      </w:pPr>
      <w:r w:rsidRPr="00CE4B44">
        <w:rPr>
          <w:rFonts w:ascii="Book Antiqua" w:eastAsia="SimSun" w:hAnsi="Book Antiqua" w:cs="Helvetica"/>
          <w:kern w:val="0"/>
          <w:sz w:val="24"/>
          <w:szCs w:val="24"/>
        </w:rPr>
        <w:t xml:space="preserve">Grade B (Very good): </w:t>
      </w:r>
      <w:r w:rsidR="00E73699" w:rsidRPr="00CE4B44">
        <w:rPr>
          <w:rFonts w:ascii="Book Antiqua" w:eastAsia="SimSun" w:hAnsi="Book Antiqua" w:cs="Helvetica"/>
          <w:kern w:val="0"/>
          <w:sz w:val="24"/>
          <w:szCs w:val="24"/>
          <w:lang w:eastAsia="zh-CN"/>
        </w:rPr>
        <w:t>0</w:t>
      </w:r>
    </w:p>
    <w:p w14:paraId="29942D60" w14:textId="40B455EF" w:rsidR="00B07858" w:rsidRPr="00CE4B44" w:rsidRDefault="00B07858" w:rsidP="00CE4B44">
      <w:pPr>
        <w:widowControl/>
        <w:snapToGrid w:val="0"/>
        <w:spacing w:line="360" w:lineRule="auto"/>
        <w:rPr>
          <w:rFonts w:ascii="Book Antiqua" w:eastAsia="SimSun" w:hAnsi="Book Antiqua" w:cs="Helvetica"/>
          <w:kern w:val="0"/>
          <w:sz w:val="24"/>
          <w:szCs w:val="24"/>
          <w:lang w:eastAsia="zh-CN"/>
        </w:rPr>
      </w:pPr>
      <w:r w:rsidRPr="00CE4B44">
        <w:rPr>
          <w:rFonts w:ascii="Book Antiqua" w:eastAsia="SimSun" w:hAnsi="Book Antiqua" w:cs="Helvetica"/>
          <w:kern w:val="0"/>
          <w:sz w:val="24"/>
          <w:szCs w:val="24"/>
        </w:rPr>
        <w:t>Grade C (Good): C</w:t>
      </w:r>
      <w:r w:rsidR="00E73699" w:rsidRPr="00CE4B44">
        <w:rPr>
          <w:rFonts w:ascii="Book Antiqua" w:eastAsia="SimSun" w:hAnsi="Book Antiqua" w:cs="Helvetica"/>
          <w:kern w:val="0"/>
          <w:sz w:val="24"/>
          <w:szCs w:val="24"/>
          <w:lang w:eastAsia="zh-CN"/>
        </w:rPr>
        <w:t>, C, C</w:t>
      </w:r>
    </w:p>
    <w:p w14:paraId="349D8D06" w14:textId="77777777" w:rsidR="00B07858" w:rsidRPr="00CE4B44" w:rsidRDefault="00B07858" w:rsidP="00CE4B44">
      <w:pPr>
        <w:widowControl/>
        <w:snapToGrid w:val="0"/>
        <w:spacing w:line="360" w:lineRule="auto"/>
        <w:rPr>
          <w:rFonts w:ascii="Book Antiqua" w:eastAsia="SimSun" w:hAnsi="Book Antiqua" w:cs="Helvetica"/>
          <w:kern w:val="0"/>
          <w:sz w:val="24"/>
          <w:szCs w:val="24"/>
        </w:rPr>
      </w:pPr>
      <w:r w:rsidRPr="00CE4B44">
        <w:rPr>
          <w:rFonts w:ascii="Book Antiqua" w:eastAsia="SimSun" w:hAnsi="Book Antiqua" w:cs="Helvetica"/>
          <w:kern w:val="0"/>
          <w:sz w:val="24"/>
          <w:szCs w:val="24"/>
        </w:rPr>
        <w:t xml:space="preserve">Grade D (Fair): 0 </w:t>
      </w:r>
    </w:p>
    <w:p w14:paraId="5CB0ACB1" w14:textId="1B37EE28" w:rsidR="00741934" w:rsidRPr="00CE4B44" w:rsidRDefault="00B07858" w:rsidP="00CE4B44">
      <w:pPr>
        <w:spacing w:line="360" w:lineRule="auto"/>
        <w:rPr>
          <w:rFonts w:ascii="Book Antiqua" w:hAnsi="Book Antiqua"/>
          <w:sz w:val="24"/>
          <w:szCs w:val="24"/>
        </w:rPr>
      </w:pPr>
      <w:r w:rsidRPr="00CE4B44">
        <w:rPr>
          <w:rFonts w:ascii="Book Antiqua" w:eastAsia="SimSun" w:hAnsi="Book Antiqua" w:cs="Helvetica"/>
          <w:kern w:val="0"/>
          <w:sz w:val="24"/>
          <w:szCs w:val="24"/>
        </w:rPr>
        <w:lastRenderedPageBreak/>
        <w:t>Grade E (Poor): 0</w:t>
      </w:r>
    </w:p>
    <w:p w14:paraId="6A16524F" w14:textId="34D5280D" w:rsidR="00741934" w:rsidRPr="00120959" w:rsidRDefault="00E73699" w:rsidP="00120959">
      <w:pPr>
        <w:widowControl/>
        <w:spacing w:line="360" w:lineRule="auto"/>
        <w:rPr>
          <w:rFonts w:ascii="Book Antiqua" w:hAnsi="Book Antiqua"/>
          <w:b/>
          <w:sz w:val="24"/>
          <w:szCs w:val="24"/>
        </w:rPr>
      </w:pPr>
      <w:r>
        <w:rPr>
          <w:rFonts w:ascii="Book Antiqua" w:hAnsi="Book Antiqua"/>
          <w:b/>
          <w:sz w:val="24"/>
          <w:szCs w:val="24"/>
        </w:rPr>
        <w:br w:type="page"/>
      </w:r>
      <w:r w:rsidR="00741934" w:rsidRPr="00120959">
        <w:rPr>
          <w:rFonts w:ascii="Book Antiqua" w:hAnsi="Book Antiqua"/>
          <w:b/>
          <w:sz w:val="24"/>
          <w:szCs w:val="24"/>
        </w:rPr>
        <w:lastRenderedPageBreak/>
        <w:t>Table</w:t>
      </w:r>
      <w:r w:rsidR="00730058" w:rsidRPr="00120959">
        <w:rPr>
          <w:rFonts w:ascii="Book Antiqua" w:hAnsi="Book Antiqua"/>
          <w:b/>
          <w:sz w:val="24"/>
          <w:szCs w:val="24"/>
        </w:rPr>
        <w:t xml:space="preserve"> </w:t>
      </w:r>
      <w:r w:rsidR="00120959" w:rsidRPr="00120959">
        <w:rPr>
          <w:rFonts w:ascii="Book Antiqua" w:hAnsi="Book Antiqua"/>
          <w:b/>
          <w:sz w:val="24"/>
          <w:szCs w:val="24"/>
        </w:rPr>
        <w:t>1</w:t>
      </w:r>
      <w:r w:rsidR="00741934" w:rsidRPr="00120959">
        <w:rPr>
          <w:rFonts w:ascii="Book Antiqua" w:hAnsi="Book Antiqua"/>
          <w:b/>
          <w:sz w:val="24"/>
          <w:szCs w:val="24"/>
        </w:rPr>
        <w:t xml:space="preserve"> Characteristics of patients with </w:t>
      </w:r>
      <w:proofErr w:type="spellStart"/>
      <w:r w:rsidR="00120959" w:rsidRPr="00120959">
        <w:rPr>
          <w:rFonts w:ascii="Book Antiqua" w:hAnsi="Book Antiqua"/>
          <w:b/>
          <w:sz w:val="24"/>
          <w:szCs w:val="24"/>
        </w:rPr>
        <w:t>hepatocelullar</w:t>
      </w:r>
      <w:proofErr w:type="spellEnd"/>
      <w:r w:rsidR="00120959" w:rsidRPr="00120959">
        <w:rPr>
          <w:rFonts w:ascii="Book Antiqua" w:hAnsi="Book Antiqua"/>
          <w:b/>
          <w:sz w:val="24"/>
          <w:szCs w:val="24"/>
        </w:rPr>
        <w:t xml:space="preserve"> carcinoma </w:t>
      </w:r>
      <w:r w:rsidR="00741934" w:rsidRPr="00120959">
        <w:rPr>
          <w:rFonts w:ascii="Book Antiqua" w:hAnsi="Book Antiqua"/>
          <w:b/>
          <w:sz w:val="24"/>
          <w:szCs w:val="24"/>
        </w:rPr>
        <w:t>receiving sorafenib treatment according to treatment outcomes</w:t>
      </w:r>
    </w:p>
    <w:p w14:paraId="75608CF8" w14:textId="305332FA" w:rsidR="00741934" w:rsidRPr="00D936D5" w:rsidRDefault="00741934" w:rsidP="00120959">
      <w:pPr>
        <w:widowControl/>
        <w:spacing w:line="360" w:lineRule="auto"/>
        <w:rPr>
          <w:rFonts w:ascii="Book Antiqua" w:hAnsi="Book Antiqua"/>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701"/>
        <w:gridCol w:w="1701"/>
        <w:gridCol w:w="1701"/>
        <w:gridCol w:w="961"/>
      </w:tblGrid>
      <w:tr w:rsidR="00D936D5" w:rsidRPr="00D936D5" w14:paraId="364222C9" w14:textId="77777777" w:rsidTr="004C1508">
        <w:trPr>
          <w:trHeight w:val="375"/>
        </w:trPr>
        <w:tc>
          <w:tcPr>
            <w:tcW w:w="2660" w:type="dxa"/>
            <w:tcBorders>
              <w:top w:val="single" w:sz="4" w:space="0" w:color="auto"/>
              <w:bottom w:val="single" w:sz="4" w:space="0" w:color="auto"/>
            </w:tcBorders>
            <w:noWrap/>
            <w:vAlign w:val="center"/>
            <w:hideMark/>
          </w:tcPr>
          <w:p w14:paraId="1289F1FE"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Variable</w:t>
            </w:r>
          </w:p>
        </w:tc>
        <w:tc>
          <w:tcPr>
            <w:tcW w:w="1701" w:type="dxa"/>
            <w:tcBorders>
              <w:top w:val="single" w:sz="4" w:space="0" w:color="auto"/>
              <w:bottom w:val="single" w:sz="4" w:space="0" w:color="auto"/>
            </w:tcBorders>
            <w:noWrap/>
            <w:hideMark/>
          </w:tcPr>
          <w:p w14:paraId="511555C5"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Total</w:t>
            </w:r>
          </w:p>
          <w:p w14:paraId="3A883EC2" w14:textId="4131AF2A"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Pr="00F52487">
              <w:rPr>
                <w:rFonts w:ascii="Book Antiqua" w:hAnsi="Book Antiqua"/>
                <w:b/>
                <w:bCs/>
                <w:i/>
                <w:sz w:val="24"/>
                <w:szCs w:val="24"/>
              </w:rPr>
              <w:t>n</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41)</w:t>
            </w:r>
          </w:p>
        </w:tc>
        <w:tc>
          <w:tcPr>
            <w:tcW w:w="1701" w:type="dxa"/>
            <w:tcBorders>
              <w:top w:val="single" w:sz="4" w:space="0" w:color="auto"/>
              <w:bottom w:val="single" w:sz="4" w:space="0" w:color="auto"/>
            </w:tcBorders>
            <w:noWrap/>
            <w:hideMark/>
          </w:tcPr>
          <w:p w14:paraId="17DC6A4D" w14:textId="64A89E66"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SD</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PR</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CR</w:t>
            </w:r>
          </w:p>
          <w:p w14:paraId="7DE6CCEF" w14:textId="630E5742"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00F52487" w:rsidRPr="00F52487">
              <w:rPr>
                <w:rFonts w:ascii="Book Antiqua" w:hAnsi="Book Antiqua"/>
                <w:b/>
                <w:bCs/>
                <w:i/>
                <w:sz w:val="24"/>
                <w:szCs w:val="24"/>
              </w:rPr>
              <w:t>n</w:t>
            </w:r>
            <w:r w:rsidR="00F52487">
              <w:rPr>
                <w:rFonts w:ascii="Book Antiqua" w:eastAsia="SimSun" w:hAnsi="Book Antiqua" w:hint="eastAsia"/>
                <w:b/>
                <w:bCs/>
                <w:sz w:val="24"/>
                <w:szCs w:val="24"/>
                <w:lang w:eastAsia="zh-CN"/>
              </w:rPr>
              <w:t xml:space="preserve"> </w:t>
            </w:r>
            <w:r w:rsidR="00F52487" w:rsidRPr="00D936D5">
              <w:rPr>
                <w:rFonts w:ascii="Book Antiqua" w:hAnsi="Book Antiqua"/>
                <w:b/>
                <w:bCs/>
                <w:sz w:val="24"/>
                <w:szCs w:val="24"/>
              </w:rPr>
              <w:t>=</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17)</w:t>
            </w:r>
          </w:p>
        </w:tc>
        <w:tc>
          <w:tcPr>
            <w:tcW w:w="1701" w:type="dxa"/>
            <w:tcBorders>
              <w:top w:val="single" w:sz="4" w:space="0" w:color="auto"/>
              <w:bottom w:val="single" w:sz="4" w:space="0" w:color="auto"/>
            </w:tcBorders>
            <w:noWrap/>
            <w:hideMark/>
          </w:tcPr>
          <w:p w14:paraId="1A50D92C"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PD</w:t>
            </w:r>
          </w:p>
          <w:p w14:paraId="2AA839A3" w14:textId="19E8855B"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00F52487" w:rsidRPr="00F52487">
              <w:rPr>
                <w:rFonts w:ascii="Book Antiqua" w:hAnsi="Book Antiqua"/>
                <w:b/>
                <w:bCs/>
                <w:i/>
                <w:sz w:val="24"/>
                <w:szCs w:val="24"/>
              </w:rPr>
              <w:t>n</w:t>
            </w:r>
            <w:r w:rsidR="00F52487">
              <w:rPr>
                <w:rFonts w:ascii="Book Antiqua" w:eastAsia="SimSun" w:hAnsi="Book Antiqua" w:hint="eastAsia"/>
                <w:b/>
                <w:bCs/>
                <w:sz w:val="24"/>
                <w:szCs w:val="24"/>
                <w:lang w:eastAsia="zh-CN"/>
              </w:rPr>
              <w:t xml:space="preserve"> </w:t>
            </w:r>
            <w:r w:rsidR="00F52487" w:rsidRPr="00D936D5">
              <w:rPr>
                <w:rFonts w:ascii="Book Antiqua" w:hAnsi="Book Antiqua"/>
                <w:b/>
                <w:bCs/>
                <w:sz w:val="24"/>
                <w:szCs w:val="24"/>
              </w:rPr>
              <w:t>=</w:t>
            </w:r>
            <w:r w:rsidR="00F52487">
              <w:rPr>
                <w:rFonts w:ascii="Book Antiqua" w:eastAsia="SimSun" w:hAnsi="Book Antiqua" w:hint="eastAsia"/>
                <w:b/>
                <w:bCs/>
                <w:sz w:val="24"/>
                <w:szCs w:val="24"/>
                <w:lang w:eastAsia="zh-CN"/>
              </w:rPr>
              <w:t xml:space="preserve"> </w:t>
            </w:r>
            <w:r w:rsidRPr="00D936D5">
              <w:rPr>
                <w:rFonts w:ascii="Book Antiqua" w:hAnsi="Book Antiqua"/>
                <w:b/>
                <w:bCs/>
                <w:sz w:val="24"/>
                <w:szCs w:val="24"/>
              </w:rPr>
              <w:t>24)</w:t>
            </w:r>
          </w:p>
        </w:tc>
        <w:tc>
          <w:tcPr>
            <w:tcW w:w="961" w:type="dxa"/>
            <w:tcBorders>
              <w:top w:val="single" w:sz="4" w:space="0" w:color="auto"/>
              <w:bottom w:val="single" w:sz="4" w:space="0" w:color="auto"/>
            </w:tcBorders>
            <w:noWrap/>
            <w:vAlign w:val="center"/>
            <w:hideMark/>
          </w:tcPr>
          <w:p w14:paraId="12B7F517" w14:textId="77777777" w:rsidR="00301DC0" w:rsidRPr="00D936D5" w:rsidRDefault="00301DC0" w:rsidP="00120959">
            <w:pPr>
              <w:widowControl/>
              <w:spacing w:line="360" w:lineRule="auto"/>
              <w:rPr>
                <w:rFonts w:ascii="Book Antiqua" w:hAnsi="Book Antiqua"/>
                <w:b/>
                <w:bCs/>
                <w:sz w:val="24"/>
                <w:szCs w:val="24"/>
              </w:rPr>
            </w:pPr>
            <w:r w:rsidRPr="00F52487">
              <w:rPr>
                <w:rFonts w:ascii="Book Antiqua" w:hAnsi="Book Antiqua"/>
                <w:b/>
                <w:bCs/>
                <w:i/>
                <w:sz w:val="24"/>
                <w:szCs w:val="24"/>
              </w:rPr>
              <w:t>P</w:t>
            </w:r>
            <w:r w:rsidRPr="00D936D5">
              <w:rPr>
                <w:rFonts w:ascii="Book Antiqua" w:hAnsi="Book Antiqua"/>
                <w:b/>
                <w:bCs/>
                <w:sz w:val="24"/>
                <w:szCs w:val="24"/>
              </w:rPr>
              <w:t xml:space="preserve"> value</w:t>
            </w:r>
          </w:p>
        </w:tc>
      </w:tr>
      <w:tr w:rsidR="00D936D5" w:rsidRPr="00D936D5" w14:paraId="2A1E5AB5" w14:textId="77777777" w:rsidTr="004C1508">
        <w:trPr>
          <w:trHeight w:val="375"/>
        </w:trPr>
        <w:tc>
          <w:tcPr>
            <w:tcW w:w="2660" w:type="dxa"/>
            <w:tcBorders>
              <w:top w:val="single" w:sz="4" w:space="0" w:color="auto"/>
            </w:tcBorders>
            <w:noWrap/>
            <w:vAlign w:val="center"/>
            <w:hideMark/>
          </w:tcPr>
          <w:p w14:paraId="223D5209" w14:textId="128DD852" w:rsidR="00301DC0" w:rsidRPr="007802B7" w:rsidRDefault="007802B7" w:rsidP="00120959">
            <w:pPr>
              <w:widowControl/>
              <w:spacing w:line="360" w:lineRule="auto"/>
              <w:rPr>
                <w:rFonts w:ascii="Book Antiqua" w:hAnsi="Book Antiqua"/>
                <w:bCs/>
                <w:sz w:val="24"/>
                <w:szCs w:val="24"/>
              </w:rPr>
            </w:pPr>
            <w:r w:rsidRPr="007802B7">
              <w:rPr>
                <w:rFonts w:ascii="Book Antiqua" w:hAnsi="Book Antiqua"/>
                <w:bCs/>
                <w:sz w:val="24"/>
                <w:szCs w:val="24"/>
              </w:rPr>
              <w:t>Age (</w:t>
            </w:r>
            <w:proofErr w:type="spellStart"/>
            <w:r w:rsidRPr="007802B7">
              <w:rPr>
                <w:rFonts w:ascii="Book Antiqua" w:hAnsi="Book Antiqua"/>
                <w:bCs/>
                <w:sz w:val="24"/>
                <w:szCs w:val="24"/>
              </w:rPr>
              <w:t>y</w:t>
            </w:r>
            <w:r w:rsidR="00301DC0" w:rsidRPr="007802B7">
              <w:rPr>
                <w:rFonts w:ascii="Book Antiqua" w:hAnsi="Book Antiqua"/>
                <w:bCs/>
                <w:sz w:val="24"/>
                <w:szCs w:val="24"/>
              </w:rPr>
              <w:t>r</w:t>
            </w:r>
            <w:proofErr w:type="spellEnd"/>
            <w:r w:rsidR="00301DC0" w:rsidRPr="007802B7">
              <w:rPr>
                <w:rFonts w:ascii="Book Antiqua" w:hAnsi="Book Antiqua"/>
                <w:bCs/>
                <w:sz w:val="24"/>
                <w:szCs w:val="24"/>
              </w:rPr>
              <w:t>)</w:t>
            </w:r>
          </w:p>
        </w:tc>
        <w:tc>
          <w:tcPr>
            <w:tcW w:w="1701" w:type="dxa"/>
            <w:tcBorders>
              <w:top w:val="single" w:sz="4" w:space="0" w:color="auto"/>
            </w:tcBorders>
            <w:noWrap/>
            <w:vAlign w:val="center"/>
            <w:hideMark/>
          </w:tcPr>
          <w:p w14:paraId="2580F50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(69.0-81.0)</w:t>
            </w:r>
          </w:p>
        </w:tc>
        <w:tc>
          <w:tcPr>
            <w:tcW w:w="1701" w:type="dxa"/>
            <w:tcBorders>
              <w:top w:val="single" w:sz="4" w:space="0" w:color="auto"/>
            </w:tcBorders>
            <w:noWrap/>
            <w:vAlign w:val="center"/>
            <w:hideMark/>
          </w:tcPr>
          <w:p w14:paraId="5F447AC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(71.0-78.0)</w:t>
            </w:r>
          </w:p>
        </w:tc>
        <w:tc>
          <w:tcPr>
            <w:tcW w:w="1701" w:type="dxa"/>
            <w:tcBorders>
              <w:top w:val="single" w:sz="4" w:space="0" w:color="auto"/>
            </w:tcBorders>
            <w:noWrap/>
            <w:vAlign w:val="center"/>
            <w:hideMark/>
          </w:tcPr>
          <w:p w14:paraId="612847A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(63.5-70.0)</w:t>
            </w:r>
          </w:p>
        </w:tc>
        <w:tc>
          <w:tcPr>
            <w:tcW w:w="961" w:type="dxa"/>
            <w:tcBorders>
              <w:top w:val="single" w:sz="4" w:space="0" w:color="auto"/>
            </w:tcBorders>
            <w:noWrap/>
            <w:vAlign w:val="center"/>
            <w:hideMark/>
          </w:tcPr>
          <w:p w14:paraId="6152373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0.400</w:t>
            </w:r>
          </w:p>
        </w:tc>
      </w:tr>
      <w:tr w:rsidR="00D936D5" w:rsidRPr="00D936D5" w14:paraId="71C322CE" w14:textId="77777777" w:rsidTr="004C1508">
        <w:trPr>
          <w:trHeight w:val="375"/>
        </w:trPr>
        <w:tc>
          <w:tcPr>
            <w:tcW w:w="2660" w:type="dxa"/>
            <w:noWrap/>
            <w:vAlign w:val="center"/>
            <w:hideMark/>
          </w:tcPr>
          <w:p w14:paraId="698A9E0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Sex (male/female)</w:t>
            </w:r>
          </w:p>
        </w:tc>
        <w:tc>
          <w:tcPr>
            <w:tcW w:w="1701" w:type="dxa"/>
            <w:noWrap/>
            <w:vAlign w:val="center"/>
            <w:hideMark/>
          </w:tcPr>
          <w:p w14:paraId="05DD6F4D" w14:textId="226FFB6C"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38</w:t>
            </w:r>
            <w:r w:rsidR="007802B7" w:rsidRPr="007802B7">
              <w:rPr>
                <w:rFonts w:ascii="Book Antiqua" w:hAnsi="Book Antiqua"/>
                <w:bCs/>
                <w:sz w:val="24"/>
                <w:szCs w:val="24"/>
              </w:rPr>
              <w:t>/</w:t>
            </w:r>
            <w:r w:rsidRPr="007802B7">
              <w:rPr>
                <w:rFonts w:ascii="Book Antiqua" w:hAnsi="Book Antiqua"/>
                <w:bCs/>
                <w:sz w:val="24"/>
                <w:szCs w:val="24"/>
              </w:rPr>
              <w:t>3</w:t>
            </w:r>
          </w:p>
        </w:tc>
        <w:tc>
          <w:tcPr>
            <w:tcW w:w="1701" w:type="dxa"/>
            <w:noWrap/>
            <w:vAlign w:val="center"/>
            <w:hideMark/>
          </w:tcPr>
          <w:p w14:paraId="1B03A103" w14:textId="3BC04A0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17</w:t>
            </w:r>
            <w:r w:rsidR="007802B7" w:rsidRPr="007802B7">
              <w:rPr>
                <w:rFonts w:ascii="Book Antiqua" w:hAnsi="Book Antiqua"/>
                <w:bCs/>
                <w:sz w:val="24"/>
                <w:szCs w:val="24"/>
              </w:rPr>
              <w:t>/</w:t>
            </w:r>
            <w:r w:rsidRPr="007802B7">
              <w:rPr>
                <w:rFonts w:ascii="Book Antiqua" w:hAnsi="Book Antiqua"/>
                <w:bCs/>
                <w:sz w:val="24"/>
                <w:szCs w:val="24"/>
              </w:rPr>
              <w:t>0</w:t>
            </w:r>
          </w:p>
        </w:tc>
        <w:tc>
          <w:tcPr>
            <w:tcW w:w="1701" w:type="dxa"/>
            <w:noWrap/>
            <w:vAlign w:val="center"/>
            <w:hideMark/>
          </w:tcPr>
          <w:p w14:paraId="7544A0DE" w14:textId="08FB9E2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21</w:t>
            </w:r>
            <w:r w:rsidR="007802B7" w:rsidRPr="007802B7">
              <w:rPr>
                <w:rFonts w:ascii="Book Antiqua" w:hAnsi="Book Antiqua"/>
                <w:bCs/>
                <w:sz w:val="24"/>
                <w:szCs w:val="24"/>
              </w:rPr>
              <w:t>/</w:t>
            </w:r>
            <w:r w:rsidRPr="007802B7">
              <w:rPr>
                <w:rFonts w:ascii="Book Antiqua" w:hAnsi="Book Antiqua"/>
                <w:bCs/>
                <w:sz w:val="24"/>
                <w:szCs w:val="24"/>
              </w:rPr>
              <w:t>3</w:t>
            </w:r>
          </w:p>
        </w:tc>
        <w:tc>
          <w:tcPr>
            <w:tcW w:w="961" w:type="dxa"/>
            <w:noWrap/>
            <w:vAlign w:val="center"/>
            <w:hideMark/>
          </w:tcPr>
          <w:p w14:paraId="64DC480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0.254</w:t>
            </w:r>
          </w:p>
        </w:tc>
      </w:tr>
      <w:tr w:rsidR="00D936D5" w:rsidRPr="00D936D5" w14:paraId="4ABE6905" w14:textId="77777777" w:rsidTr="004C1508">
        <w:trPr>
          <w:trHeight w:val="375"/>
        </w:trPr>
        <w:tc>
          <w:tcPr>
            <w:tcW w:w="2660" w:type="dxa"/>
            <w:noWrap/>
            <w:vAlign w:val="center"/>
            <w:hideMark/>
          </w:tcPr>
          <w:p w14:paraId="3BBBB9BA" w14:textId="522DD830"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Etiology</w:t>
            </w:r>
            <w:r w:rsidR="007802B7" w:rsidRPr="007802B7">
              <w:rPr>
                <w:rFonts w:ascii="Book Antiqua" w:eastAsia="SimSun" w:hAnsi="Book Antiqua" w:hint="eastAsia"/>
                <w:bCs/>
                <w:sz w:val="24"/>
                <w:szCs w:val="24"/>
                <w:lang w:eastAsia="zh-CN"/>
              </w:rPr>
              <w:t xml:space="preserve"> </w:t>
            </w:r>
            <w:r w:rsidR="007802B7" w:rsidRPr="007802B7">
              <w:rPr>
                <w:rFonts w:ascii="Book Antiqua" w:hAnsi="Book Antiqua"/>
                <w:bCs/>
                <w:sz w:val="24"/>
                <w:szCs w:val="24"/>
              </w:rPr>
              <w:t>(HBV/HCV/NASH/</w:t>
            </w:r>
            <w:r w:rsidRPr="007802B7">
              <w:rPr>
                <w:rFonts w:ascii="Book Antiqua" w:hAnsi="Book Antiqua"/>
                <w:bCs/>
                <w:sz w:val="24"/>
                <w:szCs w:val="24"/>
              </w:rPr>
              <w:t>alcohol)</w:t>
            </w:r>
          </w:p>
        </w:tc>
        <w:tc>
          <w:tcPr>
            <w:tcW w:w="1701" w:type="dxa"/>
            <w:noWrap/>
            <w:vAlign w:val="center"/>
            <w:hideMark/>
          </w:tcPr>
          <w:p w14:paraId="2BD0D5C2" w14:textId="0BE0D162" w:rsidR="00301DC0" w:rsidRPr="007802B7" w:rsidRDefault="007802B7" w:rsidP="00120959">
            <w:pPr>
              <w:widowControl/>
              <w:spacing w:line="360" w:lineRule="auto"/>
              <w:rPr>
                <w:rFonts w:ascii="Book Antiqua" w:hAnsi="Book Antiqua"/>
                <w:bCs/>
                <w:sz w:val="24"/>
                <w:szCs w:val="24"/>
              </w:rPr>
            </w:pPr>
            <w:r w:rsidRPr="007802B7">
              <w:rPr>
                <w:rFonts w:ascii="Book Antiqua" w:hAnsi="Book Antiqua"/>
                <w:bCs/>
                <w:sz w:val="24"/>
                <w:szCs w:val="24"/>
              </w:rPr>
              <w:t>7/20/3/</w:t>
            </w:r>
            <w:r w:rsidR="00301DC0" w:rsidRPr="007802B7">
              <w:rPr>
                <w:rFonts w:ascii="Book Antiqua" w:hAnsi="Book Antiqua"/>
                <w:bCs/>
                <w:sz w:val="24"/>
                <w:szCs w:val="24"/>
              </w:rPr>
              <w:t>11</w:t>
            </w:r>
          </w:p>
        </w:tc>
        <w:tc>
          <w:tcPr>
            <w:tcW w:w="1701" w:type="dxa"/>
            <w:noWrap/>
            <w:vAlign w:val="center"/>
            <w:hideMark/>
          </w:tcPr>
          <w:p w14:paraId="05A54E5E" w14:textId="501077F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13</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3</w:t>
            </w:r>
          </w:p>
        </w:tc>
        <w:tc>
          <w:tcPr>
            <w:tcW w:w="1701" w:type="dxa"/>
            <w:noWrap/>
            <w:vAlign w:val="center"/>
            <w:hideMark/>
          </w:tcPr>
          <w:p w14:paraId="31BC2C4A" w14:textId="0733A973"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8</w:t>
            </w:r>
          </w:p>
        </w:tc>
        <w:tc>
          <w:tcPr>
            <w:tcW w:w="961" w:type="dxa"/>
            <w:noWrap/>
            <w:vAlign w:val="center"/>
            <w:hideMark/>
          </w:tcPr>
          <w:p w14:paraId="1AFBD8F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0.0707</w:t>
            </w:r>
          </w:p>
        </w:tc>
      </w:tr>
      <w:tr w:rsidR="00D936D5" w:rsidRPr="00D936D5" w14:paraId="64031B9F" w14:textId="77777777" w:rsidTr="004C1508">
        <w:trPr>
          <w:trHeight w:val="375"/>
        </w:trPr>
        <w:tc>
          <w:tcPr>
            <w:tcW w:w="2660" w:type="dxa"/>
            <w:noWrap/>
            <w:vAlign w:val="center"/>
            <w:hideMark/>
          </w:tcPr>
          <w:p w14:paraId="05CFCBF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Albumin (g/</w:t>
            </w:r>
            <w:proofErr w:type="spellStart"/>
            <w:r w:rsidRPr="007802B7">
              <w:rPr>
                <w:rFonts w:ascii="Book Antiqua" w:hAnsi="Book Antiqua"/>
                <w:bCs/>
                <w:sz w:val="24"/>
                <w:szCs w:val="24"/>
              </w:rPr>
              <w:t>dL</w:t>
            </w:r>
            <w:proofErr w:type="spellEnd"/>
            <w:r w:rsidRPr="007802B7">
              <w:rPr>
                <w:rFonts w:ascii="Book Antiqua" w:hAnsi="Book Antiqua"/>
                <w:bCs/>
                <w:sz w:val="24"/>
                <w:szCs w:val="24"/>
              </w:rPr>
              <w:t>)</w:t>
            </w:r>
          </w:p>
        </w:tc>
        <w:tc>
          <w:tcPr>
            <w:tcW w:w="1701" w:type="dxa"/>
            <w:noWrap/>
            <w:vAlign w:val="center"/>
            <w:hideMark/>
          </w:tcPr>
          <w:p w14:paraId="0FD1ADB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3.6 (3.3-3.9)</w:t>
            </w:r>
          </w:p>
        </w:tc>
        <w:tc>
          <w:tcPr>
            <w:tcW w:w="1701" w:type="dxa"/>
            <w:noWrap/>
            <w:vAlign w:val="center"/>
            <w:hideMark/>
          </w:tcPr>
          <w:p w14:paraId="7A00E75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3.7 (3.5-4.0)</w:t>
            </w:r>
          </w:p>
        </w:tc>
        <w:tc>
          <w:tcPr>
            <w:tcW w:w="1701" w:type="dxa"/>
            <w:noWrap/>
            <w:vAlign w:val="center"/>
            <w:hideMark/>
          </w:tcPr>
          <w:p w14:paraId="0FB6F8F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3.5 (3.3-3.7)</w:t>
            </w:r>
          </w:p>
        </w:tc>
        <w:tc>
          <w:tcPr>
            <w:tcW w:w="961" w:type="dxa"/>
            <w:noWrap/>
            <w:vAlign w:val="center"/>
            <w:hideMark/>
          </w:tcPr>
          <w:p w14:paraId="797A4DA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0.0827</w:t>
            </w:r>
          </w:p>
        </w:tc>
      </w:tr>
      <w:tr w:rsidR="00D936D5" w:rsidRPr="00D936D5" w14:paraId="7F8843D6" w14:textId="77777777" w:rsidTr="004C1508">
        <w:trPr>
          <w:trHeight w:val="375"/>
        </w:trPr>
        <w:tc>
          <w:tcPr>
            <w:tcW w:w="2660" w:type="dxa"/>
            <w:noWrap/>
            <w:vAlign w:val="center"/>
            <w:hideMark/>
          </w:tcPr>
          <w:p w14:paraId="6647961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Prothrombin time (%)</w:t>
            </w:r>
          </w:p>
        </w:tc>
        <w:tc>
          <w:tcPr>
            <w:tcW w:w="1701" w:type="dxa"/>
            <w:noWrap/>
            <w:vAlign w:val="center"/>
            <w:hideMark/>
          </w:tcPr>
          <w:p w14:paraId="635545A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82.0 (77.0-89.0)</w:t>
            </w:r>
          </w:p>
        </w:tc>
        <w:tc>
          <w:tcPr>
            <w:tcW w:w="1701" w:type="dxa"/>
            <w:noWrap/>
            <w:vAlign w:val="center"/>
            <w:hideMark/>
          </w:tcPr>
          <w:p w14:paraId="595DB69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83.0 (78.0-89.0)</w:t>
            </w:r>
          </w:p>
        </w:tc>
        <w:tc>
          <w:tcPr>
            <w:tcW w:w="1701" w:type="dxa"/>
            <w:noWrap/>
            <w:vAlign w:val="center"/>
            <w:hideMark/>
          </w:tcPr>
          <w:p w14:paraId="7B337F8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82.0 (78.5-91.0)</w:t>
            </w:r>
          </w:p>
        </w:tc>
        <w:tc>
          <w:tcPr>
            <w:tcW w:w="961" w:type="dxa"/>
            <w:noWrap/>
            <w:vAlign w:val="center"/>
            <w:hideMark/>
          </w:tcPr>
          <w:p w14:paraId="01B107E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0.751</w:t>
            </w:r>
          </w:p>
        </w:tc>
      </w:tr>
      <w:tr w:rsidR="00D936D5" w:rsidRPr="00D936D5" w14:paraId="6839613A" w14:textId="77777777" w:rsidTr="004C1508">
        <w:trPr>
          <w:trHeight w:val="375"/>
        </w:trPr>
        <w:tc>
          <w:tcPr>
            <w:tcW w:w="2660" w:type="dxa"/>
            <w:noWrap/>
            <w:vAlign w:val="center"/>
          </w:tcPr>
          <w:p w14:paraId="299F67A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Total bilirubin (mg/</w:t>
            </w:r>
            <w:proofErr w:type="spellStart"/>
            <w:r w:rsidRPr="007802B7">
              <w:rPr>
                <w:rFonts w:ascii="Book Antiqua" w:hAnsi="Book Antiqua"/>
                <w:bCs/>
                <w:sz w:val="24"/>
                <w:szCs w:val="24"/>
              </w:rPr>
              <w:t>dL</w:t>
            </w:r>
            <w:proofErr w:type="spellEnd"/>
            <w:r w:rsidRPr="007802B7">
              <w:rPr>
                <w:rFonts w:ascii="Book Antiqua" w:hAnsi="Book Antiqua"/>
                <w:bCs/>
                <w:sz w:val="24"/>
                <w:szCs w:val="24"/>
              </w:rPr>
              <w:t>)</w:t>
            </w:r>
          </w:p>
        </w:tc>
        <w:tc>
          <w:tcPr>
            <w:tcW w:w="1701" w:type="dxa"/>
            <w:noWrap/>
            <w:vAlign w:val="center"/>
          </w:tcPr>
          <w:p w14:paraId="635916D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0.8 (0.6-0.9)</w:t>
            </w:r>
          </w:p>
        </w:tc>
        <w:tc>
          <w:tcPr>
            <w:tcW w:w="1701" w:type="dxa"/>
            <w:noWrap/>
            <w:vAlign w:val="center"/>
          </w:tcPr>
          <w:p w14:paraId="6BCEECE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0.7 (0.5-0.9)</w:t>
            </w:r>
          </w:p>
        </w:tc>
        <w:tc>
          <w:tcPr>
            <w:tcW w:w="1701" w:type="dxa"/>
            <w:noWrap/>
            <w:vAlign w:val="center"/>
          </w:tcPr>
          <w:p w14:paraId="7C636B3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0.8 (0.6-0.9)</w:t>
            </w:r>
          </w:p>
        </w:tc>
        <w:tc>
          <w:tcPr>
            <w:tcW w:w="961" w:type="dxa"/>
            <w:noWrap/>
            <w:vAlign w:val="center"/>
          </w:tcPr>
          <w:p w14:paraId="0D148B8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0.397</w:t>
            </w:r>
          </w:p>
        </w:tc>
      </w:tr>
      <w:tr w:rsidR="00D936D5" w:rsidRPr="00D936D5" w14:paraId="0E85012F" w14:textId="77777777" w:rsidTr="004C1508">
        <w:trPr>
          <w:trHeight w:val="390"/>
        </w:trPr>
        <w:tc>
          <w:tcPr>
            <w:tcW w:w="2660" w:type="dxa"/>
            <w:noWrap/>
            <w:vAlign w:val="center"/>
            <w:hideMark/>
          </w:tcPr>
          <w:p w14:paraId="7C53EE32" w14:textId="7426C57A" w:rsidR="00301DC0" w:rsidRPr="007802B7" w:rsidRDefault="00301DC0" w:rsidP="00036D0B">
            <w:pPr>
              <w:widowControl/>
              <w:spacing w:line="360" w:lineRule="auto"/>
              <w:rPr>
                <w:rFonts w:ascii="Book Antiqua" w:hAnsi="Book Antiqua"/>
                <w:bCs/>
                <w:sz w:val="24"/>
                <w:szCs w:val="24"/>
              </w:rPr>
            </w:pPr>
            <w:r w:rsidRPr="007802B7">
              <w:rPr>
                <w:rFonts w:ascii="Book Antiqua" w:hAnsi="Book Antiqua"/>
                <w:bCs/>
                <w:sz w:val="24"/>
                <w:szCs w:val="24"/>
              </w:rPr>
              <w:t>Platelet count (</w:t>
            </w:r>
            <w:r w:rsidR="007802B7" w:rsidRPr="007802B7">
              <w:rPr>
                <w:rFonts w:ascii="Book Antiqua" w:hAnsi="Book Antiqua" w:cs="Times New Roman"/>
                <w:color w:val="000000"/>
                <w:kern w:val="0"/>
                <w:sz w:val="24"/>
                <w:szCs w:val="24"/>
              </w:rPr>
              <w:t>×</w:t>
            </w:r>
            <w:r w:rsidR="00036D0B">
              <w:rPr>
                <w:rFonts w:ascii="Book Antiqua" w:eastAsia="SimSun" w:hAnsi="Book Antiqua" w:hint="eastAsia"/>
                <w:bCs/>
                <w:sz w:val="24"/>
                <w:szCs w:val="24"/>
                <w:lang w:eastAsia="zh-CN"/>
              </w:rPr>
              <w:t xml:space="preserve"> </w:t>
            </w:r>
            <w:r w:rsidRPr="007802B7">
              <w:rPr>
                <w:rFonts w:ascii="Book Antiqua" w:hAnsi="Book Antiqua"/>
                <w:bCs/>
                <w:sz w:val="24"/>
                <w:szCs w:val="24"/>
              </w:rPr>
              <w:t>10</w:t>
            </w:r>
            <w:r w:rsidRPr="007802B7">
              <w:rPr>
                <w:rFonts w:ascii="Book Antiqua" w:hAnsi="Book Antiqua"/>
                <w:bCs/>
                <w:sz w:val="24"/>
                <w:szCs w:val="24"/>
                <w:vertAlign w:val="superscript"/>
              </w:rPr>
              <w:t>4</w:t>
            </w:r>
            <w:r w:rsidRPr="007802B7">
              <w:rPr>
                <w:rFonts w:ascii="Book Antiqua" w:hAnsi="Book Antiqua"/>
                <w:bCs/>
                <w:sz w:val="24"/>
                <w:szCs w:val="24"/>
              </w:rPr>
              <w:t>/mm</w:t>
            </w:r>
            <w:r w:rsidRPr="007802B7">
              <w:rPr>
                <w:rFonts w:ascii="Book Antiqua" w:hAnsi="Book Antiqua"/>
                <w:bCs/>
                <w:sz w:val="24"/>
                <w:szCs w:val="24"/>
                <w:vertAlign w:val="superscript"/>
              </w:rPr>
              <w:t>3</w:t>
            </w:r>
            <w:r w:rsidRPr="007802B7">
              <w:rPr>
                <w:rFonts w:ascii="Book Antiqua" w:hAnsi="Book Antiqua"/>
                <w:bCs/>
                <w:sz w:val="24"/>
                <w:szCs w:val="24"/>
              </w:rPr>
              <w:t>)</w:t>
            </w:r>
          </w:p>
        </w:tc>
        <w:tc>
          <w:tcPr>
            <w:tcW w:w="1701" w:type="dxa"/>
            <w:noWrap/>
            <w:vAlign w:val="center"/>
            <w:hideMark/>
          </w:tcPr>
          <w:p w14:paraId="3AE5E53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14.1 (11.1-17.3)</w:t>
            </w:r>
          </w:p>
        </w:tc>
        <w:tc>
          <w:tcPr>
            <w:tcW w:w="1701" w:type="dxa"/>
            <w:noWrap/>
            <w:vAlign w:val="center"/>
            <w:hideMark/>
          </w:tcPr>
          <w:p w14:paraId="2097E60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16.1 (9.4-18.3)</w:t>
            </w:r>
          </w:p>
        </w:tc>
        <w:tc>
          <w:tcPr>
            <w:tcW w:w="1701" w:type="dxa"/>
            <w:noWrap/>
            <w:vAlign w:val="center"/>
            <w:hideMark/>
          </w:tcPr>
          <w:p w14:paraId="7E6022A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14.1 (11.6-16.9)</w:t>
            </w:r>
          </w:p>
        </w:tc>
        <w:tc>
          <w:tcPr>
            <w:tcW w:w="961" w:type="dxa"/>
            <w:noWrap/>
            <w:vAlign w:val="center"/>
            <w:hideMark/>
          </w:tcPr>
          <w:p w14:paraId="491D925E"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0.568</w:t>
            </w:r>
          </w:p>
        </w:tc>
      </w:tr>
      <w:tr w:rsidR="00D936D5" w:rsidRPr="00D936D5" w14:paraId="462610EE" w14:textId="77777777" w:rsidTr="004C1508">
        <w:trPr>
          <w:trHeight w:val="390"/>
        </w:trPr>
        <w:tc>
          <w:tcPr>
            <w:tcW w:w="2660" w:type="dxa"/>
            <w:noWrap/>
            <w:vAlign w:val="center"/>
          </w:tcPr>
          <w:p w14:paraId="1F8B242B" w14:textId="30C31E5F"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AFP (ng/m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tcPr>
          <w:p w14:paraId="37F75306"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121.8 (11.3-2611.0)</w:t>
            </w:r>
          </w:p>
        </w:tc>
        <w:tc>
          <w:tcPr>
            <w:tcW w:w="1701" w:type="dxa"/>
            <w:noWrap/>
            <w:vAlign w:val="center"/>
          </w:tcPr>
          <w:p w14:paraId="2638D90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31.8 (6.7-161.0)</w:t>
            </w:r>
          </w:p>
        </w:tc>
        <w:tc>
          <w:tcPr>
            <w:tcW w:w="1701" w:type="dxa"/>
            <w:noWrap/>
            <w:vAlign w:val="center"/>
          </w:tcPr>
          <w:p w14:paraId="6DE9F4A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286.0 (41.6-5193.5)</w:t>
            </w:r>
          </w:p>
        </w:tc>
        <w:tc>
          <w:tcPr>
            <w:tcW w:w="961" w:type="dxa"/>
            <w:noWrap/>
            <w:vAlign w:val="center"/>
          </w:tcPr>
          <w:p w14:paraId="435C473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0.103</w:t>
            </w:r>
          </w:p>
        </w:tc>
      </w:tr>
      <w:tr w:rsidR="00D936D5" w:rsidRPr="00D936D5" w14:paraId="33A43D87" w14:textId="77777777" w:rsidTr="004C1508">
        <w:trPr>
          <w:trHeight w:val="375"/>
        </w:trPr>
        <w:tc>
          <w:tcPr>
            <w:tcW w:w="2660" w:type="dxa"/>
            <w:noWrap/>
            <w:vAlign w:val="center"/>
            <w:hideMark/>
          </w:tcPr>
          <w:p w14:paraId="3D645A85" w14:textId="2DBC865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DCP (</w:t>
            </w:r>
            <w:proofErr w:type="spellStart"/>
            <w:r w:rsidRPr="007802B7">
              <w:rPr>
                <w:rFonts w:ascii="Book Antiqua" w:hAnsi="Book Antiqua"/>
                <w:bCs/>
                <w:sz w:val="24"/>
                <w:szCs w:val="24"/>
              </w:rPr>
              <w:t>mAU</w:t>
            </w:r>
            <w:proofErr w:type="spellEnd"/>
            <w:r w:rsidRPr="007802B7">
              <w:rPr>
                <w:rFonts w:ascii="Book Antiqua" w:hAnsi="Book Antiqua"/>
                <w:bCs/>
                <w:sz w:val="24"/>
                <w:szCs w:val="24"/>
              </w:rPr>
              <w:t>/m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4DF174E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359.5 (58.0-5277.5)</w:t>
            </w:r>
          </w:p>
        </w:tc>
        <w:tc>
          <w:tcPr>
            <w:tcW w:w="1701" w:type="dxa"/>
            <w:noWrap/>
            <w:vAlign w:val="center"/>
            <w:hideMark/>
          </w:tcPr>
          <w:p w14:paraId="431EEB4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192 (24.5-5177)</w:t>
            </w:r>
          </w:p>
        </w:tc>
        <w:tc>
          <w:tcPr>
            <w:tcW w:w="1701" w:type="dxa"/>
            <w:noWrap/>
            <w:vAlign w:val="center"/>
            <w:hideMark/>
          </w:tcPr>
          <w:p w14:paraId="143409F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5177 (183-17214)</w:t>
            </w:r>
          </w:p>
        </w:tc>
        <w:tc>
          <w:tcPr>
            <w:tcW w:w="961" w:type="dxa"/>
            <w:noWrap/>
            <w:vAlign w:val="center"/>
            <w:hideMark/>
          </w:tcPr>
          <w:p w14:paraId="2B6DF03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0.012</w:t>
            </w:r>
          </w:p>
        </w:tc>
      </w:tr>
      <w:tr w:rsidR="00D936D5" w:rsidRPr="00D936D5" w14:paraId="735806CF" w14:textId="77777777" w:rsidTr="004C1508">
        <w:trPr>
          <w:trHeight w:val="375"/>
        </w:trPr>
        <w:tc>
          <w:tcPr>
            <w:tcW w:w="2660" w:type="dxa"/>
            <w:noWrap/>
            <w:vAlign w:val="center"/>
            <w:hideMark/>
          </w:tcPr>
          <w:p w14:paraId="3ED92096"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AFP-L3% (%)</w:t>
            </w:r>
          </w:p>
        </w:tc>
        <w:tc>
          <w:tcPr>
            <w:tcW w:w="1701" w:type="dxa"/>
            <w:noWrap/>
            <w:vAlign w:val="center"/>
            <w:hideMark/>
          </w:tcPr>
          <w:p w14:paraId="2AC3EB5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13.2 (1.7-42.4)</w:t>
            </w:r>
          </w:p>
        </w:tc>
        <w:tc>
          <w:tcPr>
            <w:tcW w:w="1701" w:type="dxa"/>
            <w:noWrap/>
            <w:vAlign w:val="center"/>
            <w:hideMark/>
          </w:tcPr>
          <w:p w14:paraId="3928421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12.3 (1.45-34.3)</w:t>
            </w:r>
          </w:p>
        </w:tc>
        <w:tc>
          <w:tcPr>
            <w:tcW w:w="1701" w:type="dxa"/>
            <w:noWrap/>
            <w:vAlign w:val="center"/>
            <w:hideMark/>
          </w:tcPr>
          <w:p w14:paraId="587B81B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21.8 (1.85-47.7)</w:t>
            </w:r>
          </w:p>
        </w:tc>
        <w:tc>
          <w:tcPr>
            <w:tcW w:w="961" w:type="dxa"/>
            <w:noWrap/>
            <w:vAlign w:val="center"/>
            <w:hideMark/>
          </w:tcPr>
          <w:p w14:paraId="152CD0EE"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0.529</w:t>
            </w:r>
          </w:p>
        </w:tc>
      </w:tr>
      <w:tr w:rsidR="00D936D5" w:rsidRPr="00D936D5" w14:paraId="6A9A0692" w14:textId="77777777" w:rsidTr="004C1508">
        <w:trPr>
          <w:trHeight w:val="375"/>
        </w:trPr>
        <w:tc>
          <w:tcPr>
            <w:tcW w:w="2660" w:type="dxa"/>
            <w:noWrap/>
            <w:vAlign w:val="center"/>
            <w:hideMark/>
          </w:tcPr>
          <w:p w14:paraId="130A36ED" w14:textId="5A5BF46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lastRenderedPageBreak/>
              <w:t>VEGF (</w:t>
            </w:r>
            <w:proofErr w:type="spellStart"/>
            <w:r w:rsidRPr="007802B7">
              <w:rPr>
                <w:rFonts w:ascii="Book Antiqua" w:hAnsi="Book Antiqua"/>
                <w:bCs/>
                <w:sz w:val="24"/>
                <w:szCs w:val="24"/>
              </w:rPr>
              <w:t>pg</w:t>
            </w:r>
            <w:proofErr w:type="spellEnd"/>
            <w:r w:rsidRPr="007802B7">
              <w:rPr>
                <w:rFonts w:ascii="Book Antiqua" w:hAnsi="Book Antiqua"/>
                <w:bCs/>
                <w:sz w:val="24"/>
                <w:szCs w:val="24"/>
              </w:rPr>
              <w:t>/m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09E9E22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25.8 (14.1-40.1)</w:t>
            </w:r>
          </w:p>
        </w:tc>
        <w:tc>
          <w:tcPr>
            <w:tcW w:w="1701" w:type="dxa"/>
            <w:noWrap/>
            <w:vAlign w:val="center"/>
            <w:hideMark/>
          </w:tcPr>
          <w:p w14:paraId="6C96245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18.5 (10.0-35.1)</w:t>
            </w:r>
          </w:p>
        </w:tc>
        <w:tc>
          <w:tcPr>
            <w:tcW w:w="1701" w:type="dxa"/>
            <w:noWrap/>
            <w:vAlign w:val="center"/>
            <w:hideMark/>
          </w:tcPr>
          <w:p w14:paraId="56FD41E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28.2 (22.0-50.7)</w:t>
            </w:r>
          </w:p>
        </w:tc>
        <w:tc>
          <w:tcPr>
            <w:tcW w:w="961" w:type="dxa"/>
            <w:noWrap/>
            <w:vAlign w:val="center"/>
            <w:hideMark/>
          </w:tcPr>
          <w:p w14:paraId="4CD6E19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0.106</w:t>
            </w:r>
          </w:p>
        </w:tc>
      </w:tr>
      <w:tr w:rsidR="00D936D5" w:rsidRPr="00D936D5" w14:paraId="4C508316" w14:textId="77777777" w:rsidTr="004C1508">
        <w:trPr>
          <w:trHeight w:val="375"/>
        </w:trPr>
        <w:tc>
          <w:tcPr>
            <w:tcW w:w="2660" w:type="dxa"/>
            <w:noWrap/>
            <w:vAlign w:val="center"/>
            <w:hideMark/>
          </w:tcPr>
          <w:p w14:paraId="31FAF445" w14:textId="1EA2D023"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VEGFR-2 (</w:t>
            </w:r>
            <w:proofErr w:type="spellStart"/>
            <w:r w:rsidRPr="007802B7">
              <w:rPr>
                <w:rFonts w:ascii="Book Antiqua" w:hAnsi="Book Antiqua"/>
                <w:bCs/>
                <w:sz w:val="24"/>
                <w:szCs w:val="24"/>
              </w:rPr>
              <w:t>pg</w:t>
            </w:r>
            <w:proofErr w:type="spellEnd"/>
            <w:r w:rsidRPr="007802B7">
              <w:rPr>
                <w:rFonts w:ascii="Book Antiqua" w:hAnsi="Book Antiqua"/>
                <w:bCs/>
                <w:sz w:val="24"/>
                <w:szCs w:val="24"/>
              </w:rPr>
              <w:t>/m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0379BDC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6500 (5750-7400)</w:t>
            </w:r>
          </w:p>
        </w:tc>
        <w:tc>
          <w:tcPr>
            <w:tcW w:w="1701" w:type="dxa"/>
            <w:noWrap/>
            <w:vAlign w:val="center"/>
            <w:hideMark/>
          </w:tcPr>
          <w:p w14:paraId="707161E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6400 (5200-7100)</w:t>
            </w:r>
          </w:p>
        </w:tc>
        <w:tc>
          <w:tcPr>
            <w:tcW w:w="1701" w:type="dxa"/>
            <w:noWrap/>
            <w:vAlign w:val="center"/>
            <w:hideMark/>
          </w:tcPr>
          <w:p w14:paraId="48C62ED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6800 (6350-7600)</w:t>
            </w:r>
          </w:p>
        </w:tc>
        <w:tc>
          <w:tcPr>
            <w:tcW w:w="961" w:type="dxa"/>
            <w:noWrap/>
            <w:vAlign w:val="center"/>
            <w:hideMark/>
          </w:tcPr>
          <w:p w14:paraId="75FED57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0.211</w:t>
            </w:r>
          </w:p>
        </w:tc>
      </w:tr>
      <w:tr w:rsidR="00D936D5" w:rsidRPr="00D936D5" w14:paraId="5E8C56CC" w14:textId="77777777" w:rsidTr="004C1508">
        <w:trPr>
          <w:trHeight w:val="375"/>
        </w:trPr>
        <w:tc>
          <w:tcPr>
            <w:tcW w:w="2660" w:type="dxa"/>
            <w:noWrap/>
            <w:vAlign w:val="center"/>
            <w:hideMark/>
          </w:tcPr>
          <w:p w14:paraId="47C1ADD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Maximum tumor size (cm)</w:t>
            </w:r>
          </w:p>
        </w:tc>
        <w:tc>
          <w:tcPr>
            <w:tcW w:w="1701" w:type="dxa"/>
            <w:noWrap/>
            <w:vAlign w:val="center"/>
            <w:hideMark/>
          </w:tcPr>
          <w:p w14:paraId="6C3722E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3.3 (2.5-7.7)</w:t>
            </w:r>
          </w:p>
        </w:tc>
        <w:tc>
          <w:tcPr>
            <w:tcW w:w="1701" w:type="dxa"/>
            <w:noWrap/>
            <w:vAlign w:val="center"/>
            <w:hideMark/>
          </w:tcPr>
          <w:p w14:paraId="1A4356F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3.2 (2.0-6.0)</w:t>
            </w:r>
          </w:p>
        </w:tc>
        <w:tc>
          <w:tcPr>
            <w:tcW w:w="1701" w:type="dxa"/>
            <w:noWrap/>
            <w:vAlign w:val="center"/>
            <w:hideMark/>
          </w:tcPr>
          <w:p w14:paraId="246CAB4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4.3 (2.7-10.8)</w:t>
            </w:r>
          </w:p>
        </w:tc>
        <w:tc>
          <w:tcPr>
            <w:tcW w:w="961" w:type="dxa"/>
            <w:noWrap/>
            <w:vAlign w:val="center"/>
            <w:hideMark/>
          </w:tcPr>
          <w:p w14:paraId="77F3C9A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0.220</w:t>
            </w:r>
          </w:p>
        </w:tc>
      </w:tr>
      <w:tr w:rsidR="00D936D5" w:rsidRPr="00D936D5" w14:paraId="0FBBA848" w14:textId="77777777" w:rsidTr="004C1508">
        <w:trPr>
          <w:trHeight w:val="375"/>
        </w:trPr>
        <w:tc>
          <w:tcPr>
            <w:tcW w:w="2660" w:type="dxa"/>
            <w:noWrap/>
            <w:vAlign w:val="center"/>
            <w:hideMark/>
          </w:tcPr>
          <w:p w14:paraId="48EABA6F" w14:textId="0CD9985B" w:rsidR="00301DC0" w:rsidRPr="007802B7" w:rsidRDefault="00301DC0" w:rsidP="00036D0B">
            <w:pPr>
              <w:widowControl/>
              <w:spacing w:line="360" w:lineRule="auto"/>
              <w:rPr>
                <w:rFonts w:ascii="Book Antiqua" w:hAnsi="Book Antiqua"/>
                <w:bCs/>
                <w:sz w:val="24"/>
                <w:szCs w:val="24"/>
              </w:rPr>
            </w:pPr>
            <w:r w:rsidRPr="007802B7">
              <w:rPr>
                <w:rFonts w:ascii="Book Antiqua" w:hAnsi="Book Antiqua"/>
                <w:bCs/>
                <w:sz w:val="24"/>
                <w:szCs w:val="24"/>
              </w:rPr>
              <w:t>Tumor number</w:t>
            </w:r>
            <w:r w:rsidR="007802B7" w:rsidRPr="007802B7">
              <w:rPr>
                <w:rFonts w:ascii="Book Antiqua" w:hAnsi="Book Antiqua"/>
                <w:bCs/>
                <w:sz w:val="24"/>
                <w:szCs w:val="24"/>
              </w:rPr>
              <w:t xml:space="preserve"> (</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4 or more</w:t>
            </w:r>
            <w:r w:rsidR="007802B7" w:rsidRPr="007802B7">
              <w:rPr>
                <w:rFonts w:ascii="Book Antiqua" w:hAnsi="Book Antiqua"/>
                <w:bCs/>
                <w:sz w:val="24"/>
                <w:szCs w:val="24"/>
              </w:rPr>
              <w:t>/</w:t>
            </w:r>
            <w:r w:rsidRPr="007802B7">
              <w:rPr>
                <w:rFonts w:ascii="Book Antiqua" w:hAnsi="Book Antiqua"/>
                <w:bCs/>
                <w:sz w:val="24"/>
                <w:szCs w:val="24"/>
              </w:rPr>
              <w:t>only distant metastasis)</w:t>
            </w:r>
          </w:p>
        </w:tc>
        <w:tc>
          <w:tcPr>
            <w:tcW w:w="1701" w:type="dxa"/>
            <w:noWrap/>
            <w:vAlign w:val="center"/>
            <w:hideMark/>
          </w:tcPr>
          <w:p w14:paraId="6FFF047F" w14:textId="1619D674"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33</w:t>
            </w:r>
            <w:r w:rsidR="007802B7" w:rsidRPr="007802B7">
              <w:rPr>
                <w:rFonts w:ascii="Book Antiqua" w:hAnsi="Book Antiqua"/>
                <w:bCs/>
                <w:sz w:val="24"/>
                <w:szCs w:val="24"/>
              </w:rPr>
              <w:t>/</w:t>
            </w:r>
            <w:r w:rsidRPr="007802B7">
              <w:rPr>
                <w:rFonts w:ascii="Book Antiqua" w:hAnsi="Book Antiqua"/>
                <w:bCs/>
                <w:sz w:val="24"/>
                <w:szCs w:val="24"/>
              </w:rPr>
              <w:t>2</w:t>
            </w:r>
          </w:p>
        </w:tc>
        <w:tc>
          <w:tcPr>
            <w:tcW w:w="1701" w:type="dxa"/>
            <w:noWrap/>
            <w:vAlign w:val="center"/>
            <w:hideMark/>
          </w:tcPr>
          <w:p w14:paraId="255C639D" w14:textId="4890A9CC"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13</w:t>
            </w:r>
            <w:r w:rsidR="007802B7" w:rsidRPr="007802B7">
              <w:rPr>
                <w:rFonts w:ascii="Book Antiqua" w:hAnsi="Book Antiqua"/>
                <w:bCs/>
                <w:sz w:val="24"/>
                <w:szCs w:val="24"/>
              </w:rPr>
              <w:t>/</w:t>
            </w:r>
            <w:r w:rsidRPr="007802B7">
              <w:rPr>
                <w:rFonts w:ascii="Book Antiqua" w:hAnsi="Book Antiqua"/>
                <w:bCs/>
                <w:sz w:val="24"/>
                <w:szCs w:val="24"/>
              </w:rPr>
              <w:t>1</w:t>
            </w:r>
          </w:p>
        </w:tc>
        <w:tc>
          <w:tcPr>
            <w:tcW w:w="1701" w:type="dxa"/>
            <w:noWrap/>
            <w:vAlign w:val="center"/>
            <w:hideMark/>
          </w:tcPr>
          <w:p w14:paraId="64665207" w14:textId="1D7A62B1"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20</w:t>
            </w:r>
            <w:r w:rsidR="007802B7" w:rsidRPr="007802B7">
              <w:rPr>
                <w:rFonts w:ascii="Book Antiqua" w:hAnsi="Book Antiqua"/>
                <w:bCs/>
                <w:sz w:val="24"/>
                <w:szCs w:val="24"/>
              </w:rPr>
              <w:t>/</w:t>
            </w:r>
            <w:r w:rsidRPr="007802B7">
              <w:rPr>
                <w:rFonts w:ascii="Book Antiqua" w:hAnsi="Book Antiqua"/>
                <w:bCs/>
                <w:sz w:val="24"/>
                <w:szCs w:val="24"/>
              </w:rPr>
              <w:t>1</w:t>
            </w:r>
          </w:p>
        </w:tc>
        <w:tc>
          <w:tcPr>
            <w:tcW w:w="961" w:type="dxa"/>
            <w:noWrap/>
            <w:vAlign w:val="center"/>
            <w:hideMark/>
          </w:tcPr>
          <w:p w14:paraId="4465C82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0.131</w:t>
            </w:r>
          </w:p>
        </w:tc>
      </w:tr>
      <w:tr w:rsidR="00D936D5" w:rsidRPr="00D936D5" w14:paraId="19EBEFF9" w14:textId="77777777" w:rsidTr="004C1508">
        <w:trPr>
          <w:trHeight w:val="615"/>
        </w:trPr>
        <w:tc>
          <w:tcPr>
            <w:tcW w:w="2660" w:type="dxa"/>
            <w:vAlign w:val="center"/>
            <w:hideMark/>
          </w:tcPr>
          <w:p w14:paraId="2D33832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PVTT</w:t>
            </w:r>
          </w:p>
          <w:p w14:paraId="2C3B8DCB" w14:textId="6C423D9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(presence</w:t>
            </w:r>
            <w:r w:rsidR="007802B7" w:rsidRPr="007802B7">
              <w:rPr>
                <w:rFonts w:ascii="Book Antiqua" w:hAnsi="Book Antiqua"/>
                <w:bCs/>
                <w:sz w:val="24"/>
                <w:szCs w:val="24"/>
              </w:rPr>
              <w:t>/</w:t>
            </w:r>
            <w:r w:rsidRPr="007802B7">
              <w:rPr>
                <w:rFonts w:ascii="Book Antiqua" w:hAnsi="Book Antiqua"/>
                <w:bCs/>
                <w:sz w:val="24"/>
                <w:szCs w:val="24"/>
              </w:rPr>
              <w:t>absence)</w:t>
            </w:r>
          </w:p>
        </w:tc>
        <w:tc>
          <w:tcPr>
            <w:tcW w:w="1701" w:type="dxa"/>
            <w:vAlign w:val="center"/>
            <w:hideMark/>
          </w:tcPr>
          <w:p w14:paraId="03BB6CAE" w14:textId="0A16AD9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34</w:t>
            </w:r>
          </w:p>
        </w:tc>
        <w:tc>
          <w:tcPr>
            <w:tcW w:w="1701" w:type="dxa"/>
            <w:noWrap/>
            <w:vAlign w:val="center"/>
            <w:hideMark/>
          </w:tcPr>
          <w:p w14:paraId="48451113" w14:textId="0BB89E7E"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15</w:t>
            </w:r>
          </w:p>
        </w:tc>
        <w:tc>
          <w:tcPr>
            <w:tcW w:w="1701" w:type="dxa"/>
            <w:noWrap/>
            <w:vAlign w:val="center"/>
            <w:hideMark/>
          </w:tcPr>
          <w:p w14:paraId="1CACD2C8" w14:textId="09A9280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w:t>
            </w:r>
            <w:r w:rsidR="007802B7" w:rsidRPr="007802B7">
              <w:rPr>
                <w:rFonts w:ascii="Book Antiqua" w:hAnsi="Book Antiqua"/>
                <w:bCs/>
                <w:sz w:val="24"/>
                <w:szCs w:val="24"/>
              </w:rPr>
              <w:t>/</w:t>
            </w:r>
            <w:r w:rsidRPr="007802B7">
              <w:rPr>
                <w:rFonts w:ascii="Book Antiqua" w:hAnsi="Book Antiqua"/>
                <w:bCs/>
                <w:sz w:val="24"/>
                <w:szCs w:val="24"/>
              </w:rPr>
              <w:t>19</w:t>
            </w:r>
          </w:p>
        </w:tc>
        <w:tc>
          <w:tcPr>
            <w:tcW w:w="961" w:type="dxa"/>
            <w:noWrap/>
            <w:vAlign w:val="center"/>
            <w:hideMark/>
          </w:tcPr>
          <w:p w14:paraId="2D1F041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0.679</w:t>
            </w:r>
          </w:p>
        </w:tc>
      </w:tr>
      <w:tr w:rsidR="00D936D5" w:rsidRPr="00D936D5" w14:paraId="51813634" w14:textId="77777777" w:rsidTr="004C1508">
        <w:trPr>
          <w:trHeight w:val="360"/>
        </w:trPr>
        <w:tc>
          <w:tcPr>
            <w:tcW w:w="2660" w:type="dxa"/>
            <w:vAlign w:val="center"/>
            <w:hideMark/>
          </w:tcPr>
          <w:p w14:paraId="0B61D73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Distant metastasis</w:t>
            </w:r>
          </w:p>
          <w:p w14:paraId="438ADFFB" w14:textId="3D1AACCA"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(presence</w:t>
            </w:r>
            <w:r w:rsidR="007802B7" w:rsidRPr="007802B7">
              <w:rPr>
                <w:rFonts w:ascii="Book Antiqua" w:hAnsi="Book Antiqua"/>
                <w:bCs/>
                <w:sz w:val="24"/>
                <w:szCs w:val="24"/>
              </w:rPr>
              <w:t>/</w:t>
            </w:r>
            <w:r w:rsidRPr="007802B7">
              <w:rPr>
                <w:rFonts w:ascii="Book Antiqua" w:hAnsi="Book Antiqua"/>
                <w:bCs/>
                <w:sz w:val="24"/>
                <w:szCs w:val="24"/>
              </w:rPr>
              <w:t>absence)</w:t>
            </w:r>
          </w:p>
        </w:tc>
        <w:tc>
          <w:tcPr>
            <w:tcW w:w="1701" w:type="dxa"/>
            <w:vAlign w:val="center"/>
            <w:hideMark/>
          </w:tcPr>
          <w:p w14:paraId="41BF6917" w14:textId="613DB4BF"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17</w:t>
            </w:r>
            <w:r w:rsidR="007802B7" w:rsidRPr="007802B7">
              <w:rPr>
                <w:rFonts w:ascii="Book Antiqua" w:hAnsi="Book Antiqua"/>
                <w:bCs/>
                <w:sz w:val="24"/>
                <w:szCs w:val="24"/>
              </w:rPr>
              <w:t>/</w:t>
            </w:r>
            <w:r w:rsidRPr="007802B7">
              <w:rPr>
                <w:rFonts w:ascii="Book Antiqua" w:hAnsi="Book Antiqua"/>
                <w:bCs/>
                <w:sz w:val="24"/>
                <w:szCs w:val="24"/>
              </w:rPr>
              <w:t>24</w:t>
            </w:r>
          </w:p>
        </w:tc>
        <w:tc>
          <w:tcPr>
            <w:tcW w:w="1701" w:type="dxa"/>
            <w:noWrap/>
            <w:vAlign w:val="center"/>
            <w:hideMark/>
          </w:tcPr>
          <w:p w14:paraId="672F6714" w14:textId="55899F3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10</w:t>
            </w:r>
            <w:r w:rsidR="007802B7" w:rsidRPr="007802B7">
              <w:rPr>
                <w:rFonts w:ascii="Book Antiqua" w:hAnsi="Book Antiqua"/>
                <w:bCs/>
                <w:sz w:val="24"/>
                <w:szCs w:val="24"/>
              </w:rPr>
              <w:t>/</w:t>
            </w:r>
            <w:r w:rsidRPr="007802B7">
              <w:rPr>
                <w:rFonts w:ascii="Book Antiqua" w:hAnsi="Book Antiqua"/>
                <w:bCs/>
                <w:sz w:val="24"/>
                <w:szCs w:val="24"/>
              </w:rPr>
              <w:t>7</w:t>
            </w:r>
          </w:p>
        </w:tc>
        <w:tc>
          <w:tcPr>
            <w:tcW w:w="1701" w:type="dxa"/>
            <w:noWrap/>
            <w:vAlign w:val="center"/>
            <w:hideMark/>
          </w:tcPr>
          <w:p w14:paraId="20924E4C" w14:textId="5E364166"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17</w:t>
            </w:r>
          </w:p>
        </w:tc>
        <w:tc>
          <w:tcPr>
            <w:tcW w:w="961" w:type="dxa"/>
            <w:noWrap/>
            <w:vAlign w:val="center"/>
            <w:hideMark/>
          </w:tcPr>
          <w:p w14:paraId="27D27FE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0.107</w:t>
            </w:r>
          </w:p>
        </w:tc>
      </w:tr>
      <w:tr w:rsidR="00D936D5" w:rsidRPr="00D936D5" w14:paraId="373B75E9" w14:textId="77777777" w:rsidTr="004C1508">
        <w:trPr>
          <w:trHeight w:val="375"/>
        </w:trPr>
        <w:tc>
          <w:tcPr>
            <w:tcW w:w="2660" w:type="dxa"/>
            <w:noWrap/>
            <w:vAlign w:val="center"/>
            <w:hideMark/>
          </w:tcPr>
          <w:p w14:paraId="650943B4"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Child-</w:t>
            </w:r>
            <w:proofErr w:type="spellStart"/>
            <w:r w:rsidRPr="007802B7">
              <w:rPr>
                <w:rFonts w:ascii="Book Antiqua" w:hAnsi="Book Antiqua"/>
                <w:bCs/>
                <w:sz w:val="24"/>
                <w:szCs w:val="24"/>
              </w:rPr>
              <w:t>pugh</w:t>
            </w:r>
            <w:proofErr w:type="spellEnd"/>
            <w:r w:rsidRPr="007802B7">
              <w:rPr>
                <w:rFonts w:ascii="Book Antiqua" w:hAnsi="Book Antiqua"/>
                <w:bCs/>
                <w:sz w:val="24"/>
                <w:szCs w:val="24"/>
              </w:rPr>
              <w:t xml:space="preserve"> score</w:t>
            </w:r>
          </w:p>
        </w:tc>
        <w:tc>
          <w:tcPr>
            <w:tcW w:w="1701" w:type="dxa"/>
            <w:noWrap/>
            <w:vAlign w:val="center"/>
            <w:hideMark/>
          </w:tcPr>
          <w:p w14:paraId="2F772FE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1701" w:type="dxa"/>
            <w:noWrap/>
            <w:vAlign w:val="center"/>
            <w:hideMark/>
          </w:tcPr>
          <w:p w14:paraId="0A76614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1701" w:type="dxa"/>
            <w:noWrap/>
            <w:vAlign w:val="center"/>
            <w:hideMark/>
          </w:tcPr>
          <w:p w14:paraId="7A7EB3E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961" w:type="dxa"/>
            <w:noWrap/>
            <w:vAlign w:val="center"/>
            <w:hideMark/>
          </w:tcPr>
          <w:p w14:paraId="69C7F62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0.469</w:t>
            </w:r>
          </w:p>
        </w:tc>
      </w:tr>
      <w:tr w:rsidR="00D936D5" w:rsidRPr="00D936D5" w14:paraId="582C5AB4" w14:textId="77777777" w:rsidTr="004C1508">
        <w:trPr>
          <w:trHeight w:val="375"/>
        </w:trPr>
        <w:tc>
          <w:tcPr>
            <w:tcW w:w="2660" w:type="dxa"/>
            <w:noWrap/>
            <w:vAlign w:val="center"/>
          </w:tcPr>
          <w:p w14:paraId="7F273E83" w14:textId="045EBEB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UICC TNM stage (2</w:t>
            </w:r>
            <w:r w:rsidR="007802B7" w:rsidRPr="007802B7">
              <w:rPr>
                <w:rFonts w:ascii="Book Antiqua" w:hAnsi="Book Antiqua"/>
                <w:bCs/>
                <w:sz w:val="24"/>
                <w:szCs w:val="24"/>
              </w:rPr>
              <w:t>/</w:t>
            </w: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4)</w:t>
            </w:r>
          </w:p>
        </w:tc>
        <w:tc>
          <w:tcPr>
            <w:tcW w:w="1701" w:type="dxa"/>
            <w:noWrap/>
            <w:vAlign w:val="center"/>
          </w:tcPr>
          <w:p w14:paraId="1F9623C0" w14:textId="5F518A8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w:t>
            </w:r>
            <w:r w:rsidR="007802B7" w:rsidRPr="007802B7">
              <w:rPr>
                <w:rFonts w:ascii="Book Antiqua" w:hAnsi="Book Antiqua"/>
                <w:bCs/>
                <w:sz w:val="24"/>
                <w:szCs w:val="24"/>
              </w:rPr>
              <w:t>/</w:t>
            </w:r>
            <w:r w:rsidRPr="007802B7">
              <w:rPr>
                <w:rFonts w:ascii="Book Antiqua" w:hAnsi="Book Antiqua"/>
                <w:bCs/>
                <w:sz w:val="24"/>
                <w:szCs w:val="24"/>
              </w:rPr>
              <w:t>16</w:t>
            </w:r>
            <w:r w:rsidR="007802B7" w:rsidRPr="007802B7">
              <w:rPr>
                <w:rFonts w:ascii="Book Antiqua" w:hAnsi="Book Antiqua"/>
                <w:bCs/>
                <w:sz w:val="24"/>
                <w:szCs w:val="24"/>
              </w:rPr>
              <w:t>/</w:t>
            </w:r>
            <w:r w:rsidRPr="007802B7">
              <w:rPr>
                <w:rFonts w:ascii="Book Antiqua" w:hAnsi="Book Antiqua"/>
                <w:bCs/>
                <w:sz w:val="24"/>
                <w:szCs w:val="24"/>
              </w:rPr>
              <w:t>20</w:t>
            </w:r>
          </w:p>
        </w:tc>
        <w:tc>
          <w:tcPr>
            <w:tcW w:w="1701" w:type="dxa"/>
            <w:noWrap/>
            <w:vAlign w:val="center"/>
          </w:tcPr>
          <w:p w14:paraId="5DE62F7A" w14:textId="1C17F9C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6</w:t>
            </w:r>
            <w:r w:rsidR="007802B7" w:rsidRPr="007802B7">
              <w:rPr>
                <w:rFonts w:ascii="Book Antiqua" w:hAnsi="Book Antiqua"/>
                <w:bCs/>
                <w:sz w:val="24"/>
                <w:szCs w:val="24"/>
              </w:rPr>
              <w:t>/</w:t>
            </w:r>
            <w:r w:rsidRPr="007802B7">
              <w:rPr>
                <w:rFonts w:ascii="Book Antiqua" w:hAnsi="Book Antiqua"/>
                <w:bCs/>
                <w:sz w:val="24"/>
                <w:szCs w:val="24"/>
              </w:rPr>
              <w:t>10</w:t>
            </w:r>
          </w:p>
        </w:tc>
        <w:tc>
          <w:tcPr>
            <w:tcW w:w="1701" w:type="dxa"/>
            <w:noWrap/>
            <w:vAlign w:val="center"/>
          </w:tcPr>
          <w:p w14:paraId="62B83409" w14:textId="4CC102A6"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4</w:t>
            </w:r>
            <w:r w:rsidR="007802B7" w:rsidRPr="007802B7">
              <w:rPr>
                <w:rFonts w:ascii="Book Antiqua" w:hAnsi="Book Antiqua"/>
                <w:bCs/>
                <w:sz w:val="24"/>
                <w:szCs w:val="24"/>
              </w:rPr>
              <w:t>/</w:t>
            </w:r>
            <w:r w:rsidRPr="007802B7">
              <w:rPr>
                <w:rFonts w:ascii="Book Antiqua" w:hAnsi="Book Antiqua"/>
                <w:bCs/>
                <w:sz w:val="24"/>
                <w:szCs w:val="24"/>
              </w:rPr>
              <w:t>10</w:t>
            </w:r>
            <w:r w:rsidR="007802B7" w:rsidRPr="007802B7">
              <w:rPr>
                <w:rFonts w:ascii="Book Antiqua" w:hAnsi="Book Antiqua"/>
                <w:bCs/>
                <w:sz w:val="24"/>
                <w:szCs w:val="24"/>
              </w:rPr>
              <w:t>/</w:t>
            </w:r>
            <w:r w:rsidRPr="007802B7">
              <w:rPr>
                <w:rFonts w:ascii="Book Antiqua" w:hAnsi="Book Antiqua"/>
                <w:bCs/>
                <w:sz w:val="24"/>
                <w:szCs w:val="24"/>
              </w:rPr>
              <w:t>10</w:t>
            </w:r>
          </w:p>
        </w:tc>
        <w:tc>
          <w:tcPr>
            <w:tcW w:w="961" w:type="dxa"/>
            <w:noWrap/>
            <w:vAlign w:val="center"/>
          </w:tcPr>
          <w:p w14:paraId="4FB1198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0.455</w:t>
            </w:r>
          </w:p>
        </w:tc>
      </w:tr>
      <w:tr w:rsidR="004C1508" w:rsidRPr="00D936D5" w14:paraId="7042A690" w14:textId="77777777" w:rsidTr="004C1508">
        <w:trPr>
          <w:trHeight w:val="375"/>
        </w:trPr>
        <w:tc>
          <w:tcPr>
            <w:tcW w:w="2660" w:type="dxa"/>
            <w:noWrap/>
            <w:vAlign w:val="center"/>
          </w:tcPr>
          <w:p w14:paraId="044E95A4" w14:textId="28916AFC" w:rsidR="00301DC0" w:rsidRPr="007802B7" w:rsidRDefault="00301DC0" w:rsidP="007802B7">
            <w:pPr>
              <w:widowControl/>
              <w:spacing w:line="360" w:lineRule="auto"/>
              <w:rPr>
                <w:rFonts w:ascii="Book Antiqua" w:hAnsi="Book Antiqua"/>
                <w:bCs/>
                <w:sz w:val="24"/>
                <w:szCs w:val="24"/>
              </w:rPr>
            </w:pPr>
            <w:r w:rsidRPr="007802B7">
              <w:rPr>
                <w:rFonts w:ascii="Book Antiqua" w:hAnsi="Book Antiqua"/>
                <w:bCs/>
                <w:sz w:val="24"/>
                <w:szCs w:val="24"/>
              </w:rPr>
              <w:t>Observation (survival) period (d)</w:t>
            </w:r>
          </w:p>
        </w:tc>
        <w:tc>
          <w:tcPr>
            <w:tcW w:w="1701" w:type="dxa"/>
            <w:noWrap/>
            <w:vAlign w:val="center"/>
          </w:tcPr>
          <w:p w14:paraId="55CF5C5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328 (156-530)</w:t>
            </w:r>
          </w:p>
        </w:tc>
        <w:tc>
          <w:tcPr>
            <w:tcW w:w="1701" w:type="dxa"/>
            <w:noWrap/>
            <w:vAlign w:val="center"/>
          </w:tcPr>
          <w:p w14:paraId="0F1746F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564 (405-880)</w:t>
            </w:r>
          </w:p>
        </w:tc>
        <w:tc>
          <w:tcPr>
            <w:tcW w:w="1701" w:type="dxa"/>
            <w:noWrap/>
            <w:vAlign w:val="center"/>
          </w:tcPr>
          <w:p w14:paraId="0B090EE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162 (116-319)</w:t>
            </w:r>
          </w:p>
        </w:tc>
        <w:tc>
          <w:tcPr>
            <w:tcW w:w="961" w:type="dxa"/>
            <w:noWrap/>
            <w:vAlign w:val="center"/>
          </w:tcPr>
          <w:p w14:paraId="758E543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0.000322</w:t>
            </w:r>
          </w:p>
        </w:tc>
      </w:tr>
    </w:tbl>
    <w:p w14:paraId="46AA718F" w14:textId="19034791"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Data are expressed as median (Interquartile range).</w:t>
      </w:r>
      <w:r w:rsidR="007802B7">
        <w:rPr>
          <w:rFonts w:ascii="Book Antiqua" w:eastAsia="SimSun" w:hAnsi="Book Antiqua" w:hint="eastAsia"/>
          <w:sz w:val="24"/>
          <w:szCs w:val="24"/>
          <w:lang w:eastAsia="zh-CN"/>
        </w:rPr>
        <w:t xml:space="preserve"> </w:t>
      </w:r>
      <w:r w:rsidRPr="007802B7">
        <w:rPr>
          <w:rFonts w:ascii="Book Antiqua" w:hAnsi="Book Antiqua"/>
          <w:i/>
          <w:sz w:val="24"/>
          <w:szCs w:val="24"/>
        </w:rPr>
        <w:t>P</w:t>
      </w:r>
      <w:r w:rsidRPr="00D936D5">
        <w:rPr>
          <w:rFonts w:ascii="Book Antiqua" w:hAnsi="Book Antiqua"/>
          <w:sz w:val="24"/>
          <w:szCs w:val="24"/>
        </w:rPr>
        <w:t>-values represent comparisons between cirrhotic patients with and without HCC.</w:t>
      </w:r>
      <w:r w:rsidR="007802B7">
        <w:rPr>
          <w:rFonts w:ascii="Book Antiqua" w:eastAsia="SimSun" w:hAnsi="Book Antiqua" w:hint="eastAsia"/>
          <w:sz w:val="24"/>
          <w:szCs w:val="24"/>
          <w:lang w:eastAsia="zh-CN"/>
        </w:rPr>
        <w:t xml:space="preserve"> </w:t>
      </w:r>
      <w:r w:rsidRPr="00D936D5">
        <w:rPr>
          <w:rFonts w:ascii="Book Antiqua" w:hAnsi="Book Antiqua"/>
          <w:sz w:val="24"/>
          <w:szCs w:val="24"/>
        </w:rPr>
        <w:t>HCC</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proofErr w:type="spellStart"/>
      <w:r w:rsidR="007802B7" w:rsidRPr="00D936D5">
        <w:rPr>
          <w:rFonts w:ascii="Book Antiqua" w:hAnsi="Book Antiqua"/>
          <w:sz w:val="24"/>
          <w:szCs w:val="24"/>
        </w:rPr>
        <w:t>Hepatocelullar</w:t>
      </w:r>
      <w:proofErr w:type="spellEnd"/>
      <w:r w:rsidR="007802B7" w:rsidRPr="00D936D5">
        <w:rPr>
          <w:rFonts w:ascii="Book Antiqua" w:hAnsi="Book Antiqua"/>
          <w:sz w:val="24"/>
          <w:szCs w:val="24"/>
        </w:rPr>
        <w:t xml:space="preserve"> </w:t>
      </w:r>
      <w:r w:rsidRPr="00D936D5">
        <w:rPr>
          <w:rFonts w:ascii="Book Antiqua" w:hAnsi="Book Antiqua"/>
          <w:sz w:val="24"/>
          <w:szCs w:val="24"/>
        </w:rPr>
        <w:t>carcinoma; HCV</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Hepatitis </w:t>
      </w:r>
      <w:r w:rsidRPr="00D936D5">
        <w:rPr>
          <w:rFonts w:ascii="Book Antiqua" w:hAnsi="Book Antiqua"/>
          <w:sz w:val="24"/>
          <w:szCs w:val="24"/>
        </w:rPr>
        <w:t>C virus; HBV</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Hepatitis </w:t>
      </w:r>
      <w:r w:rsidRPr="00D936D5">
        <w:rPr>
          <w:rFonts w:ascii="Book Antiqua" w:hAnsi="Book Antiqua"/>
          <w:sz w:val="24"/>
          <w:szCs w:val="24"/>
        </w:rPr>
        <w:t>B virus; NASH</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Non</w:t>
      </w:r>
      <w:r w:rsidRPr="00D936D5">
        <w:rPr>
          <w:rFonts w:ascii="Book Antiqua" w:hAnsi="Book Antiqua"/>
          <w:sz w:val="24"/>
          <w:szCs w:val="24"/>
        </w:rPr>
        <w:t>-alcoholic steatohepatitis; AFP</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Alpha </w:t>
      </w:r>
      <w:r w:rsidRPr="00D936D5">
        <w:rPr>
          <w:rFonts w:ascii="Book Antiqua" w:hAnsi="Book Antiqua"/>
          <w:sz w:val="24"/>
          <w:szCs w:val="24"/>
        </w:rPr>
        <w:t>fetoprotei</w:t>
      </w:r>
      <w:r w:rsidR="00EF328B" w:rsidRPr="00D936D5">
        <w:rPr>
          <w:rFonts w:ascii="Book Antiqua" w:hAnsi="Book Antiqua"/>
          <w:sz w:val="24"/>
          <w:szCs w:val="24"/>
        </w:rPr>
        <w:t>n</w:t>
      </w:r>
      <w:r w:rsidRPr="00D936D5">
        <w:rPr>
          <w:rFonts w:ascii="Book Antiqua" w:hAnsi="Book Antiqua"/>
          <w:sz w:val="24"/>
          <w:szCs w:val="24"/>
        </w:rPr>
        <w:t>; DCP</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Des</w:t>
      </w:r>
      <w:r w:rsidRPr="00D936D5">
        <w:rPr>
          <w:rFonts w:ascii="Book Antiqua" w:hAnsi="Book Antiqua"/>
          <w:sz w:val="24"/>
          <w:szCs w:val="24"/>
        </w:rPr>
        <w:t>-γ-carboxy prothrombin; AFP-L3%</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i/>
          <w:sz w:val="24"/>
          <w:szCs w:val="24"/>
        </w:rPr>
        <w:t xml:space="preserve">Lens </w:t>
      </w:r>
      <w:proofErr w:type="spellStart"/>
      <w:r w:rsidRPr="00D936D5">
        <w:rPr>
          <w:rFonts w:ascii="Book Antiqua" w:hAnsi="Book Antiqua"/>
          <w:i/>
          <w:sz w:val="24"/>
          <w:szCs w:val="24"/>
        </w:rPr>
        <w:t>culinaris</w:t>
      </w:r>
      <w:proofErr w:type="spellEnd"/>
      <w:r w:rsidRPr="00D936D5">
        <w:rPr>
          <w:rFonts w:ascii="Book Antiqua" w:hAnsi="Book Antiqua"/>
          <w:sz w:val="24"/>
          <w:szCs w:val="24"/>
        </w:rPr>
        <w:t xml:space="preserve"> agglutinin-reactive alpha-</w:t>
      </w:r>
      <w:r w:rsidRPr="00D936D5">
        <w:rPr>
          <w:rFonts w:ascii="Book Antiqua" w:hAnsi="Book Antiqua"/>
          <w:sz w:val="24"/>
          <w:szCs w:val="24"/>
        </w:rPr>
        <w:lastRenderedPageBreak/>
        <w:t>fetoprotein; VEGF</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VEGF receptor-2; PVTT</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Portal </w:t>
      </w:r>
      <w:r w:rsidRPr="00D936D5">
        <w:rPr>
          <w:rFonts w:ascii="Book Antiqua" w:hAnsi="Book Antiqua"/>
          <w:sz w:val="24"/>
          <w:szCs w:val="24"/>
        </w:rPr>
        <w:t>vein tumor thrombosis; UICC</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The </w:t>
      </w:r>
      <w:r w:rsidRPr="00D936D5">
        <w:rPr>
          <w:rFonts w:ascii="Book Antiqua" w:hAnsi="Book Antiqua"/>
          <w:sz w:val="24"/>
          <w:szCs w:val="24"/>
        </w:rPr>
        <w:t>Union for the International Cancer Control; TNM stage</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Tumor-node-metastasis stage; SD</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Stable </w:t>
      </w:r>
      <w:r w:rsidRPr="00D936D5">
        <w:rPr>
          <w:rFonts w:ascii="Book Antiqua" w:hAnsi="Book Antiqua"/>
          <w:sz w:val="24"/>
          <w:szCs w:val="24"/>
        </w:rPr>
        <w:t>disease; PR</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Partial </w:t>
      </w:r>
      <w:r w:rsidRPr="00D936D5">
        <w:rPr>
          <w:rFonts w:ascii="Book Antiqua" w:hAnsi="Book Antiqua"/>
          <w:sz w:val="24"/>
          <w:szCs w:val="24"/>
        </w:rPr>
        <w:t>response; CR</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Complete </w:t>
      </w:r>
      <w:r w:rsidRPr="00D936D5">
        <w:rPr>
          <w:rFonts w:ascii="Book Antiqua" w:hAnsi="Book Antiqua"/>
          <w:sz w:val="24"/>
          <w:szCs w:val="24"/>
        </w:rPr>
        <w:t>response; PD</w:t>
      </w:r>
      <w:r w:rsidR="007802B7">
        <w:rPr>
          <w:rFonts w:ascii="Book Antiqua" w:eastAsia="SimSun"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Progressive </w:t>
      </w:r>
      <w:r w:rsidRPr="00D936D5">
        <w:rPr>
          <w:rFonts w:ascii="Book Antiqua" w:hAnsi="Book Antiqua"/>
          <w:sz w:val="24"/>
          <w:szCs w:val="24"/>
        </w:rPr>
        <w:t>disease.</w:t>
      </w:r>
    </w:p>
    <w:p w14:paraId="3160EEA3" w14:textId="77777777" w:rsidR="00741934" w:rsidRPr="00D936D5" w:rsidRDefault="00741934" w:rsidP="00120959">
      <w:pPr>
        <w:widowControl/>
        <w:spacing w:line="360" w:lineRule="auto"/>
        <w:rPr>
          <w:rFonts w:ascii="Book Antiqua" w:hAnsi="Book Antiqua"/>
          <w:b/>
          <w:sz w:val="24"/>
          <w:szCs w:val="24"/>
        </w:rPr>
      </w:pPr>
    </w:p>
    <w:p w14:paraId="19AD52FD" w14:textId="77777777" w:rsidR="007802B7" w:rsidRDefault="007802B7">
      <w:pPr>
        <w:widowControl/>
        <w:jc w:val="left"/>
        <w:rPr>
          <w:rFonts w:ascii="Book Antiqua" w:hAnsi="Book Antiqua"/>
          <w:b/>
          <w:sz w:val="24"/>
          <w:szCs w:val="24"/>
        </w:rPr>
      </w:pPr>
      <w:r>
        <w:rPr>
          <w:rFonts w:ascii="Book Antiqua" w:hAnsi="Book Antiqua"/>
          <w:b/>
          <w:sz w:val="24"/>
          <w:szCs w:val="24"/>
        </w:rPr>
        <w:br w:type="page"/>
      </w:r>
    </w:p>
    <w:p w14:paraId="6EAF9EB5" w14:textId="050486A0" w:rsidR="00741934" w:rsidRPr="00D936D5" w:rsidRDefault="00741934" w:rsidP="00120959">
      <w:pPr>
        <w:widowControl/>
        <w:spacing w:line="360" w:lineRule="auto"/>
        <w:rPr>
          <w:rFonts w:ascii="Book Antiqua" w:hAnsi="Book Antiqua"/>
          <w:b/>
          <w:sz w:val="24"/>
          <w:szCs w:val="24"/>
        </w:rPr>
      </w:pPr>
      <w:r w:rsidRPr="00D936D5">
        <w:rPr>
          <w:rFonts w:ascii="Book Antiqua" w:hAnsi="Book Antiqua"/>
          <w:b/>
          <w:sz w:val="24"/>
          <w:szCs w:val="24"/>
        </w:rPr>
        <w:lastRenderedPageBreak/>
        <w:t>Table</w:t>
      </w:r>
      <w:r w:rsidR="00C260EE" w:rsidRPr="00D936D5">
        <w:rPr>
          <w:rFonts w:ascii="Book Antiqua" w:hAnsi="Book Antiqua"/>
          <w:b/>
          <w:sz w:val="24"/>
          <w:szCs w:val="24"/>
        </w:rPr>
        <w:t xml:space="preserve"> </w:t>
      </w:r>
      <w:r w:rsidR="007802B7">
        <w:rPr>
          <w:rFonts w:ascii="Book Antiqua" w:hAnsi="Book Antiqua"/>
          <w:b/>
          <w:sz w:val="24"/>
          <w:szCs w:val="24"/>
        </w:rPr>
        <w:t>2</w:t>
      </w:r>
      <w:r w:rsidRPr="00D936D5">
        <w:rPr>
          <w:rFonts w:ascii="Book Antiqua" w:hAnsi="Book Antiqua"/>
          <w:b/>
          <w:sz w:val="24"/>
          <w:szCs w:val="24"/>
        </w:rPr>
        <w:t xml:space="preserve"> Predictive factors for sorafenib response</w:t>
      </w:r>
    </w:p>
    <w:p w14:paraId="62686822" w14:textId="4AA7E656" w:rsidR="00741934" w:rsidRPr="00D936D5" w:rsidRDefault="00741934" w:rsidP="00120959">
      <w:pPr>
        <w:widowControl/>
        <w:spacing w:line="360" w:lineRule="auto"/>
        <w:rPr>
          <w:rFonts w:ascii="Book Antiqua" w:hAnsi="Book Antiqua"/>
          <w:b/>
          <w:sz w:val="24"/>
          <w:szCs w:val="24"/>
        </w:rPr>
      </w:pPr>
    </w:p>
    <w:tbl>
      <w:tblPr>
        <w:tblW w:w="8360" w:type="dxa"/>
        <w:tblInd w:w="10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60"/>
        <w:gridCol w:w="2440"/>
        <w:gridCol w:w="1460"/>
      </w:tblGrid>
      <w:tr w:rsidR="00D936D5" w:rsidRPr="00D936D5" w14:paraId="7E058E05" w14:textId="77777777" w:rsidTr="007802B7">
        <w:trPr>
          <w:trHeight w:val="375"/>
        </w:trPr>
        <w:tc>
          <w:tcPr>
            <w:tcW w:w="4460" w:type="dxa"/>
            <w:tcBorders>
              <w:top w:val="single" w:sz="4" w:space="0" w:color="auto"/>
              <w:bottom w:val="single" w:sz="4" w:space="0" w:color="auto"/>
            </w:tcBorders>
            <w:shd w:val="clear" w:color="auto" w:fill="auto"/>
            <w:noWrap/>
            <w:vAlign w:val="bottom"/>
            <w:hideMark/>
          </w:tcPr>
          <w:p w14:paraId="76199216"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936D5">
              <w:rPr>
                <w:rFonts w:ascii="Book Antiqua" w:eastAsia="Yu Gothic" w:hAnsi="Book Antiqua" w:cs="MS PGothic"/>
                <w:b/>
                <w:bCs/>
                <w:kern w:val="0"/>
                <w:sz w:val="24"/>
                <w:szCs w:val="24"/>
              </w:rPr>
              <w:t>Univariate analysis</w:t>
            </w:r>
          </w:p>
        </w:tc>
        <w:tc>
          <w:tcPr>
            <w:tcW w:w="2440" w:type="dxa"/>
            <w:tcBorders>
              <w:top w:val="single" w:sz="4" w:space="0" w:color="auto"/>
              <w:bottom w:val="single" w:sz="4" w:space="0" w:color="auto"/>
            </w:tcBorders>
            <w:shd w:val="clear" w:color="auto" w:fill="auto"/>
            <w:noWrap/>
            <w:vAlign w:val="bottom"/>
            <w:hideMark/>
          </w:tcPr>
          <w:p w14:paraId="4E065645" w14:textId="4BD6995C" w:rsidR="00301DC0" w:rsidRPr="00D936D5" w:rsidRDefault="007802B7" w:rsidP="00120959">
            <w:pPr>
              <w:widowControl/>
              <w:spacing w:line="360" w:lineRule="auto"/>
              <w:rPr>
                <w:rFonts w:ascii="Book Antiqua" w:eastAsia="Yu Gothic" w:hAnsi="Book Antiqua" w:cs="MS PGothic"/>
                <w:b/>
                <w:bCs/>
                <w:kern w:val="0"/>
                <w:sz w:val="24"/>
                <w:szCs w:val="24"/>
              </w:rPr>
            </w:pPr>
            <w:r>
              <w:rPr>
                <w:rFonts w:ascii="Book Antiqua" w:eastAsia="Yu Gothic" w:hAnsi="Book Antiqua" w:cs="MS PGothic"/>
                <w:b/>
                <w:bCs/>
                <w:kern w:val="0"/>
                <w:sz w:val="24"/>
                <w:szCs w:val="24"/>
              </w:rPr>
              <w:t>OR (95%</w:t>
            </w:r>
            <w:r w:rsidR="00301DC0" w:rsidRPr="00D936D5">
              <w:rPr>
                <w:rFonts w:ascii="Book Antiqua" w:eastAsia="Yu Gothic" w:hAnsi="Book Antiqua" w:cs="MS PGothic"/>
                <w:b/>
                <w:bCs/>
                <w:kern w:val="0"/>
                <w:sz w:val="24"/>
                <w:szCs w:val="24"/>
              </w:rPr>
              <w:t>CI)</w:t>
            </w:r>
          </w:p>
        </w:tc>
        <w:tc>
          <w:tcPr>
            <w:tcW w:w="1460" w:type="dxa"/>
            <w:tcBorders>
              <w:top w:val="single" w:sz="4" w:space="0" w:color="auto"/>
              <w:bottom w:val="single" w:sz="4" w:space="0" w:color="auto"/>
            </w:tcBorders>
            <w:shd w:val="clear" w:color="auto" w:fill="auto"/>
            <w:noWrap/>
            <w:vAlign w:val="bottom"/>
            <w:hideMark/>
          </w:tcPr>
          <w:p w14:paraId="64286DB4"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7802B7">
              <w:rPr>
                <w:rFonts w:ascii="Book Antiqua" w:eastAsia="Yu Gothic" w:hAnsi="Book Antiqua" w:cs="MS PGothic"/>
                <w:b/>
                <w:bCs/>
                <w:i/>
                <w:kern w:val="0"/>
                <w:sz w:val="24"/>
                <w:szCs w:val="24"/>
              </w:rPr>
              <w:t>P</w:t>
            </w:r>
            <w:r w:rsidRPr="00D936D5">
              <w:rPr>
                <w:rFonts w:ascii="Book Antiqua" w:eastAsia="Yu Gothic" w:hAnsi="Book Antiqua" w:cs="MS PGothic"/>
                <w:b/>
                <w:bCs/>
                <w:kern w:val="0"/>
                <w:sz w:val="24"/>
                <w:szCs w:val="24"/>
              </w:rPr>
              <w:t xml:space="preserve"> value</w:t>
            </w:r>
          </w:p>
        </w:tc>
      </w:tr>
      <w:tr w:rsidR="00D936D5" w:rsidRPr="00D936D5" w14:paraId="79CF3D2C" w14:textId="77777777" w:rsidTr="007802B7">
        <w:trPr>
          <w:trHeight w:val="375"/>
        </w:trPr>
        <w:tc>
          <w:tcPr>
            <w:tcW w:w="4460" w:type="dxa"/>
            <w:tcBorders>
              <w:top w:val="single" w:sz="4" w:space="0" w:color="auto"/>
            </w:tcBorders>
            <w:shd w:val="clear" w:color="auto" w:fill="auto"/>
            <w:noWrap/>
            <w:vAlign w:val="center"/>
            <w:hideMark/>
          </w:tcPr>
          <w:p w14:paraId="36264AC8" w14:textId="609132A6"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Age (per 1</w:t>
            </w:r>
            <w:r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y</w:t>
            </w:r>
            <w:r w:rsidR="00301DC0" w:rsidRPr="00DF4BD7">
              <w:rPr>
                <w:rFonts w:ascii="Book Antiqua" w:eastAsia="Yu Gothic" w:hAnsi="Book Antiqua" w:cs="MS PGothic"/>
                <w:bCs/>
                <w:kern w:val="0"/>
                <w:sz w:val="24"/>
                <w:szCs w:val="24"/>
              </w:rPr>
              <w:t>r</w:t>
            </w:r>
            <w:proofErr w:type="spellEnd"/>
            <w:r w:rsidR="00301DC0" w:rsidRPr="00DF4BD7">
              <w:rPr>
                <w:rFonts w:ascii="Book Antiqua" w:eastAsia="Yu Gothic" w:hAnsi="Book Antiqua" w:cs="MS PGothic"/>
                <w:bCs/>
                <w:kern w:val="0"/>
                <w:sz w:val="24"/>
                <w:szCs w:val="24"/>
              </w:rPr>
              <w:t xml:space="preserve"> increase)</w:t>
            </w:r>
          </w:p>
        </w:tc>
        <w:tc>
          <w:tcPr>
            <w:tcW w:w="2440" w:type="dxa"/>
            <w:tcBorders>
              <w:top w:val="single" w:sz="4" w:space="0" w:color="auto"/>
            </w:tcBorders>
            <w:shd w:val="clear" w:color="auto" w:fill="auto"/>
            <w:noWrap/>
            <w:vAlign w:val="bottom"/>
            <w:hideMark/>
          </w:tcPr>
          <w:p w14:paraId="760FA2F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1.05 (0.967-1.13)</w:t>
            </w:r>
          </w:p>
        </w:tc>
        <w:tc>
          <w:tcPr>
            <w:tcW w:w="1460" w:type="dxa"/>
            <w:tcBorders>
              <w:top w:val="single" w:sz="4" w:space="0" w:color="auto"/>
            </w:tcBorders>
            <w:shd w:val="clear" w:color="auto" w:fill="auto"/>
            <w:noWrap/>
            <w:vAlign w:val="bottom"/>
            <w:hideMark/>
          </w:tcPr>
          <w:p w14:paraId="50EB9C1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0.2660 </w:t>
            </w:r>
          </w:p>
        </w:tc>
      </w:tr>
      <w:tr w:rsidR="00D936D5" w:rsidRPr="00D936D5" w14:paraId="4B930870" w14:textId="77777777" w:rsidTr="007802B7">
        <w:trPr>
          <w:trHeight w:val="375"/>
        </w:trPr>
        <w:tc>
          <w:tcPr>
            <w:tcW w:w="4460" w:type="dxa"/>
            <w:shd w:val="clear" w:color="auto" w:fill="auto"/>
            <w:noWrap/>
            <w:vAlign w:val="bottom"/>
            <w:hideMark/>
          </w:tcPr>
          <w:p w14:paraId="1E6AAAA3" w14:textId="66E227DB"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Sex (male </w:t>
            </w:r>
            <w:r w:rsidRPr="00DF4BD7">
              <w:rPr>
                <w:rFonts w:ascii="Book Antiqua" w:eastAsia="Yu Gothic" w:hAnsi="Book Antiqua" w:cs="MS PGothic"/>
                <w:bCs/>
                <w:i/>
                <w:kern w:val="0"/>
                <w:sz w:val="24"/>
                <w:szCs w:val="24"/>
              </w:rPr>
              <w:t>vs</w:t>
            </w:r>
            <w:r w:rsidR="00301DC0" w:rsidRPr="00DF4BD7">
              <w:rPr>
                <w:rFonts w:ascii="Book Antiqua" w:eastAsia="Yu Gothic" w:hAnsi="Book Antiqua" w:cs="MS PGothic"/>
                <w:bCs/>
                <w:kern w:val="0"/>
                <w:sz w:val="24"/>
                <w:szCs w:val="24"/>
              </w:rPr>
              <w:t xml:space="preserve"> female)</w:t>
            </w:r>
          </w:p>
        </w:tc>
        <w:tc>
          <w:tcPr>
            <w:tcW w:w="2440" w:type="dxa"/>
            <w:shd w:val="clear" w:color="auto" w:fill="auto"/>
            <w:noWrap/>
            <w:vAlign w:val="bottom"/>
            <w:hideMark/>
          </w:tcPr>
          <w:p w14:paraId="7D20E72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0.556 (0.0464-6.66)</w:t>
            </w:r>
          </w:p>
        </w:tc>
        <w:tc>
          <w:tcPr>
            <w:tcW w:w="1460" w:type="dxa"/>
            <w:shd w:val="clear" w:color="auto" w:fill="auto"/>
            <w:noWrap/>
            <w:vAlign w:val="bottom"/>
            <w:hideMark/>
          </w:tcPr>
          <w:p w14:paraId="7251EA3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0.9950 </w:t>
            </w:r>
          </w:p>
        </w:tc>
      </w:tr>
      <w:tr w:rsidR="00D936D5" w:rsidRPr="00D936D5" w14:paraId="579903BD" w14:textId="77777777" w:rsidTr="007802B7">
        <w:trPr>
          <w:trHeight w:val="375"/>
        </w:trPr>
        <w:tc>
          <w:tcPr>
            <w:tcW w:w="4460" w:type="dxa"/>
            <w:shd w:val="clear" w:color="auto" w:fill="auto"/>
            <w:noWrap/>
            <w:vAlign w:val="center"/>
            <w:hideMark/>
          </w:tcPr>
          <w:p w14:paraId="62B77D0A" w14:textId="365DB66A"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Viral hepatitis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3444C5F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0.527(0.123-2.27)</w:t>
            </w:r>
          </w:p>
        </w:tc>
        <w:tc>
          <w:tcPr>
            <w:tcW w:w="1460" w:type="dxa"/>
            <w:shd w:val="clear" w:color="auto" w:fill="auto"/>
            <w:noWrap/>
            <w:vAlign w:val="bottom"/>
            <w:hideMark/>
          </w:tcPr>
          <w:p w14:paraId="4D6C878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0.6430 </w:t>
            </w:r>
          </w:p>
        </w:tc>
      </w:tr>
      <w:tr w:rsidR="00D936D5" w:rsidRPr="00D936D5" w14:paraId="32389D53" w14:textId="77777777" w:rsidTr="007802B7">
        <w:trPr>
          <w:trHeight w:val="375"/>
        </w:trPr>
        <w:tc>
          <w:tcPr>
            <w:tcW w:w="4460" w:type="dxa"/>
            <w:shd w:val="clear" w:color="auto" w:fill="auto"/>
            <w:noWrap/>
            <w:vAlign w:val="center"/>
            <w:hideMark/>
          </w:tcPr>
          <w:p w14:paraId="2431497F" w14:textId="6608D133"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Albumin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g/</w:t>
            </w:r>
            <w:proofErr w:type="spellStart"/>
            <w:r w:rsidRPr="00DF4BD7">
              <w:rPr>
                <w:rFonts w:ascii="Book Antiqua" w:eastAsia="Yu Gothic" w:hAnsi="Book Antiqua" w:cs="MS PGothic"/>
                <w:bCs/>
                <w:kern w:val="0"/>
                <w:sz w:val="24"/>
                <w:szCs w:val="24"/>
              </w:rPr>
              <w:t>d</w:t>
            </w:r>
            <w:r w:rsidR="00DF4BD7" w:rsidRPr="00DF4BD7">
              <w:rPr>
                <w:rFonts w:ascii="Book Antiqua" w:eastAsia="Yu Gothic" w:hAnsi="Book Antiqua" w:cs="MS PGothic"/>
                <w:bCs/>
                <w:kern w:val="0"/>
                <w:sz w:val="24"/>
                <w:szCs w:val="24"/>
              </w:rPr>
              <w:t>L</w:t>
            </w:r>
            <w:proofErr w:type="spellEnd"/>
            <w:r w:rsidRPr="00DF4BD7">
              <w:rPr>
                <w:rFonts w:ascii="Book Antiqua" w:eastAsia="Yu Gothic" w:hAnsi="Book Antiqua" w:cs="MS PGothic"/>
                <w:bCs/>
                <w:kern w:val="0"/>
                <w:sz w:val="24"/>
                <w:szCs w:val="24"/>
              </w:rPr>
              <w:t xml:space="preserve"> decrease)</w:t>
            </w:r>
          </w:p>
        </w:tc>
        <w:tc>
          <w:tcPr>
            <w:tcW w:w="2440" w:type="dxa"/>
            <w:shd w:val="clear" w:color="auto" w:fill="auto"/>
            <w:noWrap/>
            <w:vAlign w:val="bottom"/>
            <w:hideMark/>
          </w:tcPr>
          <w:p w14:paraId="11DD4CD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6.59 (0.827-52.6)</w:t>
            </w:r>
          </w:p>
        </w:tc>
        <w:tc>
          <w:tcPr>
            <w:tcW w:w="1460" w:type="dxa"/>
            <w:shd w:val="clear" w:color="auto" w:fill="auto"/>
            <w:noWrap/>
            <w:vAlign w:val="bottom"/>
            <w:hideMark/>
          </w:tcPr>
          <w:p w14:paraId="71D923A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0.0750 </w:t>
            </w:r>
          </w:p>
        </w:tc>
      </w:tr>
      <w:tr w:rsidR="00D936D5" w:rsidRPr="00D936D5" w14:paraId="3AB540C1" w14:textId="77777777" w:rsidTr="007802B7">
        <w:trPr>
          <w:trHeight w:val="375"/>
        </w:trPr>
        <w:tc>
          <w:tcPr>
            <w:tcW w:w="4460" w:type="dxa"/>
            <w:shd w:val="clear" w:color="auto" w:fill="auto"/>
            <w:noWrap/>
            <w:vAlign w:val="center"/>
            <w:hideMark/>
          </w:tcPr>
          <w:p w14:paraId="40F837B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Prothrombin time (per 1% decrease)</w:t>
            </w:r>
          </w:p>
        </w:tc>
        <w:tc>
          <w:tcPr>
            <w:tcW w:w="2440" w:type="dxa"/>
            <w:shd w:val="clear" w:color="auto" w:fill="auto"/>
            <w:noWrap/>
            <w:vAlign w:val="bottom"/>
            <w:hideMark/>
          </w:tcPr>
          <w:p w14:paraId="0D7E5B0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0.977 (0.928-1.03) </w:t>
            </w:r>
          </w:p>
        </w:tc>
        <w:tc>
          <w:tcPr>
            <w:tcW w:w="1460" w:type="dxa"/>
            <w:shd w:val="clear" w:color="auto" w:fill="auto"/>
            <w:noWrap/>
            <w:vAlign w:val="bottom"/>
            <w:hideMark/>
          </w:tcPr>
          <w:p w14:paraId="4376AC1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0.3910 </w:t>
            </w:r>
          </w:p>
        </w:tc>
      </w:tr>
      <w:tr w:rsidR="00D936D5" w:rsidRPr="00D936D5" w14:paraId="42A17E3B" w14:textId="77777777" w:rsidTr="007802B7">
        <w:trPr>
          <w:trHeight w:val="375"/>
        </w:trPr>
        <w:tc>
          <w:tcPr>
            <w:tcW w:w="4460" w:type="dxa"/>
            <w:shd w:val="clear" w:color="auto" w:fill="auto"/>
            <w:noWrap/>
            <w:vAlign w:val="center"/>
          </w:tcPr>
          <w:p w14:paraId="568207C0" w14:textId="7B4E7E6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hAnsi="Book Antiqua"/>
                <w:bCs/>
                <w:sz w:val="24"/>
                <w:szCs w:val="24"/>
              </w:rPr>
              <w:t xml:space="preserve">Total bilirubin </w:t>
            </w:r>
            <w:r w:rsidRPr="00DF4BD7">
              <w:rPr>
                <w:rFonts w:ascii="Book Antiqua" w:eastAsia="Yu Gothic" w:hAnsi="Book Antiqua" w:cs="MS PGothic"/>
                <w:bCs/>
                <w:kern w:val="0"/>
                <w:sz w:val="24"/>
                <w:szCs w:val="24"/>
              </w:rPr>
              <w:t>(per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mg/</w:t>
            </w:r>
            <w:proofErr w:type="spellStart"/>
            <w:r w:rsidRPr="00DF4BD7">
              <w:rPr>
                <w:rFonts w:ascii="Book Antiqua" w:eastAsia="Yu Gothic" w:hAnsi="Book Antiqua" w:cs="MS PGothic"/>
                <w:bCs/>
                <w:kern w:val="0"/>
                <w:sz w:val="24"/>
                <w:szCs w:val="24"/>
              </w:rPr>
              <w:t>dL</w:t>
            </w:r>
            <w:proofErr w:type="spellEnd"/>
            <w:r w:rsidRPr="00DF4BD7">
              <w:rPr>
                <w:rFonts w:ascii="Book Antiqua" w:eastAsia="Yu Gothic" w:hAnsi="Book Antiqua" w:cs="MS PGothic"/>
                <w:bCs/>
                <w:kern w:val="0"/>
                <w:sz w:val="24"/>
                <w:szCs w:val="24"/>
              </w:rPr>
              <w:t xml:space="preserve"> increase)</w:t>
            </w:r>
          </w:p>
        </w:tc>
        <w:tc>
          <w:tcPr>
            <w:tcW w:w="2440" w:type="dxa"/>
            <w:shd w:val="clear" w:color="auto" w:fill="auto"/>
            <w:noWrap/>
            <w:vAlign w:val="bottom"/>
          </w:tcPr>
          <w:p w14:paraId="5570303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0.376 (0.0378-3.74)</w:t>
            </w:r>
          </w:p>
        </w:tc>
        <w:tc>
          <w:tcPr>
            <w:tcW w:w="1460" w:type="dxa"/>
            <w:shd w:val="clear" w:color="auto" w:fill="auto"/>
            <w:noWrap/>
            <w:vAlign w:val="bottom"/>
          </w:tcPr>
          <w:p w14:paraId="4BF64AD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0.4040</w:t>
            </w:r>
          </w:p>
        </w:tc>
      </w:tr>
      <w:tr w:rsidR="00D936D5" w:rsidRPr="00D936D5" w14:paraId="29E92C94" w14:textId="77777777" w:rsidTr="007802B7">
        <w:trPr>
          <w:trHeight w:val="375"/>
        </w:trPr>
        <w:tc>
          <w:tcPr>
            <w:tcW w:w="4460" w:type="dxa"/>
            <w:shd w:val="clear" w:color="auto" w:fill="auto"/>
            <w:noWrap/>
            <w:vAlign w:val="center"/>
            <w:hideMark/>
          </w:tcPr>
          <w:p w14:paraId="487487C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Platelet count (per 10</w:t>
            </w:r>
            <w:r w:rsidRPr="00DF4BD7">
              <w:rPr>
                <w:rFonts w:ascii="Book Antiqua" w:eastAsia="Yu Gothic" w:hAnsi="Book Antiqua" w:cs="MS PGothic"/>
                <w:bCs/>
                <w:kern w:val="0"/>
                <w:sz w:val="24"/>
                <w:szCs w:val="24"/>
                <w:vertAlign w:val="superscript"/>
              </w:rPr>
              <w:t>4</w:t>
            </w:r>
            <w:r w:rsidRPr="00DF4BD7">
              <w:rPr>
                <w:rFonts w:ascii="Book Antiqua" w:eastAsia="Yu Gothic" w:hAnsi="Book Antiqua" w:cs="MS PGothic"/>
                <w:bCs/>
                <w:kern w:val="0"/>
                <w:sz w:val="24"/>
                <w:szCs w:val="24"/>
              </w:rPr>
              <w:t>/µL decrease)</w:t>
            </w:r>
          </w:p>
        </w:tc>
        <w:tc>
          <w:tcPr>
            <w:tcW w:w="2440" w:type="dxa"/>
            <w:shd w:val="clear" w:color="auto" w:fill="auto"/>
            <w:noWrap/>
            <w:vAlign w:val="bottom"/>
            <w:hideMark/>
          </w:tcPr>
          <w:p w14:paraId="3988EDA7"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1.040 (0.937-1.14)</w:t>
            </w:r>
          </w:p>
        </w:tc>
        <w:tc>
          <w:tcPr>
            <w:tcW w:w="1460" w:type="dxa"/>
            <w:shd w:val="clear" w:color="auto" w:fill="auto"/>
            <w:noWrap/>
            <w:vAlign w:val="bottom"/>
            <w:hideMark/>
          </w:tcPr>
          <w:p w14:paraId="5511E0C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0.4970 </w:t>
            </w:r>
          </w:p>
        </w:tc>
      </w:tr>
      <w:tr w:rsidR="00D936D5" w:rsidRPr="00D936D5" w14:paraId="16CAEAFA" w14:textId="77777777" w:rsidTr="007802B7">
        <w:trPr>
          <w:trHeight w:val="375"/>
        </w:trPr>
        <w:tc>
          <w:tcPr>
            <w:tcW w:w="4460" w:type="dxa"/>
            <w:shd w:val="clear" w:color="auto" w:fill="auto"/>
            <w:noWrap/>
            <w:vAlign w:val="center"/>
            <w:hideMark/>
          </w:tcPr>
          <w:p w14:paraId="715FEE06" w14:textId="2EC857F1"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ng/m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40" w:type="dxa"/>
            <w:shd w:val="clear" w:color="auto" w:fill="auto"/>
            <w:noWrap/>
            <w:vAlign w:val="bottom"/>
            <w:hideMark/>
          </w:tcPr>
          <w:p w14:paraId="083B483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460" w:type="dxa"/>
            <w:shd w:val="clear" w:color="auto" w:fill="auto"/>
            <w:noWrap/>
            <w:vAlign w:val="bottom"/>
            <w:hideMark/>
          </w:tcPr>
          <w:p w14:paraId="654EB03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0.5330 </w:t>
            </w:r>
          </w:p>
        </w:tc>
      </w:tr>
      <w:tr w:rsidR="00D936D5" w:rsidRPr="00D936D5" w14:paraId="0797558C" w14:textId="77777777" w:rsidTr="007802B7">
        <w:trPr>
          <w:trHeight w:val="375"/>
        </w:trPr>
        <w:tc>
          <w:tcPr>
            <w:tcW w:w="4460" w:type="dxa"/>
            <w:shd w:val="clear" w:color="auto" w:fill="auto"/>
            <w:noWrap/>
            <w:vAlign w:val="center"/>
            <w:hideMark/>
          </w:tcPr>
          <w:p w14:paraId="01A526C1" w14:textId="3C248BA8"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DCP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mAU</w:t>
            </w:r>
            <w:proofErr w:type="spellEnd"/>
            <w:r w:rsidRPr="00DF4BD7">
              <w:rPr>
                <w:rFonts w:ascii="Book Antiqua" w:eastAsia="Yu Gothic" w:hAnsi="Book Antiqua" w:cs="MS PGothic"/>
                <w:bCs/>
                <w:kern w:val="0"/>
                <w:sz w:val="24"/>
                <w:szCs w:val="24"/>
              </w:rPr>
              <w:t>/m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40" w:type="dxa"/>
            <w:shd w:val="clear" w:color="auto" w:fill="auto"/>
            <w:noWrap/>
            <w:vAlign w:val="bottom"/>
            <w:hideMark/>
          </w:tcPr>
          <w:p w14:paraId="37CC7AD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w:t>
            </w:r>
          </w:p>
        </w:tc>
        <w:tc>
          <w:tcPr>
            <w:tcW w:w="1460" w:type="dxa"/>
            <w:shd w:val="clear" w:color="auto" w:fill="auto"/>
            <w:noWrap/>
            <w:vAlign w:val="bottom"/>
            <w:hideMark/>
          </w:tcPr>
          <w:p w14:paraId="3A91D4A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0.1100 </w:t>
            </w:r>
          </w:p>
        </w:tc>
      </w:tr>
      <w:tr w:rsidR="00D936D5" w:rsidRPr="00D936D5" w14:paraId="0AC0FECA" w14:textId="77777777" w:rsidTr="007802B7">
        <w:trPr>
          <w:trHeight w:val="375"/>
        </w:trPr>
        <w:tc>
          <w:tcPr>
            <w:tcW w:w="4460" w:type="dxa"/>
            <w:shd w:val="clear" w:color="auto" w:fill="auto"/>
            <w:noWrap/>
            <w:vAlign w:val="center"/>
            <w:hideMark/>
          </w:tcPr>
          <w:p w14:paraId="53B997A7" w14:textId="06CD9B32"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AFP-L3% (per 1</w:t>
            </w:r>
            <w:r w:rsidR="00301DC0" w:rsidRPr="00DF4BD7">
              <w:rPr>
                <w:rFonts w:ascii="Book Antiqua" w:eastAsia="Yu Gothic" w:hAnsi="Book Antiqua" w:cs="MS PGothic"/>
                <w:bCs/>
                <w:kern w:val="0"/>
                <w:sz w:val="24"/>
                <w:szCs w:val="24"/>
              </w:rPr>
              <w:t>% increase)</w:t>
            </w:r>
          </w:p>
        </w:tc>
        <w:tc>
          <w:tcPr>
            <w:tcW w:w="2440" w:type="dxa"/>
            <w:shd w:val="clear" w:color="auto" w:fill="auto"/>
            <w:noWrap/>
            <w:vAlign w:val="bottom"/>
            <w:hideMark/>
          </w:tcPr>
          <w:p w14:paraId="11FBB99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(0.996-1.01)</w:t>
            </w:r>
          </w:p>
        </w:tc>
        <w:tc>
          <w:tcPr>
            <w:tcW w:w="1460" w:type="dxa"/>
            <w:shd w:val="clear" w:color="auto" w:fill="auto"/>
            <w:noWrap/>
            <w:vAlign w:val="bottom"/>
            <w:hideMark/>
          </w:tcPr>
          <w:p w14:paraId="010A7F4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0.4420 </w:t>
            </w:r>
          </w:p>
        </w:tc>
      </w:tr>
      <w:tr w:rsidR="00D936D5" w:rsidRPr="00D936D5" w14:paraId="1768F21B" w14:textId="77777777" w:rsidTr="007802B7">
        <w:trPr>
          <w:trHeight w:val="375"/>
        </w:trPr>
        <w:tc>
          <w:tcPr>
            <w:tcW w:w="4460" w:type="dxa"/>
            <w:shd w:val="clear" w:color="auto" w:fill="auto"/>
            <w:noWrap/>
            <w:vAlign w:val="center"/>
            <w:hideMark/>
          </w:tcPr>
          <w:p w14:paraId="28FB4FDF" w14:textId="18C7725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pg</w:t>
            </w:r>
            <w:proofErr w:type="spellEnd"/>
            <w:r w:rsidRPr="00DF4BD7">
              <w:rPr>
                <w:rFonts w:ascii="Book Antiqua" w:eastAsia="Yu Gothic" w:hAnsi="Book Antiqua" w:cs="MS PGothic"/>
                <w:bCs/>
                <w:kern w:val="0"/>
                <w:sz w:val="24"/>
                <w:szCs w:val="24"/>
              </w:rPr>
              <w:t>/mL increase)</w:t>
            </w:r>
          </w:p>
        </w:tc>
        <w:tc>
          <w:tcPr>
            <w:tcW w:w="2440" w:type="dxa"/>
            <w:shd w:val="clear" w:color="auto" w:fill="auto"/>
            <w:noWrap/>
            <w:vAlign w:val="bottom"/>
            <w:hideMark/>
          </w:tcPr>
          <w:p w14:paraId="4C33DDB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0.98 (0.949-1.01)</w:t>
            </w:r>
          </w:p>
        </w:tc>
        <w:tc>
          <w:tcPr>
            <w:tcW w:w="1460" w:type="dxa"/>
            <w:shd w:val="clear" w:color="auto" w:fill="auto"/>
            <w:noWrap/>
            <w:vAlign w:val="bottom"/>
            <w:hideMark/>
          </w:tcPr>
          <w:p w14:paraId="7CCE74E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0.1950 </w:t>
            </w:r>
          </w:p>
        </w:tc>
      </w:tr>
      <w:tr w:rsidR="00D936D5" w:rsidRPr="00D936D5" w14:paraId="41795B06" w14:textId="77777777" w:rsidTr="007802B7">
        <w:trPr>
          <w:trHeight w:val="375"/>
        </w:trPr>
        <w:tc>
          <w:tcPr>
            <w:tcW w:w="4460" w:type="dxa"/>
            <w:shd w:val="clear" w:color="auto" w:fill="auto"/>
            <w:noWrap/>
            <w:vAlign w:val="center"/>
            <w:hideMark/>
          </w:tcPr>
          <w:p w14:paraId="301CC443" w14:textId="3679DDF4"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VEGFR-2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pg</w:t>
            </w:r>
            <w:proofErr w:type="spellEnd"/>
            <w:r w:rsidRPr="00DF4BD7">
              <w:rPr>
                <w:rFonts w:ascii="Book Antiqua" w:eastAsia="Yu Gothic" w:hAnsi="Book Antiqua" w:cs="MS PGothic"/>
                <w:bCs/>
                <w:kern w:val="0"/>
                <w:sz w:val="24"/>
                <w:szCs w:val="24"/>
              </w:rPr>
              <w:t>/mL increase)</w:t>
            </w:r>
          </w:p>
        </w:tc>
        <w:tc>
          <w:tcPr>
            <w:tcW w:w="2440" w:type="dxa"/>
            <w:shd w:val="clear" w:color="auto" w:fill="auto"/>
            <w:noWrap/>
            <w:vAlign w:val="bottom"/>
            <w:hideMark/>
          </w:tcPr>
          <w:p w14:paraId="5AA1F8A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(0.999-1.000)</w:t>
            </w:r>
          </w:p>
        </w:tc>
        <w:tc>
          <w:tcPr>
            <w:tcW w:w="1460" w:type="dxa"/>
            <w:shd w:val="clear" w:color="auto" w:fill="auto"/>
            <w:noWrap/>
            <w:vAlign w:val="bottom"/>
            <w:hideMark/>
          </w:tcPr>
          <w:p w14:paraId="12CC44D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0.2210 </w:t>
            </w:r>
          </w:p>
        </w:tc>
      </w:tr>
      <w:tr w:rsidR="00D936D5" w:rsidRPr="00D936D5" w14:paraId="0812C3B7" w14:textId="77777777" w:rsidTr="007802B7">
        <w:trPr>
          <w:trHeight w:val="375"/>
        </w:trPr>
        <w:tc>
          <w:tcPr>
            <w:tcW w:w="4460" w:type="dxa"/>
            <w:shd w:val="clear" w:color="auto" w:fill="auto"/>
            <w:noWrap/>
            <w:vAlign w:val="center"/>
            <w:hideMark/>
          </w:tcPr>
          <w:p w14:paraId="67A5BF22" w14:textId="7C44A08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Maximum tumor size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cm increase)</w:t>
            </w:r>
          </w:p>
        </w:tc>
        <w:tc>
          <w:tcPr>
            <w:tcW w:w="2440" w:type="dxa"/>
            <w:shd w:val="clear" w:color="auto" w:fill="auto"/>
            <w:noWrap/>
            <w:vAlign w:val="bottom"/>
            <w:hideMark/>
          </w:tcPr>
          <w:p w14:paraId="5CA25FE7"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0.892 (0.752-1.06)</w:t>
            </w:r>
          </w:p>
        </w:tc>
        <w:tc>
          <w:tcPr>
            <w:tcW w:w="1460" w:type="dxa"/>
            <w:shd w:val="clear" w:color="auto" w:fill="auto"/>
            <w:noWrap/>
            <w:vAlign w:val="bottom"/>
            <w:hideMark/>
          </w:tcPr>
          <w:p w14:paraId="5C4617F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0.1900 </w:t>
            </w:r>
          </w:p>
        </w:tc>
      </w:tr>
      <w:tr w:rsidR="00D936D5" w:rsidRPr="00D936D5" w14:paraId="2BF1801F" w14:textId="77777777" w:rsidTr="007802B7">
        <w:trPr>
          <w:trHeight w:val="375"/>
        </w:trPr>
        <w:tc>
          <w:tcPr>
            <w:tcW w:w="4460" w:type="dxa"/>
            <w:shd w:val="clear" w:color="auto" w:fill="auto"/>
            <w:noWrap/>
            <w:vAlign w:val="center"/>
            <w:hideMark/>
          </w:tcPr>
          <w:p w14:paraId="52EAFA8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Tumor number (per 1 increase)</w:t>
            </w:r>
          </w:p>
        </w:tc>
        <w:tc>
          <w:tcPr>
            <w:tcW w:w="2440" w:type="dxa"/>
            <w:shd w:val="clear" w:color="auto" w:fill="auto"/>
            <w:noWrap/>
            <w:vAlign w:val="bottom"/>
            <w:hideMark/>
          </w:tcPr>
          <w:p w14:paraId="1B9AE07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1.11 (0.646-1.90)</w:t>
            </w:r>
          </w:p>
        </w:tc>
        <w:tc>
          <w:tcPr>
            <w:tcW w:w="1460" w:type="dxa"/>
            <w:shd w:val="clear" w:color="auto" w:fill="auto"/>
            <w:noWrap/>
            <w:vAlign w:val="bottom"/>
            <w:hideMark/>
          </w:tcPr>
          <w:p w14:paraId="1FA22EF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0.7070 </w:t>
            </w:r>
          </w:p>
        </w:tc>
      </w:tr>
      <w:tr w:rsidR="00D936D5" w:rsidRPr="00D936D5" w14:paraId="73E2368D" w14:textId="77777777" w:rsidTr="007802B7">
        <w:trPr>
          <w:trHeight w:val="375"/>
        </w:trPr>
        <w:tc>
          <w:tcPr>
            <w:tcW w:w="4460" w:type="dxa"/>
            <w:shd w:val="clear" w:color="auto" w:fill="auto"/>
            <w:noWrap/>
            <w:vAlign w:val="center"/>
            <w:hideMark/>
          </w:tcPr>
          <w:p w14:paraId="6ACCE16D" w14:textId="7475A12F"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PVTT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50F10D5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0.835 (0.455-1.53)</w:t>
            </w:r>
          </w:p>
        </w:tc>
        <w:tc>
          <w:tcPr>
            <w:tcW w:w="1460" w:type="dxa"/>
            <w:shd w:val="clear" w:color="auto" w:fill="auto"/>
            <w:noWrap/>
            <w:vAlign w:val="bottom"/>
            <w:hideMark/>
          </w:tcPr>
          <w:p w14:paraId="4A993DB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0.5590 </w:t>
            </w:r>
          </w:p>
        </w:tc>
      </w:tr>
      <w:tr w:rsidR="00D936D5" w:rsidRPr="00D936D5" w14:paraId="794D92B1" w14:textId="77777777" w:rsidTr="007802B7">
        <w:trPr>
          <w:trHeight w:val="375"/>
        </w:trPr>
        <w:tc>
          <w:tcPr>
            <w:tcW w:w="4460" w:type="dxa"/>
            <w:shd w:val="clear" w:color="auto" w:fill="auto"/>
            <w:noWrap/>
            <w:vAlign w:val="center"/>
            <w:hideMark/>
          </w:tcPr>
          <w:p w14:paraId="4853B695" w14:textId="4ED5C498"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Distant metastasis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4E90599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2.450 (0.64-9.37)</w:t>
            </w:r>
          </w:p>
        </w:tc>
        <w:tc>
          <w:tcPr>
            <w:tcW w:w="1460" w:type="dxa"/>
            <w:shd w:val="clear" w:color="auto" w:fill="auto"/>
            <w:noWrap/>
            <w:vAlign w:val="bottom"/>
            <w:hideMark/>
          </w:tcPr>
          <w:p w14:paraId="12CA633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0.1910 </w:t>
            </w:r>
          </w:p>
        </w:tc>
      </w:tr>
      <w:tr w:rsidR="00D936D5" w:rsidRPr="00D936D5" w14:paraId="0AC9635C" w14:textId="77777777" w:rsidTr="007802B7">
        <w:trPr>
          <w:trHeight w:val="375"/>
        </w:trPr>
        <w:tc>
          <w:tcPr>
            <w:tcW w:w="4460" w:type="dxa"/>
            <w:shd w:val="clear" w:color="auto" w:fill="auto"/>
            <w:noWrap/>
            <w:vAlign w:val="center"/>
            <w:hideMark/>
          </w:tcPr>
          <w:p w14:paraId="30017C5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40" w:type="dxa"/>
            <w:shd w:val="clear" w:color="auto" w:fill="auto"/>
            <w:noWrap/>
            <w:vAlign w:val="bottom"/>
            <w:hideMark/>
          </w:tcPr>
          <w:p w14:paraId="440C397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1.020 (1.0001-1.050)</w:t>
            </w:r>
          </w:p>
        </w:tc>
        <w:tc>
          <w:tcPr>
            <w:tcW w:w="1460" w:type="dxa"/>
            <w:shd w:val="clear" w:color="auto" w:fill="auto"/>
            <w:noWrap/>
            <w:vAlign w:val="bottom"/>
            <w:hideMark/>
          </w:tcPr>
          <w:p w14:paraId="2405BA5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0.0039 </w:t>
            </w:r>
          </w:p>
        </w:tc>
      </w:tr>
      <w:tr w:rsidR="00D936D5" w:rsidRPr="00D936D5" w14:paraId="45DC82DA" w14:textId="77777777" w:rsidTr="007802B7">
        <w:trPr>
          <w:trHeight w:val="375"/>
        </w:trPr>
        <w:tc>
          <w:tcPr>
            <w:tcW w:w="4460" w:type="dxa"/>
            <w:shd w:val="clear" w:color="auto" w:fill="auto"/>
            <w:noWrap/>
            <w:vAlign w:val="center"/>
            <w:hideMark/>
          </w:tcPr>
          <w:p w14:paraId="6AF58128" w14:textId="77777777" w:rsidR="00301DC0" w:rsidRPr="00DF4BD7" w:rsidRDefault="00301DC0" w:rsidP="00120959">
            <w:pPr>
              <w:widowControl/>
              <w:spacing w:line="360" w:lineRule="auto"/>
              <w:rPr>
                <w:rFonts w:ascii="Book Antiqua" w:eastAsia="Yu Gothic" w:hAnsi="Book Antiqua" w:cs="MS PGothic"/>
                <w:bCs/>
                <w:kern w:val="0"/>
                <w:sz w:val="24"/>
                <w:szCs w:val="24"/>
              </w:rPr>
            </w:pPr>
            <w:proofErr w:type="spellStart"/>
            <w:r w:rsidRPr="00DF4BD7">
              <w:rPr>
                <w:rFonts w:ascii="Book Antiqua" w:eastAsia="Yu Gothic" w:hAnsi="Book Antiqua" w:cs="MS PGothic"/>
                <w:bCs/>
                <w:kern w:val="0"/>
                <w:sz w:val="24"/>
                <w:szCs w:val="24"/>
              </w:rPr>
              <w:t>VWF:Ag</w:t>
            </w:r>
            <w:proofErr w:type="spellEnd"/>
            <w:r w:rsidRPr="00DF4BD7">
              <w:rPr>
                <w:rFonts w:ascii="Book Antiqua" w:eastAsia="Yu Gothic" w:hAnsi="Book Antiqua" w:cs="MS PGothic"/>
                <w:bCs/>
                <w:kern w:val="0"/>
                <w:sz w:val="24"/>
                <w:szCs w:val="24"/>
              </w:rPr>
              <w:t xml:space="preserve"> (per 1% increase)</w:t>
            </w:r>
          </w:p>
        </w:tc>
        <w:tc>
          <w:tcPr>
            <w:tcW w:w="2440" w:type="dxa"/>
            <w:shd w:val="clear" w:color="auto" w:fill="auto"/>
            <w:noWrap/>
            <w:vAlign w:val="bottom"/>
            <w:hideMark/>
          </w:tcPr>
          <w:p w14:paraId="6768D95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0.996 (0.991-1.000)</w:t>
            </w:r>
          </w:p>
        </w:tc>
        <w:tc>
          <w:tcPr>
            <w:tcW w:w="1460" w:type="dxa"/>
            <w:shd w:val="clear" w:color="auto" w:fill="auto"/>
            <w:noWrap/>
            <w:vAlign w:val="bottom"/>
            <w:hideMark/>
          </w:tcPr>
          <w:p w14:paraId="3C66912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0.0740 </w:t>
            </w:r>
          </w:p>
        </w:tc>
      </w:tr>
      <w:tr w:rsidR="00D936D5" w:rsidRPr="00D936D5" w14:paraId="56137B91" w14:textId="77777777" w:rsidTr="007802B7">
        <w:trPr>
          <w:trHeight w:val="375"/>
        </w:trPr>
        <w:tc>
          <w:tcPr>
            <w:tcW w:w="4460" w:type="dxa"/>
            <w:shd w:val="clear" w:color="auto" w:fill="auto"/>
            <w:noWrap/>
            <w:vAlign w:val="center"/>
            <w:hideMark/>
          </w:tcPr>
          <w:p w14:paraId="3794C9AD" w14:textId="77777777" w:rsidR="00301DC0" w:rsidRPr="00DF4BD7" w:rsidRDefault="00301DC0" w:rsidP="00120959">
            <w:pPr>
              <w:widowControl/>
              <w:spacing w:line="360" w:lineRule="auto"/>
              <w:rPr>
                <w:rFonts w:ascii="Book Antiqua" w:eastAsia="Yu Gothic" w:hAnsi="Book Antiqua" w:cs="MS PGothic"/>
                <w:bCs/>
                <w:kern w:val="0"/>
                <w:sz w:val="24"/>
                <w:szCs w:val="24"/>
              </w:rPr>
            </w:pPr>
            <w:proofErr w:type="spellStart"/>
            <w:r w:rsidRPr="00DF4BD7">
              <w:rPr>
                <w:rFonts w:ascii="Book Antiqua" w:eastAsia="Yu Gothic" w:hAnsi="Book Antiqua" w:cs="MS PGothic"/>
                <w:bCs/>
                <w:kern w:val="0"/>
                <w:sz w:val="24"/>
                <w:szCs w:val="24"/>
              </w:rPr>
              <w:t>VWF:Ag</w:t>
            </w:r>
            <w:proofErr w:type="spellEnd"/>
            <w:r w:rsidRPr="00DF4BD7">
              <w:rPr>
                <w:rFonts w:ascii="Book Antiqua" w:eastAsia="Yu Gothic" w:hAnsi="Book Antiqua" w:cs="MS PGothic"/>
                <w:bCs/>
                <w:kern w:val="0"/>
                <w:sz w:val="24"/>
                <w:szCs w:val="24"/>
              </w:rPr>
              <w:t>/ADAMTS13:AC (per 1 increase)</w:t>
            </w:r>
          </w:p>
        </w:tc>
        <w:tc>
          <w:tcPr>
            <w:tcW w:w="2440" w:type="dxa"/>
            <w:shd w:val="clear" w:color="auto" w:fill="auto"/>
            <w:noWrap/>
            <w:vAlign w:val="bottom"/>
            <w:hideMark/>
          </w:tcPr>
          <w:p w14:paraId="6209BB9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0.465 (0.265-0.817)</w:t>
            </w:r>
          </w:p>
        </w:tc>
        <w:tc>
          <w:tcPr>
            <w:tcW w:w="1460" w:type="dxa"/>
            <w:shd w:val="clear" w:color="auto" w:fill="auto"/>
            <w:noWrap/>
            <w:vAlign w:val="bottom"/>
            <w:hideMark/>
          </w:tcPr>
          <w:p w14:paraId="2A6DEC6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0.0077 </w:t>
            </w:r>
          </w:p>
        </w:tc>
      </w:tr>
      <w:tr w:rsidR="00D936D5" w:rsidRPr="00D936D5" w14:paraId="68498B39" w14:textId="77777777" w:rsidTr="007802B7">
        <w:trPr>
          <w:trHeight w:val="375"/>
        </w:trPr>
        <w:tc>
          <w:tcPr>
            <w:tcW w:w="4460" w:type="dxa"/>
            <w:shd w:val="clear" w:color="auto" w:fill="auto"/>
            <w:noWrap/>
            <w:vAlign w:val="center"/>
            <w:hideMark/>
          </w:tcPr>
          <w:p w14:paraId="44785A7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Multivariate analysis</w:t>
            </w:r>
          </w:p>
        </w:tc>
        <w:tc>
          <w:tcPr>
            <w:tcW w:w="2440" w:type="dxa"/>
            <w:shd w:val="clear" w:color="auto" w:fill="auto"/>
            <w:noWrap/>
            <w:vAlign w:val="bottom"/>
            <w:hideMark/>
          </w:tcPr>
          <w:p w14:paraId="5832890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c>
          <w:tcPr>
            <w:tcW w:w="1460" w:type="dxa"/>
            <w:shd w:val="clear" w:color="auto" w:fill="auto"/>
            <w:noWrap/>
            <w:vAlign w:val="bottom"/>
            <w:hideMark/>
          </w:tcPr>
          <w:p w14:paraId="25C0960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r>
      <w:tr w:rsidR="00D936D5" w:rsidRPr="00D936D5" w14:paraId="336025B4" w14:textId="77777777" w:rsidTr="007802B7">
        <w:trPr>
          <w:trHeight w:val="375"/>
        </w:trPr>
        <w:tc>
          <w:tcPr>
            <w:tcW w:w="4460" w:type="dxa"/>
            <w:shd w:val="clear" w:color="auto" w:fill="auto"/>
            <w:noWrap/>
            <w:vAlign w:val="center"/>
            <w:hideMark/>
          </w:tcPr>
          <w:p w14:paraId="686EF860" w14:textId="77777777" w:rsidR="00301DC0" w:rsidRPr="00DF4BD7" w:rsidRDefault="00301DC0" w:rsidP="00120959">
            <w:pPr>
              <w:widowControl/>
              <w:spacing w:line="360" w:lineRule="auto"/>
              <w:rPr>
                <w:rFonts w:ascii="Book Antiqua" w:eastAsia="Yu Gothic" w:hAnsi="Book Antiqua" w:cs="MS PGothic"/>
                <w:bCs/>
                <w:kern w:val="0"/>
                <w:sz w:val="24"/>
                <w:szCs w:val="24"/>
              </w:rPr>
            </w:pPr>
            <w:proofErr w:type="spellStart"/>
            <w:r w:rsidRPr="00DF4BD7">
              <w:rPr>
                <w:rFonts w:ascii="Book Antiqua" w:eastAsia="Yu Gothic" w:hAnsi="Book Antiqua" w:cs="MS PGothic"/>
                <w:bCs/>
                <w:kern w:val="0"/>
                <w:sz w:val="24"/>
                <w:szCs w:val="24"/>
              </w:rPr>
              <w:lastRenderedPageBreak/>
              <w:t>VWF:Ag</w:t>
            </w:r>
            <w:proofErr w:type="spellEnd"/>
            <w:r w:rsidRPr="00DF4BD7">
              <w:rPr>
                <w:rFonts w:ascii="Book Antiqua" w:eastAsia="Yu Gothic" w:hAnsi="Book Antiqua" w:cs="MS PGothic"/>
                <w:bCs/>
                <w:kern w:val="0"/>
                <w:sz w:val="24"/>
                <w:szCs w:val="24"/>
              </w:rPr>
              <w:t>/ADAMTS13:AC (per 1 increase)</w:t>
            </w:r>
          </w:p>
        </w:tc>
        <w:tc>
          <w:tcPr>
            <w:tcW w:w="2440" w:type="dxa"/>
            <w:shd w:val="clear" w:color="auto" w:fill="auto"/>
            <w:noWrap/>
            <w:vAlign w:val="bottom"/>
            <w:hideMark/>
          </w:tcPr>
          <w:p w14:paraId="043B5F9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0.495 (0.281-0.870)</w:t>
            </w:r>
          </w:p>
        </w:tc>
        <w:tc>
          <w:tcPr>
            <w:tcW w:w="1460" w:type="dxa"/>
            <w:shd w:val="clear" w:color="auto" w:fill="auto"/>
            <w:noWrap/>
            <w:vAlign w:val="bottom"/>
            <w:hideMark/>
          </w:tcPr>
          <w:p w14:paraId="74CE8F6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0.0147 </w:t>
            </w:r>
          </w:p>
        </w:tc>
      </w:tr>
    </w:tbl>
    <w:p w14:paraId="19D6630D" w14:textId="77777777" w:rsidR="00301DC0" w:rsidRPr="00D936D5" w:rsidRDefault="00301DC0" w:rsidP="00120959">
      <w:pPr>
        <w:widowControl/>
        <w:spacing w:line="360" w:lineRule="auto"/>
        <w:rPr>
          <w:rFonts w:ascii="Book Antiqua" w:hAnsi="Book Antiqua"/>
          <w:b/>
          <w:sz w:val="24"/>
          <w:szCs w:val="24"/>
        </w:rPr>
      </w:pPr>
    </w:p>
    <w:p w14:paraId="7DE48089" w14:textId="62CE52E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AFP</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Alpha </w:t>
      </w:r>
      <w:r w:rsidRPr="00D936D5">
        <w:rPr>
          <w:rFonts w:ascii="Book Antiqua" w:hAnsi="Book Antiqua"/>
          <w:sz w:val="24"/>
          <w:szCs w:val="24"/>
        </w:rPr>
        <w:t>fetoprotei</w:t>
      </w:r>
      <w:r w:rsidR="0048796C" w:rsidRPr="00D936D5">
        <w:rPr>
          <w:rFonts w:ascii="Book Antiqua" w:hAnsi="Book Antiqua"/>
          <w:sz w:val="24"/>
          <w:szCs w:val="24"/>
        </w:rPr>
        <w:t>n</w:t>
      </w:r>
      <w:r w:rsidRPr="00D936D5">
        <w:rPr>
          <w:rFonts w:ascii="Book Antiqua" w:hAnsi="Book Antiqua"/>
          <w:sz w:val="24"/>
          <w:szCs w:val="24"/>
        </w:rPr>
        <w:t>; DCP</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Des</w:t>
      </w:r>
      <w:r w:rsidRPr="00D936D5">
        <w:rPr>
          <w:rFonts w:ascii="Book Antiqua" w:hAnsi="Book Antiqua"/>
          <w:sz w:val="24"/>
          <w:szCs w:val="24"/>
        </w:rPr>
        <w:t>-γ-carboxy prothrombin; AFP-L3%</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i/>
          <w:sz w:val="24"/>
          <w:szCs w:val="24"/>
        </w:rPr>
        <w:t xml:space="preserve">Lens </w:t>
      </w:r>
      <w:proofErr w:type="spellStart"/>
      <w:r w:rsidRPr="00D936D5">
        <w:rPr>
          <w:rFonts w:ascii="Book Antiqua" w:hAnsi="Book Antiqua"/>
          <w:i/>
          <w:sz w:val="24"/>
          <w:szCs w:val="24"/>
        </w:rPr>
        <w:t>culinaris</w:t>
      </w:r>
      <w:proofErr w:type="spellEnd"/>
      <w:r w:rsidRPr="00D936D5">
        <w:rPr>
          <w:rFonts w:ascii="Book Antiqua" w:hAnsi="Book Antiqua"/>
          <w:sz w:val="24"/>
          <w:szCs w:val="24"/>
        </w:rPr>
        <w:t xml:space="preserve"> agglutinin-reactive alpha-fetoprotein; VEGF</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VEGF receptor-2; PVTT</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Portal </w:t>
      </w:r>
      <w:r w:rsidRPr="00D936D5">
        <w:rPr>
          <w:rFonts w:ascii="Book Antiqua" w:hAnsi="Book Antiqua"/>
          <w:sz w:val="24"/>
          <w:szCs w:val="24"/>
        </w:rPr>
        <w:t>vein tumor thrombosis; ADAMTS13</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A</w:t>
      </w:r>
      <w:r w:rsidRPr="00D936D5">
        <w:rPr>
          <w:rFonts w:ascii="Book Antiqua" w:hAnsi="Book Antiqua"/>
          <w:sz w:val="24"/>
          <w:szCs w:val="24"/>
        </w:rPr>
        <w:t xml:space="preserve">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ADAMTS13 activity; VWF</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V</w:t>
      </w:r>
      <w:r w:rsidRPr="00D936D5">
        <w:rPr>
          <w:rFonts w:ascii="Book Antiqua" w:hAnsi="Book Antiqua"/>
          <w:sz w:val="24"/>
          <w:szCs w:val="24"/>
        </w:rPr>
        <w:t>on Willebrand factor; VWF:</w:t>
      </w:r>
      <w:r w:rsidR="00DA4D0D" w:rsidRPr="00D936D5">
        <w:rPr>
          <w:rFonts w:ascii="Book Antiqua" w:hAnsi="Book Antiqua"/>
          <w:sz w:val="24"/>
          <w:szCs w:val="24"/>
        </w:rPr>
        <w:t xml:space="preserve"> </w:t>
      </w:r>
      <w:r w:rsidRPr="00D936D5">
        <w:rPr>
          <w:rFonts w:ascii="Book Antiqua" w:hAnsi="Book Antiqua"/>
          <w:sz w:val="24"/>
          <w:szCs w:val="24"/>
        </w:rPr>
        <w:t>Ag</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VWF antigen; </w:t>
      </w:r>
      <w:proofErr w:type="spellStart"/>
      <w:r w:rsidR="0048796C" w:rsidRPr="00D936D5">
        <w:rPr>
          <w:rFonts w:ascii="Book Antiqua" w:hAnsi="Book Antiqua"/>
          <w:sz w:val="24"/>
          <w:szCs w:val="24"/>
        </w:rPr>
        <w:t>VWF:Ag</w:t>
      </w:r>
      <w:proofErr w:type="spellEnd"/>
      <w:r w:rsidR="0048796C" w:rsidRPr="00D936D5">
        <w:rPr>
          <w:rFonts w:ascii="Book Antiqua" w:hAnsi="Book Antiqua"/>
          <w:sz w:val="24"/>
          <w:szCs w:val="24"/>
        </w:rPr>
        <w:t>/ADAMTS13:AC ratio</w:t>
      </w:r>
      <w:r w:rsidR="00DF4BD7">
        <w:rPr>
          <w:rFonts w:ascii="Book Antiqua" w:eastAsia="SimSun" w:hAnsi="Book Antiqua" w:hint="eastAsia"/>
          <w:sz w:val="24"/>
          <w:szCs w:val="24"/>
          <w:lang w:eastAsia="zh-CN"/>
        </w:rPr>
        <w:t>:</w:t>
      </w:r>
      <w:r w:rsidR="0048796C" w:rsidRPr="00D936D5">
        <w:rPr>
          <w:rFonts w:ascii="Book Antiqua" w:hAnsi="Book Antiqua"/>
          <w:sz w:val="24"/>
          <w:szCs w:val="24"/>
        </w:rPr>
        <w:t xml:space="preserve"> </w:t>
      </w:r>
      <w:r w:rsidR="00DF4BD7" w:rsidRPr="00D936D5">
        <w:rPr>
          <w:rFonts w:ascii="Book Antiqua" w:hAnsi="Book Antiqua"/>
          <w:sz w:val="24"/>
          <w:szCs w:val="24"/>
        </w:rPr>
        <w:t>T</w:t>
      </w:r>
      <w:r w:rsidR="0048796C" w:rsidRPr="00D936D5">
        <w:rPr>
          <w:rFonts w:ascii="Book Antiqua" w:hAnsi="Book Antiqua"/>
          <w:sz w:val="24"/>
          <w:szCs w:val="24"/>
        </w:rPr>
        <w:t xml:space="preserve">he ratio of </w:t>
      </w:r>
      <w:proofErr w:type="spellStart"/>
      <w:r w:rsidR="0048796C" w:rsidRPr="00D936D5">
        <w:rPr>
          <w:rFonts w:ascii="Book Antiqua" w:hAnsi="Book Antiqua"/>
          <w:sz w:val="24"/>
          <w:szCs w:val="24"/>
        </w:rPr>
        <w:t>VWF:Ag</w:t>
      </w:r>
      <w:proofErr w:type="spellEnd"/>
      <w:r w:rsidR="0048796C" w:rsidRPr="00D936D5">
        <w:rPr>
          <w:rFonts w:ascii="Book Antiqua" w:hAnsi="Book Antiqua"/>
          <w:sz w:val="24"/>
          <w:szCs w:val="24"/>
        </w:rPr>
        <w:t xml:space="preserve"> to ADAMTS13:AC; </w:t>
      </w:r>
      <w:r w:rsidRPr="00D936D5">
        <w:rPr>
          <w:rFonts w:ascii="Book Antiqua" w:hAnsi="Book Antiqua"/>
          <w:sz w:val="24"/>
          <w:szCs w:val="24"/>
        </w:rPr>
        <w:t>OR</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Odds </w:t>
      </w:r>
      <w:r w:rsidRPr="00D936D5">
        <w:rPr>
          <w:rFonts w:ascii="Book Antiqua" w:hAnsi="Book Antiqua"/>
          <w:sz w:val="24"/>
          <w:szCs w:val="24"/>
        </w:rPr>
        <w:t>ratio; CI</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Confidence </w:t>
      </w:r>
      <w:r w:rsidRPr="00D936D5">
        <w:rPr>
          <w:rFonts w:ascii="Book Antiqua" w:hAnsi="Book Antiqua"/>
          <w:sz w:val="24"/>
          <w:szCs w:val="24"/>
        </w:rPr>
        <w:t>interval.</w:t>
      </w:r>
    </w:p>
    <w:p w14:paraId="422404AD" w14:textId="77777777" w:rsidR="000800D9" w:rsidRPr="00D936D5" w:rsidRDefault="000800D9" w:rsidP="00120959">
      <w:pPr>
        <w:spacing w:line="360" w:lineRule="auto"/>
        <w:rPr>
          <w:rFonts w:ascii="Book Antiqua" w:hAnsi="Book Antiqua"/>
          <w:b/>
          <w:sz w:val="24"/>
          <w:szCs w:val="24"/>
        </w:rPr>
      </w:pPr>
    </w:p>
    <w:p w14:paraId="7AD432E4" w14:textId="77777777" w:rsidR="000800D9" w:rsidRPr="00D936D5" w:rsidRDefault="000800D9" w:rsidP="00120959">
      <w:pPr>
        <w:spacing w:line="360" w:lineRule="auto"/>
        <w:rPr>
          <w:rFonts w:ascii="Book Antiqua" w:hAnsi="Book Antiqua"/>
          <w:b/>
          <w:sz w:val="24"/>
          <w:szCs w:val="24"/>
        </w:rPr>
      </w:pPr>
    </w:p>
    <w:p w14:paraId="39B1510F" w14:textId="77777777" w:rsidR="000800D9" w:rsidRPr="00D936D5" w:rsidRDefault="000800D9" w:rsidP="00120959">
      <w:pPr>
        <w:spacing w:line="360" w:lineRule="auto"/>
        <w:rPr>
          <w:rFonts w:ascii="Book Antiqua" w:hAnsi="Book Antiqua"/>
          <w:b/>
          <w:sz w:val="24"/>
          <w:szCs w:val="24"/>
        </w:rPr>
      </w:pPr>
    </w:p>
    <w:p w14:paraId="627F8C95" w14:textId="77777777" w:rsidR="000800D9" w:rsidRPr="00D936D5" w:rsidRDefault="000800D9" w:rsidP="00120959">
      <w:pPr>
        <w:spacing w:line="360" w:lineRule="auto"/>
        <w:rPr>
          <w:rFonts w:ascii="Book Antiqua" w:hAnsi="Book Antiqua"/>
          <w:b/>
          <w:sz w:val="24"/>
          <w:szCs w:val="24"/>
        </w:rPr>
      </w:pPr>
    </w:p>
    <w:p w14:paraId="52410BB1" w14:textId="77777777" w:rsidR="000800D9" w:rsidRPr="00D936D5" w:rsidRDefault="000800D9" w:rsidP="00120959">
      <w:pPr>
        <w:spacing w:line="360" w:lineRule="auto"/>
        <w:rPr>
          <w:rFonts w:ascii="Book Antiqua" w:hAnsi="Book Antiqua"/>
          <w:b/>
          <w:sz w:val="24"/>
          <w:szCs w:val="24"/>
        </w:rPr>
      </w:pPr>
    </w:p>
    <w:p w14:paraId="246A5DCB" w14:textId="77777777" w:rsidR="000800D9" w:rsidRPr="00D936D5" w:rsidRDefault="000800D9" w:rsidP="00120959">
      <w:pPr>
        <w:spacing w:line="360" w:lineRule="auto"/>
        <w:rPr>
          <w:rFonts w:ascii="Book Antiqua" w:hAnsi="Book Antiqua"/>
          <w:b/>
          <w:sz w:val="24"/>
          <w:szCs w:val="24"/>
        </w:rPr>
      </w:pPr>
    </w:p>
    <w:p w14:paraId="1F9CFC15" w14:textId="77777777" w:rsidR="000800D9" w:rsidRPr="00D936D5" w:rsidRDefault="000800D9" w:rsidP="00120959">
      <w:pPr>
        <w:spacing w:line="360" w:lineRule="auto"/>
        <w:rPr>
          <w:rFonts w:ascii="Book Antiqua" w:hAnsi="Book Antiqua"/>
          <w:b/>
          <w:sz w:val="24"/>
          <w:szCs w:val="24"/>
        </w:rPr>
      </w:pPr>
    </w:p>
    <w:p w14:paraId="647F621B" w14:textId="77777777" w:rsidR="000800D9" w:rsidRPr="00D936D5" w:rsidRDefault="000800D9" w:rsidP="00120959">
      <w:pPr>
        <w:spacing w:line="360" w:lineRule="auto"/>
        <w:rPr>
          <w:rFonts w:ascii="Book Antiqua" w:hAnsi="Book Antiqua"/>
          <w:b/>
          <w:sz w:val="24"/>
          <w:szCs w:val="24"/>
        </w:rPr>
      </w:pPr>
    </w:p>
    <w:p w14:paraId="05E393A8" w14:textId="77777777" w:rsidR="000800D9" w:rsidRPr="00D936D5" w:rsidRDefault="000800D9" w:rsidP="00120959">
      <w:pPr>
        <w:spacing w:line="360" w:lineRule="auto"/>
        <w:rPr>
          <w:rFonts w:ascii="Book Antiqua" w:hAnsi="Book Antiqua"/>
          <w:b/>
          <w:sz w:val="24"/>
          <w:szCs w:val="24"/>
        </w:rPr>
      </w:pPr>
    </w:p>
    <w:p w14:paraId="06A45273" w14:textId="77777777" w:rsidR="000800D9" w:rsidRPr="00D936D5" w:rsidRDefault="000800D9" w:rsidP="00120959">
      <w:pPr>
        <w:spacing w:line="360" w:lineRule="auto"/>
        <w:rPr>
          <w:rFonts w:ascii="Book Antiqua" w:hAnsi="Book Antiqua"/>
          <w:b/>
          <w:sz w:val="24"/>
          <w:szCs w:val="24"/>
        </w:rPr>
      </w:pPr>
    </w:p>
    <w:p w14:paraId="4B68CBC2" w14:textId="77777777" w:rsidR="000800D9" w:rsidRPr="00D936D5" w:rsidRDefault="000800D9" w:rsidP="00120959">
      <w:pPr>
        <w:spacing w:line="360" w:lineRule="auto"/>
        <w:rPr>
          <w:rFonts w:ascii="Book Antiqua" w:hAnsi="Book Antiqua"/>
          <w:b/>
          <w:sz w:val="24"/>
          <w:szCs w:val="24"/>
        </w:rPr>
      </w:pPr>
    </w:p>
    <w:p w14:paraId="0E5DB80F" w14:textId="77777777" w:rsidR="000800D9" w:rsidRPr="00D936D5" w:rsidRDefault="000800D9" w:rsidP="00120959">
      <w:pPr>
        <w:spacing w:line="360" w:lineRule="auto"/>
        <w:rPr>
          <w:rFonts w:ascii="Book Antiqua" w:hAnsi="Book Antiqua"/>
          <w:b/>
          <w:sz w:val="24"/>
          <w:szCs w:val="24"/>
        </w:rPr>
      </w:pPr>
    </w:p>
    <w:p w14:paraId="3C6ABE1D" w14:textId="4D127936" w:rsidR="00741934" w:rsidRPr="00DF4BD7" w:rsidRDefault="00741934" w:rsidP="00120959">
      <w:pPr>
        <w:spacing w:line="360" w:lineRule="auto"/>
        <w:rPr>
          <w:rFonts w:ascii="Book Antiqua" w:hAnsi="Book Antiqua"/>
          <w:b/>
          <w:sz w:val="24"/>
          <w:szCs w:val="24"/>
        </w:rPr>
      </w:pPr>
      <w:r w:rsidRPr="00DF4BD7">
        <w:rPr>
          <w:rFonts w:ascii="Book Antiqua" w:hAnsi="Book Antiqua"/>
          <w:b/>
          <w:sz w:val="24"/>
          <w:szCs w:val="24"/>
        </w:rPr>
        <w:t>Table</w:t>
      </w:r>
      <w:r w:rsidR="008E3B8B" w:rsidRPr="00DF4BD7">
        <w:rPr>
          <w:rFonts w:ascii="Book Antiqua" w:hAnsi="Book Antiqua"/>
          <w:b/>
          <w:sz w:val="24"/>
          <w:szCs w:val="24"/>
        </w:rPr>
        <w:t xml:space="preserve"> </w:t>
      </w:r>
      <w:r w:rsidR="00DF4BD7" w:rsidRPr="00DF4BD7">
        <w:rPr>
          <w:rFonts w:ascii="Book Antiqua" w:hAnsi="Book Antiqua"/>
          <w:b/>
          <w:sz w:val="24"/>
          <w:szCs w:val="24"/>
        </w:rPr>
        <w:t>3</w:t>
      </w:r>
      <w:r w:rsidRPr="00DF4BD7">
        <w:rPr>
          <w:rFonts w:ascii="Book Antiqua" w:hAnsi="Book Antiqua"/>
          <w:b/>
          <w:sz w:val="24"/>
          <w:szCs w:val="24"/>
        </w:rPr>
        <w:t xml:space="preserve"> Prognostic factors for patients with </w:t>
      </w:r>
      <w:r w:rsidR="00DF4BD7" w:rsidRPr="00DF4BD7">
        <w:rPr>
          <w:rFonts w:ascii="Book Antiqua" w:hAnsi="Book Antiqua"/>
          <w:b/>
          <w:sz w:val="24"/>
          <w:szCs w:val="24"/>
        </w:rPr>
        <w:t>hepatocellular carcinoma</w:t>
      </w:r>
      <w:r w:rsidRPr="00DF4BD7">
        <w:rPr>
          <w:rFonts w:ascii="Book Antiqua" w:hAnsi="Book Antiqua"/>
          <w:b/>
          <w:sz w:val="24"/>
          <w:szCs w:val="24"/>
        </w:rPr>
        <w:t xml:space="preserve"> receiving sorafenib treatment</w:t>
      </w:r>
    </w:p>
    <w:p w14:paraId="660C2DE2" w14:textId="22A1F77E" w:rsidR="00741934" w:rsidRPr="00D936D5" w:rsidRDefault="00741934" w:rsidP="00120959">
      <w:pPr>
        <w:spacing w:line="360" w:lineRule="auto"/>
        <w:rPr>
          <w:rFonts w:ascii="Book Antiqua" w:hAnsi="Book Antiqua"/>
          <w:b/>
          <w:sz w:val="24"/>
          <w:szCs w:val="24"/>
        </w:rPr>
      </w:pPr>
    </w:p>
    <w:tbl>
      <w:tblPr>
        <w:tblW w:w="7980" w:type="dxa"/>
        <w:tblInd w:w="10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360"/>
        <w:gridCol w:w="2400"/>
        <w:gridCol w:w="1220"/>
      </w:tblGrid>
      <w:tr w:rsidR="00D936D5" w:rsidRPr="00D936D5" w14:paraId="11134A43" w14:textId="77777777" w:rsidTr="00DF4BD7">
        <w:trPr>
          <w:trHeight w:val="375"/>
        </w:trPr>
        <w:tc>
          <w:tcPr>
            <w:tcW w:w="4360" w:type="dxa"/>
            <w:tcBorders>
              <w:top w:val="single" w:sz="4" w:space="0" w:color="auto"/>
              <w:bottom w:val="single" w:sz="4" w:space="0" w:color="auto"/>
            </w:tcBorders>
            <w:shd w:val="clear" w:color="auto" w:fill="auto"/>
            <w:noWrap/>
            <w:vAlign w:val="bottom"/>
            <w:hideMark/>
          </w:tcPr>
          <w:p w14:paraId="07FA08D3"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936D5">
              <w:rPr>
                <w:rFonts w:ascii="Book Antiqua" w:eastAsia="Yu Gothic" w:hAnsi="Book Antiqua" w:cs="MS PGothic"/>
                <w:b/>
                <w:bCs/>
                <w:kern w:val="0"/>
                <w:sz w:val="24"/>
                <w:szCs w:val="24"/>
              </w:rPr>
              <w:t>Univariate analysis</w:t>
            </w:r>
          </w:p>
        </w:tc>
        <w:tc>
          <w:tcPr>
            <w:tcW w:w="2400" w:type="dxa"/>
            <w:tcBorders>
              <w:top w:val="single" w:sz="4" w:space="0" w:color="auto"/>
              <w:bottom w:val="single" w:sz="4" w:space="0" w:color="auto"/>
            </w:tcBorders>
            <w:shd w:val="clear" w:color="auto" w:fill="auto"/>
            <w:noWrap/>
            <w:vAlign w:val="bottom"/>
            <w:hideMark/>
          </w:tcPr>
          <w:p w14:paraId="1E3144C5" w14:textId="7C3BDDD4" w:rsidR="00301DC0" w:rsidRPr="00D936D5" w:rsidRDefault="00DF4BD7" w:rsidP="00120959">
            <w:pPr>
              <w:widowControl/>
              <w:spacing w:line="360" w:lineRule="auto"/>
              <w:rPr>
                <w:rFonts w:ascii="Book Antiqua" w:eastAsia="Yu Gothic" w:hAnsi="Book Antiqua" w:cs="MS PGothic"/>
                <w:b/>
                <w:bCs/>
                <w:kern w:val="0"/>
                <w:sz w:val="24"/>
                <w:szCs w:val="24"/>
              </w:rPr>
            </w:pPr>
            <w:r>
              <w:rPr>
                <w:rFonts w:ascii="Book Antiqua" w:eastAsia="Yu Gothic" w:hAnsi="Book Antiqua" w:cs="MS PGothic"/>
                <w:b/>
                <w:bCs/>
                <w:kern w:val="0"/>
                <w:sz w:val="24"/>
                <w:szCs w:val="24"/>
              </w:rPr>
              <w:t>HR (95%</w:t>
            </w:r>
            <w:r w:rsidR="00301DC0" w:rsidRPr="00D936D5">
              <w:rPr>
                <w:rFonts w:ascii="Book Antiqua" w:eastAsia="Yu Gothic" w:hAnsi="Book Antiqua" w:cs="MS PGothic"/>
                <w:b/>
                <w:bCs/>
                <w:kern w:val="0"/>
                <w:sz w:val="24"/>
                <w:szCs w:val="24"/>
              </w:rPr>
              <w:t>CI)</w:t>
            </w:r>
          </w:p>
        </w:tc>
        <w:tc>
          <w:tcPr>
            <w:tcW w:w="1220" w:type="dxa"/>
            <w:tcBorders>
              <w:top w:val="single" w:sz="4" w:space="0" w:color="auto"/>
              <w:bottom w:val="single" w:sz="4" w:space="0" w:color="auto"/>
            </w:tcBorders>
            <w:shd w:val="clear" w:color="auto" w:fill="auto"/>
            <w:noWrap/>
            <w:vAlign w:val="bottom"/>
            <w:hideMark/>
          </w:tcPr>
          <w:p w14:paraId="6328034B"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F4BD7">
              <w:rPr>
                <w:rFonts w:ascii="Book Antiqua" w:eastAsia="Yu Gothic" w:hAnsi="Book Antiqua" w:cs="MS PGothic"/>
                <w:b/>
                <w:bCs/>
                <w:i/>
                <w:kern w:val="0"/>
                <w:sz w:val="24"/>
                <w:szCs w:val="24"/>
              </w:rPr>
              <w:t xml:space="preserve">P </w:t>
            </w:r>
            <w:r w:rsidRPr="00D936D5">
              <w:rPr>
                <w:rFonts w:ascii="Book Antiqua" w:eastAsia="Yu Gothic" w:hAnsi="Book Antiqua" w:cs="MS PGothic"/>
                <w:b/>
                <w:bCs/>
                <w:kern w:val="0"/>
                <w:sz w:val="24"/>
                <w:szCs w:val="24"/>
              </w:rPr>
              <w:t>value</w:t>
            </w:r>
          </w:p>
        </w:tc>
      </w:tr>
      <w:tr w:rsidR="00D936D5" w:rsidRPr="00D936D5" w14:paraId="62841B66" w14:textId="77777777" w:rsidTr="00DF4BD7">
        <w:trPr>
          <w:trHeight w:val="375"/>
        </w:trPr>
        <w:tc>
          <w:tcPr>
            <w:tcW w:w="4360" w:type="dxa"/>
            <w:tcBorders>
              <w:top w:val="single" w:sz="4" w:space="0" w:color="auto"/>
            </w:tcBorders>
            <w:shd w:val="clear" w:color="auto" w:fill="auto"/>
            <w:noWrap/>
            <w:vAlign w:val="center"/>
            <w:hideMark/>
          </w:tcPr>
          <w:p w14:paraId="2C14A30A" w14:textId="0279F63C"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Age (per 1</w:t>
            </w:r>
            <w:r w:rsidR="00DF4BD7" w:rsidRPr="00DF4BD7">
              <w:rPr>
                <w:rFonts w:ascii="Book Antiqua" w:eastAsia="SimSun" w:hAnsi="Book Antiqua" w:cs="MS PGothic" w:hint="eastAsia"/>
                <w:bCs/>
                <w:kern w:val="0"/>
                <w:sz w:val="24"/>
                <w:szCs w:val="24"/>
                <w:lang w:eastAsia="zh-CN"/>
              </w:rPr>
              <w:t xml:space="preserve"> </w:t>
            </w:r>
            <w:proofErr w:type="spellStart"/>
            <w:r w:rsidR="00DF4BD7" w:rsidRPr="00DF4BD7">
              <w:rPr>
                <w:rFonts w:ascii="Book Antiqua" w:eastAsia="Yu Gothic" w:hAnsi="Book Antiqua" w:cs="MS PGothic"/>
                <w:bCs/>
                <w:kern w:val="0"/>
                <w:sz w:val="24"/>
                <w:szCs w:val="24"/>
              </w:rPr>
              <w:t>y</w:t>
            </w:r>
            <w:r w:rsidRPr="00DF4BD7">
              <w:rPr>
                <w:rFonts w:ascii="Book Antiqua" w:eastAsia="Yu Gothic" w:hAnsi="Book Antiqua" w:cs="MS PGothic"/>
                <w:bCs/>
                <w:kern w:val="0"/>
                <w:sz w:val="24"/>
                <w:szCs w:val="24"/>
              </w:rPr>
              <w:t>r</w:t>
            </w:r>
            <w:proofErr w:type="spellEnd"/>
            <w:r w:rsidRPr="00DF4BD7">
              <w:rPr>
                <w:rFonts w:ascii="Book Antiqua" w:eastAsia="Yu Gothic" w:hAnsi="Book Antiqua" w:cs="MS PGothic"/>
                <w:bCs/>
                <w:kern w:val="0"/>
                <w:sz w:val="24"/>
                <w:szCs w:val="24"/>
              </w:rPr>
              <w:t xml:space="preserve"> increase)</w:t>
            </w:r>
          </w:p>
        </w:tc>
        <w:tc>
          <w:tcPr>
            <w:tcW w:w="2400" w:type="dxa"/>
            <w:tcBorders>
              <w:top w:val="single" w:sz="4" w:space="0" w:color="auto"/>
            </w:tcBorders>
            <w:shd w:val="clear" w:color="auto" w:fill="auto"/>
            <w:noWrap/>
            <w:vAlign w:val="bottom"/>
            <w:hideMark/>
          </w:tcPr>
          <w:p w14:paraId="2EBF810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1.16 (1.032-1.304)</w:t>
            </w:r>
          </w:p>
        </w:tc>
        <w:tc>
          <w:tcPr>
            <w:tcW w:w="1220" w:type="dxa"/>
            <w:tcBorders>
              <w:top w:val="single" w:sz="4" w:space="0" w:color="auto"/>
            </w:tcBorders>
            <w:shd w:val="clear" w:color="auto" w:fill="auto"/>
            <w:noWrap/>
            <w:vAlign w:val="bottom"/>
            <w:hideMark/>
          </w:tcPr>
          <w:p w14:paraId="03C61E4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0.0127 </w:t>
            </w:r>
          </w:p>
        </w:tc>
      </w:tr>
      <w:tr w:rsidR="00D936D5" w:rsidRPr="00D936D5" w14:paraId="5214DFBF" w14:textId="77777777" w:rsidTr="00DF4BD7">
        <w:trPr>
          <w:trHeight w:val="375"/>
        </w:trPr>
        <w:tc>
          <w:tcPr>
            <w:tcW w:w="4360" w:type="dxa"/>
            <w:shd w:val="clear" w:color="auto" w:fill="auto"/>
            <w:noWrap/>
            <w:vAlign w:val="bottom"/>
            <w:hideMark/>
          </w:tcPr>
          <w:p w14:paraId="011C0C33" w14:textId="30E97EBE"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Sex (male </w:t>
            </w:r>
            <w:r w:rsidRPr="00DF4BD7">
              <w:rPr>
                <w:rFonts w:ascii="Book Antiqua" w:eastAsia="Yu Gothic" w:hAnsi="Book Antiqua" w:cs="MS PGothic"/>
                <w:bCs/>
                <w:i/>
                <w:kern w:val="0"/>
                <w:sz w:val="24"/>
                <w:szCs w:val="24"/>
              </w:rPr>
              <w:t>vs</w:t>
            </w:r>
            <w:r w:rsidR="00301DC0" w:rsidRPr="00DF4BD7">
              <w:rPr>
                <w:rFonts w:ascii="Book Antiqua" w:eastAsia="Yu Gothic" w:hAnsi="Book Antiqua" w:cs="MS PGothic"/>
                <w:bCs/>
                <w:kern w:val="0"/>
                <w:sz w:val="24"/>
                <w:szCs w:val="24"/>
              </w:rPr>
              <w:t xml:space="preserve"> female)</w:t>
            </w:r>
          </w:p>
        </w:tc>
        <w:tc>
          <w:tcPr>
            <w:tcW w:w="2400" w:type="dxa"/>
            <w:shd w:val="clear" w:color="auto" w:fill="auto"/>
            <w:noWrap/>
            <w:vAlign w:val="bottom"/>
            <w:hideMark/>
          </w:tcPr>
          <w:p w14:paraId="2C0CA27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0.062 (0.000382-1.008)</w:t>
            </w:r>
          </w:p>
        </w:tc>
        <w:tc>
          <w:tcPr>
            <w:tcW w:w="1220" w:type="dxa"/>
            <w:shd w:val="clear" w:color="auto" w:fill="auto"/>
            <w:noWrap/>
            <w:vAlign w:val="bottom"/>
            <w:hideMark/>
          </w:tcPr>
          <w:p w14:paraId="7BC1BA4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0.0561 </w:t>
            </w:r>
          </w:p>
        </w:tc>
      </w:tr>
      <w:tr w:rsidR="00D936D5" w:rsidRPr="00D936D5" w14:paraId="594263A5" w14:textId="77777777" w:rsidTr="00DF4BD7">
        <w:trPr>
          <w:trHeight w:val="375"/>
        </w:trPr>
        <w:tc>
          <w:tcPr>
            <w:tcW w:w="4360" w:type="dxa"/>
            <w:shd w:val="clear" w:color="auto" w:fill="auto"/>
            <w:noWrap/>
            <w:vAlign w:val="center"/>
            <w:hideMark/>
          </w:tcPr>
          <w:p w14:paraId="05D87470" w14:textId="14E47AA1"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Viral hepatitis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5BF79C3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1.416(0.405-4.95)</w:t>
            </w:r>
          </w:p>
        </w:tc>
        <w:tc>
          <w:tcPr>
            <w:tcW w:w="1220" w:type="dxa"/>
            <w:shd w:val="clear" w:color="auto" w:fill="auto"/>
            <w:noWrap/>
            <w:vAlign w:val="bottom"/>
            <w:hideMark/>
          </w:tcPr>
          <w:p w14:paraId="452FE3C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0.5862 </w:t>
            </w:r>
          </w:p>
        </w:tc>
      </w:tr>
      <w:tr w:rsidR="00D936D5" w:rsidRPr="00D936D5" w14:paraId="0BAA042B" w14:textId="77777777" w:rsidTr="00DF4BD7">
        <w:trPr>
          <w:trHeight w:val="375"/>
        </w:trPr>
        <w:tc>
          <w:tcPr>
            <w:tcW w:w="4360" w:type="dxa"/>
            <w:shd w:val="clear" w:color="auto" w:fill="auto"/>
            <w:noWrap/>
            <w:vAlign w:val="center"/>
            <w:hideMark/>
          </w:tcPr>
          <w:p w14:paraId="62F591AC" w14:textId="2487359D"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Albumin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g/</w:t>
            </w:r>
            <w:proofErr w:type="spellStart"/>
            <w:r w:rsidRPr="00DF4BD7">
              <w:rPr>
                <w:rFonts w:ascii="Book Antiqua" w:eastAsia="Yu Gothic" w:hAnsi="Book Antiqua" w:cs="MS PGothic"/>
                <w:bCs/>
                <w:kern w:val="0"/>
                <w:sz w:val="24"/>
                <w:szCs w:val="24"/>
              </w:rPr>
              <w:t>d</w:t>
            </w:r>
            <w:r w:rsidR="00DF4BD7" w:rsidRPr="00DF4BD7">
              <w:rPr>
                <w:rFonts w:ascii="Book Antiqua" w:eastAsia="Yu Gothic" w:hAnsi="Book Antiqua" w:cs="MS PGothic"/>
                <w:bCs/>
                <w:kern w:val="0"/>
                <w:sz w:val="24"/>
                <w:szCs w:val="24"/>
              </w:rPr>
              <w:t>L</w:t>
            </w:r>
            <w:proofErr w:type="spellEnd"/>
            <w:r w:rsidRPr="00DF4BD7">
              <w:rPr>
                <w:rFonts w:ascii="Book Antiqua" w:eastAsia="Yu Gothic" w:hAnsi="Book Antiqua" w:cs="MS PGothic"/>
                <w:bCs/>
                <w:kern w:val="0"/>
                <w:sz w:val="24"/>
                <w:szCs w:val="24"/>
              </w:rPr>
              <w:t xml:space="preserve"> decrease)</w:t>
            </w:r>
          </w:p>
        </w:tc>
        <w:tc>
          <w:tcPr>
            <w:tcW w:w="2400" w:type="dxa"/>
            <w:shd w:val="clear" w:color="auto" w:fill="auto"/>
            <w:noWrap/>
            <w:vAlign w:val="bottom"/>
            <w:hideMark/>
          </w:tcPr>
          <w:p w14:paraId="01E2606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0.427 (0.0750-2.44)</w:t>
            </w:r>
          </w:p>
        </w:tc>
        <w:tc>
          <w:tcPr>
            <w:tcW w:w="1220" w:type="dxa"/>
            <w:shd w:val="clear" w:color="auto" w:fill="auto"/>
            <w:noWrap/>
            <w:vAlign w:val="bottom"/>
            <w:hideMark/>
          </w:tcPr>
          <w:p w14:paraId="649A39D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0.3388 </w:t>
            </w:r>
          </w:p>
        </w:tc>
      </w:tr>
      <w:tr w:rsidR="00D936D5" w:rsidRPr="00D936D5" w14:paraId="180E9AFD" w14:textId="77777777" w:rsidTr="00DF4BD7">
        <w:trPr>
          <w:trHeight w:val="375"/>
        </w:trPr>
        <w:tc>
          <w:tcPr>
            <w:tcW w:w="4360" w:type="dxa"/>
            <w:shd w:val="clear" w:color="auto" w:fill="auto"/>
            <w:noWrap/>
            <w:vAlign w:val="center"/>
            <w:hideMark/>
          </w:tcPr>
          <w:p w14:paraId="146E90E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Prothrombin time (per 1% decrease)</w:t>
            </w:r>
          </w:p>
        </w:tc>
        <w:tc>
          <w:tcPr>
            <w:tcW w:w="2400" w:type="dxa"/>
            <w:shd w:val="clear" w:color="auto" w:fill="auto"/>
            <w:noWrap/>
            <w:vAlign w:val="bottom"/>
            <w:hideMark/>
          </w:tcPr>
          <w:p w14:paraId="70BAD3D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1.008 (0.969-1.048) </w:t>
            </w:r>
          </w:p>
        </w:tc>
        <w:tc>
          <w:tcPr>
            <w:tcW w:w="1220" w:type="dxa"/>
            <w:shd w:val="clear" w:color="auto" w:fill="auto"/>
            <w:noWrap/>
            <w:vAlign w:val="bottom"/>
            <w:hideMark/>
          </w:tcPr>
          <w:p w14:paraId="4A5E206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0.3910 </w:t>
            </w:r>
          </w:p>
        </w:tc>
      </w:tr>
      <w:tr w:rsidR="00D936D5" w:rsidRPr="00D936D5" w14:paraId="4014D2D7" w14:textId="77777777" w:rsidTr="00DF4BD7">
        <w:trPr>
          <w:trHeight w:val="375"/>
        </w:trPr>
        <w:tc>
          <w:tcPr>
            <w:tcW w:w="4360" w:type="dxa"/>
            <w:shd w:val="clear" w:color="auto" w:fill="auto"/>
            <w:noWrap/>
            <w:vAlign w:val="center"/>
          </w:tcPr>
          <w:p w14:paraId="035CA7E4" w14:textId="72207D9B"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hAnsi="Book Antiqua"/>
                <w:bCs/>
                <w:sz w:val="24"/>
                <w:szCs w:val="24"/>
              </w:rPr>
              <w:t xml:space="preserve">Total bilirubin </w:t>
            </w:r>
            <w:r w:rsidRPr="00DF4BD7">
              <w:rPr>
                <w:rFonts w:ascii="Book Antiqua" w:eastAsia="Yu Gothic" w:hAnsi="Book Antiqua" w:cs="MS PGothic"/>
                <w:bCs/>
                <w:kern w:val="0"/>
                <w:sz w:val="24"/>
                <w:szCs w:val="24"/>
              </w:rPr>
              <w:t>(per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mg/</w:t>
            </w:r>
            <w:proofErr w:type="spellStart"/>
            <w:r w:rsidRPr="00DF4BD7">
              <w:rPr>
                <w:rFonts w:ascii="Book Antiqua" w:eastAsia="Yu Gothic" w:hAnsi="Book Antiqua" w:cs="MS PGothic"/>
                <w:bCs/>
                <w:kern w:val="0"/>
                <w:sz w:val="24"/>
                <w:szCs w:val="24"/>
              </w:rPr>
              <w:t>dL</w:t>
            </w:r>
            <w:proofErr w:type="spellEnd"/>
            <w:r w:rsidRPr="00DF4BD7">
              <w:rPr>
                <w:rFonts w:ascii="Book Antiqua" w:eastAsia="Yu Gothic" w:hAnsi="Book Antiqua" w:cs="MS PGothic"/>
                <w:bCs/>
                <w:kern w:val="0"/>
                <w:sz w:val="24"/>
                <w:szCs w:val="24"/>
              </w:rPr>
              <w:t xml:space="preserve"> increase)</w:t>
            </w:r>
          </w:p>
        </w:tc>
        <w:tc>
          <w:tcPr>
            <w:tcW w:w="2400" w:type="dxa"/>
            <w:shd w:val="clear" w:color="auto" w:fill="auto"/>
            <w:noWrap/>
            <w:vAlign w:val="bottom"/>
          </w:tcPr>
          <w:p w14:paraId="14A1905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4.203 (0.417-42.30)</w:t>
            </w:r>
          </w:p>
        </w:tc>
        <w:tc>
          <w:tcPr>
            <w:tcW w:w="1220" w:type="dxa"/>
            <w:shd w:val="clear" w:color="auto" w:fill="auto"/>
            <w:noWrap/>
            <w:vAlign w:val="bottom"/>
          </w:tcPr>
          <w:p w14:paraId="152B7AD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0.2230</w:t>
            </w:r>
          </w:p>
        </w:tc>
      </w:tr>
      <w:tr w:rsidR="00D936D5" w:rsidRPr="00D936D5" w14:paraId="1E503F41" w14:textId="77777777" w:rsidTr="00DF4BD7">
        <w:trPr>
          <w:trHeight w:val="375"/>
        </w:trPr>
        <w:tc>
          <w:tcPr>
            <w:tcW w:w="4360" w:type="dxa"/>
            <w:shd w:val="clear" w:color="auto" w:fill="auto"/>
            <w:noWrap/>
            <w:vAlign w:val="center"/>
            <w:hideMark/>
          </w:tcPr>
          <w:p w14:paraId="79E94D2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Platelet count (per 10</w:t>
            </w:r>
            <w:r w:rsidRPr="00DF4BD7">
              <w:rPr>
                <w:rFonts w:ascii="Book Antiqua" w:eastAsia="Yu Gothic" w:hAnsi="Book Antiqua" w:cs="MS PGothic"/>
                <w:bCs/>
                <w:kern w:val="0"/>
                <w:sz w:val="24"/>
                <w:szCs w:val="24"/>
                <w:vertAlign w:val="superscript"/>
              </w:rPr>
              <w:t>4</w:t>
            </w:r>
            <w:r w:rsidRPr="00DF4BD7">
              <w:rPr>
                <w:rFonts w:ascii="Book Antiqua" w:eastAsia="Yu Gothic" w:hAnsi="Book Antiqua" w:cs="MS PGothic"/>
                <w:bCs/>
                <w:kern w:val="0"/>
                <w:sz w:val="24"/>
                <w:szCs w:val="24"/>
              </w:rPr>
              <w:t>/µL decrease)</w:t>
            </w:r>
          </w:p>
        </w:tc>
        <w:tc>
          <w:tcPr>
            <w:tcW w:w="2400" w:type="dxa"/>
            <w:shd w:val="clear" w:color="auto" w:fill="auto"/>
            <w:noWrap/>
            <w:vAlign w:val="bottom"/>
            <w:hideMark/>
          </w:tcPr>
          <w:p w14:paraId="0642DE1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0.906 (0.807-1.018)</w:t>
            </w:r>
          </w:p>
        </w:tc>
        <w:tc>
          <w:tcPr>
            <w:tcW w:w="1220" w:type="dxa"/>
            <w:shd w:val="clear" w:color="auto" w:fill="auto"/>
            <w:noWrap/>
            <w:vAlign w:val="bottom"/>
            <w:hideMark/>
          </w:tcPr>
          <w:p w14:paraId="4E4DEB7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0.4970 </w:t>
            </w:r>
          </w:p>
        </w:tc>
      </w:tr>
      <w:tr w:rsidR="00D936D5" w:rsidRPr="00D936D5" w14:paraId="1DCA9751" w14:textId="77777777" w:rsidTr="00DF4BD7">
        <w:trPr>
          <w:trHeight w:val="375"/>
        </w:trPr>
        <w:tc>
          <w:tcPr>
            <w:tcW w:w="4360" w:type="dxa"/>
            <w:shd w:val="clear" w:color="auto" w:fill="auto"/>
            <w:noWrap/>
            <w:vAlign w:val="center"/>
            <w:hideMark/>
          </w:tcPr>
          <w:p w14:paraId="07976B78" w14:textId="3EA58294"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ng/m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00" w:type="dxa"/>
            <w:shd w:val="clear" w:color="auto" w:fill="auto"/>
            <w:noWrap/>
            <w:vAlign w:val="bottom"/>
            <w:hideMark/>
          </w:tcPr>
          <w:p w14:paraId="57029FA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220" w:type="dxa"/>
            <w:shd w:val="clear" w:color="auto" w:fill="auto"/>
            <w:noWrap/>
            <w:vAlign w:val="bottom"/>
            <w:hideMark/>
          </w:tcPr>
          <w:p w14:paraId="1AB49BD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0.3334 </w:t>
            </w:r>
          </w:p>
        </w:tc>
      </w:tr>
      <w:tr w:rsidR="00D936D5" w:rsidRPr="00D936D5" w14:paraId="61E7FAAF" w14:textId="77777777" w:rsidTr="00DF4BD7">
        <w:trPr>
          <w:trHeight w:val="375"/>
        </w:trPr>
        <w:tc>
          <w:tcPr>
            <w:tcW w:w="4360" w:type="dxa"/>
            <w:shd w:val="clear" w:color="auto" w:fill="auto"/>
            <w:noWrap/>
            <w:vAlign w:val="center"/>
            <w:hideMark/>
          </w:tcPr>
          <w:p w14:paraId="001BB19B" w14:textId="47EF3B1A"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DCP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mAU</w:t>
            </w:r>
            <w:proofErr w:type="spellEnd"/>
            <w:r w:rsidRPr="00DF4BD7">
              <w:rPr>
                <w:rFonts w:ascii="Book Antiqua" w:eastAsia="Yu Gothic" w:hAnsi="Book Antiqua" w:cs="MS PGothic"/>
                <w:bCs/>
                <w:kern w:val="0"/>
                <w:sz w:val="24"/>
                <w:szCs w:val="24"/>
              </w:rPr>
              <w:t>/m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00" w:type="dxa"/>
            <w:shd w:val="clear" w:color="auto" w:fill="auto"/>
            <w:noWrap/>
            <w:vAlign w:val="bottom"/>
            <w:hideMark/>
          </w:tcPr>
          <w:p w14:paraId="41793D1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220" w:type="dxa"/>
            <w:shd w:val="clear" w:color="auto" w:fill="auto"/>
            <w:noWrap/>
            <w:vAlign w:val="bottom"/>
            <w:hideMark/>
          </w:tcPr>
          <w:p w14:paraId="632A1EA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0.0136 </w:t>
            </w:r>
          </w:p>
        </w:tc>
      </w:tr>
      <w:tr w:rsidR="00D936D5" w:rsidRPr="00D936D5" w14:paraId="26FEE196" w14:textId="77777777" w:rsidTr="00DF4BD7">
        <w:trPr>
          <w:trHeight w:val="375"/>
        </w:trPr>
        <w:tc>
          <w:tcPr>
            <w:tcW w:w="4360" w:type="dxa"/>
            <w:shd w:val="clear" w:color="auto" w:fill="auto"/>
            <w:noWrap/>
            <w:vAlign w:val="center"/>
            <w:hideMark/>
          </w:tcPr>
          <w:p w14:paraId="1B8906FC" w14:textId="0A8C9C76"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AFP-L3% (per 1</w:t>
            </w:r>
            <w:r w:rsidR="00301DC0" w:rsidRPr="00DF4BD7">
              <w:rPr>
                <w:rFonts w:ascii="Book Antiqua" w:eastAsia="Yu Gothic" w:hAnsi="Book Antiqua" w:cs="MS PGothic"/>
                <w:bCs/>
                <w:kern w:val="0"/>
                <w:sz w:val="24"/>
                <w:szCs w:val="24"/>
              </w:rPr>
              <w:t>% increase)</w:t>
            </w:r>
          </w:p>
        </w:tc>
        <w:tc>
          <w:tcPr>
            <w:tcW w:w="2400" w:type="dxa"/>
            <w:shd w:val="clear" w:color="auto" w:fill="auto"/>
            <w:noWrap/>
            <w:vAlign w:val="bottom"/>
            <w:hideMark/>
          </w:tcPr>
          <w:p w14:paraId="72DDAB3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0.999 (0.969-1.031)</w:t>
            </w:r>
          </w:p>
        </w:tc>
        <w:tc>
          <w:tcPr>
            <w:tcW w:w="1220" w:type="dxa"/>
            <w:shd w:val="clear" w:color="auto" w:fill="auto"/>
            <w:noWrap/>
            <w:vAlign w:val="bottom"/>
            <w:hideMark/>
          </w:tcPr>
          <w:p w14:paraId="3CFF3E1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0.9484 </w:t>
            </w:r>
          </w:p>
        </w:tc>
      </w:tr>
      <w:tr w:rsidR="00D936D5" w:rsidRPr="00D936D5" w14:paraId="6C062A05" w14:textId="77777777" w:rsidTr="00DF4BD7">
        <w:trPr>
          <w:trHeight w:val="375"/>
        </w:trPr>
        <w:tc>
          <w:tcPr>
            <w:tcW w:w="4360" w:type="dxa"/>
            <w:shd w:val="clear" w:color="auto" w:fill="auto"/>
            <w:noWrap/>
            <w:vAlign w:val="center"/>
            <w:hideMark/>
          </w:tcPr>
          <w:p w14:paraId="1B21056C" w14:textId="4F5B22CC"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pg</w:t>
            </w:r>
            <w:proofErr w:type="spellEnd"/>
            <w:r w:rsidRPr="00DF4BD7">
              <w:rPr>
                <w:rFonts w:ascii="Book Antiqua" w:eastAsia="Yu Gothic" w:hAnsi="Book Antiqua" w:cs="MS PGothic"/>
                <w:bCs/>
                <w:kern w:val="0"/>
                <w:sz w:val="24"/>
                <w:szCs w:val="24"/>
              </w:rPr>
              <w:t>/mL increase)</w:t>
            </w:r>
          </w:p>
        </w:tc>
        <w:tc>
          <w:tcPr>
            <w:tcW w:w="2400" w:type="dxa"/>
            <w:shd w:val="clear" w:color="auto" w:fill="auto"/>
            <w:noWrap/>
            <w:vAlign w:val="bottom"/>
            <w:hideMark/>
          </w:tcPr>
          <w:p w14:paraId="5CD9B01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0.982 (0.952-1.01)</w:t>
            </w:r>
          </w:p>
        </w:tc>
        <w:tc>
          <w:tcPr>
            <w:tcW w:w="1220" w:type="dxa"/>
            <w:shd w:val="clear" w:color="auto" w:fill="auto"/>
            <w:noWrap/>
            <w:vAlign w:val="bottom"/>
            <w:hideMark/>
          </w:tcPr>
          <w:p w14:paraId="2646250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0.2426 </w:t>
            </w:r>
          </w:p>
        </w:tc>
      </w:tr>
      <w:tr w:rsidR="00D936D5" w:rsidRPr="00D936D5" w14:paraId="70C36D9A" w14:textId="77777777" w:rsidTr="00DF4BD7">
        <w:trPr>
          <w:trHeight w:val="375"/>
        </w:trPr>
        <w:tc>
          <w:tcPr>
            <w:tcW w:w="4360" w:type="dxa"/>
            <w:shd w:val="clear" w:color="auto" w:fill="auto"/>
            <w:noWrap/>
            <w:vAlign w:val="center"/>
            <w:hideMark/>
          </w:tcPr>
          <w:p w14:paraId="4386E46C" w14:textId="7652D45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VEGFR-2 (per 1</w:t>
            </w:r>
            <w:r w:rsidR="00DF4BD7" w:rsidRPr="00DF4BD7">
              <w:rPr>
                <w:rFonts w:ascii="Book Antiqua" w:eastAsia="SimSun" w:hAnsi="Book Antiqua" w:cs="MS PGothic" w:hint="eastAsia"/>
                <w:bCs/>
                <w:kern w:val="0"/>
                <w:sz w:val="24"/>
                <w:szCs w:val="24"/>
                <w:lang w:eastAsia="zh-CN"/>
              </w:rPr>
              <w:t xml:space="preserve"> </w:t>
            </w:r>
            <w:proofErr w:type="spellStart"/>
            <w:r w:rsidRPr="00DF4BD7">
              <w:rPr>
                <w:rFonts w:ascii="Book Antiqua" w:eastAsia="Yu Gothic" w:hAnsi="Book Antiqua" w:cs="MS PGothic"/>
                <w:bCs/>
                <w:kern w:val="0"/>
                <w:sz w:val="24"/>
                <w:szCs w:val="24"/>
              </w:rPr>
              <w:t>pg</w:t>
            </w:r>
            <w:proofErr w:type="spellEnd"/>
            <w:r w:rsidRPr="00DF4BD7">
              <w:rPr>
                <w:rFonts w:ascii="Book Antiqua" w:eastAsia="Yu Gothic" w:hAnsi="Book Antiqua" w:cs="MS PGothic"/>
                <w:bCs/>
                <w:kern w:val="0"/>
                <w:sz w:val="24"/>
                <w:szCs w:val="24"/>
              </w:rPr>
              <w:t>/mL increase)</w:t>
            </w:r>
          </w:p>
        </w:tc>
        <w:tc>
          <w:tcPr>
            <w:tcW w:w="2400" w:type="dxa"/>
            <w:shd w:val="clear" w:color="auto" w:fill="auto"/>
            <w:noWrap/>
            <w:vAlign w:val="bottom"/>
            <w:hideMark/>
          </w:tcPr>
          <w:p w14:paraId="28F5DE9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(0.999-1.000)</w:t>
            </w:r>
          </w:p>
        </w:tc>
        <w:tc>
          <w:tcPr>
            <w:tcW w:w="1220" w:type="dxa"/>
            <w:shd w:val="clear" w:color="auto" w:fill="auto"/>
            <w:noWrap/>
            <w:vAlign w:val="bottom"/>
            <w:hideMark/>
          </w:tcPr>
          <w:p w14:paraId="7B6870F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0.8947 </w:t>
            </w:r>
          </w:p>
        </w:tc>
      </w:tr>
      <w:tr w:rsidR="00D936D5" w:rsidRPr="00D936D5" w14:paraId="7D85CC48" w14:textId="77777777" w:rsidTr="00DF4BD7">
        <w:trPr>
          <w:trHeight w:val="375"/>
        </w:trPr>
        <w:tc>
          <w:tcPr>
            <w:tcW w:w="4360" w:type="dxa"/>
            <w:shd w:val="clear" w:color="auto" w:fill="auto"/>
            <w:noWrap/>
            <w:vAlign w:val="center"/>
            <w:hideMark/>
          </w:tcPr>
          <w:p w14:paraId="1450A91B" w14:textId="62A8B41E"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Maximum tumor size (per 1</w:t>
            </w:r>
            <w:r w:rsidR="00DF4BD7" w:rsidRPr="00DF4BD7">
              <w:rPr>
                <w:rFonts w:ascii="Book Antiqua" w:eastAsia="SimSun"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cm increase)</w:t>
            </w:r>
          </w:p>
        </w:tc>
        <w:tc>
          <w:tcPr>
            <w:tcW w:w="2400" w:type="dxa"/>
            <w:shd w:val="clear" w:color="auto" w:fill="auto"/>
            <w:noWrap/>
            <w:vAlign w:val="bottom"/>
            <w:hideMark/>
          </w:tcPr>
          <w:p w14:paraId="7574238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1.026 (0.868-1.214)</w:t>
            </w:r>
          </w:p>
        </w:tc>
        <w:tc>
          <w:tcPr>
            <w:tcW w:w="1220" w:type="dxa"/>
            <w:shd w:val="clear" w:color="auto" w:fill="auto"/>
            <w:noWrap/>
            <w:vAlign w:val="bottom"/>
            <w:hideMark/>
          </w:tcPr>
          <w:p w14:paraId="0384177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0.7622 </w:t>
            </w:r>
          </w:p>
        </w:tc>
      </w:tr>
      <w:tr w:rsidR="00D936D5" w:rsidRPr="00D936D5" w14:paraId="1550359E" w14:textId="77777777" w:rsidTr="00DF4BD7">
        <w:trPr>
          <w:trHeight w:val="375"/>
        </w:trPr>
        <w:tc>
          <w:tcPr>
            <w:tcW w:w="4360" w:type="dxa"/>
            <w:shd w:val="clear" w:color="auto" w:fill="auto"/>
            <w:noWrap/>
            <w:vAlign w:val="center"/>
            <w:hideMark/>
          </w:tcPr>
          <w:p w14:paraId="10FAD70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Tumor number (per 1 increase)</w:t>
            </w:r>
          </w:p>
        </w:tc>
        <w:tc>
          <w:tcPr>
            <w:tcW w:w="2400" w:type="dxa"/>
            <w:shd w:val="clear" w:color="auto" w:fill="auto"/>
            <w:noWrap/>
            <w:vAlign w:val="bottom"/>
            <w:hideMark/>
          </w:tcPr>
          <w:p w14:paraId="0216E3C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0.751 (0.5-1.129)</w:t>
            </w:r>
          </w:p>
        </w:tc>
        <w:tc>
          <w:tcPr>
            <w:tcW w:w="1220" w:type="dxa"/>
            <w:shd w:val="clear" w:color="auto" w:fill="auto"/>
            <w:noWrap/>
            <w:vAlign w:val="bottom"/>
            <w:hideMark/>
          </w:tcPr>
          <w:p w14:paraId="432C4B4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0.1690 </w:t>
            </w:r>
          </w:p>
        </w:tc>
      </w:tr>
      <w:tr w:rsidR="00D936D5" w:rsidRPr="00D936D5" w14:paraId="64BBAC46" w14:textId="77777777" w:rsidTr="00DF4BD7">
        <w:trPr>
          <w:trHeight w:val="375"/>
        </w:trPr>
        <w:tc>
          <w:tcPr>
            <w:tcW w:w="4360" w:type="dxa"/>
            <w:shd w:val="clear" w:color="auto" w:fill="auto"/>
            <w:noWrap/>
            <w:vAlign w:val="center"/>
            <w:hideMark/>
          </w:tcPr>
          <w:p w14:paraId="4125A492" w14:textId="54FBD80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PVTT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5C275B6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0.347 (0.0384-3.141)</w:t>
            </w:r>
          </w:p>
        </w:tc>
        <w:tc>
          <w:tcPr>
            <w:tcW w:w="1220" w:type="dxa"/>
            <w:shd w:val="clear" w:color="auto" w:fill="auto"/>
            <w:noWrap/>
            <w:vAlign w:val="bottom"/>
            <w:hideMark/>
          </w:tcPr>
          <w:p w14:paraId="6CE9E9C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0.3464 </w:t>
            </w:r>
          </w:p>
        </w:tc>
      </w:tr>
      <w:tr w:rsidR="00D936D5" w:rsidRPr="00D936D5" w14:paraId="2D2EE604" w14:textId="77777777" w:rsidTr="00DF4BD7">
        <w:trPr>
          <w:trHeight w:val="375"/>
        </w:trPr>
        <w:tc>
          <w:tcPr>
            <w:tcW w:w="4360" w:type="dxa"/>
            <w:shd w:val="clear" w:color="auto" w:fill="auto"/>
            <w:noWrap/>
            <w:vAlign w:val="center"/>
            <w:hideMark/>
          </w:tcPr>
          <w:p w14:paraId="0ECCDFDC" w14:textId="42D6392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Distant metastasis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64B4BA0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0.489 (0.129-1.854)</w:t>
            </w:r>
          </w:p>
        </w:tc>
        <w:tc>
          <w:tcPr>
            <w:tcW w:w="1220" w:type="dxa"/>
            <w:shd w:val="clear" w:color="auto" w:fill="auto"/>
            <w:noWrap/>
            <w:vAlign w:val="bottom"/>
            <w:hideMark/>
          </w:tcPr>
          <w:p w14:paraId="0450DCA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0.2936 </w:t>
            </w:r>
          </w:p>
        </w:tc>
      </w:tr>
      <w:tr w:rsidR="00D936D5" w:rsidRPr="00D936D5" w14:paraId="37BF07E4" w14:textId="77777777" w:rsidTr="00DF4BD7">
        <w:trPr>
          <w:trHeight w:val="375"/>
        </w:trPr>
        <w:tc>
          <w:tcPr>
            <w:tcW w:w="4360" w:type="dxa"/>
            <w:shd w:val="clear" w:color="auto" w:fill="auto"/>
            <w:noWrap/>
            <w:vAlign w:val="center"/>
            <w:hideMark/>
          </w:tcPr>
          <w:p w14:paraId="7B3AE30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00" w:type="dxa"/>
            <w:shd w:val="clear" w:color="auto" w:fill="auto"/>
            <w:noWrap/>
            <w:vAlign w:val="bottom"/>
            <w:hideMark/>
          </w:tcPr>
          <w:p w14:paraId="1D24202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0.936 (0.895-0.978)</w:t>
            </w:r>
          </w:p>
        </w:tc>
        <w:tc>
          <w:tcPr>
            <w:tcW w:w="1220" w:type="dxa"/>
            <w:shd w:val="clear" w:color="auto" w:fill="auto"/>
            <w:noWrap/>
            <w:vAlign w:val="bottom"/>
            <w:hideMark/>
          </w:tcPr>
          <w:p w14:paraId="0DF2D41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0.0035 </w:t>
            </w:r>
          </w:p>
        </w:tc>
      </w:tr>
      <w:tr w:rsidR="00D936D5" w:rsidRPr="00D936D5" w14:paraId="6FBD0E82" w14:textId="77777777" w:rsidTr="00DF4BD7">
        <w:trPr>
          <w:trHeight w:val="375"/>
        </w:trPr>
        <w:tc>
          <w:tcPr>
            <w:tcW w:w="4360" w:type="dxa"/>
            <w:shd w:val="clear" w:color="auto" w:fill="auto"/>
            <w:noWrap/>
            <w:vAlign w:val="center"/>
            <w:hideMark/>
          </w:tcPr>
          <w:p w14:paraId="369E7CA3" w14:textId="77777777" w:rsidR="00301DC0" w:rsidRPr="00DF4BD7" w:rsidRDefault="00301DC0" w:rsidP="00120959">
            <w:pPr>
              <w:widowControl/>
              <w:spacing w:line="360" w:lineRule="auto"/>
              <w:rPr>
                <w:rFonts w:ascii="Book Antiqua" w:eastAsia="Yu Gothic" w:hAnsi="Book Antiqua" w:cs="MS PGothic"/>
                <w:bCs/>
                <w:kern w:val="0"/>
                <w:sz w:val="24"/>
                <w:szCs w:val="24"/>
              </w:rPr>
            </w:pPr>
            <w:proofErr w:type="spellStart"/>
            <w:r w:rsidRPr="00DF4BD7">
              <w:rPr>
                <w:rFonts w:ascii="Book Antiqua" w:eastAsia="Yu Gothic" w:hAnsi="Book Antiqua" w:cs="MS PGothic"/>
                <w:bCs/>
                <w:kern w:val="0"/>
                <w:sz w:val="24"/>
                <w:szCs w:val="24"/>
              </w:rPr>
              <w:t>VWF:Ag</w:t>
            </w:r>
            <w:proofErr w:type="spellEnd"/>
            <w:r w:rsidRPr="00DF4BD7">
              <w:rPr>
                <w:rFonts w:ascii="Book Antiqua" w:eastAsia="Yu Gothic" w:hAnsi="Book Antiqua" w:cs="MS PGothic"/>
                <w:bCs/>
                <w:kern w:val="0"/>
                <w:sz w:val="24"/>
                <w:szCs w:val="24"/>
              </w:rPr>
              <w:t xml:space="preserve"> (per 1% increase)</w:t>
            </w:r>
          </w:p>
        </w:tc>
        <w:tc>
          <w:tcPr>
            <w:tcW w:w="2400" w:type="dxa"/>
            <w:shd w:val="clear" w:color="auto" w:fill="auto"/>
            <w:noWrap/>
            <w:vAlign w:val="bottom"/>
            <w:hideMark/>
          </w:tcPr>
          <w:p w14:paraId="792045A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0.996 (0.991-1.000)</w:t>
            </w:r>
          </w:p>
        </w:tc>
        <w:tc>
          <w:tcPr>
            <w:tcW w:w="1220" w:type="dxa"/>
            <w:shd w:val="clear" w:color="auto" w:fill="auto"/>
            <w:noWrap/>
            <w:vAlign w:val="bottom"/>
            <w:hideMark/>
          </w:tcPr>
          <w:p w14:paraId="661C88E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0.9227 </w:t>
            </w:r>
          </w:p>
        </w:tc>
      </w:tr>
      <w:tr w:rsidR="00D936D5" w:rsidRPr="00D936D5" w14:paraId="6567D41D" w14:textId="77777777" w:rsidTr="00DF4BD7">
        <w:trPr>
          <w:trHeight w:val="375"/>
        </w:trPr>
        <w:tc>
          <w:tcPr>
            <w:tcW w:w="4360" w:type="dxa"/>
            <w:shd w:val="clear" w:color="auto" w:fill="auto"/>
            <w:noWrap/>
            <w:vAlign w:val="center"/>
            <w:hideMark/>
          </w:tcPr>
          <w:p w14:paraId="42E29673" w14:textId="77777777" w:rsidR="00301DC0" w:rsidRPr="00DF4BD7" w:rsidRDefault="00301DC0" w:rsidP="00120959">
            <w:pPr>
              <w:widowControl/>
              <w:spacing w:line="360" w:lineRule="auto"/>
              <w:rPr>
                <w:rFonts w:ascii="Book Antiqua" w:eastAsia="Yu Gothic" w:hAnsi="Book Antiqua" w:cs="MS PGothic"/>
                <w:bCs/>
                <w:kern w:val="0"/>
                <w:sz w:val="24"/>
                <w:szCs w:val="24"/>
              </w:rPr>
            </w:pPr>
            <w:proofErr w:type="spellStart"/>
            <w:r w:rsidRPr="00DF4BD7">
              <w:rPr>
                <w:rFonts w:ascii="Book Antiqua" w:eastAsia="Yu Gothic" w:hAnsi="Book Antiqua" w:cs="MS PGothic"/>
                <w:bCs/>
                <w:kern w:val="0"/>
                <w:sz w:val="24"/>
                <w:szCs w:val="24"/>
              </w:rPr>
              <w:lastRenderedPageBreak/>
              <w:t>VWF:Ag</w:t>
            </w:r>
            <w:proofErr w:type="spellEnd"/>
            <w:r w:rsidRPr="00DF4BD7">
              <w:rPr>
                <w:rFonts w:ascii="Book Antiqua" w:eastAsia="Yu Gothic" w:hAnsi="Book Antiqua" w:cs="MS PGothic"/>
                <w:bCs/>
                <w:kern w:val="0"/>
                <w:sz w:val="24"/>
                <w:szCs w:val="24"/>
              </w:rPr>
              <w:t>/ADAMTS13:AC (per 1 increase)</w:t>
            </w:r>
          </w:p>
        </w:tc>
        <w:tc>
          <w:tcPr>
            <w:tcW w:w="2400" w:type="dxa"/>
            <w:shd w:val="clear" w:color="auto" w:fill="auto"/>
            <w:noWrap/>
            <w:vAlign w:val="bottom"/>
            <w:hideMark/>
          </w:tcPr>
          <w:p w14:paraId="09B2921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1.33 (0.998-1.772)</w:t>
            </w:r>
          </w:p>
        </w:tc>
        <w:tc>
          <w:tcPr>
            <w:tcW w:w="1220" w:type="dxa"/>
            <w:shd w:val="clear" w:color="auto" w:fill="auto"/>
            <w:noWrap/>
            <w:vAlign w:val="bottom"/>
            <w:hideMark/>
          </w:tcPr>
          <w:p w14:paraId="229C68A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0.0520 </w:t>
            </w:r>
          </w:p>
        </w:tc>
      </w:tr>
      <w:tr w:rsidR="00D936D5" w:rsidRPr="00D936D5" w14:paraId="31AACFBD" w14:textId="77777777" w:rsidTr="00DF4BD7">
        <w:trPr>
          <w:trHeight w:val="375"/>
        </w:trPr>
        <w:tc>
          <w:tcPr>
            <w:tcW w:w="4360" w:type="dxa"/>
            <w:shd w:val="clear" w:color="auto" w:fill="auto"/>
            <w:noWrap/>
            <w:vAlign w:val="center"/>
            <w:hideMark/>
          </w:tcPr>
          <w:p w14:paraId="5B4149A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Multivariate analysis</w:t>
            </w:r>
          </w:p>
        </w:tc>
        <w:tc>
          <w:tcPr>
            <w:tcW w:w="2400" w:type="dxa"/>
            <w:shd w:val="clear" w:color="auto" w:fill="auto"/>
            <w:noWrap/>
            <w:vAlign w:val="bottom"/>
            <w:hideMark/>
          </w:tcPr>
          <w:p w14:paraId="72B2914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c>
          <w:tcPr>
            <w:tcW w:w="1220" w:type="dxa"/>
            <w:shd w:val="clear" w:color="auto" w:fill="auto"/>
            <w:noWrap/>
            <w:vAlign w:val="bottom"/>
            <w:hideMark/>
          </w:tcPr>
          <w:p w14:paraId="477D6C2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r>
      <w:tr w:rsidR="00D936D5" w:rsidRPr="00D936D5" w14:paraId="6E0F96C1" w14:textId="77777777" w:rsidTr="00DF4BD7">
        <w:trPr>
          <w:trHeight w:val="375"/>
        </w:trPr>
        <w:tc>
          <w:tcPr>
            <w:tcW w:w="4360" w:type="dxa"/>
            <w:shd w:val="clear" w:color="auto" w:fill="auto"/>
            <w:noWrap/>
            <w:vAlign w:val="center"/>
            <w:hideMark/>
          </w:tcPr>
          <w:p w14:paraId="00F048A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00" w:type="dxa"/>
            <w:shd w:val="clear" w:color="auto" w:fill="auto"/>
            <w:noWrap/>
            <w:vAlign w:val="bottom"/>
            <w:hideMark/>
          </w:tcPr>
          <w:p w14:paraId="1D1FCA9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0.937 (0.895-0.980)</w:t>
            </w:r>
          </w:p>
        </w:tc>
        <w:tc>
          <w:tcPr>
            <w:tcW w:w="1220" w:type="dxa"/>
            <w:shd w:val="clear" w:color="auto" w:fill="auto"/>
            <w:noWrap/>
            <w:vAlign w:val="bottom"/>
            <w:hideMark/>
          </w:tcPr>
          <w:p w14:paraId="67ACDFB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0.0045 </w:t>
            </w:r>
          </w:p>
        </w:tc>
      </w:tr>
    </w:tbl>
    <w:p w14:paraId="75CE5FF3" w14:textId="77777777" w:rsidR="00301DC0" w:rsidRPr="00D936D5" w:rsidRDefault="00301DC0" w:rsidP="00120959">
      <w:pPr>
        <w:spacing w:line="360" w:lineRule="auto"/>
        <w:rPr>
          <w:rFonts w:ascii="Book Antiqua" w:hAnsi="Book Antiqua"/>
          <w:b/>
          <w:sz w:val="24"/>
          <w:szCs w:val="24"/>
        </w:rPr>
      </w:pPr>
    </w:p>
    <w:p w14:paraId="10444F57" w14:textId="34A87785"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HCC</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Hepatocellular </w:t>
      </w:r>
      <w:r w:rsidRPr="00D936D5">
        <w:rPr>
          <w:rFonts w:ascii="Book Antiqua" w:hAnsi="Book Antiqua"/>
          <w:sz w:val="24"/>
          <w:szCs w:val="24"/>
        </w:rPr>
        <w:t>carcinoma; AFP</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Alpha </w:t>
      </w:r>
      <w:r w:rsidRPr="00D936D5">
        <w:rPr>
          <w:rFonts w:ascii="Book Antiqua" w:hAnsi="Book Antiqua"/>
          <w:sz w:val="24"/>
          <w:szCs w:val="24"/>
        </w:rPr>
        <w:t>fetoprotei</w:t>
      </w:r>
      <w:r w:rsidR="00880C3C" w:rsidRPr="00D936D5">
        <w:rPr>
          <w:rFonts w:ascii="Book Antiqua" w:hAnsi="Book Antiqua"/>
          <w:sz w:val="24"/>
          <w:szCs w:val="24"/>
        </w:rPr>
        <w:t>n</w:t>
      </w:r>
      <w:r w:rsidRPr="00D936D5">
        <w:rPr>
          <w:rFonts w:ascii="Book Antiqua" w:hAnsi="Book Antiqua"/>
          <w:sz w:val="24"/>
          <w:szCs w:val="24"/>
        </w:rPr>
        <w:t>; DCP</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Des</w:t>
      </w:r>
      <w:r w:rsidRPr="00D936D5">
        <w:rPr>
          <w:rFonts w:ascii="Book Antiqua" w:hAnsi="Book Antiqua"/>
          <w:sz w:val="24"/>
          <w:szCs w:val="24"/>
        </w:rPr>
        <w:t>-γ-carboxy prothrombin; AFP-L3%</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i/>
          <w:sz w:val="24"/>
          <w:szCs w:val="24"/>
        </w:rPr>
        <w:t>L</w:t>
      </w:r>
      <w:r w:rsidRPr="00D936D5">
        <w:rPr>
          <w:rFonts w:ascii="Book Antiqua" w:hAnsi="Book Antiqua"/>
          <w:i/>
          <w:sz w:val="24"/>
          <w:szCs w:val="24"/>
        </w:rPr>
        <w:t xml:space="preserve">ens </w:t>
      </w:r>
      <w:proofErr w:type="spellStart"/>
      <w:r w:rsidRPr="00D936D5">
        <w:rPr>
          <w:rFonts w:ascii="Book Antiqua" w:hAnsi="Book Antiqua"/>
          <w:i/>
          <w:sz w:val="24"/>
          <w:szCs w:val="24"/>
        </w:rPr>
        <w:t>culinaris</w:t>
      </w:r>
      <w:proofErr w:type="spellEnd"/>
      <w:r w:rsidRPr="00D936D5">
        <w:rPr>
          <w:rFonts w:ascii="Book Antiqua" w:hAnsi="Book Antiqua"/>
          <w:sz w:val="24"/>
          <w:szCs w:val="24"/>
        </w:rPr>
        <w:t xml:space="preserve"> agglutinin-reactive alpha-fetoprotein; VEGF</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VEGF receptor-2; PVTT</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Portal </w:t>
      </w:r>
      <w:r w:rsidRPr="00D936D5">
        <w:rPr>
          <w:rFonts w:ascii="Book Antiqua" w:hAnsi="Book Antiqua"/>
          <w:sz w:val="24"/>
          <w:szCs w:val="24"/>
        </w:rPr>
        <w:t>vein tumor thrombosis; ADAMTS13</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A</w:t>
      </w:r>
      <w:r w:rsidRPr="00D936D5">
        <w:rPr>
          <w:rFonts w:ascii="Book Antiqua" w:hAnsi="Book Antiqua"/>
          <w:sz w:val="24"/>
          <w:szCs w:val="24"/>
        </w:rPr>
        <w:t xml:space="preserve">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ADAMTS13 activity; VWF</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Von </w:t>
      </w:r>
      <w:r w:rsidRPr="00D936D5">
        <w:rPr>
          <w:rFonts w:ascii="Book Antiqua" w:hAnsi="Book Antiqua"/>
          <w:sz w:val="24"/>
          <w:szCs w:val="24"/>
        </w:rPr>
        <w:t xml:space="preserve">Willebrand factor; </w:t>
      </w:r>
      <w:proofErr w:type="spellStart"/>
      <w:r w:rsidRPr="00D936D5">
        <w:rPr>
          <w:rFonts w:ascii="Book Antiqua" w:hAnsi="Book Antiqua"/>
          <w:sz w:val="24"/>
          <w:szCs w:val="24"/>
        </w:rPr>
        <w:t>VWF:Ag</w:t>
      </w:r>
      <w:proofErr w:type="spellEnd"/>
      <w:r w:rsidR="00DF4BD7">
        <w:rPr>
          <w:rFonts w:ascii="Book Antiqua" w:eastAsia="SimSun" w:hAnsi="Book Antiqua" w:hint="eastAsia"/>
          <w:sz w:val="24"/>
          <w:szCs w:val="24"/>
          <w:lang w:eastAsia="zh-CN"/>
        </w:rPr>
        <w:t>:</w:t>
      </w:r>
      <w:r w:rsidRPr="00D936D5">
        <w:rPr>
          <w:rFonts w:ascii="Book Antiqua" w:hAnsi="Book Antiqua"/>
          <w:sz w:val="24"/>
          <w:szCs w:val="24"/>
        </w:rPr>
        <w:t xml:space="preserve"> VWF antigen; </w:t>
      </w:r>
      <w:proofErr w:type="spellStart"/>
      <w:r w:rsidR="004A4F4F" w:rsidRPr="00D936D5">
        <w:rPr>
          <w:rFonts w:ascii="Book Antiqua" w:hAnsi="Book Antiqua"/>
          <w:sz w:val="24"/>
          <w:szCs w:val="24"/>
        </w:rPr>
        <w:t>VWF:Ag</w:t>
      </w:r>
      <w:proofErr w:type="spellEnd"/>
      <w:r w:rsidR="004A4F4F" w:rsidRPr="00D936D5">
        <w:rPr>
          <w:rFonts w:ascii="Book Antiqua" w:hAnsi="Book Antiqua"/>
          <w:sz w:val="24"/>
          <w:szCs w:val="24"/>
        </w:rPr>
        <w:t>/ADAMTS13:AC ratio</w:t>
      </w:r>
      <w:r w:rsidR="00DF4BD7">
        <w:rPr>
          <w:rFonts w:ascii="Book Antiqua" w:eastAsia="SimSun" w:hAnsi="Book Antiqua" w:hint="eastAsia"/>
          <w:sz w:val="24"/>
          <w:szCs w:val="24"/>
          <w:lang w:eastAsia="zh-CN"/>
        </w:rPr>
        <w:t>:</w:t>
      </w:r>
      <w:r w:rsidR="004A4F4F" w:rsidRPr="00D936D5">
        <w:rPr>
          <w:rFonts w:ascii="Book Antiqua" w:hAnsi="Book Antiqua"/>
          <w:sz w:val="24"/>
          <w:szCs w:val="24"/>
        </w:rPr>
        <w:t xml:space="preserve"> </w:t>
      </w:r>
      <w:r w:rsidR="00DF4BD7" w:rsidRPr="00D936D5">
        <w:rPr>
          <w:rFonts w:ascii="Book Antiqua" w:hAnsi="Book Antiqua"/>
          <w:sz w:val="24"/>
          <w:szCs w:val="24"/>
        </w:rPr>
        <w:t xml:space="preserve">The </w:t>
      </w:r>
      <w:r w:rsidR="004A4F4F" w:rsidRPr="00D936D5">
        <w:rPr>
          <w:rFonts w:ascii="Book Antiqua" w:hAnsi="Book Antiqua"/>
          <w:sz w:val="24"/>
          <w:szCs w:val="24"/>
        </w:rPr>
        <w:t xml:space="preserve">ratio of </w:t>
      </w:r>
      <w:proofErr w:type="spellStart"/>
      <w:r w:rsidR="004A4F4F" w:rsidRPr="00D936D5">
        <w:rPr>
          <w:rFonts w:ascii="Book Antiqua" w:hAnsi="Book Antiqua"/>
          <w:sz w:val="24"/>
          <w:szCs w:val="24"/>
        </w:rPr>
        <w:t>VWF:Ag</w:t>
      </w:r>
      <w:proofErr w:type="spellEnd"/>
      <w:r w:rsidR="004A4F4F" w:rsidRPr="00D936D5">
        <w:rPr>
          <w:rFonts w:ascii="Book Antiqua" w:hAnsi="Book Antiqua"/>
          <w:sz w:val="24"/>
          <w:szCs w:val="24"/>
        </w:rPr>
        <w:t xml:space="preserve"> to ADAMTS13:AC; </w:t>
      </w:r>
      <w:r w:rsidRPr="00D936D5">
        <w:rPr>
          <w:rFonts w:ascii="Book Antiqua" w:hAnsi="Book Antiqua"/>
          <w:sz w:val="24"/>
          <w:szCs w:val="24"/>
        </w:rPr>
        <w:t>HR</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Hazard </w:t>
      </w:r>
      <w:r w:rsidRPr="00D936D5">
        <w:rPr>
          <w:rFonts w:ascii="Book Antiqua" w:hAnsi="Book Antiqua"/>
          <w:sz w:val="24"/>
          <w:szCs w:val="24"/>
        </w:rPr>
        <w:t>ratio; CI</w:t>
      </w:r>
      <w:r w:rsidR="00DF4BD7">
        <w:rPr>
          <w:rFonts w:ascii="Book Antiqua" w:eastAsia="SimSun"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Confidence </w:t>
      </w:r>
      <w:r w:rsidRPr="00D936D5">
        <w:rPr>
          <w:rFonts w:ascii="Book Antiqua" w:hAnsi="Book Antiqua"/>
          <w:sz w:val="24"/>
          <w:szCs w:val="24"/>
        </w:rPr>
        <w:t>interval.</w:t>
      </w:r>
    </w:p>
    <w:p w14:paraId="610FE3A3" w14:textId="45B2D0E7" w:rsidR="00E73699" w:rsidRDefault="00E73699" w:rsidP="00120959">
      <w:pPr>
        <w:widowControl/>
        <w:spacing w:line="360" w:lineRule="auto"/>
        <w:jc w:val="left"/>
        <w:rPr>
          <w:rFonts w:ascii="Book Antiqua" w:hAnsi="Book Antiqua"/>
          <w:sz w:val="24"/>
          <w:szCs w:val="24"/>
        </w:rPr>
      </w:pPr>
      <w:r>
        <w:rPr>
          <w:rFonts w:ascii="Book Antiqua" w:hAnsi="Book Antiqua"/>
          <w:sz w:val="24"/>
          <w:szCs w:val="24"/>
        </w:rPr>
        <w:br w:type="page"/>
      </w:r>
    </w:p>
    <w:p w14:paraId="78050090" w14:textId="77777777" w:rsidR="00301DC0" w:rsidRPr="00E73699" w:rsidRDefault="00301DC0" w:rsidP="00120959">
      <w:pPr>
        <w:spacing w:line="360" w:lineRule="auto"/>
        <w:rPr>
          <w:rFonts w:ascii="Book Antiqua" w:eastAsia="SimSun" w:hAnsi="Book Antiqua"/>
          <w:sz w:val="24"/>
          <w:szCs w:val="24"/>
          <w:lang w:eastAsia="zh-CN"/>
        </w:rPr>
      </w:pPr>
    </w:p>
    <w:p w14:paraId="6C89695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drawing>
          <wp:inline distT="0" distB="0" distL="0" distR="0" wp14:anchorId="25CB181C" wp14:editId="004C7020">
            <wp:extent cx="5419725" cy="2359660"/>
            <wp:effectExtent l="0" t="0" r="952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359660"/>
                    </a:xfrm>
                    <a:prstGeom prst="rect">
                      <a:avLst/>
                    </a:prstGeom>
                    <a:noFill/>
                    <a:ln>
                      <a:noFill/>
                    </a:ln>
                  </pic:spPr>
                </pic:pic>
              </a:graphicData>
            </a:graphic>
          </wp:inline>
        </w:drawing>
      </w:r>
    </w:p>
    <w:p w14:paraId="6E9AB772" w14:textId="77777777" w:rsidR="00741934" w:rsidRPr="00D936D5" w:rsidRDefault="00741934" w:rsidP="00120959">
      <w:pPr>
        <w:spacing w:line="360" w:lineRule="auto"/>
        <w:rPr>
          <w:rFonts w:ascii="Book Antiqua" w:hAnsi="Book Antiqua"/>
          <w:sz w:val="24"/>
          <w:szCs w:val="24"/>
        </w:rPr>
      </w:pPr>
    </w:p>
    <w:p w14:paraId="541B06BE" w14:textId="757959AA" w:rsidR="00E73699" w:rsidRPr="00E73699" w:rsidRDefault="00E73699" w:rsidP="00120959">
      <w:pPr>
        <w:spacing w:line="360" w:lineRule="auto"/>
        <w:rPr>
          <w:rFonts w:ascii="Book Antiqua" w:hAnsi="Book Antiqua"/>
          <w:sz w:val="24"/>
          <w:szCs w:val="24"/>
        </w:rPr>
      </w:pPr>
      <w:bookmarkStart w:id="8" w:name="_GoBack"/>
      <w:r>
        <w:rPr>
          <w:rFonts w:ascii="Book Antiqua" w:hAnsi="Book Antiqua"/>
          <w:b/>
          <w:sz w:val="24"/>
          <w:szCs w:val="24"/>
        </w:rPr>
        <w:t>Figure 1</w:t>
      </w:r>
      <w:r w:rsidRPr="00D936D5">
        <w:rPr>
          <w:rFonts w:ascii="Book Antiqua" w:hAnsi="Book Antiqua"/>
          <w:b/>
          <w:sz w:val="24"/>
          <w:szCs w:val="24"/>
        </w:rPr>
        <w:t xml:space="preserve"> </w:t>
      </w:r>
      <w:bookmarkEnd w:id="8"/>
      <w:r w:rsidRPr="00D936D5">
        <w:rPr>
          <w:rFonts w:ascii="Book Antiqua" w:hAnsi="Book Antiqua"/>
          <w:b/>
          <w:sz w:val="24"/>
          <w:szCs w:val="24"/>
        </w:rPr>
        <w:t xml:space="preserve">Plasma ADAMTS13:AC and </w:t>
      </w:r>
      <w:proofErr w:type="spellStart"/>
      <w:proofErr w:type="gramStart"/>
      <w:r w:rsidRPr="00D936D5">
        <w:rPr>
          <w:rFonts w:ascii="Book Antiqua" w:hAnsi="Book Antiqua"/>
          <w:b/>
          <w:sz w:val="24"/>
          <w:szCs w:val="24"/>
        </w:rPr>
        <w:t>VWF:Ag</w:t>
      </w:r>
      <w:proofErr w:type="spellEnd"/>
      <w:proofErr w:type="gramEnd"/>
      <w:r w:rsidRPr="00D936D5">
        <w:rPr>
          <w:rFonts w:ascii="Book Antiqua" w:hAnsi="Book Antiqua"/>
          <w:b/>
          <w:sz w:val="24"/>
          <w:szCs w:val="24"/>
        </w:rPr>
        <w:t xml:space="preserve"> levels in patients with </w:t>
      </w:r>
      <w:r w:rsidRPr="008563D5">
        <w:rPr>
          <w:rFonts w:ascii="Book Antiqua" w:hAnsi="Book Antiqua"/>
          <w:b/>
          <w:sz w:val="24"/>
          <w:szCs w:val="24"/>
        </w:rPr>
        <w:t>hepatocellular carcinoma</w:t>
      </w:r>
      <w:r w:rsidRPr="00D936D5">
        <w:rPr>
          <w:rFonts w:ascii="Book Antiqua" w:hAnsi="Book Antiqua"/>
          <w:sz w:val="24"/>
          <w:szCs w:val="24"/>
        </w:rPr>
        <w:t xml:space="preserve"> </w:t>
      </w:r>
      <w:r w:rsidRPr="008563D5">
        <w:rPr>
          <w:rFonts w:ascii="Book Antiqua" w:hAnsi="Book Antiqua"/>
          <w:b/>
          <w:sz w:val="24"/>
          <w:szCs w:val="24"/>
        </w:rPr>
        <w:t>receiving sorafenib treatment.</w:t>
      </w:r>
      <w:r w:rsidRPr="00D936D5">
        <w:rPr>
          <w:rFonts w:ascii="Book Antiqua" w:hAnsi="Book Antiqua"/>
          <w:b/>
          <w:sz w:val="24"/>
          <w:szCs w:val="24"/>
        </w:rPr>
        <w:t xml:space="preserve"> </w:t>
      </w:r>
      <w:r>
        <w:rPr>
          <w:rFonts w:ascii="Book Antiqua" w:eastAsia="SimSun" w:hAnsi="Book Antiqua" w:hint="eastAsia"/>
          <w:sz w:val="24"/>
          <w:szCs w:val="24"/>
          <w:lang w:eastAsia="zh-CN"/>
        </w:rPr>
        <w:t>A:</w:t>
      </w:r>
      <w:r w:rsidRPr="00D936D5">
        <w:rPr>
          <w:rFonts w:ascii="Book Antiqua" w:hAnsi="Book Antiqua"/>
          <w:b/>
          <w:sz w:val="24"/>
          <w:szCs w:val="24"/>
        </w:rPr>
        <w:t xml:space="preserve"> </w:t>
      </w:r>
      <w:r w:rsidRPr="00D936D5">
        <w:rPr>
          <w:rFonts w:ascii="Book Antiqua" w:hAnsi="Book Antiqua"/>
          <w:sz w:val="24"/>
          <w:szCs w:val="24"/>
        </w:rPr>
        <w:t xml:space="preserve">ADAMTS13:AC level was significantly higher in patients with hepatocellular carcinoma receiving sorafenib treatment who achieved stable disease (SD), partial response (PR), and complete response (CR) than those who achieved progressive disease </w:t>
      </w:r>
      <w:r>
        <w:rPr>
          <w:rFonts w:ascii="Book Antiqua" w:eastAsia="SimSun" w:hAnsi="Book Antiqua" w:hint="eastAsia"/>
          <w:sz w:val="24"/>
          <w:szCs w:val="24"/>
          <w:lang w:eastAsia="zh-CN"/>
        </w:rPr>
        <w:t>(</w:t>
      </w:r>
      <w:r w:rsidRPr="00D936D5">
        <w:rPr>
          <w:rFonts w:ascii="Book Antiqua" w:hAnsi="Book Antiqua"/>
          <w:sz w:val="24"/>
          <w:szCs w:val="24"/>
        </w:rPr>
        <w:t>PD</w:t>
      </w:r>
      <w:r>
        <w:rPr>
          <w:rFonts w:ascii="Book Antiqua" w:eastAsia="SimSun" w:hAnsi="Book Antiqua" w:hint="eastAsia"/>
          <w:sz w:val="24"/>
          <w:szCs w:val="24"/>
          <w:lang w:eastAsia="zh-CN"/>
        </w:rPr>
        <w:t>)</w:t>
      </w:r>
      <w:r w:rsidRPr="00D936D5">
        <w:rPr>
          <w:rFonts w:ascii="Book Antiqua" w:hAnsi="Book Antiqua"/>
          <w:sz w:val="24"/>
          <w:szCs w:val="24"/>
        </w:rPr>
        <w:t xml:space="preserve"> (</w:t>
      </w:r>
      <w:r w:rsidRPr="00D936D5">
        <w:rPr>
          <w:rFonts w:ascii="Book Antiqua" w:hAnsi="Book Antiqua"/>
          <w:i/>
          <w:sz w:val="24"/>
          <w:szCs w:val="24"/>
        </w:rPr>
        <w:t xml:space="preserve">P &lt; </w:t>
      </w:r>
      <w:r w:rsidRPr="00D936D5">
        <w:rPr>
          <w:rFonts w:ascii="Book Antiqua" w:hAnsi="Book Antiqua"/>
          <w:sz w:val="24"/>
          <w:szCs w:val="24"/>
        </w:rPr>
        <w:t>0.05)</w:t>
      </w:r>
      <w:r>
        <w:rPr>
          <w:rFonts w:ascii="Book Antiqua" w:eastAsia="SimSun" w:hAnsi="Book Antiqua" w:hint="eastAsia"/>
          <w:sz w:val="24"/>
          <w:szCs w:val="24"/>
          <w:lang w:eastAsia="zh-CN"/>
        </w:rPr>
        <w:t>;</w:t>
      </w:r>
      <w:r w:rsidRPr="00D936D5">
        <w:rPr>
          <w:rFonts w:ascii="Book Antiqua" w:hAnsi="Book Antiqua"/>
          <w:sz w:val="24"/>
          <w:szCs w:val="24"/>
        </w:rPr>
        <w:t xml:space="preserve"> B</w:t>
      </w:r>
      <w:r>
        <w:rPr>
          <w:rFonts w:ascii="Book Antiqua" w:eastAsia="SimSun" w:hAnsi="Book Antiqua" w:hint="eastAsia"/>
          <w:sz w:val="24"/>
          <w:szCs w:val="24"/>
          <w:lang w:eastAsia="zh-CN"/>
        </w:rPr>
        <w:t>, C:</w:t>
      </w:r>
      <w:r w:rsidRPr="00D936D5">
        <w:rPr>
          <w:rFonts w:ascii="Book Antiqua" w:hAnsi="Book Antiqua"/>
          <w:sz w:val="24"/>
          <w:szCs w:val="24"/>
        </w:rPr>
        <w:t xml:space="preserve"> In contrast,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 and the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levels were significantly lower in those with SD, PR, and CR than those with PD (</w:t>
      </w:r>
      <w:r w:rsidRPr="00D936D5">
        <w:rPr>
          <w:rFonts w:ascii="Book Antiqua" w:hAnsi="Book Antiqua"/>
          <w:i/>
          <w:sz w:val="24"/>
          <w:szCs w:val="24"/>
        </w:rPr>
        <w:t xml:space="preserve">P &lt; </w:t>
      </w:r>
      <w:r w:rsidRPr="00D936D5">
        <w:rPr>
          <w:rFonts w:ascii="Book Antiqua" w:hAnsi="Book Antiqua"/>
          <w:sz w:val="24"/>
          <w:szCs w:val="24"/>
        </w:rPr>
        <w:t xml:space="preserve">0.05, </w:t>
      </w:r>
      <w:r w:rsidRPr="00D936D5">
        <w:rPr>
          <w:rFonts w:ascii="Book Antiqua" w:hAnsi="Book Antiqua"/>
          <w:i/>
          <w:sz w:val="24"/>
          <w:szCs w:val="24"/>
        </w:rPr>
        <w:t xml:space="preserve">P &lt; </w:t>
      </w:r>
      <w:r w:rsidRPr="00D936D5">
        <w:rPr>
          <w:rFonts w:ascii="Book Antiqua" w:hAnsi="Book Antiqua"/>
          <w:sz w:val="24"/>
          <w:szCs w:val="24"/>
        </w:rPr>
        <w:t>0.05).</w:t>
      </w:r>
      <w:r>
        <w:rPr>
          <w:rFonts w:ascii="Book Antiqua" w:eastAsia="SimSun" w:hAnsi="Book Antiqua" w:hint="eastAsia"/>
          <w:sz w:val="24"/>
          <w:szCs w:val="24"/>
          <w:lang w:eastAsia="zh-CN"/>
        </w:rPr>
        <w:t xml:space="preserve"> </w:t>
      </w:r>
      <w:r w:rsidRPr="00D936D5">
        <w:rPr>
          <w:rFonts w:ascii="Book Antiqua" w:hAnsi="Book Antiqua"/>
          <w:sz w:val="24"/>
          <w:szCs w:val="24"/>
        </w:rPr>
        <w:t>ADAMTS13</w:t>
      </w:r>
      <w:r>
        <w:rPr>
          <w:rFonts w:ascii="Book Antiqua" w:eastAsia="SimSun" w:hAnsi="Book Antiqua" w:hint="eastAsia"/>
          <w:sz w:val="24"/>
          <w:szCs w:val="24"/>
          <w:lang w:eastAsia="zh-CN"/>
        </w:rPr>
        <w:t>:</w:t>
      </w:r>
      <w:r w:rsidRPr="00D936D5">
        <w:rPr>
          <w:rFonts w:ascii="Book Antiqua" w:hAnsi="Book Antiqua"/>
          <w:sz w:val="24"/>
          <w:szCs w:val="24"/>
        </w:rPr>
        <w:t xml:space="preserve"> A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Pr>
          <w:rFonts w:ascii="Book Antiqua" w:eastAsia="SimSun"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SimSun" w:hAnsi="Book Antiqua" w:hint="eastAsia"/>
          <w:sz w:val="24"/>
          <w:szCs w:val="24"/>
          <w:lang w:eastAsia="zh-CN"/>
        </w:rPr>
        <w:t>:</w:t>
      </w:r>
      <w:r w:rsidRPr="00D936D5">
        <w:rPr>
          <w:rFonts w:ascii="Book Antiqua" w:hAnsi="Book Antiqua"/>
          <w:sz w:val="24"/>
          <w:szCs w:val="24"/>
        </w:rPr>
        <w:t xml:space="preserve"> Von Willebrand factor; </w:t>
      </w:r>
      <w:proofErr w:type="spellStart"/>
      <w:r w:rsidRPr="00D936D5">
        <w:rPr>
          <w:rFonts w:ascii="Book Antiqua" w:hAnsi="Book Antiqua"/>
          <w:sz w:val="24"/>
          <w:szCs w:val="24"/>
        </w:rPr>
        <w:t>VWF:Ag</w:t>
      </w:r>
      <w:proofErr w:type="spellEnd"/>
      <w:r>
        <w:rPr>
          <w:rFonts w:ascii="Book Antiqua" w:eastAsia="SimSun" w:hAnsi="Book Antiqua" w:hint="eastAsia"/>
          <w:sz w:val="24"/>
          <w:szCs w:val="24"/>
          <w:lang w:eastAsia="zh-CN"/>
        </w:rPr>
        <w:t>:</w:t>
      </w:r>
      <w:r w:rsidRPr="00D936D5">
        <w:rPr>
          <w:rFonts w:ascii="Book Antiqua" w:hAnsi="Book Antiqua"/>
          <w:sz w:val="24"/>
          <w:szCs w:val="24"/>
        </w:rPr>
        <w:t xml:space="preserve"> VWF antigen;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w:t>
      </w:r>
      <w:r>
        <w:rPr>
          <w:rFonts w:ascii="Book Antiqua" w:eastAsia="SimSun" w:hAnsi="Book Antiqua" w:hint="eastAsia"/>
          <w:sz w:val="24"/>
          <w:szCs w:val="24"/>
          <w:lang w:eastAsia="zh-CN"/>
        </w:rPr>
        <w:t>:</w:t>
      </w:r>
      <w:r w:rsidRPr="00D936D5">
        <w:rPr>
          <w:rFonts w:ascii="Book Antiqua" w:hAnsi="Book Antiqua"/>
          <w:sz w:val="24"/>
          <w:szCs w:val="24"/>
        </w:rPr>
        <w:t xml:space="preserve"> The ratio of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 to ADAMTS13:AC; SD</w:t>
      </w:r>
      <w:r>
        <w:rPr>
          <w:rFonts w:ascii="Book Antiqua" w:eastAsia="SimSun" w:hAnsi="Book Antiqua" w:hint="eastAsia"/>
          <w:sz w:val="24"/>
          <w:szCs w:val="24"/>
          <w:lang w:eastAsia="zh-CN"/>
        </w:rPr>
        <w:t>:</w:t>
      </w:r>
      <w:r w:rsidRPr="00D936D5">
        <w:rPr>
          <w:rFonts w:ascii="Book Antiqua" w:hAnsi="Book Antiqua"/>
          <w:sz w:val="24"/>
          <w:szCs w:val="24"/>
        </w:rPr>
        <w:t xml:space="preserve"> Stable disease; PR</w:t>
      </w:r>
      <w:r>
        <w:rPr>
          <w:rFonts w:ascii="Book Antiqua" w:eastAsia="SimSun" w:hAnsi="Book Antiqua" w:hint="eastAsia"/>
          <w:sz w:val="24"/>
          <w:szCs w:val="24"/>
          <w:lang w:eastAsia="zh-CN"/>
        </w:rPr>
        <w:t>:</w:t>
      </w:r>
      <w:r w:rsidRPr="00D936D5">
        <w:rPr>
          <w:rFonts w:ascii="Book Antiqua" w:hAnsi="Book Antiqua"/>
          <w:sz w:val="24"/>
          <w:szCs w:val="24"/>
        </w:rPr>
        <w:t xml:space="preserve"> Partial response; CR</w:t>
      </w:r>
      <w:r>
        <w:rPr>
          <w:rFonts w:ascii="Book Antiqua" w:eastAsia="SimSun" w:hAnsi="Book Antiqua" w:hint="eastAsia"/>
          <w:sz w:val="24"/>
          <w:szCs w:val="24"/>
          <w:lang w:eastAsia="zh-CN"/>
        </w:rPr>
        <w:t>:</w:t>
      </w:r>
      <w:r w:rsidRPr="00D936D5">
        <w:rPr>
          <w:rFonts w:ascii="Book Antiqua" w:hAnsi="Book Antiqua"/>
          <w:sz w:val="24"/>
          <w:szCs w:val="24"/>
        </w:rPr>
        <w:t xml:space="preserve"> Complete response; PD</w:t>
      </w:r>
      <w:r>
        <w:rPr>
          <w:rFonts w:ascii="Book Antiqua" w:eastAsia="SimSun" w:hAnsi="Book Antiqua" w:hint="eastAsia"/>
          <w:sz w:val="24"/>
          <w:szCs w:val="24"/>
          <w:lang w:eastAsia="zh-CN"/>
        </w:rPr>
        <w:t>:</w:t>
      </w:r>
      <w:r w:rsidRPr="00D936D5">
        <w:rPr>
          <w:rFonts w:ascii="Book Antiqua" w:hAnsi="Book Antiqua"/>
          <w:sz w:val="24"/>
          <w:szCs w:val="24"/>
        </w:rPr>
        <w:t xml:space="preserve"> Progressive </w:t>
      </w:r>
      <w:r>
        <w:rPr>
          <w:rFonts w:ascii="Book Antiqua" w:hAnsi="Book Antiqua"/>
          <w:sz w:val="24"/>
          <w:szCs w:val="24"/>
        </w:rPr>
        <w:t>disease</w:t>
      </w:r>
      <w:r>
        <w:rPr>
          <w:rFonts w:ascii="Book Antiqua" w:eastAsia="SimSun" w:hAnsi="Book Antiqua" w:hint="eastAsia"/>
          <w:sz w:val="24"/>
          <w:szCs w:val="24"/>
          <w:lang w:eastAsia="zh-CN"/>
        </w:rPr>
        <w:t>.</w:t>
      </w:r>
    </w:p>
    <w:p w14:paraId="0DC47A32" w14:textId="77777777" w:rsidR="00741934" w:rsidRPr="00D936D5" w:rsidRDefault="00741934" w:rsidP="00120959">
      <w:pPr>
        <w:spacing w:line="360" w:lineRule="auto"/>
        <w:rPr>
          <w:rFonts w:ascii="Book Antiqua" w:hAnsi="Book Antiqua"/>
          <w:sz w:val="24"/>
          <w:szCs w:val="24"/>
        </w:rPr>
      </w:pPr>
    </w:p>
    <w:p w14:paraId="45908729"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lastRenderedPageBreak/>
        <w:drawing>
          <wp:inline distT="0" distB="0" distL="0" distR="0" wp14:anchorId="56F5E96F" wp14:editId="6EFB9C94">
            <wp:extent cx="4071968" cy="4619502"/>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081" cy="4625303"/>
                    </a:xfrm>
                    <a:prstGeom prst="rect">
                      <a:avLst/>
                    </a:prstGeom>
                    <a:noFill/>
                    <a:ln>
                      <a:noFill/>
                    </a:ln>
                  </pic:spPr>
                </pic:pic>
              </a:graphicData>
            </a:graphic>
          </wp:inline>
        </w:drawing>
      </w:r>
    </w:p>
    <w:p w14:paraId="6406A755" w14:textId="76470612" w:rsidR="00741934" w:rsidRPr="00E73699" w:rsidRDefault="00E73699" w:rsidP="00120959">
      <w:pPr>
        <w:spacing w:line="360" w:lineRule="auto"/>
        <w:rPr>
          <w:rFonts w:ascii="Book Antiqua" w:eastAsia="SimSun" w:hAnsi="Book Antiqua"/>
          <w:b/>
          <w:sz w:val="24"/>
          <w:szCs w:val="24"/>
          <w:lang w:eastAsia="zh-CN"/>
        </w:rPr>
      </w:pPr>
      <w:r w:rsidRPr="00E73699">
        <w:rPr>
          <w:rFonts w:ascii="Book Antiqua" w:hAnsi="Book Antiqua"/>
          <w:b/>
          <w:sz w:val="24"/>
          <w:szCs w:val="24"/>
        </w:rPr>
        <w:t xml:space="preserve">Figure 2 The relationship between the </w:t>
      </w:r>
      <w:proofErr w:type="spellStart"/>
      <w:proofErr w:type="gramStart"/>
      <w:r w:rsidRPr="00E73699">
        <w:rPr>
          <w:rFonts w:ascii="Book Antiqua" w:hAnsi="Book Antiqua"/>
          <w:b/>
          <w:sz w:val="24"/>
          <w:szCs w:val="24"/>
        </w:rPr>
        <w:t>VWF:Ag</w:t>
      </w:r>
      <w:proofErr w:type="spellEnd"/>
      <w:proofErr w:type="gramEnd"/>
      <w:r w:rsidRPr="00E73699">
        <w:rPr>
          <w:rFonts w:ascii="Book Antiqua" w:hAnsi="Book Antiqua"/>
          <w:b/>
          <w:sz w:val="24"/>
          <w:szCs w:val="24"/>
        </w:rPr>
        <w:t>/ADAMTS13:AC ratio and tumor-node-metastasis stage</w:t>
      </w:r>
      <w:r w:rsidRPr="00E73699">
        <w:rPr>
          <w:rFonts w:ascii="Book Antiqua" w:eastAsia="SimSun" w:hAnsi="Book Antiqua" w:hint="eastAsia"/>
          <w:b/>
          <w:sz w:val="24"/>
          <w:szCs w:val="24"/>
          <w:lang w:eastAsia="zh-CN"/>
        </w:rPr>
        <w:t xml:space="preserve">. </w:t>
      </w:r>
      <w:r w:rsidRPr="00D936D5">
        <w:rPr>
          <w:rFonts w:ascii="Book Antiqua" w:hAnsi="Book Antiqua"/>
          <w:sz w:val="24"/>
          <w:szCs w:val="24"/>
        </w:rPr>
        <w:t xml:space="preserve">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level was significantly higher in patients with tumor-node-metastasis stage 4 hepatocellular carcinoma </w:t>
      </w:r>
      <w:r>
        <w:rPr>
          <w:rFonts w:ascii="Book Antiqua" w:eastAsia="SimSun" w:hAnsi="Book Antiqua" w:hint="eastAsia"/>
          <w:sz w:val="24"/>
          <w:szCs w:val="24"/>
          <w:lang w:eastAsia="zh-CN"/>
        </w:rPr>
        <w:t>(</w:t>
      </w:r>
      <w:r w:rsidRPr="00D936D5">
        <w:rPr>
          <w:rFonts w:ascii="Book Antiqua" w:hAnsi="Book Antiqua"/>
          <w:sz w:val="24"/>
          <w:szCs w:val="24"/>
        </w:rPr>
        <w:t>HCC</w:t>
      </w:r>
      <w:r>
        <w:rPr>
          <w:rFonts w:ascii="Book Antiqua" w:eastAsia="SimSun" w:hAnsi="Book Antiqua" w:hint="eastAsia"/>
          <w:sz w:val="24"/>
          <w:szCs w:val="24"/>
          <w:lang w:eastAsia="zh-CN"/>
        </w:rPr>
        <w:t>)</w:t>
      </w:r>
      <w:r w:rsidRPr="00D936D5">
        <w:rPr>
          <w:rFonts w:ascii="Book Antiqua" w:hAnsi="Book Antiqua"/>
          <w:sz w:val="24"/>
          <w:szCs w:val="24"/>
        </w:rPr>
        <w:t xml:space="preserve"> than those with stage 2 and 3 HCC.</w:t>
      </w:r>
      <w:r>
        <w:rPr>
          <w:rFonts w:ascii="Book Antiqua" w:eastAsia="SimSun" w:hAnsi="Book Antiqua" w:hint="eastAsia"/>
          <w:b/>
          <w:sz w:val="24"/>
          <w:szCs w:val="24"/>
          <w:lang w:eastAsia="zh-CN"/>
        </w:rPr>
        <w:t xml:space="preserve"> </w:t>
      </w:r>
      <w:r w:rsidRPr="00D936D5">
        <w:rPr>
          <w:rFonts w:ascii="Book Antiqua" w:hAnsi="Book Antiqua"/>
          <w:sz w:val="24"/>
          <w:szCs w:val="24"/>
        </w:rPr>
        <w:t>ADAMTS13</w:t>
      </w:r>
      <w:r>
        <w:rPr>
          <w:rFonts w:ascii="Book Antiqua" w:eastAsia="SimSun" w:hAnsi="Book Antiqua" w:hint="eastAsia"/>
          <w:sz w:val="24"/>
          <w:szCs w:val="24"/>
          <w:lang w:eastAsia="zh-CN"/>
        </w:rPr>
        <w:t>:</w:t>
      </w:r>
      <w:r w:rsidRPr="00D936D5">
        <w:rPr>
          <w:rFonts w:ascii="Book Antiqua" w:hAnsi="Book Antiqua"/>
          <w:sz w:val="24"/>
          <w:szCs w:val="24"/>
        </w:rPr>
        <w:t xml:space="preserve"> A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Pr>
          <w:rFonts w:ascii="Book Antiqua" w:eastAsia="SimSun"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SimSun" w:hAnsi="Book Antiqua" w:hint="eastAsia"/>
          <w:sz w:val="24"/>
          <w:szCs w:val="24"/>
          <w:lang w:eastAsia="zh-CN"/>
        </w:rPr>
        <w:t>:</w:t>
      </w:r>
      <w:r w:rsidRPr="00D936D5">
        <w:rPr>
          <w:rFonts w:ascii="Book Antiqua" w:hAnsi="Book Antiqua"/>
          <w:sz w:val="24"/>
          <w:szCs w:val="24"/>
        </w:rPr>
        <w:t xml:space="preserve"> Von Willebrand factor; </w:t>
      </w:r>
      <w:proofErr w:type="spellStart"/>
      <w:proofErr w:type="gramStart"/>
      <w:r w:rsidRPr="00D936D5">
        <w:rPr>
          <w:rFonts w:ascii="Book Antiqua" w:hAnsi="Book Antiqua"/>
          <w:sz w:val="24"/>
          <w:szCs w:val="24"/>
        </w:rPr>
        <w:t>VWF:Ag</w:t>
      </w:r>
      <w:proofErr w:type="spellEnd"/>
      <w:proofErr w:type="gramEnd"/>
      <w:r>
        <w:rPr>
          <w:rFonts w:ascii="Book Antiqua" w:eastAsia="SimSun" w:hAnsi="Book Antiqua" w:hint="eastAsia"/>
          <w:sz w:val="24"/>
          <w:szCs w:val="24"/>
          <w:lang w:eastAsia="zh-CN"/>
        </w:rPr>
        <w:t>:</w:t>
      </w:r>
      <w:r w:rsidRPr="00D936D5">
        <w:rPr>
          <w:rFonts w:ascii="Book Antiqua" w:hAnsi="Book Antiqua"/>
          <w:sz w:val="24"/>
          <w:szCs w:val="24"/>
        </w:rPr>
        <w:t xml:space="preserve"> VWF antigen;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w:t>
      </w:r>
      <w:r>
        <w:rPr>
          <w:rFonts w:ascii="Book Antiqua" w:eastAsia="SimSun" w:hAnsi="Book Antiqua" w:hint="eastAsia"/>
          <w:sz w:val="24"/>
          <w:szCs w:val="24"/>
          <w:lang w:eastAsia="zh-CN"/>
        </w:rPr>
        <w:t>:</w:t>
      </w:r>
      <w:r w:rsidRPr="00D936D5">
        <w:rPr>
          <w:rFonts w:ascii="Book Antiqua" w:hAnsi="Book Antiqua"/>
          <w:sz w:val="24"/>
          <w:szCs w:val="24"/>
        </w:rPr>
        <w:t xml:space="preserve"> The ratio of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 to ADAMTS13:AC; TNM stage</w:t>
      </w:r>
      <w:r>
        <w:rPr>
          <w:rFonts w:ascii="Book Antiqua" w:eastAsia="SimSun" w:hAnsi="Book Antiqua" w:hint="eastAsia"/>
          <w:sz w:val="24"/>
          <w:szCs w:val="24"/>
          <w:lang w:eastAsia="zh-CN"/>
        </w:rPr>
        <w:t>:</w:t>
      </w:r>
      <w:r w:rsidRPr="00D936D5">
        <w:rPr>
          <w:rFonts w:ascii="Book Antiqua" w:hAnsi="Book Antiqua"/>
          <w:sz w:val="24"/>
          <w:szCs w:val="24"/>
        </w:rPr>
        <w:t xml:space="preserve"> Tumor-node-metastasis stage</w:t>
      </w:r>
      <w:r>
        <w:rPr>
          <w:rFonts w:ascii="Book Antiqua" w:eastAsia="SimSun" w:hAnsi="Book Antiqua" w:hint="eastAsia"/>
          <w:sz w:val="24"/>
          <w:szCs w:val="24"/>
          <w:lang w:eastAsia="zh-CN"/>
        </w:rPr>
        <w:t>.</w:t>
      </w:r>
    </w:p>
    <w:p w14:paraId="0EE86A99" w14:textId="77777777" w:rsidR="00741934" w:rsidRPr="00E73699" w:rsidRDefault="00741934" w:rsidP="00120959">
      <w:pPr>
        <w:spacing w:line="360" w:lineRule="auto"/>
        <w:rPr>
          <w:rFonts w:ascii="Book Antiqua" w:eastAsia="SimSun" w:hAnsi="Book Antiqua"/>
          <w:sz w:val="24"/>
          <w:szCs w:val="24"/>
          <w:lang w:eastAsia="zh-CN"/>
        </w:rPr>
      </w:pPr>
    </w:p>
    <w:p w14:paraId="245888F5" w14:textId="569D9EBB" w:rsidR="00741934" w:rsidRPr="00E73699" w:rsidRDefault="00741934" w:rsidP="00120959">
      <w:pPr>
        <w:spacing w:line="360" w:lineRule="auto"/>
        <w:rPr>
          <w:rFonts w:ascii="Book Antiqua" w:eastAsia="SimSun" w:hAnsi="Book Antiqua"/>
          <w:sz w:val="24"/>
          <w:szCs w:val="24"/>
          <w:lang w:eastAsia="zh-CN"/>
        </w:rPr>
      </w:pPr>
      <w:r w:rsidRPr="00D936D5">
        <w:rPr>
          <w:rFonts w:ascii="Book Antiqua" w:hAnsi="Book Antiqua"/>
          <w:noProof/>
          <w:sz w:val="24"/>
          <w:szCs w:val="24"/>
          <w:lang w:eastAsia="zh-CN"/>
        </w:rPr>
        <w:lastRenderedPageBreak/>
        <w:drawing>
          <wp:inline distT="0" distB="0" distL="0" distR="0" wp14:anchorId="3220FD77" wp14:editId="4D3F3AAF">
            <wp:extent cx="4042421" cy="48688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024" cy="4888880"/>
                    </a:xfrm>
                    <a:prstGeom prst="rect">
                      <a:avLst/>
                    </a:prstGeom>
                    <a:noFill/>
                    <a:ln>
                      <a:noFill/>
                    </a:ln>
                  </pic:spPr>
                </pic:pic>
              </a:graphicData>
            </a:graphic>
          </wp:inline>
        </w:drawing>
      </w:r>
    </w:p>
    <w:p w14:paraId="73EB4A36" w14:textId="02E565FF" w:rsidR="00741934" w:rsidRPr="00E73699" w:rsidRDefault="00E73699" w:rsidP="00120959">
      <w:pPr>
        <w:spacing w:line="360" w:lineRule="auto"/>
        <w:rPr>
          <w:rFonts w:ascii="Book Antiqua" w:eastAsia="SimSun" w:hAnsi="Book Antiqua"/>
          <w:b/>
          <w:sz w:val="24"/>
          <w:szCs w:val="24"/>
          <w:lang w:eastAsia="zh-CN"/>
        </w:rPr>
      </w:pPr>
      <w:r>
        <w:rPr>
          <w:rFonts w:ascii="Book Antiqua" w:hAnsi="Book Antiqua"/>
          <w:b/>
          <w:sz w:val="24"/>
          <w:szCs w:val="24"/>
        </w:rPr>
        <w:t>Figure 3</w:t>
      </w:r>
      <w:r w:rsidRPr="00D936D5">
        <w:rPr>
          <w:rFonts w:ascii="Book Antiqua" w:hAnsi="Book Antiqua"/>
          <w:b/>
          <w:sz w:val="24"/>
          <w:szCs w:val="24"/>
        </w:rPr>
        <w:t xml:space="preserve"> Diagnostic accuracy of the </w:t>
      </w:r>
      <w:proofErr w:type="spellStart"/>
      <w:proofErr w:type="gramStart"/>
      <w:r w:rsidRPr="00D936D5">
        <w:rPr>
          <w:rFonts w:ascii="Book Antiqua" w:hAnsi="Book Antiqua"/>
          <w:b/>
          <w:sz w:val="24"/>
          <w:szCs w:val="24"/>
        </w:rPr>
        <w:t>VWF:Ag</w:t>
      </w:r>
      <w:proofErr w:type="spellEnd"/>
      <w:proofErr w:type="gramEnd"/>
      <w:r w:rsidRPr="00D936D5">
        <w:rPr>
          <w:rFonts w:ascii="Book Antiqua" w:hAnsi="Book Antiqua"/>
          <w:b/>
          <w:sz w:val="24"/>
          <w:szCs w:val="24"/>
        </w:rPr>
        <w:t xml:space="preserve">/ADAMTS13:AC for sorafenib response. </w:t>
      </w:r>
      <w:r w:rsidRPr="00D936D5">
        <w:rPr>
          <w:rFonts w:ascii="Book Antiqua" w:hAnsi="Book Antiqua"/>
          <w:sz w:val="24"/>
          <w:szCs w:val="24"/>
        </w:rPr>
        <w:t>The</w:t>
      </w:r>
      <w:r w:rsidRPr="00D936D5">
        <w:rPr>
          <w:rFonts w:ascii="Book Antiqua" w:hAnsi="Book Antiqua"/>
          <w:b/>
          <w:sz w:val="24"/>
          <w:szCs w:val="24"/>
        </w:rPr>
        <w:t xml:space="preserve"> </w:t>
      </w:r>
      <w:r w:rsidRPr="00D936D5">
        <w:rPr>
          <w:rFonts w:ascii="Book Antiqua" w:hAnsi="Book Antiqua"/>
          <w:sz w:val="24"/>
          <w:szCs w:val="24"/>
        </w:rPr>
        <w:t xml:space="preserve">receiver operating characteristic analysis of the </w:t>
      </w:r>
      <w:proofErr w:type="spellStart"/>
      <w:proofErr w:type="gramStart"/>
      <w:r w:rsidRPr="00D936D5">
        <w:rPr>
          <w:rFonts w:ascii="Book Antiqua" w:hAnsi="Book Antiqua"/>
          <w:sz w:val="24"/>
          <w:szCs w:val="24"/>
        </w:rPr>
        <w:t>VWF:Ag</w:t>
      </w:r>
      <w:proofErr w:type="spellEnd"/>
      <w:proofErr w:type="gramEnd"/>
      <w:r w:rsidRPr="00D936D5">
        <w:rPr>
          <w:rFonts w:ascii="Book Antiqua" w:hAnsi="Book Antiqua"/>
          <w:sz w:val="24"/>
          <w:szCs w:val="24"/>
        </w:rPr>
        <w:t xml:space="preserve">/ADAMTS13:AC ratio for sorafenib response reveals that a cutoff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of 2.609 has a specificity of 84.2% and a sensitivity of 88.2%, with an area under the receiver operating characteristic curve of 0.836. ADAMTS13</w:t>
      </w:r>
      <w:r>
        <w:rPr>
          <w:rFonts w:ascii="Book Antiqua" w:eastAsia="SimSun" w:hAnsi="Book Antiqua" w:hint="eastAsia"/>
          <w:sz w:val="24"/>
          <w:szCs w:val="24"/>
          <w:lang w:eastAsia="zh-CN"/>
        </w:rPr>
        <w:t>:</w:t>
      </w:r>
      <w:r w:rsidRPr="00D936D5">
        <w:rPr>
          <w:rFonts w:ascii="Book Antiqua" w:hAnsi="Book Antiqua"/>
          <w:sz w:val="24"/>
          <w:szCs w:val="24"/>
        </w:rPr>
        <w:t xml:space="preserve"> A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Pr>
          <w:rFonts w:ascii="Book Antiqua" w:eastAsia="SimSun"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SimSun" w:hAnsi="Book Antiqua" w:hint="eastAsia"/>
          <w:sz w:val="24"/>
          <w:szCs w:val="24"/>
          <w:lang w:eastAsia="zh-CN"/>
        </w:rPr>
        <w:t>:</w:t>
      </w:r>
      <w:r w:rsidRPr="00D936D5">
        <w:rPr>
          <w:rFonts w:ascii="Book Antiqua" w:hAnsi="Book Antiqua"/>
          <w:sz w:val="24"/>
          <w:szCs w:val="24"/>
        </w:rPr>
        <w:t xml:space="preserve"> Von Willebrand factor; </w:t>
      </w:r>
      <w:proofErr w:type="spellStart"/>
      <w:proofErr w:type="gramStart"/>
      <w:r w:rsidRPr="00D936D5">
        <w:rPr>
          <w:rFonts w:ascii="Book Antiqua" w:hAnsi="Book Antiqua"/>
          <w:sz w:val="24"/>
          <w:szCs w:val="24"/>
        </w:rPr>
        <w:t>VWF:Ag</w:t>
      </w:r>
      <w:proofErr w:type="spellEnd"/>
      <w:proofErr w:type="gramEnd"/>
      <w:r>
        <w:rPr>
          <w:rFonts w:ascii="Book Antiqua" w:eastAsia="SimSun" w:hAnsi="Book Antiqua" w:hint="eastAsia"/>
          <w:sz w:val="24"/>
          <w:szCs w:val="24"/>
          <w:lang w:eastAsia="zh-CN"/>
        </w:rPr>
        <w:t>:</w:t>
      </w:r>
      <w:r w:rsidRPr="00D936D5">
        <w:rPr>
          <w:rFonts w:ascii="Book Antiqua" w:hAnsi="Book Antiqua"/>
          <w:sz w:val="24"/>
          <w:szCs w:val="24"/>
        </w:rPr>
        <w:t xml:space="preserve"> VWF antigen;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w:t>
      </w:r>
      <w:r>
        <w:rPr>
          <w:rFonts w:ascii="Book Antiqua" w:eastAsia="SimSun" w:hAnsi="Book Antiqua" w:hint="eastAsia"/>
          <w:sz w:val="24"/>
          <w:szCs w:val="24"/>
          <w:lang w:eastAsia="zh-CN"/>
        </w:rPr>
        <w:t>:</w:t>
      </w:r>
      <w:r w:rsidRPr="00D936D5">
        <w:rPr>
          <w:rFonts w:ascii="Book Antiqua" w:hAnsi="Book Antiqua"/>
          <w:sz w:val="24"/>
          <w:szCs w:val="24"/>
        </w:rPr>
        <w:t xml:space="preserve"> The ratio of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 to ADAMTS13:AC</w:t>
      </w:r>
      <w:r>
        <w:rPr>
          <w:rFonts w:ascii="Book Antiqua" w:eastAsia="SimSun" w:hAnsi="Book Antiqua" w:hint="eastAsia"/>
          <w:sz w:val="24"/>
          <w:szCs w:val="24"/>
          <w:lang w:eastAsia="zh-CN"/>
        </w:rPr>
        <w:t>.</w:t>
      </w:r>
    </w:p>
    <w:p w14:paraId="248AF3D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lastRenderedPageBreak/>
        <w:drawing>
          <wp:inline distT="0" distB="0" distL="0" distR="0" wp14:anchorId="012AE1EC" wp14:editId="7E5EA6BC">
            <wp:extent cx="5385435" cy="2996152"/>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3287" cy="3011647"/>
                    </a:xfrm>
                    <a:prstGeom prst="rect">
                      <a:avLst/>
                    </a:prstGeom>
                    <a:noFill/>
                    <a:ln>
                      <a:noFill/>
                    </a:ln>
                  </pic:spPr>
                </pic:pic>
              </a:graphicData>
            </a:graphic>
          </wp:inline>
        </w:drawing>
      </w:r>
    </w:p>
    <w:p w14:paraId="72014036" w14:textId="3666EAAF" w:rsidR="00E164DC" w:rsidRPr="00E73699" w:rsidRDefault="00E73699" w:rsidP="00120959">
      <w:pPr>
        <w:spacing w:line="360" w:lineRule="auto"/>
        <w:rPr>
          <w:rFonts w:ascii="Book Antiqua" w:eastAsia="SimSun" w:hAnsi="Book Antiqua"/>
          <w:b/>
          <w:sz w:val="24"/>
          <w:szCs w:val="24"/>
          <w:lang w:eastAsia="zh-CN"/>
        </w:rPr>
      </w:pPr>
      <w:r w:rsidRPr="00E73699">
        <w:rPr>
          <w:rFonts w:ascii="Book Antiqua" w:hAnsi="Book Antiqua"/>
          <w:b/>
          <w:sz w:val="24"/>
          <w:szCs w:val="24"/>
        </w:rPr>
        <w:t xml:space="preserve">Figure 4 Vascular endothelial growth factor is associated with the </w:t>
      </w:r>
      <w:proofErr w:type="spellStart"/>
      <w:proofErr w:type="gramStart"/>
      <w:r w:rsidRPr="00E73699">
        <w:rPr>
          <w:rFonts w:ascii="Book Antiqua" w:hAnsi="Book Antiqua"/>
          <w:b/>
          <w:sz w:val="24"/>
          <w:szCs w:val="24"/>
        </w:rPr>
        <w:t>VWF:Ag</w:t>
      </w:r>
      <w:proofErr w:type="spellEnd"/>
      <w:proofErr w:type="gramEnd"/>
      <w:r w:rsidRPr="00E73699">
        <w:rPr>
          <w:rFonts w:ascii="Book Antiqua" w:hAnsi="Book Antiqua"/>
          <w:b/>
          <w:sz w:val="24"/>
          <w:szCs w:val="24"/>
        </w:rPr>
        <w:t>/ADAMTS13:AC ratio and ADAMTS13:AC in patients with hepatocellular carcinoma receiving sorafenib treatment.</w:t>
      </w:r>
      <w:r w:rsidRPr="00D936D5">
        <w:rPr>
          <w:rFonts w:ascii="Book Antiqua" w:hAnsi="Book Antiqua"/>
          <w:b/>
          <w:sz w:val="24"/>
          <w:szCs w:val="24"/>
        </w:rPr>
        <w:t xml:space="preserve"> </w:t>
      </w:r>
      <w:r>
        <w:rPr>
          <w:rFonts w:ascii="Book Antiqua" w:eastAsia="SimSun" w:hAnsi="Book Antiqua" w:hint="eastAsia"/>
          <w:sz w:val="24"/>
          <w:szCs w:val="24"/>
          <w:lang w:eastAsia="zh-CN"/>
        </w:rPr>
        <w:t>A:</w:t>
      </w:r>
      <w:r w:rsidRPr="00D936D5">
        <w:rPr>
          <w:rFonts w:ascii="Book Antiqua" w:hAnsi="Book Antiqua"/>
          <w:sz w:val="24"/>
          <w:szCs w:val="24"/>
        </w:rPr>
        <w:t xml:space="preserve"> </w:t>
      </w:r>
      <w:r w:rsidR="00EC6B22" w:rsidRPr="00D936D5">
        <w:rPr>
          <w:rFonts w:ascii="Book Antiqua" w:hAnsi="Book Antiqua"/>
          <w:sz w:val="24"/>
          <w:szCs w:val="24"/>
        </w:rPr>
        <w:t xml:space="preserve">Hepatocellular carcinoma </w:t>
      </w:r>
      <w:r w:rsidR="00EC6B22">
        <w:rPr>
          <w:rFonts w:ascii="Book Antiqua" w:eastAsia="SimSun" w:hAnsi="Book Antiqua" w:hint="eastAsia"/>
          <w:sz w:val="24"/>
          <w:szCs w:val="24"/>
          <w:lang w:eastAsia="zh-CN"/>
        </w:rPr>
        <w:t>(</w:t>
      </w:r>
      <w:r w:rsidRPr="00D936D5">
        <w:rPr>
          <w:rFonts w:ascii="Book Antiqua" w:hAnsi="Book Antiqua"/>
          <w:sz w:val="24"/>
          <w:szCs w:val="24"/>
        </w:rPr>
        <w:t>HCC</w:t>
      </w:r>
      <w:r w:rsidR="00EC6B22">
        <w:rPr>
          <w:rFonts w:ascii="Book Antiqua" w:eastAsia="SimSun" w:hAnsi="Book Antiqua" w:hint="eastAsia"/>
          <w:sz w:val="24"/>
          <w:szCs w:val="24"/>
          <w:lang w:eastAsia="zh-CN"/>
        </w:rPr>
        <w:t>)</w:t>
      </w:r>
      <w:r w:rsidRPr="00D936D5">
        <w:rPr>
          <w:rFonts w:ascii="Book Antiqua" w:hAnsi="Book Antiqua"/>
          <w:sz w:val="24"/>
          <w:szCs w:val="24"/>
        </w:rPr>
        <w:t xml:space="preserve"> patients with a </w:t>
      </w:r>
      <w:proofErr w:type="spellStart"/>
      <w:r w:rsidRPr="00D936D5">
        <w:rPr>
          <w:rFonts w:ascii="Book Antiqua" w:hAnsi="Book Antiqua"/>
          <w:sz w:val="24"/>
          <w:szCs w:val="24"/>
        </w:rPr>
        <w:t>VWF:Ag</w:t>
      </w:r>
      <w:proofErr w:type="spellEnd"/>
      <w:r w:rsidRPr="00D936D5">
        <w:rPr>
          <w:rFonts w:ascii="Book Antiqua" w:hAnsi="Book Antiqua"/>
          <w:sz w:val="24"/>
          <w:szCs w:val="24"/>
        </w:rPr>
        <w:t xml:space="preserve">/ADAMTS13:AC ratio ≥ 2.609 had significantly higher </w:t>
      </w:r>
      <w:r w:rsidR="0004790F" w:rsidRPr="00D936D5">
        <w:rPr>
          <w:rFonts w:ascii="Book Antiqua" w:hAnsi="Book Antiqua"/>
          <w:sz w:val="24"/>
          <w:szCs w:val="24"/>
        </w:rPr>
        <w:t xml:space="preserve">vascular endothelial growth factor </w:t>
      </w:r>
      <w:r w:rsidR="0004790F">
        <w:rPr>
          <w:rFonts w:ascii="Book Antiqua" w:eastAsia="SimSun" w:hAnsi="Book Antiqua" w:hint="eastAsia"/>
          <w:sz w:val="24"/>
          <w:szCs w:val="24"/>
          <w:lang w:eastAsia="zh-CN"/>
        </w:rPr>
        <w:t>(</w:t>
      </w:r>
      <w:r w:rsidRPr="00D936D5">
        <w:rPr>
          <w:rFonts w:ascii="Book Antiqua" w:hAnsi="Book Antiqua"/>
          <w:sz w:val="24"/>
          <w:szCs w:val="24"/>
        </w:rPr>
        <w:t>VEGF</w:t>
      </w:r>
      <w:r w:rsidR="0004790F">
        <w:rPr>
          <w:rFonts w:ascii="Book Antiqua" w:eastAsia="SimSun" w:hAnsi="Book Antiqua" w:hint="eastAsia"/>
          <w:sz w:val="24"/>
          <w:szCs w:val="24"/>
          <w:lang w:eastAsia="zh-CN"/>
        </w:rPr>
        <w:t>)</w:t>
      </w:r>
      <w:r w:rsidRPr="00D936D5">
        <w:rPr>
          <w:rFonts w:ascii="Book Antiqua" w:hAnsi="Book Antiqua"/>
          <w:sz w:val="24"/>
          <w:szCs w:val="24"/>
        </w:rPr>
        <w:t xml:space="preserve"> levels than those with a </w:t>
      </w:r>
      <w:proofErr w:type="spellStart"/>
      <w:r w:rsidRPr="00D936D5">
        <w:rPr>
          <w:rFonts w:ascii="Book Antiqua" w:hAnsi="Book Antiqua"/>
          <w:sz w:val="24"/>
          <w:szCs w:val="24"/>
        </w:rPr>
        <w:t>VWF:Ag</w:t>
      </w:r>
      <w:proofErr w:type="spellEnd"/>
      <w:r w:rsidRPr="00D936D5">
        <w:rPr>
          <w:rFonts w:ascii="Book Antiqua" w:hAnsi="Book Antiqua"/>
          <w:sz w:val="24"/>
          <w:szCs w:val="24"/>
        </w:rPr>
        <w:t>/ADAMTS13:AC ratio &lt; 2.609</w:t>
      </w:r>
      <w:r>
        <w:rPr>
          <w:rFonts w:ascii="Book Antiqua" w:eastAsia="SimSun" w:hAnsi="Book Antiqua" w:hint="eastAsia"/>
          <w:sz w:val="24"/>
          <w:szCs w:val="24"/>
          <w:lang w:eastAsia="zh-CN"/>
        </w:rPr>
        <w:t>; B:</w:t>
      </w:r>
      <w:r w:rsidRPr="00D936D5">
        <w:rPr>
          <w:rFonts w:ascii="Book Antiqua" w:hAnsi="Book Antiqua"/>
          <w:sz w:val="24"/>
          <w:szCs w:val="24"/>
        </w:rPr>
        <w:t xml:space="preserve"> HCC patients with an ADAMTS13:AC &lt; 78.0 had significantly higher VEGF levels than those with an ADAMTS13:AC ≥ 78.0. </w:t>
      </w:r>
      <w:r w:rsidR="00E164DC" w:rsidRPr="00D936D5">
        <w:rPr>
          <w:rFonts w:ascii="Book Antiqua" w:hAnsi="Book Antiqua"/>
          <w:sz w:val="24"/>
          <w:szCs w:val="24"/>
        </w:rPr>
        <w:t>ADAMTS13</w:t>
      </w:r>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A </w:t>
      </w:r>
      <w:proofErr w:type="spellStart"/>
      <w:r w:rsidR="00E164DC" w:rsidRPr="00D936D5">
        <w:rPr>
          <w:rFonts w:ascii="Book Antiqua" w:hAnsi="Book Antiqua"/>
          <w:sz w:val="24"/>
          <w:szCs w:val="24"/>
        </w:rPr>
        <w:t>disintegrin</w:t>
      </w:r>
      <w:proofErr w:type="spellEnd"/>
      <w:r w:rsidR="00E164DC" w:rsidRPr="00D936D5">
        <w:rPr>
          <w:rFonts w:ascii="Book Antiqua" w:hAnsi="Book Antiqua"/>
          <w:sz w:val="24"/>
          <w:szCs w:val="24"/>
        </w:rPr>
        <w:t>-like and metalloproteinase with thrombospondin type 1 motifs 13; ADAMTS13:AC</w:t>
      </w:r>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ADAMTS13 activity; VWF</w:t>
      </w:r>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Von Willebrand factor; </w:t>
      </w:r>
      <w:proofErr w:type="spellStart"/>
      <w:proofErr w:type="gramStart"/>
      <w:r w:rsidR="00E164DC" w:rsidRPr="00D936D5">
        <w:rPr>
          <w:rFonts w:ascii="Book Antiqua" w:hAnsi="Book Antiqua"/>
          <w:sz w:val="24"/>
          <w:szCs w:val="24"/>
        </w:rPr>
        <w:t>VWF:Ag</w:t>
      </w:r>
      <w:proofErr w:type="spellEnd"/>
      <w:proofErr w:type="gramEnd"/>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VWF antigen; </w:t>
      </w:r>
      <w:proofErr w:type="spellStart"/>
      <w:r w:rsidR="00E164DC" w:rsidRPr="00D936D5">
        <w:rPr>
          <w:rFonts w:ascii="Book Antiqua" w:hAnsi="Book Antiqua"/>
          <w:sz w:val="24"/>
          <w:szCs w:val="24"/>
        </w:rPr>
        <w:t>VWF:Ag</w:t>
      </w:r>
      <w:proofErr w:type="spellEnd"/>
      <w:r w:rsidR="00E164DC" w:rsidRPr="00D936D5">
        <w:rPr>
          <w:rFonts w:ascii="Book Antiqua" w:hAnsi="Book Antiqua"/>
          <w:sz w:val="24"/>
          <w:szCs w:val="24"/>
        </w:rPr>
        <w:t>/ADAMTS13:AC ratio</w:t>
      </w:r>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The ratio of </w:t>
      </w:r>
      <w:proofErr w:type="spellStart"/>
      <w:r w:rsidR="00E164DC" w:rsidRPr="00D936D5">
        <w:rPr>
          <w:rFonts w:ascii="Book Antiqua" w:hAnsi="Book Antiqua"/>
          <w:sz w:val="24"/>
          <w:szCs w:val="24"/>
        </w:rPr>
        <w:t>VWF:Ag</w:t>
      </w:r>
      <w:proofErr w:type="spellEnd"/>
      <w:r w:rsidR="00E164DC" w:rsidRPr="00D936D5">
        <w:rPr>
          <w:rFonts w:ascii="Book Antiqua" w:hAnsi="Book Antiqua"/>
          <w:sz w:val="24"/>
          <w:szCs w:val="24"/>
        </w:rPr>
        <w:t xml:space="preserve"> to ADAMTS13:AC</w:t>
      </w:r>
      <w:r w:rsidR="00E164DC">
        <w:rPr>
          <w:rFonts w:ascii="Book Antiqua" w:eastAsia="SimSun" w:hAnsi="Book Antiqua" w:hint="eastAsia"/>
          <w:sz w:val="24"/>
          <w:szCs w:val="24"/>
          <w:lang w:eastAsia="zh-CN"/>
        </w:rPr>
        <w:t xml:space="preserve">; </w:t>
      </w:r>
      <w:r w:rsidR="00E164DC" w:rsidRPr="00D936D5">
        <w:rPr>
          <w:rFonts w:ascii="Book Antiqua" w:hAnsi="Book Antiqua"/>
          <w:sz w:val="24"/>
          <w:szCs w:val="24"/>
        </w:rPr>
        <w:t>VEGF</w:t>
      </w:r>
      <w:r w:rsidR="00E164DC">
        <w:rPr>
          <w:rFonts w:ascii="Book Antiqua" w:eastAsia="SimSun" w:hAnsi="Book Antiqua" w:hint="eastAsia"/>
          <w:sz w:val="24"/>
          <w:szCs w:val="24"/>
          <w:lang w:eastAsia="zh-CN"/>
        </w:rPr>
        <w:t>:</w:t>
      </w:r>
      <w:r w:rsidR="00E164DC" w:rsidRPr="00D936D5">
        <w:rPr>
          <w:rFonts w:ascii="Book Antiqua" w:hAnsi="Book Antiqua"/>
          <w:sz w:val="24"/>
          <w:szCs w:val="24"/>
        </w:rPr>
        <w:t xml:space="preserve"> Vascular endothelial growth factor</w:t>
      </w:r>
      <w:r w:rsidR="00E164DC">
        <w:rPr>
          <w:rFonts w:ascii="Book Antiqua" w:eastAsia="SimSun" w:hAnsi="Book Antiqua" w:hint="eastAsia"/>
          <w:sz w:val="24"/>
          <w:szCs w:val="24"/>
          <w:lang w:eastAsia="zh-CN"/>
        </w:rPr>
        <w:t>.</w:t>
      </w:r>
    </w:p>
    <w:p w14:paraId="3212F76E" w14:textId="77777777" w:rsidR="00741934" w:rsidRPr="00D936D5" w:rsidRDefault="00741934" w:rsidP="00120959">
      <w:pPr>
        <w:spacing w:line="360" w:lineRule="auto"/>
        <w:rPr>
          <w:rFonts w:ascii="Book Antiqua" w:hAnsi="Book Antiqua"/>
          <w:sz w:val="24"/>
          <w:szCs w:val="24"/>
        </w:rPr>
      </w:pPr>
    </w:p>
    <w:p w14:paraId="1CAB109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lastRenderedPageBreak/>
        <w:drawing>
          <wp:inline distT="0" distB="0" distL="0" distR="0" wp14:anchorId="0C1693EB" wp14:editId="76F65931">
            <wp:extent cx="5372735" cy="243852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6312" cy="2453766"/>
                    </a:xfrm>
                    <a:prstGeom prst="rect">
                      <a:avLst/>
                    </a:prstGeom>
                    <a:noFill/>
                    <a:ln>
                      <a:noFill/>
                    </a:ln>
                  </pic:spPr>
                </pic:pic>
              </a:graphicData>
            </a:graphic>
          </wp:inline>
        </w:drawing>
      </w:r>
    </w:p>
    <w:p w14:paraId="69A7BA88" w14:textId="77777777" w:rsidR="00741934" w:rsidRPr="00D936D5" w:rsidRDefault="00741934" w:rsidP="00120959">
      <w:pPr>
        <w:spacing w:line="360" w:lineRule="auto"/>
        <w:rPr>
          <w:rFonts w:ascii="Book Antiqua" w:hAnsi="Book Antiqua"/>
          <w:sz w:val="24"/>
          <w:szCs w:val="24"/>
        </w:rPr>
      </w:pPr>
    </w:p>
    <w:p w14:paraId="66B652F5" w14:textId="7A3D7589" w:rsidR="00E164DC" w:rsidRPr="00D936D5" w:rsidRDefault="00E164DC" w:rsidP="00120959">
      <w:pPr>
        <w:spacing w:line="360" w:lineRule="auto"/>
        <w:rPr>
          <w:rFonts w:ascii="Book Antiqua" w:hAnsi="Book Antiqua"/>
          <w:sz w:val="24"/>
          <w:szCs w:val="24"/>
        </w:rPr>
      </w:pPr>
      <w:r w:rsidRPr="00E164DC">
        <w:rPr>
          <w:rFonts w:ascii="Book Antiqua" w:hAnsi="Book Antiqua"/>
          <w:b/>
          <w:sz w:val="24"/>
          <w:szCs w:val="24"/>
        </w:rPr>
        <w:t>Figure 5 ADAMTS13 is associated with progression-free survival and overall survival in patients with hepatocellular carcinoma receiving sorafenib treatment.</w:t>
      </w:r>
      <w:r w:rsidRPr="00D936D5">
        <w:rPr>
          <w:rFonts w:ascii="Book Antiqua" w:hAnsi="Book Antiqua"/>
          <w:b/>
          <w:sz w:val="24"/>
          <w:szCs w:val="24"/>
        </w:rPr>
        <w:t xml:space="preserve"> </w:t>
      </w:r>
      <w:r w:rsidRPr="00D936D5">
        <w:rPr>
          <w:rFonts w:ascii="Book Antiqua" w:hAnsi="Book Antiqua"/>
          <w:sz w:val="24"/>
          <w:szCs w:val="24"/>
        </w:rPr>
        <w:t xml:space="preserve">Hepatocellular carcinoma </w:t>
      </w:r>
      <w:r>
        <w:rPr>
          <w:rFonts w:ascii="Book Antiqua" w:eastAsia="SimSun" w:hAnsi="Book Antiqua" w:hint="eastAsia"/>
          <w:sz w:val="24"/>
          <w:szCs w:val="24"/>
          <w:lang w:eastAsia="zh-CN"/>
        </w:rPr>
        <w:t>(</w:t>
      </w:r>
      <w:r w:rsidRPr="00D936D5">
        <w:rPr>
          <w:rFonts w:ascii="Book Antiqua" w:hAnsi="Book Antiqua"/>
          <w:sz w:val="24"/>
          <w:szCs w:val="24"/>
        </w:rPr>
        <w:t>HCC</w:t>
      </w:r>
      <w:r>
        <w:rPr>
          <w:rFonts w:ascii="Book Antiqua" w:eastAsia="SimSun" w:hAnsi="Book Antiqua" w:hint="eastAsia"/>
          <w:sz w:val="24"/>
          <w:szCs w:val="24"/>
          <w:lang w:eastAsia="zh-CN"/>
        </w:rPr>
        <w:t>)</w:t>
      </w:r>
      <w:r w:rsidRPr="00D936D5">
        <w:rPr>
          <w:rFonts w:ascii="Book Antiqua" w:hAnsi="Book Antiqua"/>
          <w:sz w:val="24"/>
          <w:szCs w:val="24"/>
        </w:rPr>
        <w:t xml:space="preserve"> patients with an ADAMTS13:AC ≥ 78.0 had significantly longer progression-free survival (A) and overall survival (B) than those with an ADAMTS13:AC &lt; 78.0. Solid and dotted lines indicate HCC patients with an ADAMTS13:AC ≥ 78.0 and an ADAMTS13:AC &lt; 78.0, respectively.</w:t>
      </w:r>
      <w:r>
        <w:rPr>
          <w:rFonts w:ascii="Book Antiqua" w:eastAsia="SimSun" w:hAnsi="Book Antiqua" w:hint="eastAsia"/>
          <w:sz w:val="24"/>
          <w:szCs w:val="24"/>
          <w:lang w:eastAsia="zh-CN"/>
        </w:rPr>
        <w:t xml:space="preserve"> </w:t>
      </w:r>
      <w:r w:rsidRPr="00D936D5">
        <w:rPr>
          <w:rFonts w:ascii="Book Antiqua" w:hAnsi="Book Antiqua"/>
          <w:sz w:val="24"/>
          <w:szCs w:val="24"/>
        </w:rPr>
        <w:t>ADAMTS13</w:t>
      </w:r>
      <w:r>
        <w:rPr>
          <w:rFonts w:ascii="Book Antiqua" w:eastAsia="SimSun" w:hAnsi="Book Antiqua" w:hint="eastAsia"/>
          <w:sz w:val="24"/>
          <w:szCs w:val="24"/>
          <w:lang w:eastAsia="zh-CN"/>
        </w:rPr>
        <w:t>:</w:t>
      </w:r>
      <w:r w:rsidRPr="00D936D5">
        <w:rPr>
          <w:rFonts w:ascii="Book Antiqua" w:hAnsi="Book Antiqua"/>
          <w:sz w:val="24"/>
          <w:szCs w:val="24"/>
        </w:rPr>
        <w:t xml:space="preserve"> A </w:t>
      </w:r>
      <w:proofErr w:type="spellStart"/>
      <w:r w:rsidRPr="00D936D5">
        <w:rPr>
          <w:rFonts w:ascii="Book Antiqua" w:hAnsi="Book Antiqua"/>
          <w:sz w:val="24"/>
          <w:szCs w:val="24"/>
        </w:rPr>
        <w:t>disintegrin</w:t>
      </w:r>
      <w:proofErr w:type="spellEnd"/>
      <w:r w:rsidRPr="00D936D5">
        <w:rPr>
          <w:rFonts w:ascii="Book Antiqua" w:hAnsi="Book Antiqua"/>
          <w:sz w:val="24"/>
          <w:szCs w:val="24"/>
        </w:rPr>
        <w:t>-like and metalloproteinase with thrombospondin type 1 motifs 13; ADAMTS13:AC</w:t>
      </w:r>
      <w:r>
        <w:rPr>
          <w:rFonts w:ascii="Book Antiqua" w:eastAsia="SimSun" w:hAnsi="Book Antiqua" w:hint="eastAsia"/>
          <w:sz w:val="24"/>
          <w:szCs w:val="24"/>
          <w:lang w:eastAsia="zh-CN"/>
        </w:rPr>
        <w:t>:</w:t>
      </w:r>
      <w:r w:rsidRPr="00D936D5">
        <w:rPr>
          <w:rFonts w:ascii="Book Antiqua" w:hAnsi="Book Antiqua"/>
          <w:sz w:val="24"/>
          <w:szCs w:val="24"/>
        </w:rPr>
        <w:t xml:space="preserve"> ADAMTS13 activity.</w:t>
      </w:r>
    </w:p>
    <w:p w14:paraId="62ABD928" w14:textId="77777777" w:rsidR="00DB48D3" w:rsidRPr="00E164DC" w:rsidRDefault="00DB48D3" w:rsidP="00120959">
      <w:pPr>
        <w:spacing w:line="360" w:lineRule="auto"/>
        <w:rPr>
          <w:rFonts w:ascii="Book Antiqua" w:hAnsi="Book Antiqua"/>
          <w:sz w:val="24"/>
          <w:szCs w:val="24"/>
        </w:rPr>
      </w:pPr>
    </w:p>
    <w:sectPr w:rsidR="00DB48D3" w:rsidRPr="00E164DC" w:rsidSect="00240AB0">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0D1D" w14:textId="77777777" w:rsidR="00FF084C" w:rsidRDefault="00FF084C" w:rsidP="000800D9">
      <w:r>
        <w:separator/>
      </w:r>
    </w:p>
  </w:endnote>
  <w:endnote w:type="continuationSeparator" w:id="0">
    <w:p w14:paraId="3009F3D3" w14:textId="77777777" w:rsidR="00FF084C" w:rsidRDefault="00FF084C" w:rsidP="000800D9">
      <w:r>
        <w:continuationSeparator/>
      </w:r>
    </w:p>
  </w:endnote>
  <w:endnote w:type="continuationNotice" w:id="1">
    <w:p w14:paraId="6DB91FB3" w14:textId="77777777" w:rsidR="00FF084C" w:rsidRDefault="00FF0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hakuyoxingshu7000"/>
    <w:panose1 w:val="020B0604020202020204"/>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16712"/>
      <w:docPartObj>
        <w:docPartGallery w:val="Page Numbers (Bottom of Page)"/>
        <w:docPartUnique/>
      </w:docPartObj>
    </w:sdtPr>
    <w:sdtEndPr>
      <w:rPr>
        <w:noProof/>
      </w:rPr>
    </w:sdtEndPr>
    <w:sdtContent>
      <w:p w14:paraId="46584D6E" w14:textId="30F7A51E" w:rsidR="00644305" w:rsidRDefault="00644305">
        <w:pPr>
          <w:pStyle w:val="Footer"/>
          <w:jc w:val="center"/>
        </w:pPr>
        <w:r>
          <w:fldChar w:fldCharType="begin"/>
        </w:r>
        <w:r>
          <w:instrText xml:space="preserve"> PAGE   \* MERGEFORMAT </w:instrText>
        </w:r>
        <w:r>
          <w:fldChar w:fldCharType="separate"/>
        </w:r>
        <w:r w:rsidR="0010049F">
          <w:rPr>
            <w:noProof/>
          </w:rPr>
          <w:t>20</w:t>
        </w:r>
        <w:r>
          <w:rPr>
            <w:noProof/>
          </w:rPr>
          <w:fldChar w:fldCharType="end"/>
        </w:r>
      </w:p>
    </w:sdtContent>
  </w:sdt>
  <w:p w14:paraId="6E4A2180" w14:textId="77777777" w:rsidR="00644305" w:rsidRDefault="0064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6EF" w14:textId="77777777" w:rsidR="00FF084C" w:rsidRDefault="00FF084C" w:rsidP="000800D9">
      <w:r>
        <w:separator/>
      </w:r>
    </w:p>
  </w:footnote>
  <w:footnote w:type="continuationSeparator" w:id="0">
    <w:p w14:paraId="473BF6D0" w14:textId="77777777" w:rsidR="00FF084C" w:rsidRDefault="00FF084C" w:rsidP="000800D9">
      <w:r>
        <w:continuationSeparator/>
      </w:r>
    </w:p>
  </w:footnote>
  <w:footnote w:type="continuationNotice" w:id="1">
    <w:p w14:paraId="3F1FDCE0" w14:textId="77777777" w:rsidR="00FF084C" w:rsidRDefault="00FF0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6865"/>
    <w:multiLevelType w:val="hybridMultilevel"/>
    <w:tmpl w:val="5C62A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41934"/>
    <w:rsid w:val="00006CFB"/>
    <w:rsid w:val="00010129"/>
    <w:rsid w:val="00012CB1"/>
    <w:rsid w:val="00013006"/>
    <w:rsid w:val="0001394A"/>
    <w:rsid w:val="00017B60"/>
    <w:rsid w:val="00017C61"/>
    <w:rsid w:val="00022D3A"/>
    <w:rsid w:val="00022F05"/>
    <w:rsid w:val="00023163"/>
    <w:rsid w:val="0002318C"/>
    <w:rsid w:val="000256D6"/>
    <w:rsid w:val="00030EA5"/>
    <w:rsid w:val="00030F4A"/>
    <w:rsid w:val="000314AB"/>
    <w:rsid w:val="00033DE6"/>
    <w:rsid w:val="00036D0B"/>
    <w:rsid w:val="00041DDA"/>
    <w:rsid w:val="000458D0"/>
    <w:rsid w:val="00045A84"/>
    <w:rsid w:val="00046520"/>
    <w:rsid w:val="0004790F"/>
    <w:rsid w:val="00047D25"/>
    <w:rsid w:val="000507E4"/>
    <w:rsid w:val="00056D5E"/>
    <w:rsid w:val="00064686"/>
    <w:rsid w:val="0006543F"/>
    <w:rsid w:val="000655CA"/>
    <w:rsid w:val="00066D95"/>
    <w:rsid w:val="0007011C"/>
    <w:rsid w:val="000703EB"/>
    <w:rsid w:val="00070649"/>
    <w:rsid w:val="000713C7"/>
    <w:rsid w:val="00072033"/>
    <w:rsid w:val="0007282D"/>
    <w:rsid w:val="0007628A"/>
    <w:rsid w:val="00076746"/>
    <w:rsid w:val="00076E5C"/>
    <w:rsid w:val="000800D9"/>
    <w:rsid w:val="000809F6"/>
    <w:rsid w:val="00085E3D"/>
    <w:rsid w:val="00087025"/>
    <w:rsid w:val="00091993"/>
    <w:rsid w:val="00091E67"/>
    <w:rsid w:val="00092D63"/>
    <w:rsid w:val="00093018"/>
    <w:rsid w:val="00094E66"/>
    <w:rsid w:val="00096FB3"/>
    <w:rsid w:val="000A1FCC"/>
    <w:rsid w:val="000A71B3"/>
    <w:rsid w:val="000B069C"/>
    <w:rsid w:val="000B36AB"/>
    <w:rsid w:val="000B5179"/>
    <w:rsid w:val="000B66C8"/>
    <w:rsid w:val="000B699E"/>
    <w:rsid w:val="000B7171"/>
    <w:rsid w:val="000C0BC9"/>
    <w:rsid w:val="000C13C3"/>
    <w:rsid w:val="000C28D9"/>
    <w:rsid w:val="000C427D"/>
    <w:rsid w:val="000C4F5D"/>
    <w:rsid w:val="000C58C4"/>
    <w:rsid w:val="000C62CA"/>
    <w:rsid w:val="000C64C2"/>
    <w:rsid w:val="000C666A"/>
    <w:rsid w:val="000C7BDC"/>
    <w:rsid w:val="000D01E7"/>
    <w:rsid w:val="000D1DAC"/>
    <w:rsid w:val="000D3324"/>
    <w:rsid w:val="000D3CD4"/>
    <w:rsid w:val="000D4B49"/>
    <w:rsid w:val="000D5E63"/>
    <w:rsid w:val="000D6214"/>
    <w:rsid w:val="000D734B"/>
    <w:rsid w:val="000E283D"/>
    <w:rsid w:val="000E3B00"/>
    <w:rsid w:val="000E6A3B"/>
    <w:rsid w:val="000E722C"/>
    <w:rsid w:val="000F2E75"/>
    <w:rsid w:val="000F3F28"/>
    <w:rsid w:val="000F640B"/>
    <w:rsid w:val="0010049F"/>
    <w:rsid w:val="001029B6"/>
    <w:rsid w:val="00102B10"/>
    <w:rsid w:val="00103DED"/>
    <w:rsid w:val="00104CD3"/>
    <w:rsid w:val="00104F89"/>
    <w:rsid w:val="00106BCF"/>
    <w:rsid w:val="0011072A"/>
    <w:rsid w:val="00112B4D"/>
    <w:rsid w:val="00112BBF"/>
    <w:rsid w:val="0011488A"/>
    <w:rsid w:val="001153A6"/>
    <w:rsid w:val="00116B3B"/>
    <w:rsid w:val="00120959"/>
    <w:rsid w:val="00122321"/>
    <w:rsid w:val="00123D13"/>
    <w:rsid w:val="001255D3"/>
    <w:rsid w:val="00125927"/>
    <w:rsid w:val="00127A35"/>
    <w:rsid w:val="00133224"/>
    <w:rsid w:val="001341C0"/>
    <w:rsid w:val="001400CA"/>
    <w:rsid w:val="0014668E"/>
    <w:rsid w:val="00146D4C"/>
    <w:rsid w:val="00146F5F"/>
    <w:rsid w:val="00147910"/>
    <w:rsid w:val="001508E2"/>
    <w:rsid w:val="00150952"/>
    <w:rsid w:val="00150B30"/>
    <w:rsid w:val="00151300"/>
    <w:rsid w:val="00152C5F"/>
    <w:rsid w:val="00156E23"/>
    <w:rsid w:val="00157266"/>
    <w:rsid w:val="00160015"/>
    <w:rsid w:val="00161DFE"/>
    <w:rsid w:val="00162159"/>
    <w:rsid w:val="00165917"/>
    <w:rsid w:val="00166DDC"/>
    <w:rsid w:val="00166EB1"/>
    <w:rsid w:val="0017017F"/>
    <w:rsid w:val="00170899"/>
    <w:rsid w:val="0017275A"/>
    <w:rsid w:val="00174B8F"/>
    <w:rsid w:val="001805F9"/>
    <w:rsid w:val="0018240F"/>
    <w:rsid w:val="001827B8"/>
    <w:rsid w:val="00182961"/>
    <w:rsid w:val="0018320D"/>
    <w:rsid w:val="00184B52"/>
    <w:rsid w:val="001855AA"/>
    <w:rsid w:val="00186216"/>
    <w:rsid w:val="00190D45"/>
    <w:rsid w:val="00191254"/>
    <w:rsid w:val="00192914"/>
    <w:rsid w:val="001946AD"/>
    <w:rsid w:val="00194AA6"/>
    <w:rsid w:val="0019589B"/>
    <w:rsid w:val="00196CE6"/>
    <w:rsid w:val="001A0955"/>
    <w:rsid w:val="001A3288"/>
    <w:rsid w:val="001A3B1C"/>
    <w:rsid w:val="001B150A"/>
    <w:rsid w:val="001B1753"/>
    <w:rsid w:val="001B327C"/>
    <w:rsid w:val="001B39BA"/>
    <w:rsid w:val="001B3F82"/>
    <w:rsid w:val="001B41C1"/>
    <w:rsid w:val="001B54E6"/>
    <w:rsid w:val="001B6503"/>
    <w:rsid w:val="001B686B"/>
    <w:rsid w:val="001C1701"/>
    <w:rsid w:val="001C3BA3"/>
    <w:rsid w:val="001D0B9B"/>
    <w:rsid w:val="001D1295"/>
    <w:rsid w:val="001D15B3"/>
    <w:rsid w:val="001D1EA4"/>
    <w:rsid w:val="001D204A"/>
    <w:rsid w:val="001D33E8"/>
    <w:rsid w:val="001E2D8A"/>
    <w:rsid w:val="001E3259"/>
    <w:rsid w:val="001E3627"/>
    <w:rsid w:val="001E7259"/>
    <w:rsid w:val="001E763F"/>
    <w:rsid w:val="001F1D3B"/>
    <w:rsid w:val="001F3CEC"/>
    <w:rsid w:val="001F58F0"/>
    <w:rsid w:val="001F7247"/>
    <w:rsid w:val="00204FBC"/>
    <w:rsid w:val="002100C1"/>
    <w:rsid w:val="002139F8"/>
    <w:rsid w:val="00213D1A"/>
    <w:rsid w:val="00215063"/>
    <w:rsid w:val="00220C47"/>
    <w:rsid w:val="00226187"/>
    <w:rsid w:val="00227401"/>
    <w:rsid w:val="00231038"/>
    <w:rsid w:val="00234D09"/>
    <w:rsid w:val="00235D58"/>
    <w:rsid w:val="002405C4"/>
    <w:rsid w:val="00240AB0"/>
    <w:rsid w:val="002424B2"/>
    <w:rsid w:val="00242ADD"/>
    <w:rsid w:val="00244070"/>
    <w:rsid w:val="00245185"/>
    <w:rsid w:val="00245D66"/>
    <w:rsid w:val="002506E2"/>
    <w:rsid w:val="0025180C"/>
    <w:rsid w:val="002522AF"/>
    <w:rsid w:val="0025320D"/>
    <w:rsid w:val="00253E1E"/>
    <w:rsid w:val="00254BEF"/>
    <w:rsid w:val="0025778D"/>
    <w:rsid w:val="00257FA1"/>
    <w:rsid w:val="002638BD"/>
    <w:rsid w:val="00265156"/>
    <w:rsid w:val="00266176"/>
    <w:rsid w:val="00266B72"/>
    <w:rsid w:val="00266C4F"/>
    <w:rsid w:val="002679EE"/>
    <w:rsid w:val="00270C07"/>
    <w:rsid w:val="0027172D"/>
    <w:rsid w:val="00275281"/>
    <w:rsid w:val="0027721B"/>
    <w:rsid w:val="00280795"/>
    <w:rsid w:val="00281078"/>
    <w:rsid w:val="002812A2"/>
    <w:rsid w:val="002818D7"/>
    <w:rsid w:val="0028252A"/>
    <w:rsid w:val="002847DD"/>
    <w:rsid w:val="00284BC8"/>
    <w:rsid w:val="002867B3"/>
    <w:rsid w:val="00290D37"/>
    <w:rsid w:val="00292B49"/>
    <w:rsid w:val="0029318D"/>
    <w:rsid w:val="00293EA5"/>
    <w:rsid w:val="00294194"/>
    <w:rsid w:val="002943BE"/>
    <w:rsid w:val="002955D4"/>
    <w:rsid w:val="002973A0"/>
    <w:rsid w:val="00297BAE"/>
    <w:rsid w:val="002A094B"/>
    <w:rsid w:val="002A3804"/>
    <w:rsid w:val="002A3F81"/>
    <w:rsid w:val="002A4B77"/>
    <w:rsid w:val="002A4DC7"/>
    <w:rsid w:val="002A6369"/>
    <w:rsid w:val="002A724B"/>
    <w:rsid w:val="002A7C85"/>
    <w:rsid w:val="002B0786"/>
    <w:rsid w:val="002B1AD8"/>
    <w:rsid w:val="002B1BCB"/>
    <w:rsid w:val="002B4DFA"/>
    <w:rsid w:val="002B6E74"/>
    <w:rsid w:val="002B6F5B"/>
    <w:rsid w:val="002C1500"/>
    <w:rsid w:val="002C3511"/>
    <w:rsid w:val="002C3C5F"/>
    <w:rsid w:val="002C6752"/>
    <w:rsid w:val="002D22E8"/>
    <w:rsid w:val="002D393E"/>
    <w:rsid w:val="002E02A4"/>
    <w:rsid w:val="002E0FFE"/>
    <w:rsid w:val="002E240E"/>
    <w:rsid w:val="002E2A6F"/>
    <w:rsid w:val="002E3635"/>
    <w:rsid w:val="002E6C67"/>
    <w:rsid w:val="002E72FA"/>
    <w:rsid w:val="002E7431"/>
    <w:rsid w:val="002F03D0"/>
    <w:rsid w:val="002F0AB8"/>
    <w:rsid w:val="002F17C2"/>
    <w:rsid w:val="002F1DE0"/>
    <w:rsid w:val="002F28A6"/>
    <w:rsid w:val="002F3A88"/>
    <w:rsid w:val="002F4A72"/>
    <w:rsid w:val="002F4C41"/>
    <w:rsid w:val="002F707E"/>
    <w:rsid w:val="002F72CF"/>
    <w:rsid w:val="00300DAF"/>
    <w:rsid w:val="00301DC0"/>
    <w:rsid w:val="00301F65"/>
    <w:rsid w:val="00303641"/>
    <w:rsid w:val="003043D5"/>
    <w:rsid w:val="00304884"/>
    <w:rsid w:val="00305763"/>
    <w:rsid w:val="00305EC0"/>
    <w:rsid w:val="0030704F"/>
    <w:rsid w:val="00310D3E"/>
    <w:rsid w:val="00310D9B"/>
    <w:rsid w:val="00311864"/>
    <w:rsid w:val="00312F7E"/>
    <w:rsid w:val="00315629"/>
    <w:rsid w:val="00315BCB"/>
    <w:rsid w:val="00315DFE"/>
    <w:rsid w:val="003200B6"/>
    <w:rsid w:val="00320E4D"/>
    <w:rsid w:val="00322BEA"/>
    <w:rsid w:val="0032322E"/>
    <w:rsid w:val="00325314"/>
    <w:rsid w:val="0032551C"/>
    <w:rsid w:val="00326568"/>
    <w:rsid w:val="00330F51"/>
    <w:rsid w:val="00331207"/>
    <w:rsid w:val="00332421"/>
    <w:rsid w:val="00336048"/>
    <w:rsid w:val="00337140"/>
    <w:rsid w:val="0034077C"/>
    <w:rsid w:val="0034097D"/>
    <w:rsid w:val="0034215F"/>
    <w:rsid w:val="003427E6"/>
    <w:rsid w:val="0034304B"/>
    <w:rsid w:val="003458B2"/>
    <w:rsid w:val="00346785"/>
    <w:rsid w:val="003539FE"/>
    <w:rsid w:val="003546D6"/>
    <w:rsid w:val="00355E27"/>
    <w:rsid w:val="00357533"/>
    <w:rsid w:val="00361547"/>
    <w:rsid w:val="003700E1"/>
    <w:rsid w:val="003703B3"/>
    <w:rsid w:val="00375ADA"/>
    <w:rsid w:val="00382F38"/>
    <w:rsid w:val="00383AC1"/>
    <w:rsid w:val="00383C63"/>
    <w:rsid w:val="0038592B"/>
    <w:rsid w:val="00385C8F"/>
    <w:rsid w:val="003869E0"/>
    <w:rsid w:val="00386D69"/>
    <w:rsid w:val="00392ACA"/>
    <w:rsid w:val="003937F7"/>
    <w:rsid w:val="00397B01"/>
    <w:rsid w:val="003A4AE0"/>
    <w:rsid w:val="003A52B0"/>
    <w:rsid w:val="003A5BD3"/>
    <w:rsid w:val="003A7598"/>
    <w:rsid w:val="003A7B00"/>
    <w:rsid w:val="003B194A"/>
    <w:rsid w:val="003B2432"/>
    <w:rsid w:val="003B3824"/>
    <w:rsid w:val="003B5602"/>
    <w:rsid w:val="003B6CFF"/>
    <w:rsid w:val="003B7DE9"/>
    <w:rsid w:val="003C0310"/>
    <w:rsid w:val="003C2380"/>
    <w:rsid w:val="003C3DA8"/>
    <w:rsid w:val="003C441D"/>
    <w:rsid w:val="003C6C8B"/>
    <w:rsid w:val="003D145D"/>
    <w:rsid w:val="003D1C80"/>
    <w:rsid w:val="003D41AE"/>
    <w:rsid w:val="003D4FCC"/>
    <w:rsid w:val="003D5626"/>
    <w:rsid w:val="003D5782"/>
    <w:rsid w:val="003D5BC4"/>
    <w:rsid w:val="003D7A81"/>
    <w:rsid w:val="003F15CA"/>
    <w:rsid w:val="004045F1"/>
    <w:rsid w:val="00405BCD"/>
    <w:rsid w:val="00410476"/>
    <w:rsid w:val="0041120A"/>
    <w:rsid w:val="004120B4"/>
    <w:rsid w:val="004126E7"/>
    <w:rsid w:val="004158D0"/>
    <w:rsid w:val="00415A1D"/>
    <w:rsid w:val="00416F79"/>
    <w:rsid w:val="00421CF3"/>
    <w:rsid w:val="00422A03"/>
    <w:rsid w:val="00426EA4"/>
    <w:rsid w:val="00431462"/>
    <w:rsid w:val="0043332C"/>
    <w:rsid w:val="004348E0"/>
    <w:rsid w:val="004378AA"/>
    <w:rsid w:val="00437D47"/>
    <w:rsid w:val="00440E17"/>
    <w:rsid w:val="00441694"/>
    <w:rsid w:val="00444E15"/>
    <w:rsid w:val="00445191"/>
    <w:rsid w:val="004456C4"/>
    <w:rsid w:val="00446C66"/>
    <w:rsid w:val="00451A7D"/>
    <w:rsid w:val="004536D6"/>
    <w:rsid w:val="0045500B"/>
    <w:rsid w:val="0045537A"/>
    <w:rsid w:val="00456A95"/>
    <w:rsid w:val="00461286"/>
    <w:rsid w:val="004627D7"/>
    <w:rsid w:val="00463168"/>
    <w:rsid w:val="00463F04"/>
    <w:rsid w:val="00464239"/>
    <w:rsid w:val="0046508B"/>
    <w:rsid w:val="004650EA"/>
    <w:rsid w:val="00471098"/>
    <w:rsid w:val="0047230C"/>
    <w:rsid w:val="00472F6F"/>
    <w:rsid w:val="00473F1C"/>
    <w:rsid w:val="00473FBB"/>
    <w:rsid w:val="004749FE"/>
    <w:rsid w:val="0047780D"/>
    <w:rsid w:val="0048157D"/>
    <w:rsid w:val="00482454"/>
    <w:rsid w:val="00483D09"/>
    <w:rsid w:val="004851BC"/>
    <w:rsid w:val="0048796C"/>
    <w:rsid w:val="00487D6F"/>
    <w:rsid w:val="0049063B"/>
    <w:rsid w:val="004928FD"/>
    <w:rsid w:val="00493FEF"/>
    <w:rsid w:val="00494B7A"/>
    <w:rsid w:val="00496003"/>
    <w:rsid w:val="004A1643"/>
    <w:rsid w:val="004A32A5"/>
    <w:rsid w:val="004A3D71"/>
    <w:rsid w:val="004A4F4F"/>
    <w:rsid w:val="004A5363"/>
    <w:rsid w:val="004B1D7B"/>
    <w:rsid w:val="004B4245"/>
    <w:rsid w:val="004C0200"/>
    <w:rsid w:val="004C1508"/>
    <w:rsid w:val="004C3E6A"/>
    <w:rsid w:val="004C42DA"/>
    <w:rsid w:val="004C5490"/>
    <w:rsid w:val="004C5A2F"/>
    <w:rsid w:val="004C61BE"/>
    <w:rsid w:val="004D31B9"/>
    <w:rsid w:val="004D3DFD"/>
    <w:rsid w:val="004D4BA8"/>
    <w:rsid w:val="004D6C7E"/>
    <w:rsid w:val="004D73D8"/>
    <w:rsid w:val="004E37DA"/>
    <w:rsid w:val="004E3DDD"/>
    <w:rsid w:val="004E57BC"/>
    <w:rsid w:val="004E7869"/>
    <w:rsid w:val="004F090D"/>
    <w:rsid w:val="004F1A26"/>
    <w:rsid w:val="004F2FAF"/>
    <w:rsid w:val="004F34E5"/>
    <w:rsid w:val="004F4D7F"/>
    <w:rsid w:val="005002CC"/>
    <w:rsid w:val="0050231E"/>
    <w:rsid w:val="005029B2"/>
    <w:rsid w:val="00502B0B"/>
    <w:rsid w:val="00502D9B"/>
    <w:rsid w:val="00502F1F"/>
    <w:rsid w:val="00511499"/>
    <w:rsid w:val="0051392B"/>
    <w:rsid w:val="00515279"/>
    <w:rsid w:val="0051567E"/>
    <w:rsid w:val="0051671F"/>
    <w:rsid w:val="00520AEB"/>
    <w:rsid w:val="00523FBC"/>
    <w:rsid w:val="00526217"/>
    <w:rsid w:val="00527AB7"/>
    <w:rsid w:val="00530A3A"/>
    <w:rsid w:val="0053520A"/>
    <w:rsid w:val="00536DF8"/>
    <w:rsid w:val="00536E8D"/>
    <w:rsid w:val="005401F1"/>
    <w:rsid w:val="00540F2F"/>
    <w:rsid w:val="005417AE"/>
    <w:rsid w:val="005428A0"/>
    <w:rsid w:val="00545764"/>
    <w:rsid w:val="00545FB1"/>
    <w:rsid w:val="00546046"/>
    <w:rsid w:val="005462CE"/>
    <w:rsid w:val="0055186A"/>
    <w:rsid w:val="005556E5"/>
    <w:rsid w:val="00556AAA"/>
    <w:rsid w:val="00556F22"/>
    <w:rsid w:val="00557025"/>
    <w:rsid w:val="005609FE"/>
    <w:rsid w:val="0056123C"/>
    <w:rsid w:val="00561B82"/>
    <w:rsid w:val="0056318A"/>
    <w:rsid w:val="00563E3C"/>
    <w:rsid w:val="0056488D"/>
    <w:rsid w:val="00567197"/>
    <w:rsid w:val="0057252D"/>
    <w:rsid w:val="005753C5"/>
    <w:rsid w:val="00580373"/>
    <w:rsid w:val="0058148C"/>
    <w:rsid w:val="005820E0"/>
    <w:rsid w:val="00582B6B"/>
    <w:rsid w:val="005834E6"/>
    <w:rsid w:val="00587118"/>
    <w:rsid w:val="00587542"/>
    <w:rsid w:val="00591874"/>
    <w:rsid w:val="005918BA"/>
    <w:rsid w:val="005929B9"/>
    <w:rsid w:val="00592DC7"/>
    <w:rsid w:val="00597266"/>
    <w:rsid w:val="005A0244"/>
    <w:rsid w:val="005A04DA"/>
    <w:rsid w:val="005A1C0B"/>
    <w:rsid w:val="005A673A"/>
    <w:rsid w:val="005A6F58"/>
    <w:rsid w:val="005A7EED"/>
    <w:rsid w:val="005B11FC"/>
    <w:rsid w:val="005B16E9"/>
    <w:rsid w:val="005B59E7"/>
    <w:rsid w:val="005B5D38"/>
    <w:rsid w:val="005B7F6B"/>
    <w:rsid w:val="005C4E84"/>
    <w:rsid w:val="005C645D"/>
    <w:rsid w:val="005C656F"/>
    <w:rsid w:val="005D011C"/>
    <w:rsid w:val="005D0705"/>
    <w:rsid w:val="005D14F2"/>
    <w:rsid w:val="005D177D"/>
    <w:rsid w:val="005D4CE7"/>
    <w:rsid w:val="005E0736"/>
    <w:rsid w:val="005E09F3"/>
    <w:rsid w:val="005E4F1A"/>
    <w:rsid w:val="005E7AC1"/>
    <w:rsid w:val="005F1CEF"/>
    <w:rsid w:val="005F30F6"/>
    <w:rsid w:val="005F4BA4"/>
    <w:rsid w:val="005F5B89"/>
    <w:rsid w:val="005F709A"/>
    <w:rsid w:val="00601CC4"/>
    <w:rsid w:val="0060214F"/>
    <w:rsid w:val="00602CD2"/>
    <w:rsid w:val="0060371A"/>
    <w:rsid w:val="0060372A"/>
    <w:rsid w:val="0061154C"/>
    <w:rsid w:val="00615D85"/>
    <w:rsid w:val="00617BD3"/>
    <w:rsid w:val="00621376"/>
    <w:rsid w:val="006274D5"/>
    <w:rsid w:val="00630535"/>
    <w:rsid w:val="00630591"/>
    <w:rsid w:val="0063120F"/>
    <w:rsid w:val="00631657"/>
    <w:rsid w:val="006321CC"/>
    <w:rsid w:val="00632E0B"/>
    <w:rsid w:val="00632F6B"/>
    <w:rsid w:val="006340D8"/>
    <w:rsid w:val="00636D54"/>
    <w:rsid w:val="00637F9C"/>
    <w:rsid w:val="006416D8"/>
    <w:rsid w:val="0064363D"/>
    <w:rsid w:val="00644305"/>
    <w:rsid w:val="00645FAF"/>
    <w:rsid w:val="00650564"/>
    <w:rsid w:val="006506A7"/>
    <w:rsid w:val="00651888"/>
    <w:rsid w:val="00654E56"/>
    <w:rsid w:val="00655DBB"/>
    <w:rsid w:val="00657C46"/>
    <w:rsid w:val="00660D06"/>
    <w:rsid w:val="0066566E"/>
    <w:rsid w:val="006660CB"/>
    <w:rsid w:val="00667077"/>
    <w:rsid w:val="006718EB"/>
    <w:rsid w:val="00671D42"/>
    <w:rsid w:val="0067533F"/>
    <w:rsid w:val="006802C9"/>
    <w:rsid w:val="006854CC"/>
    <w:rsid w:val="00685D25"/>
    <w:rsid w:val="00686B25"/>
    <w:rsid w:val="006875F0"/>
    <w:rsid w:val="00695795"/>
    <w:rsid w:val="006958E2"/>
    <w:rsid w:val="00696687"/>
    <w:rsid w:val="00697660"/>
    <w:rsid w:val="006978FC"/>
    <w:rsid w:val="00697C80"/>
    <w:rsid w:val="006A12AA"/>
    <w:rsid w:val="006A16B6"/>
    <w:rsid w:val="006A1B8B"/>
    <w:rsid w:val="006B223E"/>
    <w:rsid w:val="006B59E8"/>
    <w:rsid w:val="006B737A"/>
    <w:rsid w:val="006C0759"/>
    <w:rsid w:val="006C1005"/>
    <w:rsid w:val="006C3996"/>
    <w:rsid w:val="006C482E"/>
    <w:rsid w:val="006C6BEC"/>
    <w:rsid w:val="006D2F3E"/>
    <w:rsid w:val="006D37AA"/>
    <w:rsid w:val="006D7F77"/>
    <w:rsid w:val="006E2A4D"/>
    <w:rsid w:val="006E2FB7"/>
    <w:rsid w:val="006E37A3"/>
    <w:rsid w:val="006E4050"/>
    <w:rsid w:val="006E6B52"/>
    <w:rsid w:val="006E6BE6"/>
    <w:rsid w:val="006F2120"/>
    <w:rsid w:val="006F2CA2"/>
    <w:rsid w:val="006F37E8"/>
    <w:rsid w:val="006F3D2A"/>
    <w:rsid w:val="006F46DE"/>
    <w:rsid w:val="006F5345"/>
    <w:rsid w:val="006F5F8F"/>
    <w:rsid w:val="006F6949"/>
    <w:rsid w:val="006F7A9D"/>
    <w:rsid w:val="006F7B97"/>
    <w:rsid w:val="00700858"/>
    <w:rsid w:val="00701CEE"/>
    <w:rsid w:val="00704094"/>
    <w:rsid w:val="00705A1E"/>
    <w:rsid w:val="00705F9C"/>
    <w:rsid w:val="00706413"/>
    <w:rsid w:val="00706A5A"/>
    <w:rsid w:val="0071269D"/>
    <w:rsid w:val="00712DFD"/>
    <w:rsid w:val="00712E05"/>
    <w:rsid w:val="00712FA4"/>
    <w:rsid w:val="007131D1"/>
    <w:rsid w:val="0071719A"/>
    <w:rsid w:val="007211D6"/>
    <w:rsid w:val="007218A0"/>
    <w:rsid w:val="00724859"/>
    <w:rsid w:val="00725785"/>
    <w:rsid w:val="00730058"/>
    <w:rsid w:val="007309BA"/>
    <w:rsid w:val="00740A4E"/>
    <w:rsid w:val="00740F23"/>
    <w:rsid w:val="00741934"/>
    <w:rsid w:val="00745171"/>
    <w:rsid w:val="007472FE"/>
    <w:rsid w:val="00751DB1"/>
    <w:rsid w:val="0075220D"/>
    <w:rsid w:val="00752459"/>
    <w:rsid w:val="00752EBD"/>
    <w:rsid w:val="00752EC4"/>
    <w:rsid w:val="00753120"/>
    <w:rsid w:val="007543DF"/>
    <w:rsid w:val="00755290"/>
    <w:rsid w:val="0075677D"/>
    <w:rsid w:val="00760BFA"/>
    <w:rsid w:val="007613B2"/>
    <w:rsid w:val="00767F5A"/>
    <w:rsid w:val="00770A2E"/>
    <w:rsid w:val="00770F29"/>
    <w:rsid w:val="007721D7"/>
    <w:rsid w:val="00772A4E"/>
    <w:rsid w:val="007802B7"/>
    <w:rsid w:val="00783028"/>
    <w:rsid w:val="0078314B"/>
    <w:rsid w:val="00786883"/>
    <w:rsid w:val="00791642"/>
    <w:rsid w:val="00794300"/>
    <w:rsid w:val="00794EB3"/>
    <w:rsid w:val="00796470"/>
    <w:rsid w:val="00797038"/>
    <w:rsid w:val="007A1B41"/>
    <w:rsid w:val="007A1C0E"/>
    <w:rsid w:val="007A4918"/>
    <w:rsid w:val="007A6ECB"/>
    <w:rsid w:val="007B21B9"/>
    <w:rsid w:val="007B46B3"/>
    <w:rsid w:val="007B4BD4"/>
    <w:rsid w:val="007B5D60"/>
    <w:rsid w:val="007B6FF4"/>
    <w:rsid w:val="007B73B0"/>
    <w:rsid w:val="007C0101"/>
    <w:rsid w:val="007C0699"/>
    <w:rsid w:val="007C381E"/>
    <w:rsid w:val="007C3D88"/>
    <w:rsid w:val="007C47B4"/>
    <w:rsid w:val="007C6C6D"/>
    <w:rsid w:val="007C6F7F"/>
    <w:rsid w:val="007C7FFE"/>
    <w:rsid w:val="007D1329"/>
    <w:rsid w:val="007D1A28"/>
    <w:rsid w:val="007D32CA"/>
    <w:rsid w:val="007D3849"/>
    <w:rsid w:val="007D55AC"/>
    <w:rsid w:val="007D75A7"/>
    <w:rsid w:val="007E0941"/>
    <w:rsid w:val="007E4E71"/>
    <w:rsid w:val="007E7DFC"/>
    <w:rsid w:val="007F0275"/>
    <w:rsid w:val="007F15C2"/>
    <w:rsid w:val="007F5433"/>
    <w:rsid w:val="007F5703"/>
    <w:rsid w:val="007F6DDE"/>
    <w:rsid w:val="007F7F57"/>
    <w:rsid w:val="00802134"/>
    <w:rsid w:val="00805DDF"/>
    <w:rsid w:val="00810923"/>
    <w:rsid w:val="008109A0"/>
    <w:rsid w:val="00814753"/>
    <w:rsid w:val="008201C6"/>
    <w:rsid w:val="00820E23"/>
    <w:rsid w:val="00821DC5"/>
    <w:rsid w:val="00824857"/>
    <w:rsid w:val="00825C3C"/>
    <w:rsid w:val="008326C8"/>
    <w:rsid w:val="00832A96"/>
    <w:rsid w:val="00833650"/>
    <w:rsid w:val="00835011"/>
    <w:rsid w:val="00835445"/>
    <w:rsid w:val="00840DF7"/>
    <w:rsid w:val="00840F9A"/>
    <w:rsid w:val="00841323"/>
    <w:rsid w:val="008432E8"/>
    <w:rsid w:val="00844640"/>
    <w:rsid w:val="00844E2C"/>
    <w:rsid w:val="0084595D"/>
    <w:rsid w:val="00845E8D"/>
    <w:rsid w:val="00846370"/>
    <w:rsid w:val="00846B5E"/>
    <w:rsid w:val="008475D7"/>
    <w:rsid w:val="0085156F"/>
    <w:rsid w:val="00852332"/>
    <w:rsid w:val="008530FC"/>
    <w:rsid w:val="008563D5"/>
    <w:rsid w:val="00856C7B"/>
    <w:rsid w:val="0086126D"/>
    <w:rsid w:val="00864DA3"/>
    <w:rsid w:val="008661A5"/>
    <w:rsid w:val="00866373"/>
    <w:rsid w:val="008676A5"/>
    <w:rsid w:val="00870AB2"/>
    <w:rsid w:val="00872518"/>
    <w:rsid w:val="008738A3"/>
    <w:rsid w:val="00875E33"/>
    <w:rsid w:val="008764D1"/>
    <w:rsid w:val="00877419"/>
    <w:rsid w:val="00880C3C"/>
    <w:rsid w:val="00881B6B"/>
    <w:rsid w:val="00882291"/>
    <w:rsid w:val="00882BD5"/>
    <w:rsid w:val="00882EDC"/>
    <w:rsid w:val="008839EF"/>
    <w:rsid w:val="00885860"/>
    <w:rsid w:val="00885AEF"/>
    <w:rsid w:val="00891585"/>
    <w:rsid w:val="00893292"/>
    <w:rsid w:val="00896115"/>
    <w:rsid w:val="008A0B33"/>
    <w:rsid w:val="008A0DDC"/>
    <w:rsid w:val="008A166F"/>
    <w:rsid w:val="008A7E0A"/>
    <w:rsid w:val="008B09CD"/>
    <w:rsid w:val="008B4832"/>
    <w:rsid w:val="008B5DDE"/>
    <w:rsid w:val="008C023F"/>
    <w:rsid w:val="008C06B0"/>
    <w:rsid w:val="008C1C63"/>
    <w:rsid w:val="008C1FCB"/>
    <w:rsid w:val="008C39A3"/>
    <w:rsid w:val="008C5D1C"/>
    <w:rsid w:val="008C7DA7"/>
    <w:rsid w:val="008D188F"/>
    <w:rsid w:val="008D1896"/>
    <w:rsid w:val="008D2837"/>
    <w:rsid w:val="008D5A98"/>
    <w:rsid w:val="008D5D3B"/>
    <w:rsid w:val="008D673E"/>
    <w:rsid w:val="008E046A"/>
    <w:rsid w:val="008E3B8B"/>
    <w:rsid w:val="008E7780"/>
    <w:rsid w:val="008F1F82"/>
    <w:rsid w:val="008F2427"/>
    <w:rsid w:val="0090287A"/>
    <w:rsid w:val="00903119"/>
    <w:rsid w:val="0090486E"/>
    <w:rsid w:val="00904D12"/>
    <w:rsid w:val="00905A27"/>
    <w:rsid w:val="00906017"/>
    <w:rsid w:val="0090692B"/>
    <w:rsid w:val="00907752"/>
    <w:rsid w:val="00910FD4"/>
    <w:rsid w:val="009110E0"/>
    <w:rsid w:val="009153DE"/>
    <w:rsid w:val="009174C9"/>
    <w:rsid w:val="00920B94"/>
    <w:rsid w:val="00921F32"/>
    <w:rsid w:val="00924B26"/>
    <w:rsid w:val="00924D43"/>
    <w:rsid w:val="00925FEB"/>
    <w:rsid w:val="0092706B"/>
    <w:rsid w:val="0093102E"/>
    <w:rsid w:val="00931E85"/>
    <w:rsid w:val="009331ED"/>
    <w:rsid w:val="00934239"/>
    <w:rsid w:val="009357B3"/>
    <w:rsid w:val="00937FFB"/>
    <w:rsid w:val="00940F94"/>
    <w:rsid w:val="0094442D"/>
    <w:rsid w:val="00944A6A"/>
    <w:rsid w:val="00944DCD"/>
    <w:rsid w:val="009508F2"/>
    <w:rsid w:val="00950C0C"/>
    <w:rsid w:val="00954399"/>
    <w:rsid w:val="00955251"/>
    <w:rsid w:val="009627ED"/>
    <w:rsid w:val="009631A4"/>
    <w:rsid w:val="00963F1F"/>
    <w:rsid w:val="009700F7"/>
    <w:rsid w:val="0097026E"/>
    <w:rsid w:val="00970DE9"/>
    <w:rsid w:val="00970FF1"/>
    <w:rsid w:val="009732A0"/>
    <w:rsid w:val="009745D8"/>
    <w:rsid w:val="009752EF"/>
    <w:rsid w:val="00975BBF"/>
    <w:rsid w:val="009827A9"/>
    <w:rsid w:val="00982B66"/>
    <w:rsid w:val="00983C75"/>
    <w:rsid w:val="00984A2D"/>
    <w:rsid w:val="00985F72"/>
    <w:rsid w:val="0098625C"/>
    <w:rsid w:val="009904FF"/>
    <w:rsid w:val="00992CE7"/>
    <w:rsid w:val="00994D97"/>
    <w:rsid w:val="00995B4D"/>
    <w:rsid w:val="009966AA"/>
    <w:rsid w:val="00996C39"/>
    <w:rsid w:val="009A482A"/>
    <w:rsid w:val="009A7C6F"/>
    <w:rsid w:val="009B07D4"/>
    <w:rsid w:val="009B3ACB"/>
    <w:rsid w:val="009B6961"/>
    <w:rsid w:val="009B6AC6"/>
    <w:rsid w:val="009C0457"/>
    <w:rsid w:val="009C09B5"/>
    <w:rsid w:val="009C1FE5"/>
    <w:rsid w:val="009C2832"/>
    <w:rsid w:val="009C2F4F"/>
    <w:rsid w:val="009C4594"/>
    <w:rsid w:val="009C5E20"/>
    <w:rsid w:val="009C646B"/>
    <w:rsid w:val="009C6CC6"/>
    <w:rsid w:val="009D135C"/>
    <w:rsid w:val="009D2E7A"/>
    <w:rsid w:val="009D31D5"/>
    <w:rsid w:val="009D3311"/>
    <w:rsid w:val="009D3F65"/>
    <w:rsid w:val="009D5F69"/>
    <w:rsid w:val="009E0B92"/>
    <w:rsid w:val="009E373B"/>
    <w:rsid w:val="009E42B9"/>
    <w:rsid w:val="009E4DB5"/>
    <w:rsid w:val="009F34CD"/>
    <w:rsid w:val="009F4BB0"/>
    <w:rsid w:val="009F5079"/>
    <w:rsid w:val="009F752B"/>
    <w:rsid w:val="009F788A"/>
    <w:rsid w:val="00A00591"/>
    <w:rsid w:val="00A006F5"/>
    <w:rsid w:val="00A012C3"/>
    <w:rsid w:val="00A0206D"/>
    <w:rsid w:val="00A049F8"/>
    <w:rsid w:val="00A05366"/>
    <w:rsid w:val="00A071A4"/>
    <w:rsid w:val="00A0781C"/>
    <w:rsid w:val="00A10482"/>
    <w:rsid w:val="00A118E0"/>
    <w:rsid w:val="00A12416"/>
    <w:rsid w:val="00A13318"/>
    <w:rsid w:val="00A167D9"/>
    <w:rsid w:val="00A21277"/>
    <w:rsid w:val="00A21D34"/>
    <w:rsid w:val="00A21E34"/>
    <w:rsid w:val="00A223DB"/>
    <w:rsid w:val="00A224AF"/>
    <w:rsid w:val="00A23DEC"/>
    <w:rsid w:val="00A31AAB"/>
    <w:rsid w:val="00A346D8"/>
    <w:rsid w:val="00A34A0B"/>
    <w:rsid w:val="00A41325"/>
    <w:rsid w:val="00A439C2"/>
    <w:rsid w:val="00A45B3E"/>
    <w:rsid w:val="00A53C77"/>
    <w:rsid w:val="00A54C26"/>
    <w:rsid w:val="00A55EAA"/>
    <w:rsid w:val="00A606CD"/>
    <w:rsid w:val="00A60C96"/>
    <w:rsid w:val="00A6290D"/>
    <w:rsid w:val="00A705F5"/>
    <w:rsid w:val="00A707E5"/>
    <w:rsid w:val="00A713F0"/>
    <w:rsid w:val="00A74A79"/>
    <w:rsid w:val="00A75CBC"/>
    <w:rsid w:val="00A7696D"/>
    <w:rsid w:val="00A8142F"/>
    <w:rsid w:val="00A83B5A"/>
    <w:rsid w:val="00A9033F"/>
    <w:rsid w:val="00A95AC0"/>
    <w:rsid w:val="00A97C41"/>
    <w:rsid w:val="00AA1168"/>
    <w:rsid w:val="00AA169A"/>
    <w:rsid w:val="00AA42E2"/>
    <w:rsid w:val="00AA5479"/>
    <w:rsid w:val="00AB15F6"/>
    <w:rsid w:val="00AB39A9"/>
    <w:rsid w:val="00AC2E21"/>
    <w:rsid w:val="00AC74BD"/>
    <w:rsid w:val="00AD003E"/>
    <w:rsid w:val="00AD0053"/>
    <w:rsid w:val="00AD0C79"/>
    <w:rsid w:val="00AD0DCF"/>
    <w:rsid w:val="00AD1ACB"/>
    <w:rsid w:val="00AD3458"/>
    <w:rsid w:val="00AD39A6"/>
    <w:rsid w:val="00AD41E2"/>
    <w:rsid w:val="00AE1F75"/>
    <w:rsid w:val="00AE24ED"/>
    <w:rsid w:val="00AE7DDE"/>
    <w:rsid w:val="00AF1E66"/>
    <w:rsid w:val="00AF2030"/>
    <w:rsid w:val="00AF432B"/>
    <w:rsid w:val="00AF6ED8"/>
    <w:rsid w:val="00AF7FED"/>
    <w:rsid w:val="00B03A94"/>
    <w:rsid w:val="00B04B56"/>
    <w:rsid w:val="00B0715F"/>
    <w:rsid w:val="00B072F7"/>
    <w:rsid w:val="00B07858"/>
    <w:rsid w:val="00B102BF"/>
    <w:rsid w:val="00B105C5"/>
    <w:rsid w:val="00B115FF"/>
    <w:rsid w:val="00B11C19"/>
    <w:rsid w:val="00B123A9"/>
    <w:rsid w:val="00B125AC"/>
    <w:rsid w:val="00B15089"/>
    <w:rsid w:val="00B15F03"/>
    <w:rsid w:val="00B1792F"/>
    <w:rsid w:val="00B17B01"/>
    <w:rsid w:val="00B20473"/>
    <w:rsid w:val="00B20741"/>
    <w:rsid w:val="00B239F5"/>
    <w:rsid w:val="00B3147D"/>
    <w:rsid w:val="00B31C30"/>
    <w:rsid w:val="00B32A66"/>
    <w:rsid w:val="00B3390F"/>
    <w:rsid w:val="00B33B76"/>
    <w:rsid w:val="00B341A8"/>
    <w:rsid w:val="00B3686A"/>
    <w:rsid w:val="00B404EB"/>
    <w:rsid w:val="00B40AF2"/>
    <w:rsid w:val="00B43677"/>
    <w:rsid w:val="00B4492A"/>
    <w:rsid w:val="00B4573F"/>
    <w:rsid w:val="00B4716F"/>
    <w:rsid w:val="00B475E6"/>
    <w:rsid w:val="00B51579"/>
    <w:rsid w:val="00B51BF9"/>
    <w:rsid w:val="00B52520"/>
    <w:rsid w:val="00B536D2"/>
    <w:rsid w:val="00B54925"/>
    <w:rsid w:val="00B551A7"/>
    <w:rsid w:val="00B614A8"/>
    <w:rsid w:val="00B63B73"/>
    <w:rsid w:val="00B64DB5"/>
    <w:rsid w:val="00B67D38"/>
    <w:rsid w:val="00B70AF0"/>
    <w:rsid w:val="00B73AFC"/>
    <w:rsid w:val="00B7688E"/>
    <w:rsid w:val="00B81F9F"/>
    <w:rsid w:val="00B82B78"/>
    <w:rsid w:val="00B833E5"/>
    <w:rsid w:val="00B83BD5"/>
    <w:rsid w:val="00B8449F"/>
    <w:rsid w:val="00B855A0"/>
    <w:rsid w:val="00B862EF"/>
    <w:rsid w:val="00B86554"/>
    <w:rsid w:val="00B875C9"/>
    <w:rsid w:val="00B91C7E"/>
    <w:rsid w:val="00B93D6F"/>
    <w:rsid w:val="00B9737E"/>
    <w:rsid w:val="00B97CB1"/>
    <w:rsid w:val="00BA0E5A"/>
    <w:rsid w:val="00BA621D"/>
    <w:rsid w:val="00BA7140"/>
    <w:rsid w:val="00BB17DA"/>
    <w:rsid w:val="00BB3699"/>
    <w:rsid w:val="00BB4A06"/>
    <w:rsid w:val="00BB555E"/>
    <w:rsid w:val="00BB6726"/>
    <w:rsid w:val="00BB6B24"/>
    <w:rsid w:val="00BC0CAE"/>
    <w:rsid w:val="00BC19FC"/>
    <w:rsid w:val="00BC515E"/>
    <w:rsid w:val="00BC5B93"/>
    <w:rsid w:val="00BC7EEC"/>
    <w:rsid w:val="00BD148F"/>
    <w:rsid w:val="00BD4AC5"/>
    <w:rsid w:val="00BD55D2"/>
    <w:rsid w:val="00BE2AEE"/>
    <w:rsid w:val="00BE3BA2"/>
    <w:rsid w:val="00BF094C"/>
    <w:rsid w:val="00BF22CA"/>
    <w:rsid w:val="00BF2921"/>
    <w:rsid w:val="00BF2F23"/>
    <w:rsid w:val="00BF5BEF"/>
    <w:rsid w:val="00C019F2"/>
    <w:rsid w:val="00C01BA9"/>
    <w:rsid w:val="00C03DFC"/>
    <w:rsid w:val="00C05654"/>
    <w:rsid w:val="00C0778C"/>
    <w:rsid w:val="00C104EA"/>
    <w:rsid w:val="00C11E89"/>
    <w:rsid w:val="00C1360C"/>
    <w:rsid w:val="00C17482"/>
    <w:rsid w:val="00C20C2E"/>
    <w:rsid w:val="00C22AA0"/>
    <w:rsid w:val="00C260EE"/>
    <w:rsid w:val="00C2630A"/>
    <w:rsid w:val="00C270D1"/>
    <w:rsid w:val="00C3062E"/>
    <w:rsid w:val="00C33223"/>
    <w:rsid w:val="00C33C5F"/>
    <w:rsid w:val="00C351BA"/>
    <w:rsid w:val="00C40244"/>
    <w:rsid w:val="00C40B91"/>
    <w:rsid w:val="00C410F2"/>
    <w:rsid w:val="00C413D4"/>
    <w:rsid w:val="00C4389A"/>
    <w:rsid w:val="00C4508E"/>
    <w:rsid w:val="00C453EA"/>
    <w:rsid w:val="00C51660"/>
    <w:rsid w:val="00C524E4"/>
    <w:rsid w:val="00C52C7F"/>
    <w:rsid w:val="00C535B7"/>
    <w:rsid w:val="00C555AC"/>
    <w:rsid w:val="00C5667C"/>
    <w:rsid w:val="00C57CB4"/>
    <w:rsid w:val="00C6078E"/>
    <w:rsid w:val="00C60B61"/>
    <w:rsid w:val="00C60DD0"/>
    <w:rsid w:val="00C61A66"/>
    <w:rsid w:val="00C628B6"/>
    <w:rsid w:val="00C63C1A"/>
    <w:rsid w:val="00C6626A"/>
    <w:rsid w:val="00C669C9"/>
    <w:rsid w:val="00C66C63"/>
    <w:rsid w:val="00C74AEA"/>
    <w:rsid w:val="00C75CE2"/>
    <w:rsid w:val="00C877AC"/>
    <w:rsid w:val="00C92360"/>
    <w:rsid w:val="00C94B85"/>
    <w:rsid w:val="00C95A09"/>
    <w:rsid w:val="00C9616C"/>
    <w:rsid w:val="00C9624C"/>
    <w:rsid w:val="00C962E2"/>
    <w:rsid w:val="00C970FC"/>
    <w:rsid w:val="00C975D9"/>
    <w:rsid w:val="00CA16E2"/>
    <w:rsid w:val="00CA1855"/>
    <w:rsid w:val="00CA2B63"/>
    <w:rsid w:val="00CA517C"/>
    <w:rsid w:val="00CA6899"/>
    <w:rsid w:val="00CA6A10"/>
    <w:rsid w:val="00CA7F2A"/>
    <w:rsid w:val="00CB474B"/>
    <w:rsid w:val="00CC04ED"/>
    <w:rsid w:val="00CC39B5"/>
    <w:rsid w:val="00CC563C"/>
    <w:rsid w:val="00CC6106"/>
    <w:rsid w:val="00CD07C8"/>
    <w:rsid w:val="00CD360C"/>
    <w:rsid w:val="00CD5280"/>
    <w:rsid w:val="00CD683F"/>
    <w:rsid w:val="00CD7168"/>
    <w:rsid w:val="00CD7307"/>
    <w:rsid w:val="00CE0EF5"/>
    <w:rsid w:val="00CE2283"/>
    <w:rsid w:val="00CE28A2"/>
    <w:rsid w:val="00CE3B42"/>
    <w:rsid w:val="00CE41D6"/>
    <w:rsid w:val="00CE48B0"/>
    <w:rsid w:val="00CE4AC2"/>
    <w:rsid w:val="00CE4B44"/>
    <w:rsid w:val="00CE4CBD"/>
    <w:rsid w:val="00CE4FE2"/>
    <w:rsid w:val="00CE6BD6"/>
    <w:rsid w:val="00CF0EAD"/>
    <w:rsid w:val="00CF3078"/>
    <w:rsid w:val="00CF439A"/>
    <w:rsid w:val="00CF7906"/>
    <w:rsid w:val="00D00549"/>
    <w:rsid w:val="00D10C0C"/>
    <w:rsid w:val="00D17B64"/>
    <w:rsid w:val="00D17BB6"/>
    <w:rsid w:val="00D20EDC"/>
    <w:rsid w:val="00D21195"/>
    <w:rsid w:val="00D23048"/>
    <w:rsid w:val="00D23344"/>
    <w:rsid w:val="00D23BE8"/>
    <w:rsid w:val="00D23C09"/>
    <w:rsid w:val="00D24B28"/>
    <w:rsid w:val="00D25546"/>
    <w:rsid w:val="00D26E50"/>
    <w:rsid w:val="00D27F97"/>
    <w:rsid w:val="00D301F1"/>
    <w:rsid w:val="00D30763"/>
    <w:rsid w:val="00D30E47"/>
    <w:rsid w:val="00D310DB"/>
    <w:rsid w:val="00D32437"/>
    <w:rsid w:val="00D3393D"/>
    <w:rsid w:val="00D344E9"/>
    <w:rsid w:val="00D35F74"/>
    <w:rsid w:val="00D36EC2"/>
    <w:rsid w:val="00D41019"/>
    <w:rsid w:val="00D42633"/>
    <w:rsid w:val="00D42C01"/>
    <w:rsid w:val="00D44458"/>
    <w:rsid w:val="00D45599"/>
    <w:rsid w:val="00D455C8"/>
    <w:rsid w:val="00D461E9"/>
    <w:rsid w:val="00D50FB5"/>
    <w:rsid w:val="00D5197A"/>
    <w:rsid w:val="00D5497D"/>
    <w:rsid w:val="00D60F5B"/>
    <w:rsid w:val="00D63735"/>
    <w:rsid w:val="00D66CF9"/>
    <w:rsid w:val="00D6755A"/>
    <w:rsid w:val="00D705EA"/>
    <w:rsid w:val="00D740D4"/>
    <w:rsid w:val="00D750C3"/>
    <w:rsid w:val="00D76A81"/>
    <w:rsid w:val="00D80B9B"/>
    <w:rsid w:val="00D81949"/>
    <w:rsid w:val="00D824B1"/>
    <w:rsid w:val="00D85512"/>
    <w:rsid w:val="00D8698D"/>
    <w:rsid w:val="00D90494"/>
    <w:rsid w:val="00D936D5"/>
    <w:rsid w:val="00D9440D"/>
    <w:rsid w:val="00D96372"/>
    <w:rsid w:val="00D967D8"/>
    <w:rsid w:val="00D96833"/>
    <w:rsid w:val="00D96D1F"/>
    <w:rsid w:val="00D97C86"/>
    <w:rsid w:val="00DA03AB"/>
    <w:rsid w:val="00DA109C"/>
    <w:rsid w:val="00DA3EED"/>
    <w:rsid w:val="00DA4D0D"/>
    <w:rsid w:val="00DA5634"/>
    <w:rsid w:val="00DB0693"/>
    <w:rsid w:val="00DB1D86"/>
    <w:rsid w:val="00DB31F2"/>
    <w:rsid w:val="00DB48D3"/>
    <w:rsid w:val="00DC416D"/>
    <w:rsid w:val="00DC667E"/>
    <w:rsid w:val="00DC77F4"/>
    <w:rsid w:val="00DD1B19"/>
    <w:rsid w:val="00DD4D82"/>
    <w:rsid w:val="00DE2913"/>
    <w:rsid w:val="00DE2C67"/>
    <w:rsid w:val="00DE2D8B"/>
    <w:rsid w:val="00DE4DE1"/>
    <w:rsid w:val="00DE70A5"/>
    <w:rsid w:val="00DE7636"/>
    <w:rsid w:val="00DF114D"/>
    <w:rsid w:val="00DF1FDC"/>
    <w:rsid w:val="00DF2C31"/>
    <w:rsid w:val="00DF437F"/>
    <w:rsid w:val="00DF46EA"/>
    <w:rsid w:val="00DF4BD7"/>
    <w:rsid w:val="00DF554E"/>
    <w:rsid w:val="00DF5728"/>
    <w:rsid w:val="00DF7238"/>
    <w:rsid w:val="00DF7297"/>
    <w:rsid w:val="00DF762D"/>
    <w:rsid w:val="00E02782"/>
    <w:rsid w:val="00E03602"/>
    <w:rsid w:val="00E04ACB"/>
    <w:rsid w:val="00E07154"/>
    <w:rsid w:val="00E071EB"/>
    <w:rsid w:val="00E10FCE"/>
    <w:rsid w:val="00E14AB2"/>
    <w:rsid w:val="00E15E0E"/>
    <w:rsid w:val="00E164DC"/>
    <w:rsid w:val="00E17825"/>
    <w:rsid w:val="00E2390E"/>
    <w:rsid w:val="00E26347"/>
    <w:rsid w:val="00E3001D"/>
    <w:rsid w:val="00E3085F"/>
    <w:rsid w:val="00E3214F"/>
    <w:rsid w:val="00E3350C"/>
    <w:rsid w:val="00E33722"/>
    <w:rsid w:val="00E36280"/>
    <w:rsid w:val="00E37D4F"/>
    <w:rsid w:val="00E406DA"/>
    <w:rsid w:val="00E41509"/>
    <w:rsid w:val="00E45B92"/>
    <w:rsid w:val="00E46DD6"/>
    <w:rsid w:val="00E4711F"/>
    <w:rsid w:val="00E52BA0"/>
    <w:rsid w:val="00E53426"/>
    <w:rsid w:val="00E54512"/>
    <w:rsid w:val="00E54803"/>
    <w:rsid w:val="00E5583A"/>
    <w:rsid w:val="00E608EA"/>
    <w:rsid w:val="00E61619"/>
    <w:rsid w:val="00E650C7"/>
    <w:rsid w:val="00E65606"/>
    <w:rsid w:val="00E666A5"/>
    <w:rsid w:val="00E73699"/>
    <w:rsid w:val="00E76CF1"/>
    <w:rsid w:val="00E77EA3"/>
    <w:rsid w:val="00E81360"/>
    <w:rsid w:val="00E815C9"/>
    <w:rsid w:val="00E816AE"/>
    <w:rsid w:val="00E845CE"/>
    <w:rsid w:val="00E846AD"/>
    <w:rsid w:val="00E8492C"/>
    <w:rsid w:val="00E90C11"/>
    <w:rsid w:val="00E910DD"/>
    <w:rsid w:val="00E91A36"/>
    <w:rsid w:val="00E92AAB"/>
    <w:rsid w:val="00E93850"/>
    <w:rsid w:val="00E95EF2"/>
    <w:rsid w:val="00E977C2"/>
    <w:rsid w:val="00EA0A6D"/>
    <w:rsid w:val="00EA471B"/>
    <w:rsid w:val="00EA5EE4"/>
    <w:rsid w:val="00EA6BF1"/>
    <w:rsid w:val="00EA7450"/>
    <w:rsid w:val="00EB1340"/>
    <w:rsid w:val="00EB2DDE"/>
    <w:rsid w:val="00EB76A3"/>
    <w:rsid w:val="00EC0125"/>
    <w:rsid w:val="00EC1485"/>
    <w:rsid w:val="00EC47B5"/>
    <w:rsid w:val="00EC6B22"/>
    <w:rsid w:val="00EC6F7D"/>
    <w:rsid w:val="00EC7014"/>
    <w:rsid w:val="00EC7EB4"/>
    <w:rsid w:val="00ED0673"/>
    <w:rsid w:val="00ED15E4"/>
    <w:rsid w:val="00ED1FD5"/>
    <w:rsid w:val="00ED52A7"/>
    <w:rsid w:val="00ED666C"/>
    <w:rsid w:val="00EE02CD"/>
    <w:rsid w:val="00EE26DD"/>
    <w:rsid w:val="00EE331D"/>
    <w:rsid w:val="00EE594A"/>
    <w:rsid w:val="00EE5DBD"/>
    <w:rsid w:val="00EE67EF"/>
    <w:rsid w:val="00EF0155"/>
    <w:rsid w:val="00EF1A4F"/>
    <w:rsid w:val="00EF2117"/>
    <w:rsid w:val="00EF2244"/>
    <w:rsid w:val="00EF2CA0"/>
    <w:rsid w:val="00EF328B"/>
    <w:rsid w:val="00EF54EB"/>
    <w:rsid w:val="00EF5BE5"/>
    <w:rsid w:val="00EF5F79"/>
    <w:rsid w:val="00EF6C16"/>
    <w:rsid w:val="00EF7FBC"/>
    <w:rsid w:val="00F00CD6"/>
    <w:rsid w:val="00F01979"/>
    <w:rsid w:val="00F02117"/>
    <w:rsid w:val="00F028BA"/>
    <w:rsid w:val="00F044D0"/>
    <w:rsid w:val="00F04883"/>
    <w:rsid w:val="00F04D66"/>
    <w:rsid w:val="00F04F37"/>
    <w:rsid w:val="00F0721D"/>
    <w:rsid w:val="00F073FA"/>
    <w:rsid w:val="00F07A83"/>
    <w:rsid w:val="00F14E43"/>
    <w:rsid w:val="00F16068"/>
    <w:rsid w:val="00F202FC"/>
    <w:rsid w:val="00F20DDA"/>
    <w:rsid w:val="00F21D46"/>
    <w:rsid w:val="00F21EE6"/>
    <w:rsid w:val="00F25132"/>
    <w:rsid w:val="00F26F61"/>
    <w:rsid w:val="00F302D1"/>
    <w:rsid w:val="00F303D4"/>
    <w:rsid w:val="00F35FD3"/>
    <w:rsid w:val="00F410EB"/>
    <w:rsid w:val="00F417E1"/>
    <w:rsid w:val="00F41B49"/>
    <w:rsid w:val="00F471CC"/>
    <w:rsid w:val="00F476B9"/>
    <w:rsid w:val="00F51C5C"/>
    <w:rsid w:val="00F52487"/>
    <w:rsid w:val="00F52520"/>
    <w:rsid w:val="00F5444A"/>
    <w:rsid w:val="00F6193A"/>
    <w:rsid w:val="00F61A03"/>
    <w:rsid w:val="00F623C5"/>
    <w:rsid w:val="00F62F4D"/>
    <w:rsid w:val="00F63C20"/>
    <w:rsid w:val="00F666B4"/>
    <w:rsid w:val="00F710DC"/>
    <w:rsid w:val="00F739E6"/>
    <w:rsid w:val="00F74078"/>
    <w:rsid w:val="00F743D4"/>
    <w:rsid w:val="00F74962"/>
    <w:rsid w:val="00F75299"/>
    <w:rsid w:val="00F80E84"/>
    <w:rsid w:val="00F8156C"/>
    <w:rsid w:val="00F8505A"/>
    <w:rsid w:val="00F864CE"/>
    <w:rsid w:val="00F87CE8"/>
    <w:rsid w:val="00F938AB"/>
    <w:rsid w:val="00F94184"/>
    <w:rsid w:val="00F95579"/>
    <w:rsid w:val="00F95669"/>
    <w:rsid w:val="00F95AD2"/>
    <w:rsid w:val="00F96D99"/>
    <w:rsid w:val="00FA01FF"/>
    <w:rsid w:val="00FA278A"/>
    <w:rsid w:val="00FA623A"/>
    <w:rsid w:val="00FA72EC"/>
    <w:rsid w:val="00FB1309"/>
    <w:rsid w:val="00FB266A"/>
    <w:rsid w:val="00FB31BD"/>
    <w:rsid w:val="00FB3598"/>
    <w:rsid w:val="00FB4465"/>
    <w:rsid w:val="00FB4E49"/>
    <w:rsid w:val="00FB6562"/>
    <w:rsid w:val="00FC1250"/>
    <w:rsid w:val="00FC1E2A"/>
    <w:rsid w:val="00FC4D97"/>
    <w:rsid w:val="00FC5A10"/>
    <w:rsid w:val="00FC628B"/>
    <w:rsid w:val="00FC633E"/>
    <w:rsid w:val="00FC78B8"/>
    <w:rsid w:val="00FC7F4C"/>
    <w:rsid w:val="00FD0D4C"/>
    <w:rsid w:val="00FD2034"/>
    <w:rsid w:val="00FD3067"/>
    <w:rsid w:val="00FD5B30"/>
    <w:rsid w:val="00FD6DDE"/>
    <w:rsid w:val="00FE1ECB"/>
    <w:rsid w:val="00FE4196"/>
    <w:rsid w:val="00FE50AC"/>
    <w:rsid w:val="00FE7C76"/>
    <w:rsid w:val="00FF084C"/>
    <w:rsid w:val="00FF1399"/>
    <w:rsid w:val="00FF21D8"/>
    <w:rsid w:val="00FF229D"/>
    <w:rsid w:val="00FF4C83"/>
    <w:rsid w:val="00FF6201"/>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3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741934"/>
    <w:pPr>
      <w:jc w:val="center"/>
    </w:pPr>
    <w:rPr>
      <w:rFonts w:ascii="Yu Mincho" w:eastAsia="Yu Mincho" w:hAnsi="Yu Mincho"/>
      <w:noProof/>
      <w:sz w:val="20"/>
    </w:rPr>
  </w:style>
  <w:style w:type="character" w:customStyle="1" w:styleId="EndNoteBibliographyTitle0">
    <w:name w:val="EndNote Bibliography Title (文字)"/>
    <w:basedOn w:val="DefaultParagraphFont"/>
    <w:link w:val="EndNoteBibliographyTitle"/>
    <w:rsid w:val="00741934"/>
    <w:rPr>
      <w:rFonts w:ascii="Yu Mincho" w:eastAsia="Yu Mincho" w:hAnsi="Yu Mincho"/>
      <w:noProof/>
      <w:sz w:val="20"/>
    </w:rPr>
  </w:style>
  <w:style w:type="paragraph" w:customStyle="1" w:styleId="EndNoteBibliography">
    <w:name w:val="EndNote Bibliography"/>
    <w:basedOn w:val="Normal"/>
    <w:link w:val="EndNoteBibliography0"/>
    <w:rsid w:val="00741934"/>
    <w:rPr>
      <w:rFonts w:ascii="Yu Mincho" w:eastAsia="Yu Mincho" w:hAnsi="Yu Mincho"/>
      <w:noProof/>
      <w:sz w:val="20"/>
    </w:rPr>
  </w:style>
  <w:style w:type="character" w:customStyle="1" w:styleId="EndNoteBibliography0">
    <w:name w:val="EndNote Bibliography (文字)"/>
    <w:basedOn w:val="DefaultParagraphFont"/>
    <w:link w:val="EndNoteBibliography"/>
    <w:rsid w:val="00741934"/>
    <w:rPr>
      <w:rFonts w:ascii="Yu Mincho" w:eastAsia="Yu Mincho" w:hAnsi="Yu Mincho"/>
      <w:noProof/>
      <w:sz w:val="20"/>
    </w:rPr>
  </w:style>
  <w:style w:type="paragraph" w:styleId="Header">
    <w:name w:val="header"/>
    <w:basedOn w:val="Normal"/>
    <w:link w:val="HeaderChar"/>
    <w:uiPriority w:val="99"/>
    <w:unhideWhenUsed/>
    <w:rsid w:val="00741934"/>
    <w:pPr>
      <w:tabs>
        <w:tab w:val="center" w:pos="4252"/>
        <w:tab w:val="right" w:pos="8504"/>
      </w:tabs>
      <w:snapToGrid w:val="0"/>
    </w:pPr>
  </w:style>
  <w:style w:type="character" w:customStyle="1" w:styleId="HeaderChar">
    <w:name w:val="Header Char"/>
    <w:basedOn w:val="DefaultParagraphFont"/>
    <w:link w:val="Header"/>
    <w:uiPriority w:val="99"/>
    <w:rsid w:val="00741934"/>
  </w:style>
  <w:style w:type="paragraph" w:styleId="Footer">
    <w:name w:val="footer"/>
    <w:basedOn w:val="Normal"/>
    <w:link w:val="FooterChar"/>
    <w:uiPriority w:val="99"/>
    <w:unhideWhenUsed/>
    <w:rsid w:val="00741934"/>
    <w:pPr>
      <w:tabs>
        <w:tab w:val="center" w:pos="4252"/>
        <w:tab w:val="right" w:pos="8504"/>
      </w:tabs>
      <w:snapToGrid w:val="0"/>
    </w:pPr>
  </w:style>
  <w:style w:type="character" w:customStyle="1" w:styleId="FooterChar">
    <w:name w:val="Footer Char"/>
    <w:basedOn w:val="DefaultParagraphFont"/>
    <w:link w:val="Footer"/>
    <w:uiPriority w:val="99"/>
    <w:rsid w:val="00741934"/>
  </w:style>
  <w:style w:type="character" w:styleId="CommentReference">
    <w:name w:val="annotation reference"/>
    <w:basedOn w:val="DefaultParagraphFont"/>
    <w:uiPriority w:val="99"/>
    <w:semiHidden/>
    <w:unhideWhenUsed/>
    <w:rsid w:val="00741934"/>
    <w:rPr>
      <w:sz w:val="16"/>
      <w:szCs w:val="16"/>
    </w:rPr>
  </w:style>
  <w:style w:type="paragraph" w:styleId="CommentText">
    <w:name w:val="annotation text"/>
    <w:basedOn w:val="Normal"/>
    <w:link w:val="CommentTextChar"/>
    <w:uiPriority w:val="99"/>
    <w:unhideWhenUsed/>
    <w:rsid w:val="00741934"/>
    <w:rPr>
      <w:sz w:val="20"/>
      <w:szCs w:val="20"/>
    </w:rPr>
  </w:style>
  <w:style w:type="character" w:customStyle="1" w:styleId="CommentTextChar">
    <w:name w:val="Comment Text Char"/>
    <w:basedOn w:val="DefaultParagraphFont"/>
    <w:link w:val="CommentText"/>
    <w:uiPriority w:val="99"/>
    <w:rsid w:val="00741934"/>
    <w:rPr>
      <w:sz w:val="20"/>
      <w:szCs w:val="20"/>
    </w:rPr>
  </w:style>
  <w:style w:type="paragraph" w:styleId="CommentSubject">
    <w:name w:val="annotation subject"/>
    <w:basedOn w:val="CommentText"/>
    <w:next w:val="CommentText"/>
    <w:link w:val="CommentSubjectChar"/>
    <w:uiPriority w:val="99"/>
    <w:semiHidden/>
    <w:unhideWhenUsed/>
    <w:rsid w:val="00741934"/>
    <w:rPr>
      <w:b/>
      <w:bCs/>
    </w:rPr>
  </w:style>
  <w:style w:type="character" w:customStyle="1" w:styleId="CommentSubjectChar">
    <w:name w:val="Comment Subject Char"/>
    <w:basedOn w:val="CommentTextChar"/>
    <w:link w:val="CommentSubject"/>
    <w:uiPriority w:val="99"/>
    <w:semiHidden/>
    <w:rsid w:val="00741934"/>
    <w:rPr>
      <w:b/>
      <w:bCs/>
      <w:sz w:val="20"/>
      <w:szCs w:val="20"/>
    </w:rPr>
  </w:style>
  <w:style w:type="paragraph" w:styleId="BalloonText">
    <w:name w:val="Balloon Text"/>
    <w:basedOn w:val="Normal"/>
    <w:link w:val="BalloonTextChar"/>
    <w:uiPriority w:val="99"/>
    <w:semiHidden/>
    <w:unhideWhenUsed/>
    <w:rsid w:val="00741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934"/>
    <w:rPr>
      <w:rFonts w:ascii="Segoe UI" w:hAnsi="Segoe UI" w:cs="Segoe UI"/>
      <w:sz w:val="18"/>
      <w:szCs w:val="18"/>
    </w:rPr>
  </w:style>
  <w:style w:type="character" w:styleId="Hyperlink">
    <w:name w:val="Hyperlink"/>
    <w:basedOn w:val="DefaultParagraphFont"/>
    <w:uiPriority w:val="99"/>
    <w:unhideWhenUsed/>
    <w:rsid w:val="00741934"/>
    <w:rPr>
      <w:color w:val="0563C1" w:themeColor="hyperlink"/>
      <w:u w:val="single"/>
    </w:rPr>
  </w:style>
  <w:style w:type="table" w:styleId="TableGrid">
    <w:name w:val="Table Grid"/>
    <w:basedOn w:val="TableNormal"/>
    <w:uiPriority w:val="39"/>
    <w:rsid w:val="0074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92914"/>
  </w:style>
  <w:style w:type="paragraph" w:styleId="Revision">
    <w:name w:val="Revision"/>
    <w:hidden/>
    <w:uiPriority w:val="99"/>
    <w:semiHidden/>
    <w:rsid w:val="0098625C"/>
  </w:style>
  <w:style w:type="paragraph" w:customStyle="1" w:styleId="Default">
    <w:name w:val="Default"/>
    <w:rsid w:val="003937F7"/>
    <w:pPr>
      <w:autoSpaceDE w:val="0"/>
      <w:autoSpaceDN w:val="0"/>
      <w:adjustRightInd w:val="0"/>
    </w:pPr>
    <w:rPr>
      <w:rFonts w:ascii="Book Antiqua" w:hAnsi="Book Antiqua" w:cs="Book Antiqua"/>
      <w:color w:val="000000"/>
      <w:kern w:val="0"/>
      <w:sz w:val="24"/>
      <w:szCs w:val="24"/>
    </w:rPr>
  </w:style>
  <w:style w:type="paragraph" w:styleId="ListParagraph">
    <w:name w:val="List Paragraph"/>
    <w:basedOn w:val="Normal"/>
    <w:uiPriority w:val="34"/>
    <w:qFormat/>
    <w:rsid w:val="00EB2DDE"/>
    <w:pPr>
      <w:widowControl/>
      <w:ind w:left="720"/>
      <w:contextualSpacing/>
      <w:jc w:val="left"/>
    </w:pPr>
    <w:rPr>
      <w:rFonts w:ascii="Times New Roman" w:eastAsia="MS Mincho" w:hAnsi="Times New Roman" w:cs="Times New Roman"/>
      <w:kern w:val="0"/>
      <w:sz w:val="24"/>
      <w:szCs w:val="24"/>
    </w:rPr>
  </w:style>
  <w:style w:type="paragraph" w:styleId="PlainText">
    <w:name w:val="Plain Text"/>
    <w:basedOn w:val="Normal"/>
    <w:link w:val="PlainTextChar"/>
    <w:semiHidden/>
    <w:unhideWhenUsed/>
    <w:rsid w:val="00B07858"/>
    <w:rPr>
      <w:rFonts w:ascii="SimSun" w:eastAsia="SimSun" w:hAnsi="Courier New" w:cs="Courier New"/>
      <w:szCs w:val="21"/>
      <w:lang w:eastAsia="zh-CN"/>
    </w:rPr>
  </w:style>
  <w:style w:type="character" w:customStyle="1" w:styleId="PlainTextChar">
    <w:name w:val="Plain Text Char"/>
    <w:basedOn w:val="DefaultParagraphFont"/>
    <w:link w:val="PlainText"/>
    <w:semiHidden/>
    <w:rsid w:val="00B07858"/>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9655">
      <w:bodyDiv w:val="1"/>
      <w:marLeft w:val="0"/>
      <w:marRight w:val="0"/>
      <w:marTop w:val="0"/>
      <w:marBottom w:val="0"/>
      <w:divBdr>
        <w:top w:val="none" w:sz="0" w:space="0" w:color="auto"/>
        <w:left w:val="none" w:sz="0" w:space="0" w:color="auto"/>
        <w:bottom w:val="none" w:sz="0" w:space="0" w:color="auto"/>
        <w:right w:val="none" w:sz="0" w:space="0" w:color="auto"/>
      </w:divBdr>
    </w:div>
    <w:div w:id="102917980">
      <w:bodyDiv w:val="1"/>
      <w:marLeft w:val="0"/>
      <w:marRight w:val="0"/>
      <w:marTop w:val="0"/>
      <w:marBottom w:val="0"/>
      <w:divBdr>
        <w:top w:val="none" w:sz="0" w:space="0" w:color="auto"/>
        <w:left w:val="none" w:sz="0" w:space="0" w:color="auto"/>
        <w:bottom w:val="none" w:sz="0" w:space="0" w:color="auto"/>
        <w:right w:val="none" w:sz="0" w:space="0" w:color="auto"/>
      </w:divBdr>
    </w:div>
    <w:div w:id="126359975">
      <w:bodyDiv w:val="1"/>
      <w:marLeft w:val="0"/>
      <w:marRight w:val="0"/>
      <w:marTop w:val="0"/>
      <w:marBottom w:val="0"/>
      <w:divBdr>
        <w:top w:val="none" w:sz="0" w:space="0" w:color="auto"/>
        <w:left w:val="none" w:sz="0" w:space="0" w:color="auto"/>
        <w:bottom w:val="none" w:sz="0" w:space="0" w:color="auto"/>
        <w:right w:val="none" w:sz="0" w:space="0" w:color="auto"/>
      </w:divBdr>
    </w:div>
    <w:div w:id="131869252">
      <w:bodyDiv w:val="1"/>
      <w:marLeft w:val="0"/>
      <w:marRight w:val="0"/>
      <w:marTop w:val="0"/>
      <w:marBottom w:val="0"/>
      <w:divBdr>
        <w:top w:val="none" w:sz="0" w:space="0" w:color="auto"/>
        <w:left w:val="none" w:sz="0" w:space="0" w:color="auto"/>
        <w:bottom w:val="none" w:sz="0" w:space="0" w:color="auto"/>
        <w:right w:val="none" w:sz="0" w:space="0" w:color="auto"/>
      </w:divBdr>
    </w:div>
    <w:div w:id="222761049">
      <w:bodyDiv w:val="1"/>
      <w:marLeft w:val="0"/>
      <w:marRight w:val="0"/>
      <w:marTop w:val="0"/>
      <w:marBottom w:val="0"/>
      <w:divBdr>
        <w:top w:val="none" w:sz="0" w:space="0" w:color="auto"/>
        <w:left w:val="none" w:sz="0" w:space="0" w:color="auto"/>
        <w:bottom w:val="none" w:sz="0" w:space="0" w:color="auto"/>
        <w:right w:val="none" w:sz="0" w:space="0" w:color="auto"/>
      </w:divBdr>
    </w:div>
    <w:div w:id="264844948">
      <w:bodyDiv w:val="1"/>
      <w:marLeft w:val="0"/>
      <w:marRight w:val="0"/>
      <w:marTop w:val="0"/>
      <w:marBottom w:val="0"/>
      <w:divBdr>
        <w:top w:val="none" w:sz="0" w:space="0" w:color="auto"/>
        <w:left w:val="none" w:sz="0" w:space="0" w:color="auto"/>
        <w:bottom w:val="none" w:sz="0" w:space="0" w:color="auto"/>
        <w:right w:val="none" w:sz="0" w:space="0" w:color="auto"/>
      </w:divBdr>
    </w:div>
    <w:div w:id="437485130">
      <w:bodyDiv w:val="1"/>
      <w:marLeft w:val="0"/>
      <w:marRight w:val="0"/>
      <w:marTop w:val="0"/>
      <w:marBottom w:val="0"/>
      <w:divBdr>
        <w:top w:val="none" w:sz="0" w:space="0" w:color="auto"/>
        <w:left w:val="none" w:sz="0" w:space="0" w:color="auto"/>
        <w:bottom w:val="none" w:sz="0" w:space="0" w:color="auto"/>
        <w:right w:val="none" w:sz="0" w:space="0" w:color="auto"/>
      </w:divBdr>
    </w:div>
    <w:div w:id="465046729">
      <w:bodyDiv w:val="1"/>
      <w:marLeft w:val="0"/>
      <w:marRight w:val="0"/>
      <w:marTop w:val="0"/>
      <w:marBottom w:val="0"/>
      <w:divBdr>
        <w:top w:val="none" w:sz="0" w:space="0" w:color="auto"/>
        <w:left w:val="none" w:sz="0" w:space="0" w:color="auto"/>
        <w:bottom w:val="none" w:sz="0" w:space="0" w:color="auto"/>
        <w:right w:val="none" w:sz="0" w:space="0" w:color="auto"/>
      </w:divBdr>
    </w:div>
    <w:div w:id="467868535">
      <w:bodyDiv w:val="1"/>
      <w:marLeft w:val="0"/>
      <w:marRight w:val="0"/>
      <w:marTop w:val="0"/>
      <w:marBottom w:val="0"/>
      <w:divBdr>
        <w:top w:val="none" w:sz="0" w:space="0" w:color="auto"/>
        <w:left w:val="none" w:sz="0" w:space="0" w:color="auto"/>
        <w:bottom w:val="none" w:sz="0" w:space="0" w:color="auto"/>
        <w:right w:val="none" w:sz="0" w:space="0" w:color="auto"/>
      </w:divBdr>
    </w:div>
    <w:div w:id="786775020">
      <w:bodyDiv w:val="1"/>
      <w:marLeft w:val="0"/>
      <w:marRight w:val="0"/>
      <w:marTop w:val="0"/>
      <w:marBottom w:val="0"/>
      <w:divBdr>
        <w:top w:val="none" w:sz="0" w:space="0" w:color="auto"/>
        <w:left w:val="none" w:sz="0" w:space="0" w:color="auto"/>
        <w:bottom w:val="none" w:sz="0" w:space="0" w:color="auto"/>
        <w:right w:val="none" w:sz="0" w:space="0" w:color="auto"/>
      </w:divBdr>
    </w:div>
    <w:div w:id="847451385">
      <w:bodyDiv w:val="1"/>
      <w:marLeft w:val="0"/>
      <w:marRight w:val="0"/>
      <w:marTop w:val="0"/>
      <w:marBottom w:val="0"/>
      <w:divBdr>
        <w:top w:val="none" w:sz="0" w:space="0" w:color="auto"/>
        <w:left w:val="none" w:sz="0" w:space="0" w:color="auto"/>
        <w:bottom w:val="none" w:sz="0" w:space="0" w:color="auto"/>
        <w:right w:val="none" w:sz="0" w:space="0" w:color="auto"/>
      </w:divBdr>
    </w:div>
    <w:div w:id="915095983">
      <w:bodyDiv w:val="1"/>
      <w:marLeft w:val="0"/>
      <w:marRight w:val="0"/>
      <w:marTop w:val="0"/>
      <w:marBottom w:val="0"/>
      <w:divBdr>
        <w:top w:val="none" w:sz="0" w:space="0" w:color="auto"/>
        <w:left w:val="none" w:sz="0" w:space="0" w:color="auto"/>
        <w:bottom w:val="none" w:sz="0" w:space="0" w:color="auto"/>
        <w:right w:val="none" w:sz="0" w:space="0" w:color="auto"/>
      </w:divBdr>
    </w:div>
    <w:div w:id="951592018">
      <w:bodyDiv w:val="1"/>
      <w:marLeft w:val="0"/>
      <w:marRight w:val="0"/>
      <w:marTop w:val="0"/>
      <w:marBottom w:val="0"/>
      <w:divBdr>
        <w:top w:val="none" w:sz="0" w:space="0" w:color="auto"/>
        <w:left w:val="none" w:sz="0" w:space="0" w:color="auto"/>
        <w:bottom w:val="none" w:sz="0" w:space="0" w:color="auto"/>
        <w:right w:val="none" w:sz="0" w:space="0" w:color="auto"/>
      </w:divBdr>
    </w:div>
    <w:div w:id="962541745">
      <w:bodyDiv w:val="1"/>
      <w:marLeft w:val="0"/>
      <w:marRight w:val="0"/>
      <w:marTop w:val="0"/>
      <w:marBottom w:val="0"/>
      <w:divBdr>
        <w:top w:val="none" w:sz="0" w:space="0" w:color="auto"/>
        <w:left w:val="none" w:sz="0" w:space="0" w:color="auto"/>
        <w:bottom w:val="none" w:sz="0" w:space="0" w:color="auto"/>
        <w:right w:val="none" w:sz="0" w:space="0" w:color="auto"/>
      </w:divBdr>
    </w:div>
    <w:div w:id="1161697283">
      <w:bodyDiv w:val="1"/>
      <w:marLeft w:val="0"/>
      <w:marRight w:val="0"/>
      <w:marTop w:val="0"/>
      <w:marBottom w:val="0"/>
      <w:divBdr>
        <w:top w:val="none" w:sz="0" w:space="0" w:color="auto"/>
        <w:left w:val="none" w:sz="0" w:space="0" w:color="auto"/>
        <w:bottom w:val="none" w:sz="0" w:space="0" w:color="auto"/>
        <w:right w:val="none" w:sz="0" w:space="0" w:color="auto"/>
      </w:divBdr>
    </w:div>
    <w:div w:id="1202016808">
      <w:bodyDiv w:val="1"/>
      <w:marLeft w:val="0"/>
      <w:marRight w:val="0"/>
      <w:marTop w:val="0"/>
      <w:marBottom w:val="0"/>
      <w:divBdr>
        <w:top w:val="none" w:sz="0" w:space="0" w:color="auto"/>
        <w:left w:val="none" w:sz="0" w:space="0" w:color="auto"/>
        <w:bottom w:val="none" w:sz="0" w:space="0" w:color="auto"/>
        <w:right w:val="none" w:sz="0" w:space="0" w:color="auto"/>
      </w:divBdr>
    </w:div>
    <w:div w:id="1221208652">
      <w:bodyDiv w:val="1"/>
      <w:marLeft w:val="0"/>
      <w:marRight w:val="0"/>
      <w:marTop w:val="0"/>
      <w:marBottom w:val="0"/>
      <w:divBdr>
        <w:top w:val="none" w:sz="0" w:space="0" w:color="auto"/>
        <w:left w:val="none" w:sz="0" w:space="0" w:color="auto"/>
        <w:bottom w:val="none" w:sz="0" w:space="0" w:color="auto"/>
        <w:right w:val="none" w:sz="0" w:space="0" w:color="auto"/>
      </w:divBdr>
    </w:div>
    <w:div w:id="1271931853">
      <w:bodyDiv w:val="1"/>
      <w:marLeft w:val="0"/>
      <w:marRight w:val="0"/>
      <w:marTop w:val="0"/>
      <w:marBottom w:val="0"/>
      <w:divBdr>
        <w:top w:val="none" w:sz="0" w:space="0" w:color="auto"/>
        <w:left w:val="none" w:sz="0" w:space="0" w:color="auto"/>
        <w:bottom w:val="none" w:sz="0" w:space="0" w:color="auto"/>
        <w:right w:val="none" w:sz="0" w:space="0" w:color="auto"/>
      </w:divBdr>
    </w:div>
    <w:div w:id="1672180260">
      <w:bodyDiv w:val="1"/>
      <w:marLeft w:val="0"/>
      <w:marRight w:val="0"/>
      <w:marTop w:val="0"/>
      <w:marBottom w:val="0"/>
      <w:divBdr>
        <w:top w:val="none" w:sz="0" w:space="0" w:color="auto"/>
        <w:left w:val="none" w:sz="0" w:space="0" w:color="auto"/>
        <w:bottom w:val="none" w:sz="0" w:space="0" w:color="auto"/>
        <w:right w:val="none" w:sz="0" w:space="0" w:color="auto"/>
      </w:divBdr>
    </w:div>
    <w:div w:id="1736395770">
      <w:bodyDiv w:val="1"/>
      <w:marLeft w:val="0"/>
      <w:marRight w:val="0"/>
      <w:marTop w:val="0"/>
      <w:marBottom w:val="0"/>
      <w:divBdr>
        <w:top w:val="none" w:sz="0" w:space="0" w:color="auto"/>
        <w:left w:val="none" w:sz="0" w:space="0" w:color="auto"/>
        <w:bottom w:val="none" w:sz="0" w:space="0" w:color="auto"/>
        <w:right w:val="none" w:sz="0" w:space="0" w:color="auto"/>
      </w:divBdr>
    </w:div>
    <w:div w:id="1739937042">
      <w:bodyDiv w:val="1"/>
      <w:marLeft w:val="0"/>
      <w:marRight w:val="0"/>
      <w:marTop w:val="0"/>
      <w:marBottom w:val="0"/>
      <w:divBdr>
        <w:top w:val="none" w:sz="0" w:space="0" w:color="auto"/>
        <w:left w:val="none" w:sz="0" w:space="0" w:color="auto"/>
        <w:bottom w:val="none" w:sz="0" w:space="0" w:color="auto"/>
        <w:right w:val="none" w:sz="0" w:space="0" w:color="auto"/>
      </w:divBdr>
    </w:div>
    <w:div w:id="1760564182">
      <w:bodyDiv w:val="1"/>
      <w:marLeft w:val="0"/>
      <w:marRight w:val="0"/>
      <w:marTop w:val="0"/>
      <w:marBottom w:val="0"/>
      <w:divBdr>
        <w:top w:val="none" w:sz="0" w:space="0" w:color="auto"/>
        <w:left w:val="none" w:sz="0" w:space="0" w:color="auto"/>
        <w:bottom w:val="none" w:sz="0" w:space="0" w:color="auto"/>
        <w:right w:val="none" w:sz="0" w:space="0" w:color="auto"/>
      </w:divBdr>
    </w:div>
    <w:div w:id="1763145405">
      <w:bodyDiv w:val="1"/>
      <w:marLeft w:val="0"/>
      <w:marRight w:val="0"/>
      <w:marTop w:val="0"/>
      <w:marBottom w:val="0"/>
      <w:divBdr>
        <w:top w:val="none" w:sz="0" w:space="0" w:color="auto"/>
        <w:left w:val="none" w:sz="0" w:space="0" w:color="auto"/>
        <w:bottom w:val="none" w:sz="0" w:space="0" w:color="auto"/>
        <w:right w:val="none" w:sz="0" w:space="0" w:color="auto"/>
      </w:divBdr>
    </w:div>
    <w:div w:id="1776442385">
      <w:bodyDiv w:val="1"/>
      <w:marLeft w:val="0"/>
      <w:marRight w:val="0"/>
      <w:marTop w:val="0"/>
      <w:marBottom w:val="0"/>
      <w:divBdr>
        <w:top w:val="none" w:sz="0" w:space="0" w:color="auto"/>
        <w:left w:val="none" w:sz="0" w:space="0" w:color="auto"/>
        <w:bottom w:val="none" w:sz="0" w:space="0" w:color="auto"/>
        <w:right w:val="none" w:sz="0" w:space="0" w:color="auto"/>
      </w:divBdr>
    </w:div>
    <w:div w:id="1866747668">
      <w:bodyDiv w:val="1"/>
      <w:marLeft w:val="0"/>
      <w:marRight w:val="0"/>
      <w:marTop w:val="0"/>
      <w:marBottom w:val="0"/>
      <w:divBdr>
        <w:top w:val="none" w:sz="0" w:space="0" w:color="auto"/>
        <w:left w:val="none" w:sz="0" w:space="0" w:color="auto"/>
        <w:bottom w:val="none" w:sz="0" w:space="0" w:color="auto"/>
        <w:right w:val="none" w:sz="0" w:space="0" w:color="auto"/>
      </w:divBdr>
    </w:div>
    <w:div w:id="1971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C365-FE47-CB4B-A280-8390B266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6996</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2019-04-08T19:15:00Z</dcterms:created>
  <dcterms:modified xsi:type="dcterms:W3CDTF">2019-04-08T21:36:00Z</dcterms:modified>
</cp:coreProperties>
</file>