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D284A" w14:textId="59773638" w:rsidR="00D92A4A" w:rsidRPr="007B43A9" w:rsidRDefault="00D92A4A" w:rsidP="005142C8">
      <w:pPr>
        <w:spacing w:line="360" w:lineRule="auto"/>
        <w:rPr>
          <w:rFonts w:ascii="Book Antiqua" w:hAnsi="Book Antiqua"/>
          <w:b/>
          <w:color w:val="000000" w:themeColor="text1"/>
        </w:rPr>
      </w:pPr>
      <w:r w:rsidRPr="007B43A9">
        <w:rPr>
          <w:rFonts w:ascii="Book Antiqua" w:hAnsi="Book Antiqua"/>
          <w:b/>
          <w:color w:val="000000" w:themeColor="text1"/>
        </w:rPr>
        <w:t xml:space="preserve">Name of Journal: </w:t>
      </w:r>
      <w:r w:rsidRPr="007B43A9">
        <w:rPr>
          <w:rFonts w:ascii="Book Antiqua" w:hAnsi="Book Antiqua"/>
          <w:i/>
          <w:color w:val="000000" w:themeColor="text1"/>
        </w:rPr>
        <w:t>World Journal of Stem Cells</w:t>
      </w:r>
    </w:p>
    <w:p w14:paraId="06AF853D" w14:textId="4E94FDF9" w:rsidR="00D92A4A" w:rsidRPr="007B43A9" w:rsidRDefault="00D92A4A" w:rsidP="005142C8">
      <w:pPr>
        <w:spacing w:line="360" w:lineRule="auto"/>
        <w:rPr>
          <w:rFonts w:ascii="Book Antiqua" w:hAnsi="Book Antiqua"/>
          <w:b/>
          <w:color w:val="000000" w:themeColor="text1"/>
        </w:rPr>
      </w:pPr>
      <w:r w:rsidRPr="007B43A9">
        <w:rPr>
          <w:rFonts w:ascii="Book Antiqua" w:hAnsi="Book Antiqua"/>
          <w:b/>
          <w:color w:val="000000" w:themeColor="text1"/>
        </w:rPr>
        <w:t xml:space="preserve">Manuscript NO: </w:t>
      </w:r>
      <w:r w:rsidRPr="007B43A9">
        <w:rPr>
          <w:rFonts w:ascii="Book Antiqua" w:hAnsi="Book Antiqua"/>
          <w:color w:val="000000" w:themeColor="text1"/>
        </w:rPr>
        <w:t>46196</w:t>
      </w:r>
    </w:p>
    <w:p w14:paraId="48D879A7" w14:textId="4B0E5BC0" w:rsidR="00D92A4A" w:rsidRPr="007B43A9" w:rsidRDefault="00D92A4A" w:rsidP="005142C8">
      <w:pPr>
        <w:spacing w:line="360" w:lineRule="auto"/>
        <w:rPr>
          <w:rFonts w:ascii="Book Antiqua" w:hAnsi="Book Antiqua"/>
          <w:b/>
          <w:color w:val="000000" w:themeColor="text1"/>
          <w:kern w:val="0"/>
        </w:rPr>
      </w:pPr>
      <w:r w:rsidRPr="007B43A9">
        <w:rPr>
          <w:rFonts w:ascii="Book Antiqua" w:hAnsi="Book Antiqua"/>
          <w:b/>
          <w:color w:val="000000" w:themeColor="text1"/>
          <w:kern w:val="0"/>
        </w:rPr>
        <w:t>Manuscript Type:</w:t>
      </w:r>
      <w:r w:rsidRPr="007B43A9">
        <w:rPr>
          <w:rFonts w:ascii="Book Antiqua" w:hAnsi="Book Antiqua"/>
          <w:color w:val="000000" w:themeColor="text1"/>
        </w:rPr>
        <w:t xml:space="preserve"> </w:t>
      </w:r>
      <w:r w:rsidRPr="007B43A9">
        <w:rPr>
          <w:rFonts w:ascii="Book Antiqua" w:hAnsi="Book Antiqua"/>
          <w:color w:val="000000" w:themeColor="text1"/>
          <w:kern w:val="0"/>
        </w:rPr>
        <w:t>REVIEW</w:t>
      </w:r>
    </w:p>
    <w:p w14:paraId="1F0853DF" w14:textId="77777777" w:rsidR="00D92A4A" w:rsidRPr="007B43A9" w:rsidRDefault="00D92A4A" w:rsidP="005142C8">
      <w:pPr>
        <w:spacing w:line="360" w:lineRule="auto"/>
        <w:rPr>
          <w:rFonts w:ascii="Book Antiqua" w:hAnsi="Book Antiqua"/>
          <w:b/>
          <w:color w:val="000000" w:themeColor="text1"/>
          <w:kern w:val="0"/>
        </w:rPr>
      </w:pPr>
    </w:p>
    <w:p w14:paraId="76F4E0F5" w14:textId="2FF67F29" w:rsidR="00E212A0" w:rsidRPr="007B43A9" w:rsidRDefault="00E212A0" w:rsidP="005142C8">
      <w:pPr>
        <w:spacing w:line="360" w:lineRule="auto"/>
        <w:rPr>
          <w:rFonts w:ascii="Book Antiqua" w:hAnsi="Book Antiqua" w:cs="Times New Roman"/>
          <w:b/>
          <w:color w:val="000000" w:themeColor="text1"/>
        </w:rPr>
      </w:pPr>
      <w:r w:rsidRPr="007B43A9">
        <w:rPr>
          <w:rFonts w:ascii="Book Antiqua" w:hAnsi="Book Antiqua" w:cs="Times New Roman"/>
          <w:b/>
          <w:color w:val="000000" w:themeColor="text1"/>
        </w:rPr>
        <w:t>Effects of various antimicrobial agents on</w:t>
      </w:r>
      <w:r w:rsidR="00250E9B" w:rsidRPr="007B43A9">
        <w:rPr>
          <w:rFonts w:ascii="Book Antiqua" w:hAnsi="Book Antiqua" w:cs="Times New Roman"/>
          <w:b/>
          <w:color w:val="000000" w:themeColor="text1"/>
        </w:rPr>
        <w:t xml:space="preserve"> </w:t>
      </w:r>
      <w:r w:rsidRPr="007B43A9">
        <w:rPr>
          <w:rFonts w:ascii="Book Antiqua" w:hAnsi="Book Antiqua" w:cs="Times New Roman"/>
          <w:b/>
          <w:color w:val="000000" w:themeColor="text1"/>
        </w:rPr>
        <w:t xml:space="preserve">multi-directional differentiation potential of bone marrow-derived </w:t>
      </w:r>
      <w:r w:rsidR="00D92A4A" w:rsidRPr="007B43A9">
        <w:rPr>
          <w:rFonts w:ascii="Book Antiqua" w:hAnsi="Book Antiqua" w:cs="Times New Roman"/>
          <w:b/>
          <w:color w:val="000000" w:themeColor="text1"/>
        </w:rPr>
        <w:t>mesenchymal stem cells</w:t>
      </w:r>
    </w:p>
    <w:p w14:paraId="0652DE96" w14:textId="77777777" w:rsidR="003743A5" w:rsidRPr="007B43A9" w:rsidRDefault="003743A5" w:rsidP="005142C8">
      <w:pPr>
        <w:spacing w:line="360" w:lineRule="auto"/>
        <w:rPr>
          <w:rFonts w:ascii="Book Antiqua" w:hAnsi="Book Antiqua" w:cs="Times New Roman"/>
          <w:b/>
          <w:color w:val="000000" w:themeColor="text1"/>
        </w:rPr>
      </w:pPr>
    </w:p>
    <w:p w14:paraId="579DBDFB" w14:textId="1E790A95" w:rsidR="003743A5" w:rsidRPr="007B43A9" w:rsidRDefault="003743A5" w:rsidP="005142C8">
      <w:pPr>
        <w:spacing w:line="360" w:lineRule="auto"/>
        <w:rPr>
          <w:rFonts w:ascii="Book Antiqua" w:hAnsi="Book Antiqua" w:cs="Times New Roman"/>
          <w:color w:val="000000" w:themeColor="text1"/>
        </w:rPr>
      </w:pPr>
      <w:r w:rsidRPr="007B43A9">
        <w:rPr>
          <w:rFonts w:ascii="Book Antiqua" w:hAnsi="Book Antiqua" w:cs="Times New Roman"/>
          <w:color w:val="000000" w:themeColor="text1"/>
        </w:rPr>
        <w:t xml:space="preserve">Li H </w:t>
      </w:r>
      <w:r w:rsidRPr="007B43A9">
        <w:rPr>
          <w:rFonts w:ascii="Book Antiqua" w:hAnsi="Book Antiqua" w:cs="Times New Roman"/>
          <w:i/>
          <w:color w:val="000000" w:themeColor="text1"/>
        </w:rPr>
        <w:t xml:space="preserve">et al. </w:t>
      </w:r>
      <w:r w:rsidRPr="007B43A9">
        <w:rPr>
          <w:rFonts w:ascii="Book Antiqua" w:hAnsi="Book Antiqua" w:cs="Times New Roman"/>
          <w:color w:val="000000" w:themeColor="text1"/>
        </w:rPr>
        <w:t>MSC</w:t>
      </w:r>
      <w:r w:rsidR="00250E9B" w:rsidRPr="007B43A9">
        <w:rPr>
          <w:rFonts w:ascii="Book Antiqua" w:hAnsi="Book Antiqua" w:cs="Times New Roman"/>
          <w:color w:val="000000" w:themeColor="text1"/>
        </w:rPr>
        <w:t xml:space="preserve"> </w:t>
      </w:r>
      <w:r w:rsidRPr="007B43A9">
        <w:rPr>
          <w:rFonts w:ascii="Book Antiqua" w:hAnsi="Book Antiqua" w:cs="Times New Roman"/>
          <w:color w:val="000000" w:themeColor="text1"/>
        </w:rPr>
        <w:t>differentiation regulated by antimicrobial agents</w:t>
      </w:r>
    </w:p>
    <w:p w14:paraId="615F4B46" w14:textId="32D430CD" w:rsidR="00D92A4A" w:rsidRPr="007B43A9" w:rsidRDefault="00D92A4A" w:rsidP="005142C8">
      <w:pPr>
        <w:spacing w:line="360" w:lineRule="auto"/>
        <w:rPr>
          <w:rFonts w:ascii="Book Antiqua" w:hAnsi="Book Antiqua" w:cs="Times New Roman"/>
          <w:b/>
          <w:i/>
          <w:color w:val="000000" w:themeColor="text1"/>
        </w:rPr>
      </w:pPr>
    </w:p>
    <w:p w14:paraId="72026811" w14:textId="2649F95C" w:rsidR="00D92A4A" w:rsidRPr="007B43A9" w:rsidRDefault="00D92A4A" w:rsidP="005142C8">
      <w:pPr>
        <w:widowControl/>
        <w:spacing w:line="360" w:lineRule="auto"/>
        <w:rPr>
          <w:rFonts w:ascii="Book Antiqua" w:eastAsia="Times New Roman" w:hAnsi="Book Antiqua" w:cs="Times New Roman"/>
          <w:color w:val="000000" w:themeColor="text1"/>
          <w:kern w:val="0"/>
        </w:rPr>
      </w:pPr>
      <w:r w:rsidRPr="007B43A9">
        <w:rPr>
          <w:rFonts w:ascii="Book Antiqua" w:hAnsi="Book Antiqua" w:cs="Times New Roman"/>
          <w:color w:val="000000" w:themeColor="text1"/>
        </w:rPr>
        <w:t>Hui Li, Bing Yue</w:t>
      </w:r>
    </w:p>
    <w:p w14:paraId="00E2B483" w14:textId="77777777" w:rsidR="00D92A4A" w:rsidRPr="007B43A9" w:rsidRDefault="00D92A4A" w:rsidP="005142C8">
      <w:pPr>
        <w:spacing w:line="360" w:lineRule="auto"/>
        <w:rPr>
          <w:rFonts w:ascii="Book Antiqua" w:hAnsi="Book Antiqua" w:cs="Times New Roman"/>
          <w:b/>
          <w:color w:val="000000" w:themeColor="text1"/>
        </w:rPr>
      </w:pPr>
    </w:p>
    <w:p w14:paraId="2E340F85" w14:textId="572F2CF2" w:rsidR="00E212A0" w:rsidRPr="007B43A9" w:rsidRDefault="003743A5" w:rsidP="005142C8">
      <w:pPr>
        <w:widowControl/>
        <w:spacing w:line="360" w:lineRule="auto"/>
        <w:rPr>
          <w:rFonts w:ascii="Book Antiqua" w:eastAsia="Times New Roman" w:hAnsi="Book Antiqua" w:cs="Times New Roman"/>
          <w:b/>
          <w:color w:val="000000" w:themeColor="text1"/>
          <w:kern w:val="0"/>
        </w:rPr>
      </w:pPr>
      <w:r w:rsidRPr="007B43A9">
        <w:rPr>
          <w:rFonts w:ascii="Book Antiqua" w:hAnsi="Book Antiqua" w:cs="Times New Roman"/>
          <w:b/>
          <w:color w:val="000000" w:themeColor="text1"/>
        </w:rPr>
        <w:t>Hui Li, Bing Yue,</w:t>
      </w:r>
      <w:r w:rsidRPr="007B43A9">
        <w:rPr>
          <w:rFonts w:ascii="Book Antiqua" w:hAnsi="Book Antiqua" w:cs="Times New Roman"/>
          <w:b/>
          <w:color w:val="000000" w:themeColor="text1"/>
          <w:kern w:val="0"/>
        </w:rPr>
        <w:t xml:space="preserve"> </w:t>
      </w:r>
      <w:r w:rsidR="00E212A0" w:rsidRPr="007B43A9">
        <w:rPr>
          <w:rFonts w:ascii="Book Antiqua" w:hAnsi="Book Antiqua" w:cs="Times New Roman"/>
          <w:color w:val="000000" w:themeColor="text1"/>
        </w:rPr>
        <w:t xml:space="preserve">Department of Bone and Joint Surgery, Renji Hospital, Shanghai Jiaotong University School of Medicine, </w:t>
      </w:r>
      <w:r w:rsidRPr="007B43A9">
        <w:rPr>
          <w:rFonts w:ascii="Book Antiqua" w:hAnsi="Book Antiqua" w:cs="Times New Roman"/>
          <w:color w:val="000000" w:themeColor="text1"/>
        </w:rPr>
        <w:t xml:space="preserve">Shanghai 200011, </w:t>
      </w:r>
      <w:r w:rsidR="00E212A0" w:rsidRPr="007B43A9">
        <w:rPr>
          <w:rFonts w:ascii="Book Antiqua" w:hAnsi="Book Antiqua" w:cs="Times New Roman"/>
          <w:color w:val="000000" w:themeColor="text1"/>
        </w:rPr>
        <w:t>China</w:t>
      </w:r>
    </w:p>
    <w:p w14:paraId="7B5D8F8B" w14:textId="77777777" w:rsidR="00736A06" w:rsidRPr="007B43A9" w:rsidRDefault="00736A06" w:rsidP="005142C8">
      <w:pPr>
        <w:spacing w:line="360" w:lineRule="auto"/>
        <w:rPr>
          <w:rFonts w:ascii="Book Antiqua" w:hAnsi="Book Antiqua" w:cs="Times New Roman"/>
          <w:color w:val="000000" w:themeColor="text1"/>
        </w:rPr>
      </w:pPr>
    </w:p>
    <w:p w14:paraId="0A678B88" w14:textId="11ABDEDA" w:rsidR="003743A5" w:rsidRPr="007B43A9" w:rsidRDefault="003743A5" w:rsidP="005142C8">
      <w:pPr>
        <w:widowControl/>
        <w:spacing w:line="360" w:lineRule="auto"/>
        <w:rPr>
          <w:rFonts w:ascii="Book Antiqua" w:eastAsia="Times New Roman" w:hAnsi="Book Antiqua" w:cs="Times New Roman"/>
          <w:color w:val="000000" w:themeColor="text1"/>
          <w:kern w:val="0"/>
        </w:rPr>
      </w:pPr>
      <w:r w:rsidRPr="007B43A9">
        <w:rPr>
          <w:rFonts w:ascii="Book Antiqua" w:hAnsi="Book Antiqua"/>
          <w:b/>
          <w:color w:val="000000" w:themeColor="text1"/>
        </w:rPr>
        <w:t>ORCID number:</w:t>
      </w:r>
      <w:r w:rsidRPr="007B43A9">
        <w:rPr>
          <w:rFonts w:ascii="Book Antiqua" w:hAnsi="Book Antiqua"/>
          <w:color w:val="000000" w:themeColor="text1"/>
        </w:rPr>
        <w:t> </w:t>
      </w:r>
      <w:r w:rsidRPr="007B43A9">
        <w:rPr>
          <w:rFonts w:ascii="Book Antiqua" w:hAnsi="Book Antiqua" w:cs="Times New Roman"/>
          <w:color w:val="000000" w:themeColor="text1"/>
        </w:rPr>
        <w:t>Hui Li (</w:t>
      </w:r>
      <w:r w:rsidRPr="007B43A9">
        <w:rPr>
          <w:rFonts w:ascii="Book Antiqua" w:eastAsia="Times New Roman" w:hAnsi="Book Antiqua" w:cs="Times New Roman"/>
          <w:color w:val="000000" w:themeColor="text1"/>
          <w:kern w:val="0"/>
        </w:rPr>
        <w:t>0000-0001-9722-2619</w:t>
      </w:r>
      <w:r w:rsidRPr="007B43A9">
        <w:rPr>
          <w:rFonts w:ascii="Book Antiqua" w:hAnsi="Book Antiqua" w:cs="Times New Roman"/>
          <w:color w:val="000000" w:themeColor="text1"/>
        </w:rPr>
        <w:t>); Bing Yue (</w:t>
      </w:r>
      <w:r w:rsidRPr="007B43A9">
        <w:rPr>
          <w:rFonts w:ascii="Book Antiqua" w:eastAsia="Times New Roman" w:hAnsi="Book Antiqua" w:cs="Times New Roman"/>
          <w:color w:val="000000" w:themeColor="text1"/>
          <w:kern w:val="0"/>
        </w:rPr>
        <w:t>0000-0002-3279-9676</w:t>
      </w:r>
      <w:r w:rsidRPr="007B43A9">
        <w:rPr>
          <w:rFonts w:ascii="Book Antiqua" w:hAnsi="Book Antiqua" w:cs="Times New Roman"/>
          <w:color w:val="000000" w:themeColor="text1"/>
        </w:rPr>
        <w:t>).</w:t>
      </w:r>
    </w:p>
    <w:p w14:paraId="1D64BF05" w14:textId="24FAC5E5" w:rsidR="00736A06" w:rsidRPr="007B43A9" w:rsidRDefault="00736A06" w:rsidP="005142C8">
      <w:pPr>
        <w:widowControl/>
        <w:tabs>
          <w:tab w:val="left" w:pos="1773"/>
        </w:tabs>
        <w:spacing w:line="360" w:lineRule="auto"/>
        <w:rPr>
          <w:rFonts w:ascii="Book Antiqua" w:hAnsi="Book Antiqua" w:cs="Times New Roman"/>
          <w:color w:val="000000" w:themeColor="text1"/>
          <w:kern w:val="0"/>
        </w:rPr>
      </w:pPr>
    </w:p>
    <w:p w14:paraId="061A008B" w14:textId="385AEAFE" w:rsidR="003743A5" w:rsidRPr="007B43A9" w:rsidRDefault="003743A5" w:rsidP="005142C8">
      <w:pPr>
        <w:spacing w:line="360" w:lineRule="auto"/>
        <w:rPr>
          <w:rFonts w:ascii="Book Antiqua" w:eastAsia="Times New Roman" w:hAnsi="Book Antiqua" w:cs="Times New Roman"/>
          <w:color w:val="000000" w:themeColor="text1"/>
          <w:kern w:val="0"/>
        </w:rPr>
      </w:pPr>
      <w:r w:rsidRPr="007B43A9">
        <w:rPr>
          <w:rFonts w:ascii="Book Antiqua" w:hAnsi="Book Antiqua"/>
          <w:b/>
          <w:color w:val="000000" w:themeColor="text1"/>
        </w:rPr>
        <w:t>Author contributions:</w:t>
      </w:r>
      <w:r w:rsidRPr="007B43A9">
        <w:rPr>
          <w:rFonts w:ascii="Book Antiqua" w:eastAsia="Times New Roman" w:hAnsi="Book Antiqua" w:cs="Times New Roman"/>
          <w:color w:val="000000" w:themeColor="text1"/>
          <w:kern w:val="0"/>
        </w:rPr>
        <w:t xml:space="preserve"> </w:t>
      </w:r>
      <w:r w:rsidR="00873750" w:rsidRPr="007B43A9">
        <w:rPr>
          <w:rFonts w:ascii="Book Antiqua" w:eastAsia="Times New Roman" w:hAnsi="Book Antiqua" w:cs="Times New Roman"/>
          <w:color w:val="000000" w:themeColor="text1"/>
          <w:kern w:val="0"/>
        </w:rPr>
        <w:t>The two</w:t>
      </w:r>
      <w:r w:rsidR="00250E9B" w:rsidRPr="007B43A9">
        <w:rPr>
          <w:rFonts w:ascii="Book Antiqua" w:eastAsia="Times New Roman" w:hAnsi="Book Antiqua" w:cs="Times New Roman"/>
          <w:color w:val="000000" w:themeColor="text1"/>
          <w:kern w:val="0"/>
        </w:rPr>
        <w:t xml:space="preserve"> authors </w:t>
      </w:r>
      <w:r w:rsidRPr="007B43A9">
        <w:rPr>
          <w:rFonts w:ascii="Book Antiqua" w:eastAsia="Times New Roman" w:hAnsi="Book Antiqua" w:cs="Times New Roman"/>
          <w:color w:val="000000" w:themeColor="text1"/>
          <w:kern w:val="0"/>
        </w:rPr>
        <w:t>contributed equally to the manuscript.</w:t>
      </w:r>
    </w:p>
    <w:p w14:paraId="1CB1DD8B" w14:textId="6E8CF190" w:rsidR="003743A5" w:rsidRPr="007B43A9" w:rsidRDefault="003743A5" w:rsidP="005142C8">
      <w:pPr>
        <w:widowControl/>
        <w:tabs>
          <w:tab w:val="left" w:pos="1773"/>
        </w:tabs>
        <w:spacing w:line="360" w:lineRule="auto"/>
        <w:rPr>
          <w:rFonts w:ascii="Book Antiqua" w:hAnsi="Book Antiqua" w:cs="Times New Roman"/>
          <w:color w:val="000000" w:themeColor="text1"/>
          <w:kern w:val="0"/>
        </w:rPr>
      </w:pPr>
    </w:p>
    <w:p w14:paraId="64EA6440" w14:textId="1EA221E0" w:rsidR="00736A06" w:rsidRPr="007B43A9" w:rsidRDefault="003743A5"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b/>
          <w:color w:val="000000" w:themeColor="text1"/>
          <w:kern w:val="0"/>
        </w:rPr>
        <w:t xml:space="preserve">Supported </w:t>
      </w:r>
      <w:r w:rsidR="00736A06" w:rsidRPr="007B43A9">
        <w:rPr>
          <w:rFonts w:ascii="Book Antiqua" w:eastAsia="Times New Roman" w:hAnsi="Book Antiqua" w:cs="Times New Roman"/>
          <w:b/>
          <w:color w:val="000000" w:themeColor="text1"/>
          <w:kern w:val="0"/>
        </w:rPr>
        <w:t xml:space="preserve">by </w:t>
      </w:r>
      <w:r w:rsidR="00736A06" w:rsidRPr="007B43A9">
        <w:rPr>
          <w:rFonts w:ascii="Book Antiqua" w:eastAsia="Times New Roman" w:hAnsi="Book Antiqua" w:cs="Times New Roman"/>
          <w:color w:val="000000" w:themeColor="text1"/>
          <w:kern w:val="0"/>
        </w:rPr>
        <w:t>National Natural Science Foundation of China</w:t>
      </w:r>
      <w:r w:rsidRPr="007B43A9">
        <w:rPr>
          <w:rFonts w:ascii="Book Antiqua" w:hAnsi="Book Antiqua" w:cs="Times New Roman"/>
          <w:color w:val="000000" w:themeColor="text1"/>
          <w:kern w:val="0"/>
        </w:rPr>
        <w:t xml:space="preserve">, Nos. </w:t>
      </w:r>
      <w:r w:rsidR="00736A06" w:rsidRPr="007B43A9">
        <w:rPr>
          <w:rFonts w:ascii="Book Antiqua" w:eastAsia="Times New Roman" w:hAnsi="Book Antiqua" w:cs="Times New Roman"/>
          <w:color w:val="000000" w:themeColor="text1"/>
          <w:kern w:val="0"/>
        </w:rPr>
        <w:t>81472119 and 81672196</w:t>
      </w:r>
      <w:r w:rsidRPr="007B43A9">
        <w:rPr>
          <w:rFonts w:ascii="Book Antiqua" w:hAnsi="Book Antiqua" w:cs="Times New Roman"/>
          <w:color w:val="000000" w:themeColor="text1"/>
          <w:kern w:val="0"/>
        </w:rPr>
        <w:t>;</w:t>
      </w:r>
      <w:r w:rsidR="00736A06" w:rsidRPr="007B43A9">
        <w:rPr>
          <w:rFonts w:ascii="Book Antiqua" w:eastAsia="Times New Roman" w:hAnsi="Book Antiqua" w:cs="Times New Roman"/>
          <w:color w:val="000000" w:themeColor="text1"/>
          <w:kern w:val="0"/>
        </w:rPr>
        <w:t xml:space="preserve"> and Shanghai </w:t>
      </w:r>
      <w:r w:rsidRPr="007B43A9">
        <w:rPr>
          <w:rFonts w:ascii="Book Antiqua" w:eastAsia="Times New Roman" w:hAnsi="Book Antiqua" w:cs="Times New Roman"/>
          <w:color w:val="000000" w:themeColor="text1"/>
          <w:kern w:val="0"/>
        </w:rPr>
        <w:t>Municipal Education Commission</w:t>
      </w:r>
      <w:r w:rsidR="00736A06" w:rsidRPr="007B43A9">
        <w:rPr>
          <w:rFonts w:ascii="Book Antiqua" w:eastAsia="Times New Roman" w:hAnsi="Book Antiqua" w:cs="Times New Roman"/>
          <w:color w:val="000000" w:themeColor="text1"/>
          <w:kern w:val="0"/>
        </w:rPr>
        <w:t xml:space="preserve">-Gaofeng </w:t>
      </w:r>
      <w:r w:rsidRPr="007B43A9">
        <w:rPr>
          <w:rFonts w:ascii="Book Antiqua" w:eastAsia="Times New Roman" w:hAnsi="Book Antiqua" w:cs="Times New Roman"/>
          <w:color w:val="000000" w:themeColor="text1"/>
          <w:kern w:val="0"/>
        </w:rPr>
        <w:t>Clinical Medicine Grant Support</w:t>
      </w:r>
      <w:r w:rsidRPr="007B43A9">
        <w:rPr>
          <w:rFonts w:ascii="Book Antiqua" w:hAnsi="Book Antiqua" w:cs="Times New Roman"/>
          <w:color w:val="000000" w:themeColor="text1"/>
          <w:kern w:val="0"/>
        </w:rPr>
        <w:t xml:space="preserve">, No. </w:t>
      </w:r>
      <w:r w:rsidRPr="007B43A9">
        <w:rPr>
          <w:rFonts w:ascii="Book Antiqua" w:eastAsia="Times New Roman" w:hAnsi="Book Antiqua" w:cs="Times New Roman"/>
          <w:color w:val="000000" w:themeColor="text1"/>
          <w:kern w:val="0"/>
        </w:rPr>
        <w:t>20161423</w:t>
      </w:r>
      <w:r w:rsidR="00736A06" w:rsidRPr="007B43A9">
        <w:rPr>
          <w:rFonts w:ascii="Book Antiqua" w:eastAsia="Times New Roman" w:hAnsi="Book Antiqua" w:cs="Times New Roman"/>
          <w:color w:val="000000" w:themeColor="text1"/>
          <w:kern w:val="0"/>
        </w:rPr>
        <w:t>.</w:t>
      </w:r>
    </w:p>
    <w:p w14:paraId="107B38CE" w14:textId="77777777" w:rsidR="007A7855" w:rsidRPr="007B43A9" w:rsidRDefault="007A7855" w:rsidP="005142C8">
      <w:pPr>
        <w:widowControl/>
        <w:tabs>
          <w:tab w:val="left" w:pos="1773"/>
        </w:tabs>
        <w:spacing w:line="360" w:lineRule="auto"/>
        <w:rPr>
          <w:rFonts w:ascii="Book Antiqua" w:eastAsia="Times New Roman" w:hAnsi="Book Antiqua" w:cs="Times New Roman"/>
          <w:color w:val="000000" w:themeColor="text1"/>
          <w:kern w:val="0"/>
        </w:rPr>
      </w:pPr>
      <w:r w:rsidRPr="007B43A9">
        <w:rPr>
          <w:rFonts w:ascii="Book Antiqua" w:hAnsi="Book Antiqua"/>
          <w:b/>
          <w:color w:val="000000" w:themeColor="text1"/>
        </w:rPr>
        <w:t>Conflict-of-interest statement</w:t>
      </w:r>
      <w:r w:rsidRPr="007B43A9">
        <w:rPr>
          <w:rFonts w:ascii="Book Antiqua" w:hAnsi="Book Antiqua" w:cs="TimesNewRomanPS-BoldItalicMT"/>
          <w:b/>
          <w:iCs/>
          <w:color w:val="000000" w:themeColor="text1"/>
        </w:rPr>
        <w:t xml:space="preserve">: </w:t>
      </w:r>
      <w:r w:rsidRPr="007B43A9">
        <w:rPr>
          <w:rFonts w:ascii="Book Antiqua" w:eastAsia="Times New Roman" w:hAnsi="Book Antiqua" w:cs="Times New Roman"/>
          <w:color w:val="000000" w:themeColor="text1"/>
          <w:kern w:val="0"/>
        </w:rPr>
        <w:t>The authors declare no conflict of interest.</w:t>
      </w:r>
    </w:p>
    <w:p w14:paraId="03EDC4AD" w14:textId="77777777" w:rsidR="007A7855" w:rsidRPr="007B43A9" w:rsidRDefault="007A7855" w:rsidP="005142C8">
      <w:pPr>
        <w:adjustRightInd w:val="0"/>
        <w:snapToGrid w:val="0"/>
        <w:spacing w:line="360" w:lineRule="auto"/>
        <w:rPr>
          <w:rFonts w:ascii="Book Antiqua" w:hAnsi="Book Antiqua"/>
          <w:color w:val="000000" w:themeColor="text1"/>
        </w:rPr>
      </w:pPr>
    </w:p>
    <w:p w14:paraId="539EC569" w14:textId="77777777" w:rsidR="007A7855" w:rsidRPr="007B43A9" w:rsidRDefault="007A7855" w:rsidP="005142C8">
      <w:pPr>
        <w:widowControl/>
        <w:adjustRightInd w:val="0"/>
        <w:snapToGrid w:val="0"/>
        <w:spacing w:line="360" w:lineRule="auto"/>
        <w:rPr>
          <w:rFonts w:ascii="Book Antiqua" w:hAnsi="Book Antiqua"/>
          <w:color w:val="000000" w:themeColor="text1"/>
        </w:rPr>
      </w:pPr>
      <w:r w:rsidRPr="007B43A9">
        <w:rPr>
          <w:rFonts w:ascii="Book Antiqua" w:hAnsi="Book Antiqua"/>
          <w:b/>
          <w:color w:val="000000" w:themeColor="text1"/>
          <w:kern w:val="0"/>
        </w:rPr>
        <w:t xml:space="preserve">Open-Access: </w:t>
      </w:r>
      <w:r w:rsidRPr="007B43A9">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7B43A9">
          <w:rPr>
            <w:rStyle w:val="a3"/>
            <w:rFonts w:ascii="Book Antiqua" w:hAnsi="Book Antiqua"/>
            <w:color w:val="000000" w:themeColor="text1"/>
            <w:u w:val="none"/>
          </w:rPr>
          <w:t>http://creativecommons.org/licenses/by-nc/4.0/</w:t>
        </w:r>
      </w:hyperlink>
    </w:p>
    <w:p w14:paraId="4F58D15D" w14:textId="77777777" w:rsidR="00736A06" w:rsidRPr="007B43A9" w:rsidRDefault="00736A06" w:rsidP="005142C8">
      <w:pPr>
        <w:spacing w:line="360" w:lineRule="auto"/>
        <w:rPr>
          <w:rFonts w:ascii="Book Antiqua" w:hAnsi="Book Antiqua" w:cs="Times New Roman"/>
          <w:color w:val="000000" w:themeColor="text1"/>
        </w:rPr>
      </w:pPr>
    </w:p>
    <w:p w14:paraId="623EE0DE" w14:textId="073F7777" w:rsidR="007A7855" w:rsidRPr="007B43A9" w:rsidRDefault="007A7855" w:rsidP="005142C8">
      <w:pPr>
        <w:spacing w:line="360" w:lineRule="auto"/>
        <w:rPr>
          <w:rFonts w:ascii="Book Antiqua" w:eastAsia="宋体" w:hAnsi="Book Antiqua" w:cs="宋体"/>
          <w:color w:val="000000" w:themeColor="text1"/>
          <w:kern w:val="0"/>
        </w:rPr>
      </w:pPr>
      <w:r w:rsidRPr="007B43A9">
        <w:rPr>
          <w:rFonts w:ascii="Book Antiqua" w:eastAsia="宋体" w:hAnsi="Book Antiqua" w:cs="宋体"/>
          <w:b/>
          <w:color w:val="000000" w:themeColor="text1"/>
          <w:kern w:val="0"/>
        </w:rPr>
        <w:t>Manuscript source:</w:t>
      </w:r>
      <w:r w:rsidRPr="007B43A9">
        <w:rPr>
          <w:rFonts w:ascii="Book Antiqua" w:eastAsia="宋体" w:hAnsi="Book Antiqua" w:cs="宋体"/>
          <w:color w:val="000000" w:themeColor="text1"/>
          <w:kern w:val="0"/>
        </w:rPr>
        <w:t> Invited manuscript</w:t>
      </w:r>
    </w:p>
    <w:p w14:paraId="28D6D59E" w14:textId="77777777" w:rsidR="007A7855" w:rsidRPr="007B43A9" w:rsidRDefault="007A7855" w:rsidP="005142C8">
      <w:pPr>
        <w:spacing w:line="360" w:lineRule="auto"/>
        <w:rPr>
          <w:rFonts w:ascii="Book Antiqua" w:hAnsi="Book Antiqua" w:cs="Times New Roman"/>
          <w:color w:val="000000" w:themeColor="text1"/>
        </w:rPr>
      </w:pPr>
    </w:p>
    <w:p w14:paraId="35AA983D" w14:textId="33BCF59E" w:rsidR="00E212A0" w:rsidRPr="007B43A9" w:rsidRDefault="007A7855" w:rsidP="005142C8">
      <w:pPr>
        <w:spacing w:line="360" w:lineRule="auto"/>
        <w:contextualSpacing/>
        <w:rPr>
          <w:rFonts w:ascii="Book Antiqua" w:hAnsi="Book Antiqua" w:cs="Times New Roman"/>
          <w:color w:val="000000" w:themeColor="text1"/>
        </w:rPr>
      </w:pPr>
      <w:r w:rsidRPr="007B43A9">
        <w:rPr>
          <w:rFonts w:ascii="Book Antiqua" w:hAnsi="Book Antiqua"/>
          <w:b/>
          <w:color w:val="000000" w:themeColor="text1"/>
        </w:rPr>
        <w:t xml:space="preserve">Corresponding author: </w:t>
      </w:r>
      <w:r w:rsidR="00E212A0" w:rsidRPr="007B43A9">
        <w:rPr>
          <w:rFonts w:ascii="Book Antiqua" w:hAnsi="Book Antiqua" w:cs="Times New Roman"/>
          <w:b/>
          <w:color w:val="000000" w:themeColor="text1"/>
        </w:rPr>
        <w:t xml:space="preserve">Bing Yue, </w:t>
      </w:r>
      <w:r w:rsidRPr="007B43A9">
        <w:rPr>
          <w:rFonts w:ascii="Book Antiqua" w:hAnsi="Book Antiqua" w:cs="Times New Roman"/>
          <w:b/>
          <w:color w:val="000000" w:themeColor="text1"/>
        </w:rPr>
        <w:t>MD, PhD, Chief Doctor,</w:t>
      </w:r>
      <w:r w:rsidRPr="007B43A9">
        <w:rPr>
          <w:rFonts w:ascii="Book Antiqua" w:hAnsi="Book Antiqua"/>
          <w:color w:val="000000" w:themeColor="text1"/>
        </w:rPr>
        <w:t xml:space="preserve"> </w:t>
      </w:r>
      <w:r w:rsidRPr="007B43A9">
        <w:rPr>
          <w:rFonts w:ascii="Book Antiqua" w:hAnsi="Book Antiqua" w:cs="Times New Roman"/>
          <w:color w:val="000000" w:themeColor="text1"/>
        </w:rPr>
        <w:t>Department of Bone and Joint Surgery, Renji Hospital, Shanghai Jiao Tong University School of Medicine, 145</w:t>
      </w:r>
      <w:r w:rsidR="00250E9B" w:rsidRPr="007B43A9">
        <w:rPr>
          <w:rFonts w:ascii="Book Antiqua" w:hAnsi="Book Antiqua" w:cs="Times New Roman"/>
          <w:color w:val="000000" w:themeColor="text1"/>
        </w:rPr>
        <w:t xml:space="preserve"> </w:t>
      </w:r>
      <w:r w:rsidRPr="007B43A9">
        <w:rPr>
          <w:rFonts w:ascii="Book Antiqua" w:hAnsi="Book Antiqua" w:cs="Times New Roman"/>
          <w:color w:val="000000" w:themeColor="text1"/>
        </w:rPr>
        <w:t>Shandong Road, Shanghai 200011, China. advbmp2@163.com</w:t>
      </w:r>
    </w:p>
    <w:p w14:paraId="2301B72B" w14:textId="5559F2BC" w:rsidR="00E212A0" w:rsidRPr="007B43A9" w:rsidRDefault="007A7855" w:rsidP="005142C8">
      <w:pPr>
        <w:spacing w:line="360" w:lineRule="auto"/>
        <w:contextualSpacing/>
        <w:rPr>
          <w:rFonts w:ascii="Book Antiqua" w:hAnsi="Book Antiqua" w:cs="Times New Roman"/>
          <w:color w:val="000000" w:themeColor="text1"/>
        </w:rPr>
      </w:pPr>
      <w:r w:rsidRPr="007B43A9">
        <w:rPr>
          <w:rFonts w:ascii="Book Antiqua" w:hAnsi="Book Antiqua"/>
          <w:b/>
          <w:color w:val="000000" w:themeColor="text1"/>
        </w:rPr>
        <w:t>Telephone:</w:t>
      </w:r>
      <w:r w:rsidR="00E212A0" w:rsidRPr="007B43A9">
        <w:rPr>
          <w:rFonts w:ascii="Book Antiqua" w:hAnsi="Book Antiqua" w:cs="Times New Roman"/>
          <w:color w:val="000000" w:themeColor="text1"/>
        </w:rPr>
        <w:t xml:space="preserve"> +86-21-53882199</w:t>
      </w:r>
    </w:p>
    <w:p w14:paraId="6F3789B6" w14:textId="77777777" w:rsidR="00120BB2" w:rsidRPr="007B43A9" w:rsidRDefault="00120BB2" w:rsidP="005142C8">
      <w:pPr>
        <w:spacing w:line="360" w:lineRule="auto"/>
        <w:rPr>
          <w:rStyle w:val="shorttext"/>
          <w:rFonts w:ascii="Book Antiqua" w:eastAsia="Times New Roman" w:hAnsi="Book Antiqua"/>
          <w:b/>
          <w:color w:val="000000" w:themeColor="text1"/>
          <w:lang w:val="en"/>
        </w:rPr>
      </w:pPr>
    </w:p>
    <w:p w14:paraId="5196EE79" w14:textId="6BB58686" w:rsidR="007A7855" w:rsidRPr="007B43A9" w:rsidRDefault="007A7855" w:rsidP="005142C8">
      <w:pPr>
        <w:spacing w:line="360" w:lineRule="auto"/>
        <w:rPr>
          <w:rFonts w:ascii="Book Antiqua" w:hAnsi="Book Antiqua"/>
          <w:b/>
          <w:color w:val="000000" w:themeColor="text1"/>
        </w:rPr>
      </w:pPr>
      <w:r w:rsidRPr="007B43A9">
        <w:rPr>
          <w:rFonts w:ascii="Book Antiqua" w:hAnsi="Book Antiqua"/>
          <w:b/>
          <w:color w:val="000000" w:themeColor="text1"/>
        </w:rPr>
        <w:t xml:space="preserve">Received: </w:t>
      </w:r>
      <w:r w:rsidR="005142C8" w:rsidRPr="007B43A9">
        <w:rPr>
          <w:rFonts w:ascii="Book Antiqua" w:hAnsi="Book Antiqua"/>
          <w:color w:val="000000" w:themeColor="text1"/>
        </w:rPr>
        <w:t xml:space="preserve">February 6, 2019 </w:t>
      </w:r>
    </w:p>
    <w:p w14:paraId="264787E7" w14:textId="6D2C5A9B" w:rsidR="007A7855" w:rsidRPr="007B43A9" w:rsidRDefault="007A7855" w:rsidP="005142C8">
      <w:pPr>
        <w:spacing w:line="360" w:lineRule="auto"/>
        <w:rPr>
          <w:rFonts w:ascii="Book Antiqua" w:hAnsi="Book Antiqua"/>
          <w:b/>
          <w:color w:val="000000" w:themeColor="text1"/>
        </w:rPr>
      </w:pPr>
      <w:r w:rsidRPr="007B43A9">
        <w:rPr>
          <w:rFonts w:ascii="Book Antiqua" w:hAnsi="Book Antiqua"/>
          <w:b/>
          <w:color w:val="000000" w:themeColor="text1"/>
        </w:rPr>
        <w:t>Peer-review started:</w:t>
      </w:r>
      <w:r w:rsidR="005142C8" w:rsidRPr="007B43A9">
        <w:rPr>
          <w:rFonts w:ascii="Book Antiqua" w:hAnsi="Book Antiqua"/>
          <w:color w:val="000000" w:themeColor="text1"/>
        </w:rPr>
        <w:t xml:space="preserve"> February 11, 2019 </w:t>
      </w:r>
    </w:p>
    <w:p w14:paraId="21356AA2" w14:textId="0DBC9C43" w:rsidR="007A7855" w:rsidRPr="007B43A9" w:rsidRDefault="007A7855" w:rsidP="005142C8">
      <w:pPr>
        <w:spacing w:line="360" w:lineRule="auto"/>
        <w:rPr>
          <w:rFonts w:ascii="Book Antiqua" w:hAnsi="Book Antiqua"/>
          <w:b/>
          <w:color w:val="000000" w:themeColor="text1"/>
        </w:rPr>
      </w:pPr>
      <w:r w:rsidRPr="007B43A9">
        <w:rPr>
          <w:rFonts w:ascii="Book Antiqua" w:hAnsi="Book Antiqua"/>
          <w:b/>
          <w:color w:val="000000" w:themeColor="text1"/>
        </w:rPr>
        <w:t>First decision:</w:t>
      </w:r>
      <w:r w:rsidR="005142C8" w:rsidRPr="007B43A9">
        <w:rPr>
          <w:rFonts w:ascii="Book Antiqua" w:hAnsi="Book Antiqua"/>
          <w:b/>
          <w:color w:val="000000" w:themeColor="text1"/>
        </w:rPr>
        <w:t xml:space="preserve"> </w:t>
      </w:r>
      <w:r w:rsidR="005142C8" w:rsidRPr="007B43A9">
        <w:rPr>
          <w:rFonts w:ascii="Book Antiqua" w:hAnsi="Book Antiqua"/>
          <w:color w:val="000000" w:themeColor="text1"/>
        </w:rPr>
        <w:t>March 15, 2019</w:t>
      </w:r>
    </w:p>
    <w:p w14:paraId="194887CB" w14:textId="31C94EF1" w:rsidR="007A7855" w:rsidRPr="007B43A9" w:rsidRDefault="007A7855" w:rsidP="005142C8">
      <w:pPr>
        <w:spacing w:line="360" w:lineRule="auto"/>
        <w:rPr>
          <w:rFonts w:ascii="Book Antiqua" w:hAnsi="Book Antiqua"/>
          <w:b/>
          <w:color w:val="000000" w:themeColor="text1"/>
        </w:rPr>
      </w:pPr>
      <w:r w:rsidRPr="007B43A9">
        <w:rPr>
          <w:rFonts w:ascii="Book Antiqua" w:hAnsi="Book Antiqua"/>
          <w:b/>
          <w:color w:val="000000" w:themeColor="text1"/>
        </w:rPr>
        <w:t xml:space="preserve">Revised: </w:t>
      </w:r>
      <w:r w:rsidR="005142C8" w:rsidRPr="007B43A9">
        <w:rPr>
          <w:rFonts w:ascii="Book Antiqua" w:hAnsi="Book Antiqua"/>
          <w:color w:val="000000" w:themeColor="text1"/>
        </w:rPr>
        <w:t>March 30, 2019</w:t>
      </w:r>
      <w:r w:rsidRPr="007B43A9">
        <w:rPr>
          <w:rFonts w:ascii="Book Antiqua" w:hAnsi="Book Antiqua"/>
          <w:b/>
          <w:color w:val="000000" w:themeColor="text1"/>
        </w:rPr>
        <w:t xml:space="preserve"> </w:t>
      </w:r>
    </w:p>
    <w:p w14:paraId="0E8E4067" w14:textId="6D2BF64B" w:rsidR="007A7855" w:rsidRPr="007B43A9" w:rsidRDefault="007A7855" w:rsidP="005142C8">
      <w:pPr>
        <w:spacing w:line="360" w:lineRule="auto"/>
        <w:rPr>
          <w:rFonts w:ascii="Book Antiqua" w:hAnsi="Book Antiqua"/>
          <w:b/>
          <w:color w:val="000000" w:themeColor="text1"/>
        </w:rPr>
      </w:pPr>
      <w:r w:rsidRPr="007B43A9">
        <w:rPr>
          <w:rFonts w:ascii="Book Antiqua" w:hAnsi="Book Antiqua"/>
          <w:b/>
          <w:color w:val="000000" w:themeColor="text1"/>
        </w:rPr>
        <w:t>Accepted:</w:t>
      </w:r>
      <w:r w:rsidR="005142C8" w:rsidRPr="007B43A9">
        <w:rPr>
          <w:rFonts w:ascii="Book Antiqua" w:hAnsi="Book Antiqua"/>
          <w:b/>
          <w:color w:val="000000" w:themeColor="text1"/>
        </w:rPr>
        <w:t xml:space="preserve"> </w:t>
      </w:r>
      <w:r w:rsidR="00F51F75" w:rsidRPr="007B43A9">
        <w:rPr>
          <w:rFonts w:ascii="Book Antiqua" w:hAnsi="Book Antiqua"/>
          <w:bCs/>
          <w:color w:val="000000" w:themeColor="text1"/>
        </w:rPr>
        <w:t>May 23, 2019</w:t>
      </w:r>
    </w:p>
    <w:p w14:paraId="0249781A" w14:textId="41ECA006" w:rsidR="007A7855" w:rsidRPr="007B43A9" w:rsidRDefault="007A7855" w:rsidP="005142C8">
      <w:pPr>
        <w:spacing w:line="360" w:lineRule="auto"/>
        <w:rPr>
          <w:rFonts w:ascii="Book Antiqua" w:hAnsi="Book Antiqua"/>
          <w:color w:val="000000" w:themeColor="text1"/>
        </w:rPr>
      </w:pPr>
      <w:r w:rsidRPr="007B43A9">
        <w:rPr>
          <w:rFonts w:ascii="Book Antiqua" w:hAnsi="Book Antiqua"/>
          <w:b/>
          <w:color w:val="000000" w:themeColor="text1"/>
        </w:rPr>
        <w:t>Article in press:</w:t>
      </w:r>
      <w:r w:rsidR="005142C8" w:rsidRPr="007B43A9">
        <w:rPr>
          <w:rFonts w:ascii="Book Antiqua" w:hAnsi="Book Antiqua"/>
          <w:color w:val="000000" w:themeColor="text1"/>
        </w:rPr>
        <w:t xml:space="preserve"> </w:t>
      </w:r>
      <w:r w:rsidR="00BF33DF" w:rsidRPr="007B43A9">
        <w:rPr>
          <w:rFonts w:ascii="Book Antiqua" w:hAnsi="Book Antiqua"/>
          <w:bCs/>
          <w:color w:val="000000" w:themeColor="text1"/>
        </w:rPr>
        <w:t>May 23, 2019</w:t>
      </w:r>
    </w:p>
    <w:p w14:paraId="3F356801" w14:textId="1D09F5BB" w:rsidR="005142C8" w:rsidRPr="007B43A9" w:rsidRDefault="007A7855" w:rsidP="00BF33DF">
      <w:pPr>
        <w:spacing w:line="360" w:lineRule="auto"/>
        <w:rPr>
          <w:rFonts w:ascii="Book Antiqua" w:hAnsi="Book Antiqua" w:cs="Times New Roman"/>
          <w:b/>
          <w:color w:val="000000" w:themeColor="text1"/>
        </w:rPr>
      </w:pPr>
      <w:r w:rsidRPr="007B43A9">
        <w:rPr>
          <w:rFonts w:ascii="Book Antiqua" w:hAnsi="Book Antiqua"/>
          <w:b/>
          <w:color w:val="000000" w:themeColor="text1"/>
        </w:rPr>
        <w:t xml:space="preserve">Published online: </w:t>
      </w:r>
      <w:r w:rsidR="00BF33DF" w:rsidRPr="007B43A9">
        <w:rPr>
          <w:rFonts w:ascii="Book Antiqua" w:hAnsi="Book Antiqua"/>
          <w:bCs/>
          <w:color w:val="000000" w:themeColor="text1"/>
        </w:rPr>
        <w:t>June 26</w:t>
      </w:r>
      <w:r w:rsidR="00BF33DF" w:rsidRPr="007B43A9">
        <w:rPr>
          <w:rFonts w:ascii="Book Antiqua" w:hAnsi="Book Antiqua"/>
          <w:bCs/>
          <w:color w:val="000000" w:themeColor="text1"/>
        </w:rPr>
        <w:t>, 2019</w:t>
      </w:r>
      <w:r w:rsidR="005142C8" w:rsidRPr="007B43A9">
        <w:rPr>
          <w:rFonts w:ascii="Book Antiqua" w:hAnsi="Book Antiqua" w:cs="Times New Roman"/>
          <w:b/>
          <w:color w:val="000000" w:themeColor="text1"/>
        </w:rPr>
        <w:br w:type="page"/>
      </w:r>
    </w:p>
    <w:p w14:paraId="6797DCEF" w14:textId="63C95E59" w:rsidR="00CE48F3" w:rsidRPr="007B43A9" w:rsidRDefault="00CE48F3" w:rsidP="005142C8">
      <w:pPr>
        <w:spacing w:line="360" w:lineRule="auto"/>
        <w:rPr>
          <w:rFonts w:ascii="Book Antiqua" w:hAnsi="Book Antiqua" w:cs="Times New Roman"/>
          <w:b/>
          <w:color w:val="000000" w:themeColor="text1"/>
        </w:rPr>
      </w:pPr>
      <w:r w:rsidRPr="007B43A9">
        <w:rPr>
          <w:rFonts w:ascii="Book Antiqua" w:hAnsi="Book Antiqua" w:cs="Times New Roman"/>
          <w:b/>
          <w:color w:val="000000" w:themeColor="text1"/>
        </w:rPr>
        <w:t>Abstract</w:t>
      </w:r>
    </w:p>
    <w:p w14:paraId="4803B529" w14:textId="1EAF4C89" w:rsidR="00CE48F3" w:rsidRPr="007B43A9" w:rsidRDefault="00C64621" w:rsidP="005142C8">
      <w:pPr>
        <w:spacing w:line="360" w:lineRule="auto"/>
        <w:rPr>
          <w:rFonts w:ascii="Book Antiqua" w:hAnsi="Book Antiqua" w:cs="Times New Roman"/>
          <w:color w:val="000000" w:themeColor="text1"/>
        </w:rPr>
      </w:pPr>
      <w:r w:rsidRPr="007B43A9">
        <w:rPr>
          <w:rFonts w:ascii="Book Antiqua" w:hAnsi="Book Antiqua" w:cs="Times New Roman"/>
          <w:color w:val="000000" w:themeColor="text1"/>
        </w:rPr>
        <w:t xml:space="preserve">Antimicrobial drugs of several classes play an important role in the treatment of bone and joint infections. In addition to fighting pathogenic microorganisms, the effects of drugs on local tissues and cells are also related to the course and prognosis of bone and joint infections. The multi-directional differentiation potential of </w:t>
      </w:r>
      <w:bookmarkStart w:id="0" w:name="OLE_LINK171"/>
      <w:bookmarkStart w:id="1" w:name="OLE_LINK172"/>
      <w:r w:rsidRPr="007B43A9">
        <w:rPr>
          <w:rFonts w:ascii="Book Antiqua" w:hAnsi="Book Antiqua" w:cs="Times New Roman"/>
          <w:color w:val="000000" w:themeColor="text1"/>
        </w:rPr>
        <w:t>bone marrow-derived</w:t>
      </w:r>
      <w:bookmarkEnd w:id="0"/>
      <w:bookmarkEnd w:id="1"/>
      <w:r w:rsidRPr="007B43A9">
        <w:rPr>
          <w:rFonts w:ascii="Book Antiqua" w:hAnsi="Book Antiqua" w:cs="Times New Roman"/>
          <w:color w:val="000000" w:themeColor="text1"/>
        </w:rPr>
        <w:t xml:space="preserve"> mesenchymal stem cells (MSCs) is essential for </w:t>
      </w:r>
      <w:bookmarkStart w:id="2" w:name="OLE_LINK58"/>
      <w:bookmarkStart w:id="3" w:name="OLE_LINK59"/>
      <w:r w:rsidRPr="007B43A9">
        <w:rPr>
          <w:rFonts w:ascii="Book Antiqua" w:hAnsi="Book Antiqua" w:cs="Times New Roman"/>
          <w:color w:val="000000" w:themeColor="text1"/>
        </w:rPr>
        <w:t>tissue repair after local</w:t>
      </w:r>
      <w:bookmarkEnd w:id="2"/>
      <w:bookmarkEnd w:id="3"/>
      <w:r w:rsidRPr="007B43A9">
        <w:rPr>
          <w:rFonts w:ascii="Book Antiqua" w:hAnsi="Book Antiqua" w:cs="Times New Roman"/>
          <w:color w:val="000000" w:themeColor="text1"/>
        </w:rPr>
        <w:t xml:space="preserve"> injury, which is directly related to the recovery of bone, cartilage, and medullary adipose tissue. </w:t>
      </w:r>
      <w:r w:rsidR="000E07C6" w:rsidRPr="007B43A9">
        <w:rPr>
          <w:rFonts w:ascii="Book Antiqua" w:hAnsi="Book Antiqua" w:cs="Times New Roman"/>
          <w:color w:val="000000" w:themeColor="text1"/>
        </w:rPr>
        <w:t xml:space="preserve">Our previous studies and </w:t>
      </w:r>
      <w:r w:rsidR="00250E9B" w:rsidRPr="007B43A9">
        <w:rPr>
          <w:rFonts w:ascii="Book Antiqua" w:hAnsi="Book Antiqua" w:cs="Times New Roman"/>
          <w:color w:val="000000" w:themeColor="text1"/>
        </w:rPr>
        <w:t xml:space="preserve">the </w:t>
      </w:r>
      <w:r w:rsidR="000E07C6" w:rsidRPr="007B43A9">
        <w:rPr>
          <w:rFonts w:ascii="Book Antiqua" w:hAnsi="Book Antiqua" w:cs="Times New Roman"/>
          <w:color w:val="000000" w:themeColor="text1"/>
        </w:rPr>
        <w:t xml:space="preserve">literature indicate that certain antimicrobial agents can regulate the differentiation potential of bone marrow-derived MSCs. Here, in order to systematically analyze the effects of various antimicrobial drugs on local tissue regeneration, we comprehensively review the studies on the effects of these drugs on </w:t>
      </w:r>
      <w:r w:rsidR="00250E9B" w:rsidRPr="007B43A9">
        <w:rPr>
          <w:rFonts w:ascii="Book Antiqua" w:hAnsi="Book Antiqua" w:cs="Times New Roman"/>
          <w:color w:val="000000" w:themeColor="text1"/>
        </w:rPr>
        <w:t xml:space="preserve">MSC </w:t>
      </w:r>
      <w:r w:rsidR="000E07C6" w:rsidRPr="007B43A9">
        <w:rPr>
          <w:rFonts w:ascii="Book Antiqua" w:hAnsi="Book Antiqua" w:cs="Times New Roman"/>
          <w:color w:val="000000" w:themeColor="text1"/>
        </w:rPr>
        <w:t>differentiation, and classify them according to the three differentiation directions (osteogenesis, chondrogenesis, and adipogenesis). Our review demonstrates the specific effects of different antimicrobial agents on bone marrow-derived MSCs and the range of concentrations at which they work, and provides a basis for drug selection at different sites of infection.</w:t>
      </w:r>
    </w:p>
    <w:p w14:paraId="5304D603" w14:textId="77777777" w:rsidR="005142C8" w:rsidRPr="007B43A9" w:rsidRDefault="005142C8" w:rsidP="005142C8">
      <w:pPr>
        <w:spacing w:line="360" w:lineRule="auto"/>
        <w:rPr>
          <w:rFonts w:ascii="Book Antiqua" w:hAnsi="Book Antiqua" w:cs="Times New Roman"/>
          <w:color w:val="000000" w:themeColor="text1"/>
        </w:rPr>
      </w:pPr>
    </w:p>
    <w:p w14:paraId="13A9B3DA" w14:textId="7B9C7384" w:rsidR="00CE48F3" w:rsidRPr="007B43A9" w:rsidRDefault="00CE48F3" w:rsidP="005142C8">
      <w:pPr>
        <w:spacing w:line="360" w:lineRule="auto"/>
        <w:rPr>
          <w:rFonts w:ascii="Book Antiqua" w:hAnsi="Book Antiqua" w:cs="Times New Roman"/>
          <w:color w:val="000000" w:themeColor="text1"/>
          <w:kern w:val="0"/>
        </w:rPr>
      </w:pPr>
      <w:r w:rsidRPr="007B43A9">
        <w:rPr>
          <w:rFonts w:ascii="Book Antiqua" w:hAnsi="Book Antiqua" w:cs="Times New Roman"/>
          <w:b/>
          <w:color w:val="000000" w:themeColor="text1"/>
        </w:rPr>
        <w:t>Key words</w:t>
      </w:r>
      <w:r w:rsidR="005142C8" w:rsidRPr="007B43A9">
        <w:rPr>
          <w:rFonts w:ascii="Book Antiqua" w:hAnsi="Book Antiqua" w:cs="Times New Roman"/>
          <w:b/>
          <w:color w:val="000000" w:themeColor="text1"/>
        </w:rPr>
        <w:t xml:space="preserve">: </w:t>
      </w:r>
      <w:r w:rsidR="00C64621" w:rsidRPr="007B43A9">
        <w:rPr>
          <w:rFonts w:ascii="Book Antiqua" w:hAnsi="Book Antiqua" w:cs="Times New Roman"/>
          <w:color w:val="000000" w:themeColor="text1"/>
        </w:rPr>
        <w:t>A</w:t>
      </w:r>
      <w:r w:rsidR="00C64621" w:rsidRPr="007B43A9">
        <w:rPr>
          <w:rFonts w:ascii="Book Antiqua" w:eastAsia="Times New Roman" w:hAnsi="Book Antiqua" w:cs="Times New Roman"/>
          <w:color w:val="000000" w:themeColor="text1"/>
          <w:kern w:val="0"/>
        </w:rPr>
        <w:t xml:space="preserve">ntimicrobial agents; </w:t>
      </w:r>
      <w:r w:rsidR="005142C8" w:rsidRPr="007B43A9">
        <w:rPr>
          <w:rFonts w:ascii="Book Antiqua" w:eastAsia="Times New Roman" w:hAnsi="Book Antiqua" w:cs="Times New Roman"/>
          <w:color w:val="000000" w:themeColor="text1"/>
          <w:kern w:val="0"/>
        </w:rPr>
        <w:t>Bone marrow mesenchymal stem cells</w:t>
      </w:r>
      <w:r w:rsidR="00C64621" w:rsidRPr="007B43A9">
        <w:rPr>
          <w:rFonts w:ascii="Book Antiqua" w:eastAsia="Times New Roman" w:hAnsi="Book Antiqua" w:cs="Times New Roman"/>
          <w:color w:val="000000" w:themeColor="text1"/>
          <w:kern w:val="0"/>
        </w:rPr>
        <w:t>; Osteogenesis; Chondrogenesis;</w:t>
      </w:r>
      <w:r w:rsidRPr="007B43A9">
        <w:rPr>
          <w:rFonts w:ascii="Book Antiqua" w:eastAsia="Times New Roman" w:hAnsi="Book Antiqua" w:cs="Times New Roman"/>
          <w:color w:val="000000" w:themeColor="text1"/>
          <w:kern w:val="0"/>
        </w:rPr>
        <w:t xml:space="preserve"> </w:t>
      </w:r>
      <w:r w:rsidR="00C64621" w:rsidRPr="007B43A9">
        <w:rPr>
          <w:rFonts w:ascii="Book Antiqua" w:eastAsia="Times New Roman" w:hAnsi="Book Antiqua" w:cs="Times New Roman"/>
          <w:color w:val="000000" w:themeColor="text1"/>
          <w:kern w:val="0"/>
        </w:rPr>
        <w:t>A</w:t>
      </w:r>
      <w:r w:rsidRPr="007B43A9">
        <w:rPr>
          <w:rFonts w:ascii="Book Antiqua" w:eastAsia="Times New Roman" w:hAnsi="Book Antiqua" w:cs="Times New Roman"/>
          <w:color w:val="000000" w:themeColor="text1"/>
          <w:kern w:val="0"/>
        </w:rPr>
        <w:t>dipogenesis</w:t>
      </w:r>
    </w:p>
    <w:p w14:paraId="3C0879A7" w14:textId="77777777" w:rsidR="005142C8" w:rsidRPr="007B43A9" w:rsidRDefault="005142C8" w:rsidP="005142C8">
      <w:pPr>
        <w:spacing w:line="360" w:lineRule="auto"/>
        <w:rPr>
          <w:rFonts w:ascii="Book Antiqua" w:hAnsi="Book Antiqua" w:cs="Times New Roman"/>
          <w:color w:val="000000" w:themeColor="text1"/>
          <w:kern w:val="0"/>
        </w:rPr>
      </w:pPr>
    </w:p>
    <w:p w14:paraId="5F98D373" w14:textId="77777777" w:rsidR="005142C8" w:rsidRPr="007B43A9" w:rsidRDefault="005142C8" w:rsidP="005142C8">
      <w:pPr>
        <w:spacing w:line="360" w:lineRule="auto"/>
        <w:rPr>
          <w:rFonts w:ascii="Book Antiqua" w:hAnsi="Book Antiqua" w:cs="Arial"/>
          <w:color w:val="000000" w:themeColor="text1"/>
        </w:rPr>
      </w:pPr>
      <w:r w:rsidRPr="007B43A9">
        <w:rPr>
          <w:rFonts w:ascii="Book Antiqua" w:hAnsi="Book Antiqua"/>
          <w:b/>
          <w:color w:val="000000" w:themeColor="text1"/>
        </w:rPr>
        <w:t xml:space="preserve">© </w:t>
      </w:r>
      <w:r w:rsidRPr="007B43A9">
        <w:rPr>
          <w:rFonts w:ascii="Book Antiqua" w:hAnsi="Book Antiqua" w:cs="Arial"/>
          <w:b/>
          <w:color w:val="000000" w:themeColor="text1"/>
        </w:rPr>
        <w:t>The Author(s) 2019.</w:t>
      </w:r>
      <w:r w:rsidRPr="007B43A9">
        <w:rPr>
          <w:rFonts w:ascii="Book Antiqua" w:hAnsi="Book Antiqua" w:cs="Arial"/>
          <w:color w:val="000000" w:themeColor="text1"/>
        </w:rPr>
        <w:t xml:space="preserve"> Published by Baishideng Publishing Group Inc. All rights reserved.</w:t>
      </w:r>
    </w:p>
    <w:p w14:paraId="2C2FC852" w14:textId="77777777" w:rsidR="005142C8" w:rsidRPr="007B43A9" w:rsidRDefault="005142C8" w:rsidP="005142C8">
      <w:pPr>
        <w:spacing w:line="360" w:lineRule="auto"/>
        <w:rPr>
          <w:rFonts w:ascii="Book Antiqua" w:hAnsi="Book Antiqua" w:cs="Times New Roman"/>
          <w:b/>
          <w:color w:val="000000" w:themeColor="text1"/>
        </w:rPr>
      </w:pPr>
    </w:p>
    <w:p w14:paraId="14A94942" w14:textId="1E1081E3" w:rsidR="00D92A4A" w:rsidRPr="007B43A9" w:rsidRDefault="00D92A4A" w:rsidP="005142C8">
      <w:pPr>
        <w:spacing w:line="360" w:lineRule="auto"/>
        <w:rPr>
          <w:rFonts w:ascii="Book Antiqua" w:hAnsi="Book Antiqua" w:cs="Times New Roman"/>
          <w:b/>
          <w:color w:val="000000" w:themeColor="text1"/>
        </w:rPr>
      </w:pPr>
      <w:r w:rsidRPr="007B43A9">
        <w:rPr>
          <w:rFonts w:ascii="Book Antiqua" w:hAnsi="Book Antiqua" w:cs="Times New Roman"/>
          <w:b/>
          <w:color w:val="000000" w:themeColor="text1"/>
        </w:rPr>
        <w:t xml:space="preserve">Core tip: </w:t>
      </w:r>
      <w:r w:rsidRPr="007B43A9">
        <w:rPr>
          <w:rFonts w:ascii="Book Antiqua" w:hAnsi="Book Antiqua" w:cs="Times New Roman"/>
          <w:color w:val="000000" w:themeColor="text1"/>
        </w:rPr>
        <w:t xml:space="preserve">Bone marrow-derived mesenchymal stem cells (MSCs) </w:t>
      </w:r>
      <w:r w:rsidR="005142C8" w:rsidRPr="007B43A9">
        <w:rPr>
          <w:rFonts w:ascii="Book Antiqua" w:hAnsi="Book Antiqua" w:cs="Times New Roman"/>
          <w:color w:val="000000" w:themeColor="text1"/>
        </w:rPr>
        <w:t>are</w:t>
      </w:r>
      <w:r w:rsidRPr="007B43A9">
        <w:rPr>
          <w:rFonts w:ascii="Book Antiqua" w:hAnsi="Book Antiqua" w:cs="Times New Roman"/>
          <w:color w:val="000000" w:themeColor="text1"/>
        </w:rPr>
        <w:t xml:space="preserve"> essential for tissue repair (bone, cartilage, and medullary adipose tissue) after local bone and joint infection.</w:t>
      </w:r>
      <w:r w:rsidRPr="007B43A9">
        <w:rPr>
          <w:rFonts w:ascii="Book Antiqua" w:hAnsi="Book Antiqua" w:cs="Times New Roman"/>
          <w:b/>
          <w:color w:val="000000" w:themeColor="text1"/>
        </w:rPr>
        <w:t xml:space="preserve"> </w:t>
      </w:r>
      <w:r w:rsidRPr="007B43A9">
        <w:rPr>
          <w:rFonts w:ascii="Book Antiqua" w:hAnsi="Book Antiqua" w:cs="Times New Roman"/>
          <w:color w:val="000000" w:themeColor="text1"/>
        </w:rPr>
        <w:t xml:space="preserve">The effects of various antimicrobial agents on the three types of differentiation potential (osteogenesis, chondrogenesis, and adipogenesis) of bone marrow-derived </w:t>
      </w:r>
      <w:bookmarkStart w:id="4" w:name="OLE_LINK240"/>
      <w:bookmarkStart w:id="5" w:name="OLE_LINK251"/>
      <w:r w:rsidRPr="007B43A9">
        <w:rPr>
          <w:rFonts w:ascii="Book Antiqua" w:hAnsi="Book Antiqua" w:cs="Times New Roman"/>
          <w:color w:val="000000" w:themeColor="text1"/>
        </w:rPr>
        <w:t xml:space="preserve">MSCs </w:t>
      </w:r>
      <w:bookmarkEnd w:id="4"/>
      <w:bookmarkEnd w:id="5"/>
      <w:r w:rsidRPr="007B43A9">
        <w:rPr>
          <w:rFonts w:ascii="Book Antiqua" w:hAnsi="Book Antiqua" w:cs="Times New Roman"/>
          <w:color w:val="000000" w:themeColor="text1"/>
        </w:rPr>
        <w:t xml:space="preserve">are worth noting. Here in this paper, we </w:t>
      </w:r>
      <w:r w:rsidR="00250E9B" w:rsidRPr="007B43A9">
        <w:rPr>
          <w:rFonts w:ascii="Book Antiqua" w:hAnsi="Book Antiqua" w:cs="Times New Roman"/>
          <w:color w:val="000000" w:themeColor="text1"/>
        </w:rPr>
        <w:t xml:space="preserve">collect </w:t>
      </w:r>
      <w:r w:rsidRPr="007B43A9">
        <w:rPr>
          <w:rFonts w:ascii="Book Antiqua" w:hAnsi="Book Antiqua" w:cs="Times New Roman"/>
          <w:color w:val="000000" w:themeColor="text1"/>
        </w:rPr>
        <w:t>the latest updates on the use of antimicrobial agents to regulate the differentiation of MSCs.</w:t>
      </w:r>
    </w:p>
    <w:p w14:paraId="3C95445D" w14:textId="77777777" w:rsidR="005142C8" w:rsidRPr="007B43A9" w:rsidRDefault="005142C8" w:rsidP="005142C8">
      <w:pPr>
        <w:spacing w:line="360" w:lineRule="auto"/>
        <w:rPr>
          <w:rFonts w:ascii="Book Antiqua" w:hAnsi="Book Antiqua" w:cs="Times New Roman"/>
          <w:b/>
          <w:i/>
          <w:color w:val="000000" w:themeColor="text1"/>
        </w:rPr>
      </w:pPr>
    </w:p>
    <w:p w14:paraId="239BE649" w14:textId="2990B566" w:rsidR="007D6A31" w:rsidRPr="007B43A9" w:rsidRDefault="007D6A31" w:rsidP="007D6A31">
      <w:pPr>
        <w:spacing w:line="360" w:lineRule="auto"/>
        <w:rPr>
          <w:rFonts w:ascii="Book Antiqua" w:hAnsi="Book Antiqua"/>
          <w:iCs/>
          <w:color w:val="000000" w:themeColor="text1"/>
        </w:rPr>
      </w:pPr>
      <w:r w:rsidRPr="007B43A9">
        <w:rPr>
          <w:rFonts w:ascii="Book Antiqua" w:hAnsi="Book Antiqua" w:cs="Times New Roman"/>
          <w:b/>
          <w:bCs/>
          <w:color w:val="000000" w:themeColor="text1"/>
        </w:rPr>
        <w:t xml:space="preserve">Citation: </w:t>
      </w:r>
      <w:r w:rsidR="005142C8" w:rsidRPr="007B43A9">
        <w:rPr>
          <w:rFonts w:ascii="Book Antiqua" w:hAnsi="Book Antiqua" w:cs="Times New Roman"/>
          <w:color w:val="000000" w:themeColor="text1"/>
        </w:rPr>
        <w:t>Li H, Yue B. Effects of various antimicrobial agents on</w:t>
      </w:r>
      <w:r w:rsidR="00250E9B" w:rsidRPr="007B43A9">
        <w:rPr>
          <w:rFonts w:ascii="Book Antiqua" w:hAnsi="Book Antiqua" w:cs="Times New Roman"/>
          <w:color w:val="000000" w:themeColor="text1"/>
        </w:rPr>
        <w:t xml:space="preserve"> </w:t>
      </w:r>
      <w:r w:rsidR="005142C8" w:rsidRPr="007B43A9">
        <w:rPr>
          <w:rFonts w:ascii="Book Antiqua" w:hAnsi="Book Antiqua" w:cs="Times New Roman"/>
          <w:color w:val="000000" w:themeColor="text1"/>
        </w:rPr>
        <w:t xml:space="preserve">multi-directional differentiation potential of bone marrow-derived mesenchymal stem cells. </w:t>
      </w:r>
      <w:r w:rsidR="005142C8" w:rsidRPr="007B43A9">
        <w:rPr>
          <w:rFonts w:ascii="Book Antiqua" w:hAnsi="Book Antiqua"/>
          <w:i/>
          <w:iCs/>
          <w:color w:val="000000" w:themeColor="text1"/>
        </w:rPr>
        <w:t xml:space="preserve">World J Stem Cells </w:t>
      </w:r>
      <w:r w:rsidRPr="007B43A9">
        <w:rPr>
          <w:rFonts w:ascii="Book Antiqua" w:hAnsi="Book Antiqua"/>
          <w:iCs/>
          <w:color w:val="000000" w:themeColor="text1"/>
        </w:rPr>
        <w:t xml:space="preserve">2019; 11(6): </w:t>
      </w:r>
      <w:r w:rsidRPr="007B43A9">
        <w:rPr>
          <w:rFonts w:ascii="Book Antiqua" w:hAnsi="Book Antiqua"/>
          <w:iCs/>
          <w:color w:val="000000" w:themeColor="text1"/>
        </w:rPr>
        <w:t>322-336</w:t>
      </w:r>
      <w:r w:rsidRPr="007B43A9">
        <w:rPr>
          <w:rFonts w:ascii="Book Antiqua" w:hAnsi="Book Antiqua"/>
          <w:iCs/>
          <w:color w:val="000000" w:themeColor="text1"/>
        </w:rPr>
        <w:t xml:space="preserve">  </w:t>
      </w:r>
    </w:p>
    <w:p w14:paraId="2EDE42EE" w14:textId="4B601CBD" w:rsidR="007D6A31" w:rsidRPr="007B43A9" w:rsidRDefault="007D6A31" w:rsidP="007D6A31">
      <w:pPr>
        <w:spacing w:line="360" w:lineRule="auto"/>
        <w:rPr>
          <w:rFonts w:ascii="Book Antiqua" w:hAnsi="Book Antiqua"/>
          <w:iCs/>
          <w:color w:val="000000" w:themeColor="text1"/>
        </w:rPr>
      </w:pPr>
      <w:r w:rsidRPr="007B43A9">
        <w:rPr>
          <w:rFonts w:ascii="Book Antiqua" w:hAnsi="Book Antiqua"/>
          <w:b/>
          <w:bCs/>
          <w:iCs/>
          <w:color w:val="000000" w:themeColor="text1"/>
        </w:rPr>
        <w:t xml:space="preserve">URL: </w:t>
      </w:r>
      <w:r w:rsidRPr="007B43A9">
        <w:rPr>
          <w:rFonts w:ascii="Book Antiqua" w:hAnsi="Book Antiqua"/>
          <w:iCs/>
          <w:color w:val="000000" w:themeColor="text1"/>
        </w:rPr>
        <w:t>https://www.wjgnet.com/1948-0210/full/v11/i6/</w:t>
      </w:r>
      <w:r w:rsidRPr="007B43A9">
        <w:rPr>
          <w:rFonts w:ascii="Book Antiqua" w:hAnsi="Book Antiqua"/>
          <w:iCs/>
          <w:color w:val="000000" w:themeColor="text1"/>
        </w:rPr>
        <w:t>322</w:t>
      </w:r>
      <w:r w:rsidRPr="007B43A9">
        <w:rPr>
          <w:rFonts w:ascii="Book Antiqua" w:hAnsi="Book Antiqua"/>
          <w:iCs/>
          <w:color w:val="000000" w:themeColor="text1"/>
        </w:rPr>
        <w:t xml:space="preserve">.htm  </w:t>
      </w:r>
    </w:p>
    <w:p w14:paraId="46C1A4C3" w14:textId="23AB8175" w:rsidR="005142C8" w:rsidRPr="007B43A9" w:rsidRDefault="007D6A31" w:rsidP="007D6A31">
      <w:pPr>
        <w:spacing w:line="360" w:lineRule="auto"/>
        <w:rPr>
          <w:rFonts w:ascii="Book Antiqua" w:hAnsi="Book Antiqua" w:cs="Times New Roman"/>
          <w:color w:val="000000" w:themeColor="text1"/>
        </w:rPr>
      </w:pPr>
      <w:r w:rsidRPr="007B43A9">
        <w:rPr>
          <w:rFonts w:ascii="Book Antiqua" w:hAnsi="Book Antiqua"/>
          <w:b/>
          <w:bCs/>
          <w:iCs/>
          <w:color w:val="000000" w:themeColor="text1"/>
        </w:rPr>
        <w:t>DOI:</w:t>
      </w:r>
      <w:r w:rsidRPr="007B43A9">
        <w:rPr>
          <w:rFonts w:ascii="Book Antiqua" w:hAnsi="Book Antiqua"/>
          <w:iCs/>
          <w:color w:val="000000" w:themeColor="text1"/>
        </w:rPr>
        <w:t xml:space="preserve"> https://dx.doi.org/10.4252/wjsc.v11.i6.</w:t>
      </w:r>
      <w:r w:rsidRPr="007B43A9">
        <w:rPr>
          <w:rFonts w:ascii="Book Antiqua" w:hAnsi="Book Antiqua"/>
          <w:iCs/>
          <w:color w:val="000000" w:themeColor="text1"/>
        </w:rPr>
        <w:t>322</w:t>
      </w:r>
    </w:p>
    <w:p w14:paraId="37B4EA7D" w14:textId="77777777" w:rsidR="005142C8" w:rsidRPr="007B43A9" w:rsidRDefault="005142C8" w:rsidP="005142C8">
      <w:pPr>
        <w:spacing w:line="360" w:lineRule="auto"/>
        <w:rPr>
          <w:rFonts w:ascii="Book Antiqua" w:hAnsi="Book Antiqua" w:cs="Times New Roman"/>
          <w:b/>
          <w:color w:val="000000" w:themeColor="text1"/>
        </w:rPr>
      </w:pPr>
    </w:p>
    <w:p w14:paraId="6431951A" w14:textId="77777777" w:rsidR="005142C8" w:rsidRPr="007B43A9" w:rsidRDefault="005142C8" w:rsidP="005142C8">
      <w:pPr>
        <w:widowControl/>
        <w:spacing w:line="360" w:lineRule="auto"/>
        <w:rPr>
          <w:rFonts w:ascii="Book Antiqua" w:hAnsi="Book Antiqua" w:cs="Times New Roman"/>
          <w:b/>
          <w:color w:val="000000" w:themeColor="text1"/>
        </w:rPr>
      </w:pPr>
      <w:r w:rsidRPr="007B43A9">
        <w:rPr>
          <w:rFonts w:ascii="Book Antiqua" w:hAnsi="Book Antiqua" w:cs="Times New Roman"/>
          <w:b/>
          <w:color w:val="000000" w:themeColor="text1"/>
        </w:rPr>
        <w:br w:type="page"/>
      </w:r>
    </w:p>
    <w:p w14:paraId="70657F72" w14:textId="0455A1EC" w:rsidR="00CE48F3" w:rsidRPr="007B43A9" w:rsidRDefault="005142C8" w:rsidP="005142C8">
      <w:pPr>
        <w:spacing w:line="360" w:lineRule="auto"/>
        <w:rPr>
          <w:rFonts w:ascii="Book Antiqua" w:hAnsi="Book Antiqua" w:cs="Times New Roman"/>
          <w:b/>
          <w:color w:val="000000" w:themeColor="text1"/>
        </w:rPr>
      </w:pPr>
      <w:r w:rsidRPr="007B43A9">
        <w:rPr>
          <w:rFonts w:ascii="Book Antiqua" w:hAnsi="Book Antiqua" w:cs="Times New Roman"/>
          <w:b/>
          <w:color w:val="000000" w:themeColor="text1"/>
        </w:rPr>
        <w:t>INTRODUCTION</w:t>
      </w:r>
    </w:p>
    <w:p w14:paraId="5773A775" w14:textId="14D42C20" w:rsidR="00CE48F3" w:rsidRPr="007B43A9" w:rsidRDefault="00C64621" w:rsidP="005142C8">
      <w:pPr>
        <w:widowControl/>
        <w:spacing w:line="360" w:lineRule="auto"/>
        <w:rPr>
          <w:rFonts w:ascii="Book Antiqua" w:eastAsia="Times New Roman" w:hAnsi="Book Antiqua" w:cs="Times New Roman"/>
          <w:color w:val="000000" w:themeColor="text1"/>
          <w:kern w:val="0"/>
        </w:rPr>
      </w:pPr>
      <w:bookmarkStart w:id="6" w:name="OLE_LINK169"/>
      <w:bookmarkStart w:id="7" w:name="OLE_LINK170"/>
      <w:r w:rsidRPr="007B43A9">
        <w:rPr>
          <w:rFonts w:ascii="Book Antiqua" w:hAnsi="Book Antiqua" w:cs="Times New Roman"/>
          <w:color w:val="000000" w:themeColor="text1"/>
        </w:rPr>
        <w:t>Antimicrobial drugs</w:t>
      </w:r>
      <w:bookmarkEnd w:id="6"/>
      <w:bookmarkEnd w:id="7"/>
      <w:r w:rsidRPr="007B43A9">
        <w:rPr>
          <w:rFonts w:ascii="Book Antiqua" w:hAnsi="Book Antiqua" w:cs="Times New Roman"/>
          <w:color w:val="000000" w:themeColor="text1"/>
        </w:rPr>
        <w:t xml:space="preserve"> are referred to as drugs that exhibit an inhibitory or killing effect on bacteria and other pathogenic microorganisms.</w:t>
      </w:r>
      <w:r w:rsidR="00CE48F3" w:rsidRPr="007B43A9">
        <w:rPr>
          <w:rFonts w:ascii="Book Antiqua" w:hAnsi="Book Antiqua" w:cs="Times New Roman"/>
          <w:color w:val="000000" w:themeColor="text1"/>
        </w:rPr>
        <w:t xml:space="preserve"> </w:t>
      </w:r>
      <w:r w:rsidR="00CE48F3" w:rsidRPr="007B43A9">
        <w:rPr>
          <w:rFonts w:ascii="Book Antiqua" w:eastAsia="Times New Roman" w:hAnsi="Book Antiqua" w:cs="Times New Roman"/>
          <w:color w:val="000000" w:themeColor="text1"/>
          <w:kern w:val="0"/>
        </w:rPr>
        <w:t xml:space="preserve">In clinic, the most commonly </w:t>
      </w:r>
      <w:r w:rsidRPr="007B43A9">
        <w:rPr>
          <w:rFonts w:ascii="Book Antiqua" w:eastAsia="Times New Roman" w:hAnsi="Book Antiqua" w:cs="Times New Roman"/>
          <w:color w:val="000000" w:themeColor="text1"/>
          <w:kern w:val="0"/>
        </w:rPr>
        <w:t>use</w:t>
      </w:r>
      <w:r w:rsidR="00CE48F3" w:rsidRPr="007B43A9">
        <w:rPr>
          <w:rFonts w:ascii="Book Antiqua" w:eastAsia="Times New Roman" w:hAnsi="Book Antiqua" w:cs="Times New Roman"/>
          <w:color w:val="000000" w:themeColor="text1"/>
          <w:kern w:val="0"/>
        </w:rPr>
        <w:t xml:space="preserve">d </w:t>
      </w:r>
      <w:r w:rsidR="00CE48F3" w:rsidRPr="007B43A9">
        <w:rPr>
          <w:rFonts w:ascii="Book Antiqua" w:hAnsi="Book Antiqua" w:cs="Times New Roman"/>
          <w:color w:val="000000" w:themeColor="text1"/>
        </w:rPr>
        <w:t>antimicrobial agents</w:t>
      </w:r>
      <w:r w:rsidR="00CE48F3" w:rsidRPr="007B43A9">
        <w:rPr>
          <w:rFonts w:ascii="Book Antiqua" w:eastAsia="Times New Roman" w:hAnsi="Book Antiqua" w:cs="Times New Roman"/>
          <w:color w:val="000000" w:themeColor="text1"/>
          <w:kern w:val="0"/>
        </w:rPr>
        <w:t xml:space="preserve"> are antibiotics, which include </w:t>
      </w:r>
      <w:r w:rsidR="003323FE" w:rsidRPr="007B43A9">
        <w:rPr>
          <w:rFonts w:ascii="Book Antiqua" w:eastAsia="Times New Roman" w:hAnsi="Book Antiqua" w:cs="Times New Roman"/>
          <w:color w:val="000000" w:themeColor="text1"/>
          <w:kern w:val="0"/>
        </w:rPr>
        <w:t xml:space="preserve">natural antibiotics and synthetic antibiotics. </w:t>
      </w:r>
      <w:r w:rsidR="005720E4" w:rsidRPr="007B43A9">
        <w:rPr>
          <w:rFonts w:ascii="Book Antiqua" w:eastAsia="Times New Roman" w:hAnsi="Book Antiqua" w:cs="Times New Roman"/>
          <w:color w:val="000000" w:themeColor="text1"/>
          <w:kern w:val="0"/>
        </w:rPr>
        <w:t xml:space="preserve">Penicillin is a typical natural antibiotic which is produced by </w:t>
      </w:r>
      <w:r w:rsidR="00AB14E6" w:rsidRPr="007B43A9">
        <w:rPr>
          <w:rFonts w:ascii="Book Antiqua" w:eastAsia="Times New Roman" w:hAnsi="Book Antiqua" w:cs="Times New Roman"/>
          <w:color w:val="000000" w:themeColor="text1"/>
          <w:kern w:val="0"/>
        </w:rPr>
        <w:t xml:space="preserve">fungal </w:t>
      </w:r>
      <w:r w:rsidR="005720E4" w:rsidRPr="007B43A9">
        <w:rPr>
          <w:rFonts w:ascii="Book Antiqua" w:eastAsia="Times New Roman" w:hAnsi="Book Antiqua" w:cs="Times New Roman"/>
          <w:color w:val="000000" w:themeColor="text1"/>
          <w:kern w:val="0"/>
        </w:rPr>
        <w:t>metabolism</w:t>
      </w:r>
      <w:r w:rsidR="00CE48F3" w:rsidRPr="007B43A9">
        <w:rPr>
          <w:rFonts w:ascii="Book Antiqua" w:eastAsia="Times New Roman" w:hAnsi="Book Antiqua" w:cs="Times New Roman"/>
          <w:noProof/>
          <w:color w:val="000000" w:themeColor="text1"/>
          <w:kern w:val="0"/>
          <w:vertAlign w:val="superscript"/>
        </w:rPr>
        <w:t>[1]</w:t>
      </w:r>
      <w:r w:rsidRPr="007B43A9">
        <w:rPr>
          <w:rFonts w:ascii="Book Antiqua" w:eastAsia="Times New Roman" w:hAnsi="Book Antiqua" w:cs="Times New Roman"/>
          <w:color w:val="000000" w:themeColor="text1"/>
          <w:kern w:val="0"/>
        </w:rPr>
        <w:t xml:space="preserve">. </w:t>
      </w:r>
      <w:bookmarkStart w:id="8" w:name="OLE_LINK165"/>
      <w:bookmarkStart w:id="9" w:name="OLE_LINK166"/>
      <w:r w:rsidR="005720E4" w:rsidRPr="007B43A9">
        <w:rPr>
          <w:rFonts w:ascii="Book Antiqua" w:eastAsia="Times New Roman" w:hAnsi="Book Antiqua" w:cs="Times New Roman"/>
          <w:color w:val="000000" w:themeColor="text1"/>
          <w:kern w:val="0"/>
        </w:rPr>
        <w:t>S</w:t>
      </w:r>
      <w:r w:rsidRPr="007B43A9">
        <w:rPr>
          <w:rFonts w:ascii="Book Antiqua" w:eastAsia="Times New Roman" w:hAnsi="Book Antiqua" w:cs="Times New Roman"/>
          <w:color w:val="000000" w:themeColor="text1"/>
          <w:kern w:val="0"/>
        </w:rPr>
        <w:t>ynthetic antibiotics</w:t>
      </w:r>
      <w:bookmarkEnd w:id="8"/>
      <w:bookmarkEnd w:id="9"/>
      <w:r w:rsidRPr="007B43A9">
        <w:rPr>
          <w:rFonts w:ascii="Book Antiqua" w:eastAsia="Times New Roman" w:hAnsi="Book Antiqua" w:cs="Times New Roman"/>
          <w:color w:val="000000" w:themeColor="text1"/>
          <w:kern w:val="0"/>
        </w:rPr>
        <w:t xml:space="preserve">, such as </w:t>
      </w:r>
      <w:bookmarkStart w:id="10" w:name="OLE_LINK175"/>
      <w:bookmarkStart w:id="11" w:name="OLE_LINK176"/>
      <w:r w:rsidRPr="007B43A9">
        <w:rPr>
          <w:rFonts w:ascii="Book Antiqua" w:eastAsia="Times New Roman" w:hAnsi="Book Antiqua" w:cs="Times New Roman"/>
          <w:color w:val="000000" w:themeColor="text1"/>
          <w:kern w:val="0"/>
        </w:rPr>
        <w:t xml:space="preserve">quinolones, </w:t>
      </w:r>
      <w:bookmarkEnd w:id="10"/>
      <w:bookmarkEnd w:id="11"/>
      <w:r w:rsidR="005E63DC" w:rsidRPr="007B43A9">
        <w:rPr>
          <w:rFonts w:ascii="Book Antiqua" w:eastAsia="Times New Roman" w:hAnsi="Book Antiqua" w:cs="Times New Roman"/>
          <w:color w:val="000000" w:themeColor="text1"/>
          <w:kern w:val="0"/>
        </w:rPr>
        <w:t>are the most common type of antibiotics today and</w:t>
      </w:r>
      <w:r w:rsidRPr="007B43A9">
        <w:rPr>
          <w:rFonts w:ascii="Book Antiqua" w:eastAsia="Times New Roman" w:hAnsi="Book Antiqua" w:cs="Times New Roman"/>
          <w:color w:val="000000" w:themeColor="text1"/>
          <w:kern w:val="0"/>
        </w:rPr>
        <w:t xml:space="preserve"> </w:t>
      </w:r>
      <w:bookmarkStart w:id="12" w:name="OLE_LINK76"/>
      <w:bookmarkStart w:id="13" w:name="OLE_LINK157"/>
      <w:r w:rsidRPr="007B43A9">
        <w:rPr>
          <w:rFonts w:ascii="Book Antiqua" w:eastAsia="Times New Roman" w:hAnsi="Book Antiqua" w:cs="Times New Roman"/>
          <w:color w:val="000000" w:themeColor="text1"/>
          <w:kern w:val="0"/>
        </w:rPr>
        <w:t>play important role</w:t>
      </w:r>
      <w:r w:rsidR="005E63DC" w:rsidRPr="007B43A9">
        <w:rPr>
          <w:rFonts w:ascii="Book Antiqua" w:eastAsia="Times New Roman" w:hAnsi="Book Antiqua" w:cs="Times New Roman"/>
          <w:color w:val="000000" w:themeColor="text1"/>
          <w:kern w:val="0"/>
        </w:rPr>
        <w:t>s</w:t>
      </w:r>
      <w:r w:rsidRPr="007B43A9">
        <w:rPr>
          <w:rFonts w:ascii="Book Antiqua" w:eastAsia="Times New Roman" w:hAnsi="Book Antiqua" w:cs="Times New Roman"/>
          <w:color w:val="000000" w:themeColor="text1"/>
          <w:kern w:val="0"/>
        </w:rPr>
        <w:t xml:space="preserve"> in the treatment of clinical </w:t>
      </w:r>
      <w:r w:rsidR="00155B71" w:rsidRPr="007B43A9">
        <w:rPr>
          <w:rFonts w:ascii="Book Antiqua" w:eastAsia="Times New Roman" w:hAnsi="Book Antiqua" w:cs="Times New Roman"/>
          <w:color w:val="000000" w:themeColor="text1"/>
          <w:kern w:val="0"/>
        </w:rPr>
        <w:t>diseases</w:t>
      </w:r>
      <w:bookmarkEnd w:id="12"/>
      <w:bookmarkEnd w:id="13"/>
      <w:r w:rsidR="00155B71" w:rsidRPr="007B43A9">
        <w:rPr>
          <w:rFonts w:ascii="Book Antiqua" w:eastAsia="Times New Roman" w:hAnsi="Book Antiqua" w:cs="Times New Roman"/>
          <w:color w:val="000000" w:themeColor="text1"/>
          <w:kern w:val="0"/>
          <w:vertAlign w:val="superscript"/>
        </w:rPr>
        <w:t>[2]</w:t>
      </w:r>
      <w:r w:rsidR="00155B71"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 xml:space="preserve"> Antimicrobial agents, in a broad sense, are not limited to antibiotics. Some peptides with antibacterial property and drugs that have been proven to have both antibacterial and other biological functions also fall under the category of antimicrobial </w:t>
      </w:r>
      <w:r w:rsidR="00155B71" w:rsidRPr="007B43A9">
        <w:rPr>
          <w:rFonts w:ascii="Book Antiqua" w:hAnsi="Book Antiqua" w:cs="Times New Roman"/>
          <w:color w:val="000000" w:themeColor="text1"/>
        </w:rPr>
        <w:t>agent</w:t>
      </w:r>
      <w:r w:rsidR="005142C8" w:rsidRPr="007B43A9">
        <w:rPr>
          <w:rFonts w:ascii="Book Antiqua" w:hAnsi="Book Antiqua" w:cs="Times New Roman"/>
          <w:color w:val="000000" w:themeColor="text1"/>
        </w:rPr>
        <w:t>s</w:t>
      </w:r>
      <w:r w:rsidR="005142C8" w:rsidRPr="007B43A9">
        <w:rPr>
          <w:rFonts w:ascii="Book Antiqua" w:hAnsi="Book Antiqua" w:cs="Times New Roman"/>
          <w:color w:val="000000" w:themeColor="text1"/>
          <w:vertAlign w:val="superscript"/>
        </w:rPr>
        <w:t>[3,</w:t>
      </w:r>
      <w:r w:rsidR="00155B71" w:rsidRPr="007B43A9">
        <w:rPr>
          <w:rFonts w:ascii="Book Antiqua" w:hAnsi="Book Antiqua" w:cs="Times New Roman"/>
          <w:color w:val="000000" w:themeColor="text1"/>
          <w:vertAlign w:val="superscript"/>
        </w:rPr>
        <w:t>4]</w:t>
      </w:r>
      <w:r w:rsidR="00155B71"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 xml:space="preserve"> In addition, extracts of certain plants or Chinese medicines have also been reported to have </w:t>
      </w:r>
      <w:bookmarkStart w:id="14" w:name="OLE_LINK103"/>
      <w:bookmarkStart w:id="15" w:name="OLE_LINK104"/>
      <w:r w:rsidRPr="007B43A9">
        <w:rPr>
          <w:rFonts w:ascii="Book Antiqua" w:eastAsia="Times New Roman" w:hAnsi="Book Antiqua" w:cs="Times New Roman"/>
          <w:color w:val="000000" w:themeColor="text1"/>
          <w:kern w:val="0"/>
        </w:rPr>
        <w:t xml:space="preserve">antimicrobial </w:t>
      </w:r>
      <w:bookmarkEnd w:id="14"/>
      <w:bookmarkEnd w:id="15"/>
      <w:r w:rsidRPr="007B43A9">
        <w:rPr>
          <w:rFonts w:ascii="Book Antiqua" w:eastAsia="Times New Roman" w:hAnsi="Book Antiqua" w:cs="Times New Roman"/>
          <w:color w:val="000000" w:themeColor="text1"/>
          <w:kern w:val="0"/>
        </w:rPr>
        <w:t xml:space="preserve">properties, and they have been speculated to play a role in killing pathogenic microorganisms in clinical and other </w:t>
      </w:r>
      <w:r w:rsidR="005142C8" w:rsidRPr="007B43A9">
        <w:rPr>
          <w:rFonts w:ascii="Book Antiqua" w:eastAsia="Times New Roman" w:hAnsi="Book Antiqua" w:cs="Times New Roman"/>
          <w:color w:val="000000" w:themeColor="text1"/>
          <w:kern w:val="0"/>
        </w:rPr>
        <w:t>fields</w:t>
      </w:r>
      <w:r w:rsidR="00155B71" w:rsidRPr="007B43A9">
        <w:rPr>
          <w:rFonts w:ascii="Book Antiqua" w:eastAsia="Times New Roman" w:hAnsi="Book Antiqua" w:cs="Times New Roman"/>
          <w:color w:val="000000" w:themeColor="text1"/>
          <w:kern w:val="0"/>
          <w:vertAlign w:val="superscript"/>
        </w:rPr>
        <w:t>[5]</w:t>
      </w:r>
      <w:r w:rsidR="00155B71"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 xml:space="preserve"> Similar to bacteria, </w:t>
      </w:r>
      <w:bookmarkStart w:id="16" w:name="OLE_LINK179"/>
      <w:bookmarkStart w:id="17" w:name="OLE_LINK180"/>
      <w:r w:rsidRPr="007B43A9">
        <w:rPr>
          <w:rFonts w:ascii="Book Antiqua" w:eastAsia="Times New Roman" w:hAnsi="Book Antiqua" w:cs="Times New Roman"/>
          <w:color w:val="000000" w:themeColor="text1"/>
          <w:kern w:val="0"/>
        </w:rPr>
        <w:t>fungi</w:t>
      </w:r>
      <w:bookmarkEnd w:id="16"/>
      <w:bookmarkEnd w:id="17"/>
      <w:r w:rsidRPr="007B43A9">
        <w:rPr>
          <w:rFonts w:ascii="Book Antiqua" w:eastAsia="Times New Roman" w:hAnsi="Book Antiqua" w:cs="Times New Roman"/>
          <w:color w:val="000000" w:themeColor="text1"/>
          <w:kern w:val="0"/>
        </w:rPr>
        <w:t xml:space="preserve">, viruses, and other pathogenic microorganisms also pose significant challenges to human health, and their corresponding therapeutic drugs also play an important role in clinical and related </w:t>
      </w:r>
      <w:r w:rsidR="005142C8" w:rsidRPr="007B43A9">
        <w:rPr>
          <w:rFonts w:ascii="Book Antiqua" w:eastAsia="Times New Roman" w:hAnsi="Book Antiqua" w:cs="Times New Roman"/>
          <w:color w:val="000000" w:themeColor="text1"/>
          <w:kern w:val="0"/>
        </w:rPr>
        <w:t>fields</w:t>
      </w:r>
      <w:r w:rsidR="005142C8" w:rsidRPr="007B43A9">
        <w:rPr>
          <w:rFonts w:ascii="Book Antiqua" w:eastAsia="Times New Roman" w:hAnsi="Book Antiqua" w:cs="Times New Roman"/>
          <w:color w:val="000000" w:themeColor="text1"/>
          <w:kern w:val="0"/>
          <w:vertAlign w:val="superscript"/>
        </w:rPr>
        <w:t>[6,</w:t>
      </w:r>
      <w:r w:rsidR="00155B71" w:rsidRPr="007B43A9">
        <w:rPr>
          <w:rFonts w:ascii="Book Antiqua" w:eastAsia="Times New Roman" w:hAnsi="Book Antiqua" w:cs="Times New Roman"/>
          <w:color w:val="000000" w:themeColor="text1"/>
          <w:kern w:val="0"/>
          <w:vertAlign w:val="superscript"/>
        </w:rPr>
        <w:t>7]</w:t>
      </w:r>
      <w:r w:rsidR="00155B71" w:rsidRPr="007B43A9">
        <w:rPr>
          <w:rFonts w:ascii="Book Antiqua" w:eastAsia="Times New Roman" w:hAnsi="Book Antiqua" w:cs="Times New Roman"/>
          <w:color w:val="000000" w:themeColor="text1"/>
          <w:kern w:val="0"/>
        </w:rPr>
        <w:t>.</w:t>
      </w:r>
      <w:r w:rsidR="00494FCC" w:rsidRPr="007B43A9">
        <w:rPr>
          <w:rFonts w:ascii="Book Antiqua" w:hAnsi="Book Antiqua" w:cs="Times New Roman" w:hint="eastAsia"/>
          <w:color w:val="000000" w:themeColor="text1"/>
          <w:kern w:val="0"/>
        </w:rPr>
        <w:t xml:space="preserve"> </w:t>
      </w:r>
      <w:r w:rsidRPr="007B43A9">
        <w:rPr>
          <w:rFonts w:ascii="Book Antiqua" w:eastAsia="Times New Roman" w:hAnsi="Book Antiqua" w:cs="Times New Roman"/>
          <w:color w:val="000000" w:themeColor="text1"/>
          <w:kern w:val="0"/>
        </w:rPr>
        <w:t xml:space="preserve">As clinically common diseases, bone and joint infectious diseases can be caused by a variety of pathogenic microorganisms; they cause pain in patients and pose great challenges to clinicians. When using various </w:t>
      </w:r>
      <w:bookmarkStart w:id="18" w:name="OLE_LINK113"/>
      <w:bookmarkStart w:id="19" w:name="OLE_LINK114"/>
      <w:r w:rsidRPr="007B43A9">
        <w:rPr>
          <w:rFonts w:ascii="Book Antiqua" w:eastAsia="Times New Roman" w:hAnsi="Book Antiqua" w:cs="Times New Roman"/>
          <w:color w:val="000000" w:themeColor="text1"/>
          <w:kern w:val="0"/>
        </w:rPr>
        <w:t xml:space="preserve">antimicrobial </w:t>
      </w:r>
      <w:bookmarkEnd w:id="18"/>
      <w:bookmarkEnd w:id="19"/>
      <w:r w:rsidRPr="007B43A9">
        <w:rPr>
          <w:rFonts w:ascii="Book Antiqua" w:eastAsia="Times New Roman" w:hAnsi="Book Antiqua" w:cs="Times New Roman"/>
          <w:color w:val="000000" w:themeColor="text1"/>
          <w:kern w:val="0"/>
        </w:rPr>
        <w:t xml:space="preserve">drugs to treat bone and joint infections, close attention should be </w:t>
      </w:r>
      <w:r w:rsidR="00AB14E6" w:rsidRPr="007B43A9">
        <w:rPr>
          <w:rFonts w:ascii="Book Antiqua" w:eastAsia="Times New Roman" w:hAnsi="Book Antiqua" w:cs="Times New Roman"/>
          <w:color w:val="000000" w:themeColor="text1"/>
          <w:kern w:val="0"/>
        </w:rPr>
        <w:t xml:space="preserve">paid </w:t>
      </w:r>
      <w:r w:rsidRPr="007B43A9">
        <w:rPr>
          <w:rFonts w:ascii="Book Antiqua" w:eastAsia="Times New Roman" w:hAnsi="Book Antiqua" w:cs="Times New Roman"/>
          <w:color w:val="000000" w:themeColor="text1"/>
          <w:kern w:val="0"/>
        </w:rPr>
        <w:t xml:space="preserve">to the killing effects of these agents on pathogenic microorganisms and to their regulation in local tissues and </w:t>
      </w:r>
      <w:r w:rsidR="005142C8" w:rsidRPr="007B43A9">
        <w:rPr>
          <w:rFonts w:ascii="Book Antiqua" w:eastAsia="Times New Roman" w:hAnsi="Book Antiqua" w:cs="Times New Roman"/>
          <w:color w:val="000000" w:themeColor="text1"/>
          <w:kern w:val="0"/>
        </w:rPr>
        <w:t>cells</w:t>
      </w:r>
      <w:r w:rsidR="00155B71" w:rsidRPr="007B43A9">
        <w:rPr>
          <w:rFonts w:ascii="Book Antiqua" w:eastAsia="Times New Roman" w:hAnsi="Book Antiqua" w:cs="Times New Roman"/>
          <w:color w:val="000000" w:themeColor="text1"/>
          <w:kern w:val="0"/>
          <w:vertAlign w:val="superscript"/>
        </w:rPr>
        <w:t>[8]</w:t>
      </w:r>
      <w:r w:rsidR="00155B71"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 xml:space="preserve"> After using local or systemic antibacterial drugs to treat </w:t>
      </w:r>
      <w:bookmarkStart w:id="20" w:name="OLE_LINK177"/>
      <w:bookmarkStart w:id="21" w:name="OLE_LINK178"/>
      <w:bookmarkStart w:id="22" w:name="OLE_LINK181"/>
      <w:bookmarkStart w:id="23" w:name="OLE_LINK183"/>
      <w:r w:rsidRPr="007B43A9">
        <w:rPr>
          <w:rFonts w:ascii="Book Antiqua" w:eastAsia="Times New Roman" w:hAnsi="Book Antiqua" w:cs="Times New Roman"/>
          <w:color w:val="000000" w:themeColor="text1"/>
          <w:kern w:val="0"/>
        </w:rPr>
        <w:t xml:space="preserve">osteomyelitis </w:t>
      </w:r>
      <w:bookmarkEnd w:id="20"/>
      <w:bookmarkEnd w:id="21"/>
      <w:bookmarkEnd w:id="22"/>
      <w:bookmarkEnd w:id="23"/>
      <w:r w:rsidRPr="007B43A9">
        <w:rPr>
          <w:rFonts w:ascii="Book Antiqua" w:eastAsia="Times New Roman" w:hAnsi="Book Antiqua" w:cs="Times New Roman"/>
          <w:color w:val="000000" w:themeColor="text1"/>
          <w:kern w:val="0"/>
        </w:rPr>
        <w:t>and effectively controlling the symptoms of infection, local bone marrow mesenchymal stem cells (BMSCs) differentiate into osteoblasts and lipoblasts, and finally, differentiate into mature bone and adipose tissue to repair locally damaged</w:t>
      </w:r>
      <w:r w:rsidR="005142C8" w:rsidRPr="007B43A9">
        <w:rPr>
          <w:rFonts w:ascii="Book Antiqua" w:eastAsia="Times New Roman" w:hAnsi="Book Antiqua" w:cs="Times New Roman"/>
          <w:color w:val="000000" w:themeColor="text1"/>
          <w:kern w:val="0"/>
        </w:rPr>
        <w:t xml:space="preserve"> sites</w:t>
      </w:r>
      <w:r w:rsidR="00155B71" w:rsidRPr="007B43A9">
        <w:rPr>
          <w:rFonts w:ascii="Book Antiqua" w:eastAsia="Times New Roman" w:hAnsi="Book Antiqua" w:cs="Times New Roman"/>
          <w:color w:val="000000" w:themeColor="text1"/>
          <w:kern w:val="0"/>
          <w:vertAlign w:val="superscript"/>
        </w:rPr>
        <w:t>[9]</w:t>
      </w:r>
      <w:r w:rsidR="00155B71"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 xml:space="preserve"> Similarly, when the symptoms of intra-articular infection are improved, the damaged articular cartilage also needs to be repaired in an environment conducive to </w:t>
      </w:r>
      <w:bookmarkStart w:id="24" w:name="OLE_LINK111"/>
      <w:bookmarkStart w:id="25" w:name="OLE_LINK112"/>
      <w:r w:rsidRPr="007B43A9">
        <w:rPr>
          <w:rFonts w:ascii="Book Antiqua" w:eastAsia="Times New Roman" w:hAnsi="Book Antiqua" w:cs="Times New Roman"/>
          <w:color w:val="000000" w:themeColor="text1"/>
          <w:kern w:val="0"/>
        </w:rPr>
        <w:t xml:space="preserve">chondrogenic </w:t>
      </w:r>
      <w:bookmarkEnd w:id="24"/>
      <w:bookmarkEnd w:id="25"/>
      <w:r w:rsidR="005142C8" w:rsidRPr="007B43A9">
        <w:rPr>
          <w:rFonts w:ascii="Book Antiqua" w:eastAsia="Times New Roman" w:hAnsi="Book Antiqua" w:cs="Times New Roman"/>
          <w:color w:val="000000" w:themeColor="text1"/>
          <w:kern w:val="0"/>
        </w:rPr>
        <w:t>differentiation</w:t>
      </w:r>
      <w:r w:rsidR="00155B71" w:rsidRPr="007B43A9">
        <w:rPr>
          <w:rFonts w:ascii="Book Antiqua" w:eastAsia="Times New Roman" w:hAnsi="Book Antiqua" w:cs="Times New Roman"/>
          <w:color w:val="000000" w:themeColor="text1"/>
          <w:kern w:val="0"/>
          <w:vertAlign w:val="superscript"/>
        </w:rPr>
        <w:t>[10]</w:t>
      </w:r>
      <w:r w:rsidR="00155B71"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 xml:space="preserve"> At this time, the effect of antimicrobial drugs on the differentiation potential of stem cells is crucial. If a drug can promote the differentiation of the stem cells in a direction favorable for tissue repair while also killing the pathogenic microorganisms, the</w:t>
      </w:r>
      <w:r w:rsidR="00CE48F3" w:rsidRPr="007B43A9">
        <w:rPr>
          <w:rFonts w:ascii="Book Antiqua" w:eastAsia="Times New Roman" w:hAnsi="Book Antiqua" w:cs="Times New Roman"/>
          <w:color w:val="000000" w:themeColor="text1"/>
          <w:kern w:val="0"/>
        </w:rPr>
        <w:t xml:space="preserve"> treatment process and the therapeutic effect can be accelerated. </w:t>
      </w:r>
      <w:r w:rsidRPr="007B43A9">
        <w:rPr>
          <w:rFonts w:ascii="Book Antiqua" w:eastAsia="Times New Roman" w:hAnsi="Book Antiqua" w:cs="Times New Roman"/>
          <w:color w:val="000000" w:themeColor="text1"/>
          <w:kern w:val="0"/>
        </w:rPr>
        <w:t>On the contrary, if the drug inhibits the differentiation potential of stem cells, it may have undesirable effects on disease treatment.</w:t>
      </w:r>
    </w:p>
    <w:p w14:paraId="0AEC1D75" w14:textId="2AAD922E" w:rsidR="00CE48F3" w:rsidRPr="007B43A9" w:rsidRDefault="001F60C1" w:rsidP="005142C8">
      <w:pPr>
        <w:widowControl/>
        <w:spacing w:line="360" w:lineRule="auto"/>
        <w:ind w:firstLineChars="100" w:firstLine="240"/>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 xml:space="preserve">Considering the multi-directional differentiation potential of bone </w:t>
      </w:r>
      <w:r w:rsidR="005142C8" w:rsidRPr="007B43A9">
        <w:rPr>
          <w:rFonts w:ascii="Book Antiqua" w:eastAsia="Times New Roman" w:hAnsi="Book Antiqua" w:cs="Times New Roman"/>
          <w:color w:val="000000" w:themeColor="text1"/>
          <w:kern w:val="0"/>
        </w:rPr>
        <w:t>MSC</w:t>
      </w:r>
      <w:r w:rsidRPr="007B43A9">
        <w:rPr>
          <w:rFonts w:ascii="Book Antiqua" w:eastAsia="Times New Roman" w:hAnsi="Book Antiqua" w:cs="Times New Roman"/>
          <w:color w:val="000000" w:themeColor="text1"/>
          <w:kern w:val="0"/>
        </w:rPr>
        <w:t>s and their three most common differentiation directions (osteogenesis, chondrogenesis, and adipogenesis</w:t>
      </w:r>
      <w:r w:rsidR="005142C8" w:rsidRPr="007B43A9">
        <w:rPr>
          <w:rFonts w:ascii="Book Antiqua" w:eastAsia="Times New Roman" w:hAnsi="Book Antiqua" w:cs="Times New Roman"/>
          <w:color w:val="000000" w:themeColor="text1"/>
          <w:kern w:val="0"/>
        </w:rPr>
        <w:t>)</w:t>
      </w:r>
      <w:r w:rsidR="00155B71" w:rsidRPr="007B43A9">
        <w:rPr>
          <w:rFonts w:ascii="Book Antiqua" w:eastAsia="Times New Roman" w:hAnsi="Book Antiqua" w:cs="Times New Roman"/>
          <w:color w:val="000000" w:themeColor="text1"/>
          <w:kern w:val="0"/>
          <w:vertAlign w:val="superscript"/>
        </w:rPr>
        <w:t>[11]</w:t>
      </w:r>
      <w:r w:rsidR="00155B71"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 xml:space="preserve"> we </w:t>
      </w:r>
      <w:r w:rsidR="00AB14E6" w:rsidRPr="007B43A9">
        <w:rPr>
          <w:rFonts w:ascii="Book Antiqua" w:eastAsia="Times New Roman" w:hAnsi="Book Antiqua" w:cs="Times New Roman"/>
          <w:color w:val="000000" w:themeColor="text1"/>
          <w:kern w:val="0"/>
        </w:rPr>
        <w:t xml:space="preserve">review </w:t>
      </w:r>
      <w:r w:rsidRPr="007B43A9">
        <w:rPr>
          <w:rFonts w:ascii="Book Antiqua" w:eastAsia="Times New Roman" w:hAnsi="Book Antiqua" w:cs="Times New Roman"/>
          <w:color w:val="000000" w:themeColor="text1"/>
          <w:kern w:val="0"/>
        </w:rPr>
        <w:t>the effects of different classes of antimicrobial agents on these three types of differentiation functions, and hope that it can produce certain ideas for the better drug-mediated treatment of bone and joint infectious diseases.</w:t>
      </w:r>
    </w:p>
    <w:p w14:paraId="091E5446" w14:textId="77777777" w:rsidR="005142C8" w:rsidRPr="007B43A9" w:rsidRDefault="005142C8" w:rsidP="005142C8">
      <w:pPr>
        <w:widowControl/>
        <w:spacing w:line="360" w:lineRule="auto"/>
        <w:ind w:firstLineChars="100" w:firstLine="240"/>
        <w:rPr>
          <w:rFonts w:ascii="Book Antiqua" w:hAnsi="Book Antiqua" w:cs="Times New Roman"/>
          <w:color w:val="000000" w:themeColor="text1"/>
          <w:kern w:val="0"/>
        </w:rPr>
      </w:pPr>
    </w:p>
    <w:p w14:paraId="1F32CA4D" w14:textId="235855EE" w:rsidR="00CE48F3" w:rsidRPr="007B43A9" w:rsidRDefault="005142C8" w:rsidP="005142C8">
      <w:pPr>
        <w:widowControl/>
        <w:spacing w:line="360" w:lineRule="auto"/>
        <w:rPr>
          <w:rFonts w:ascii="Book Antiqua" w:eastAsia="Times New Roman" w:hAnsi="Book Antiqua" w:cs="Times New Roman"/>
          <w:b/>
          <w:color w:val="000000" w:themeColor="text1"/>
          <w:kern w:val="0"/>
        </w:rPr>
      </w:pPr>
      <w:r w:rsidRPr="007B43A9">
        <w:rPr>
          <w:rFonts w:ascii="Book Antiqua" w:eastAsia="Times New Roman" w:hAnsi="Book Antiqua" w:cs="Times New Roman"/>
          <w:b/>
          <w:color w:val="000000" w:themeColor="text1"/>
          <w:kern w:val="0"/>
        </w:rPr>
        <w:t>EFFECTS OF VARIOUS ANTIMICROBIAL AGENTS ON OSTEOGENIC DIFFERENTIATION</w:t>
      </w:r>
    </w:p>
    <w:p w14:paraId="7A87B9AC" w14:textId="7309CC9C" w:rsidR="00CE48F3" w:rsidRPr="007B43A9" w:rsidRDefault="00CE48F3" w:rsidP="005142C8">
      <w:pPr>
        <w:widowControl/>
        <w:spacing w:line="360" w:lineRule="auto"/>
        <w:rPr>
          <w:rFonts w:ascii="Book Antiqua" w:hAnsi="Book Antiqua" w:cs="Times New Roman"/>
          <w:color w:val="000000" w:themeColor="text1"/>
        </w:rPr>
      </w:pPr>
      <w:bookmarkStart w:id="26" w:name="OLE_LINK3"/>
      <w:bookmarkStart w:id="27" w:name="OLE_LINK4"/>
      <w:bookmarkStart w:id="28" w:name="OLE_LINK182"/>
      <w:r w:rsidRPr="007B43A9">
        <w:rPr>
          <w:rFonts w:ascii="Book Antiqua" w:hAnsi="Book Antiqua" w:cs="Times New Roman"/>
          <w:color w:val="000000" w:themeColor="text1"/>
        </w:rPr>
        <w:t>BMSCs</w:t>
      </w:r>
      <w:bookmarkEnd w:id="26"/>
      <w:bookmarkEnd w:id="27"/>
      <w:bookmarkEnd w:id="28"/>
      <w:r w:rsidRPr="007B43A9">
        <w:rPr>
          <w:rFonts w:ascii="Book Antiqua" w:hAnsi="Book Antiqua" w:cs="Times New Roman"/>
          <w:color w:val="000000" w:themeColor="text1"/>
        </w:rPr>
        <w:t xml:space="preserve"> are bone marrow-derived cells that play a key role in the renewal and regeneration of osteoblasts. BMSCs can differentiate into bone-forming osteoblasts and have been shown to be a primary </w:t>
      </w:r>
      <w:r w:rsidR="00897867" w:rsidRPr="007B43A9">
        <w:rPr>
          <w:rFonts w:ascii="Book Antiqua" w:hAnsi="Book Antiqua" w:cs="Times New Roman"/>
          <w:color w:val="000000" w:themeColor="text1"/>
        </w:rPr>
        <w:t>source of osteoprogenitor cells</w:t>
      </w:r>
      <w:r w:rsidRPr="007B43A9">
        <w:rPr>
          <w:rFonts w:ascii="Book Antiqua" w:hAnsi="Book Antiqua" w:cs="Times New Roman"/>
          <w:noProof/>
          <w:color w:val="000000" w:themeColor="text1"/>
          <w:vertAlign w:val="superscript"/>
        </w:rPr>
        <w:t>[12]</w:t>
      </w:r>
      <w:r w:rsidRPr="007B43A9">
        <w:rPr>
          <w:rFonts w:ascii="Book Antiqua" w:hAnsi="Book Antiqua" w:cs="Times New Roman"/>
          <w:color w:val="000000" w:themeColor="text1"/>
        </w:rPr>
        <w:t xml:space="preserve">. Moreover, BMSCs can be used as bone graft </w:t>
      </w:r>
      <w:r w:rsidR="00897867" w:rsidRPr="007B43A9">
        <w:rPr>
          <w:rFonts w:ascii="Book Antiqua" w:hAnsi="Book Antiqua" w:cs="Times New Roman"/>
          <w:color w:val="000000" w:themeColor="text1"/>
        </w:rPr>
        <w:t>materials to treat bone defects</w:t>
      </w:r>
      <w:r w:rsidRPr="007B43A9">
        <w:rPr>
          <w:rFonts w:ascii="Book Antiqua" w:hAnsi="Book Antiqua" w:cs="Times New Roman"/>
          <w:noProof/>
          <w:color w:val="000000" w:themeColor="text1"/>
          <w:vertAlign w:val="superscript"/>
        </w:rPr>
        <w:t>[13]</w:t>
      </w:r>
      <w:r w:rsidRPr="007B43A9">
        <w:rPr>
          <w:rFonts w:ascii="Book Antiqua" w:hAnsi="Book Antiqua" w:cs="Times New Roman"/>
          <w:color w:val="000000" w:themeColor="text1"/>
        </w:rPr>
        <w:t>.</w:t>
      </w:r>
      <w:r w:rsidRPr="007B43A9">
        <w:rPr>
          <w:rFonts w:ascii="Book Antiqua" w:hAnsi="Book Antiqua"/>
          <w:color w:val="000000" w:themeColor="text1"/>
        </w:rPr>
        <w:t xml:space="preserve"> </w:t>
      </w:r>
      <w:r w:rsidRPr="007B43A9">
        <w:rPr>
          <w:rFonts w:ascii="Book Antiqua" w:hAnsi="Book Antiqua" w:cs="Times New Roman"/>
          <w:color w:val="000000" w:themeColor="text1"/>
        </w:rPr>
        <w:t>While the local osseous tissue is damaged by the pathogenic microorganism,</w:t>
      </w:r>
      <w:bookmarkStart w:id="29" w:name="OLE_LINK7"/>
      <w:bookmarkStart w:id="30" w:name="OLE_LINK8"/>
      <w:r w:rsidRPr="007B43A9">
        <w:rPr>
          <w:rFonts w:ascii="Book Antiqua" w:hAnsi="Book Antiqua" w:cs="Times New Roman"/>
          <w:color w:val="000000" w:themeColor="text1"/>
        </w:rPr>
        <w:t xml:space="preserve"> BMSCs </w:t>
      </w:r>
      <w:bookmarkEnd w:id="29"/>
      <w:bookmarkEnd w:id="30"/>
      <w:r w:rsidRPr="007B43A9">
        <w:rPr>
          <w:rFonts w:ascii="Book Antiqua" w:hAnsi="Book Antiqua" w:cs="Times New Roman"/>
          <w:color w:val="000000" w:themeColor="text1"/>
        </w:rPr>
        <w:t xml:space="preserve">are activated and differentiate into osteoblasts to complete the repair of local bone dissolution. Failure of BMSCs to completely repair the local bone defects caused by infection may lead to local osteoporosis and even pathological </w:t>
      </w:r>
      <w:r w:rsidR="00897867" w:rsidRPr="007B43A9">
        <w:rPr>
          <w:rFonts w:ascii="Book Antiqua" w:hAnsi="Book Antiqua" w:cs="Times New Roman"/>
          <w:color w:val="000000" w:themeColor="text1"/>
        </w:rPr>
        <w:t>fractures</w:t>
      </w:r>
      <w:r w:rsidR="00A822FC" w:rsidRPr="007B43A9">
        <w:rPr>
          <w:rFonts w:ascii="Book Antiqua" w:hAnsi="Book Antiqua" w:cs="Times New Roman"/>
          <w:color w:val="000000" w:themeColor="text1"/>
          <w:vertAlign w:val="superscript"/>
        </w:rPr>
        <w:t>[13</w:t>
      </w:r>
      <w:r w:rsidR="00155B71" w:rsidRPr="007B43A9">
        <w:rPr>
          <w:rFonts w:ascii="Book Antiqua" w:hAnsi="Book Antiqua" w:cs="Times New Roman"/>
          <w:color w:val="000000" w:themeColor="text1"/>
          <w:vertAlign w:val="superscript"/>
        </w:rPr>
        <w:t>]</w:t>
      </w:r>
      <w:r w:rsidR="00155B71" w:rsidRPr="007B43A9">
        <w:rPr>
          <w:rFonts w:ascii="Book Antiqua" w:hAnsi="Book Antiqua" w:cs="Times New Roman"/>
          <w:color w:val="000000" w:themeColor="text1"/>
        </w:rPr>
        <w:t>.</w:t>
      </w:r>
      <w:r w:rsidRPr="007B43A9">
        <w:rPr>
          <w:rFonts w:ascii="Book Antiqua" w:hAnsi="Book Antiqua" w:cs="Times New Roman"/>
          <w:color w:val="000000" w:themeColor="text1"/>
        </w:rPr>
        <w:t xml:space="preserve"> </w:t>
      </w:r>
      <w:r w:rsidR="001F60C1" w:rsidRPr="007B43A9">
        <w:rPr>
          <w:rFonts w:ascii="Book Antiqua" w:hAnsi="Book Antiqua" w:cs="Times New Roman"/>
          <w:color w:val="000000" w:themeColor="text1"/>
        </w:rPr>
        <w:t>Therefore, while using various antimicrobial agents to control infection, the consideration of the effect of drugs on osteogenic differentiation of BMSCs is crucial. Drugs with antibacterial properties and osteoinductive ability may play a better therapeutic role in orthopedic infections, such as osteomyelitis; whereas drugs that inhibit the differentiation of stem cells into osteoblasts and destroy the osteogenic microenvironment may adversely affect the repair of local osseous tissue. In this section, we</w:t>
      </w:r>
      <w:r w:rsidR="007002B9" w:rsidRPr="007B43A9">
        <w:rPr>
          <w:rFonts w:ascii="Book Antiqua" w:hAnsi="Book Antiqua" w:cs="Times New Roman"/>
          <w:color w:val="000000" w:themeColor="text1"/>
        </w:rPr>
        <w:t xml:space="preserve"> will review </w:t>
      </w:r>
      <w:r w:rsidR="001F60C1" w:rsidRPr="007B43A9">
        <w:rPr>
          <w:rFonts w:ascii="Book Antiqua" w:hAnsi="Book Antiqua" w:cs="Times New Roman"/>
          <w:color w:val="000000" w:themeColor="text1"/>
        </w:rPr>
        <w:t>the effects of different antimicrobial agents on osteogenic differentiation, and the overall situation is listed in Table 1.</w:t>
      </w:r>
    </w:p>
    <w:p w14:paraId="47BB34B0" w14:textId="77777777" w:rsidR="00897867" w:rsidRPr="007B43A9" w:rsidRDefault="00897867" w:rsidP="005142C8">
      <w:pPr>
        <w:widowControl/>
        <w:spacing w:line="360" w:lineRule="auto"/>
        <w:rPr>
          <w:rFonts w:ascii="Book Antiqua" w:hAnsi="Book Antiqua" w:cs="Times New Roman"/>
          <w:color w:val="000000" w:themeColor="text1"/>
        </w:rPr>
      </w:pPr>
    </w:p>
    <w:p w14:paraId="43EAE32F" w14:textId="73E12112" w:rsidR="00CE48F3" w:rsidRPr="007B43A9" w:rsidRDefault="00CE48F3" w:rsidP="005142C8">
      <w:pPr>
        <w:widowControl/>
        <w:spacing w:line="360" w:lineRule="auto"/>
        <w:rPr>
          <w:rFonts w:ascii="Book Antiqua" w:eastAsia="Times New Roman" w:hAnsi="Book Antiqua" w:cs="Times New Roman"/>
          <w:b/>
          <w:i/>
          <w:color w:val="000000" w:themeColor="text1"/>
          <w:kern w:val="0"/>
        </w:rPr>
      </w:pPr>
      <w:r w:rsidRPr="007B43A9">
        <w:rPr>
          <w:rFonts w:ascii="Book Antiqua" w:eastAsia="Times New Roman" w:hAnsi="Book Antiqua" w:cs="Times New Roman"/>
          <w:b/>
          <w:i/>
          <w:color w:val="000000" w:themeColor="text1"/>
          <w:kern w:val="0"/>
        </w:rPr>
        <w:t>Antibiotics</w:t>
      </w:r>
    </w:p>
    <w:p w14:paraId="0183D7D2" w14:textId="690458DA" w:rsidR="00CE48F3" w:rsidRPr="007B43A9" w:rsidRDefault="00CE48F3" w:rsidP="005142C8">
      <w:pPr>
        <w:widowControl/>
        <w:spacing w:line="360" w:lineRule="auto"/>
        <w:rPr>
          <w:rFonts w:ascii="Book Antiqua" w:hAnsi="Book Antiqua" w:cs="Times New Roman"/>
          <w:color w:val="000000" w:themeColor="text1"/>
          <w:kern w:val="0"/>
        </w:rPr>
      </w:pPr>
      <w:r w:rsidRPr="007B43A9">
        <w:rPr>
          <w:rFonts w:ascii="Book Antiqua" w:eastAsia="Times New Roman" w:hAnsi="Book Antiqua" w:cs="Times New Roman"/>
          <w:b/>
          <w:color w:val="000000" w:themeColor="text1"/>
          <w:kern w:val="0"/>
        </w:rPr>
        <w:t>Antituberculosis drugs</w:t>
      </w:r>
      <w:r w:rsidR="00897867" w:rsidRPr="007B43A9">
        <w:rPr>
          <w:rFonts w:ascii="Book Antiqua" w:hAnsi="Book Antiqua" w:cs="Times New Roman" w:hint="eastAsia"/>
          <w:b/>
          <w:color w:val="000000" w:themeColor="text1"/>
          <w:kern w:val="0"/>
        </w:rPr>
        <w:t xml:space="preserve">: </w:t>
      </w:r>
      <w:r w:rsidRPr="007B43A9">
        <w:rPr>
          <w:rFonts w:ascii="Book Antiqua" w:eastAsia="Times New Roman" w:hAnsi="Book Antiqua" w:cs="Times New Roman"/>
          <w:color w:val="000000" w:themeColor="text1"/>
          <w:kern w:val="0"/>
        </w:rPr>
        <w:t xml:space="preserve">As a representative drug for the treatment of tuberculosis, rifampicin has a strong bactericidal effect on </w:t>
      </w:r>
      <w:r w:rsidRPr="007B43A9">
        <w:rPr>
          <w:rFonts w:ascii="Book Antiqua" w:eastAsia="Times New Roman" w:hAnsi="Book Antiqua" w:cs="Times New Roman"/>
          <w:i/>
          <w:color w:val="000000" w:themeColor="text1"/>
          <w:kern w:val="0"/>
        </w:rPr>
        <w:t>Mycobacterium tuberculosis</w:t>
      </w:r>
      <w:r w:rsidRPr="007B43A9">
        <w:rPr>
          <w:rFonts w:ascii="Book Antiqua" w:eastAsia="Times New Roman" w:hAnsi="Book Antiqua" w:cs="Times New Roman"/>
          <w:color w:val="000000" w:themeColor="text1"/>
          <w:kern w:val="0"/>
        </w:rPr>
        <w:t xml:space="preserve">. </w:t>
      </w:r>
      <w:r w:rsidR="004F3129" w:rsidRPr="007B43A9">
        <w:rPr>
          <w:rFonts w:ascii="Book Antiqua" w:eastAsia="Times New Roman" w:hAnsi="Book Antiqua" w:cs="Times New Roman"/>
          <w:color w:val="000000" w:themeColor="text1"/>
          <w:kern w:val="0"/>
        </w:rPr>
        <w:t xml:space="preserve">In addition, </w:t>
      </w:r>
      <w:bookmarkStart w:id="31" w:name="OLE_LINK201"/>
      <w:bookmarkStart w:id="32" w:name="OLE_LINK202"/>
      <w:r w:rsidR="004F3129" w:rsidRPr="007B43A9">
        <w:rPr>
          <w:rFonts w:ascii="Book Antiqua" w:eastAsia="Times New Roman" w:hAnsi="Book Antiqua" w:cs="Times New Roman"/>
          <w:color w:val="000000" w:themeColor="text1"/>
          <w:kern w:val="0"/>
        </w:rPr>
        <w:t xml:space="preserve">rifampicin </w:t>
      </w:r>
      <w:bookmarkEnd w:id="31"/>
      <w:bookmarkEnd w:id="32"/>
      <w:r w:rsidR="004F3129" w:rsidRPr="007B43A9">
        <w:rPr>
          <w:rFonts w:ascii="Book Antiqua" w:eastAsia="Times New Roman" w:hAnsi="Book Antiqua" w:cs="Times New Roman"/>
          <w:color w:val="000000" w:themeColor="text1"/>
          <w:kern w:val="0"/>
        </w:rPr>
        <w:t xml:space="preserve">has also been shown to exhibit anti-Gram-positive bacteria activity and </w:t>
      </w:r>
      <w:r w:rsidR="00921D6C" w:rsidRPr="007B43A9">
        <w:rPr>
          <w:rFonts w:ascii="Book Antiqua" w:eastAsia="Times New Roman" w:hAnsi="Book Antiqua" w:cs="Times New Roman"/>
          <w:color w:val="000000" w:themeColor="text1"/>
          <w:kern w:val="0"/>
        </w:rPr>
        <w:t>kill the</w:t>
      </w:r>
      <w:r w:rsidR="004F3129" w:rsidRPr="007B43A9">
        <w:rPr>
          <w:rFonts w:ascii="Book Antiqua" w:eastAsia="Times New Roman" w:hAnsi="Book Antiqua" w:cs="Times New Roman"/>
          <w:color w:val="000000" w:themeColor="text1"/>
          <w:kern w:val="0"/>
        </w:rPr>
        <w:t xml:space="preserve"> intracellular bacteria </w:t>
      </w:r>
      <w:r w:rsidR="00921D6C" w:rsidRPr="007B43A9">
        <w:rPr>
          <w:rFonts w:ascii="Book Antiqua" w:eastAsia="Times New Roman" w:hAnsi="Book Antiqua" w:cs="Times New Roman"/>
          <w:color w:val="000000" w:themeColor="text1"/>
          <w:kern w:val="0"/>
        </w:rPr>
        <w:t xml:space="preserve">hidden </w:t>
      </w:r>
      <w:r w:rsidR="004F3129" w:rsidRPr="007B43A9">
        <w:rPr>
          <w:rFonts w:ascii="Book Antiqua" w:eastAsia="Times New Roman" w:hAnsi="Book Antiqua" w:cs="Times New Roman"/>
          <w:color w:val="000000" w:themeColor="text1"/>
          <w:kern w:val="0"/>
        </w:rPr>
        <w:t>in cells</w:t>
      </w:r>
      <w:r w:rsidR="00921D6C" w:rsidRPr="007B43A9">
        <w:rPr>
          <w:rFonts w:ascii="Book Antiqua" w:eastAsia="Times New Roman" w:hAnsi="Book Antiqua" w:cs="Times New Roman"/>
          <w:color w:val="000000" w:themeColor="text1"/>
          <w:kern w:val="0"/>
        </w:rPr>
        <w:t>,</w:t>
      </w:r>
      <w:r w:rsidR="004F3129" w:rsidRPr="007B43A9">
        <w:rPr>
          <w:rFonts w:ascii="Book Antiqua" w:eastAsia="Times New Roman" w:hAnsi="Book Antiqua" w:cs="Times New Roman"/>
          <w:color w:val="000000" w:themeColor="text1"/>
          <w:kern w:val="0"/>
        </w:rPr>
        <w:t xml:space="preserve"> and has a wide range of clinical applications.</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To demonstrate the</w:t>
      </w:r>
      <w:r w:rsidR="007002B9" w:rsidRPr="007B43A9">
        <w:rPr>
          <w:rFonts w:ascii="Book Antiqua" w:eastAsia="Times New Roman" w:hAnsi="Book Antiqua" w:cs="Times New Roman"/>
          <w:color w:val="000000" w:themeColor="text1"/>
          <w:kern w:val="0"/>
        </w:rPr>
        <w:t xml:space="preserve"> potential toxicity</w:t>
      </w:r>
      <w:r w:rsidR="004F3129" w:rsidRPr="007B43A9">
        <w:rPr>
          <w:rFonts w:ascii="Book Antiqua" w:eastAsia="Times New Roman" w:hAnsi="Book Antiqua" w:cs="Times New Roman"/>
          <w:color w:val="000000" w:themeColor="text1"/>
          <w:kern w:val="0"/>
        </w:rPr>
        <w:t xml:space="preserve"> of rifampicin </w:t>
      </w:r>
      <w:r w:rsidR="007002B9" w:rsidRPr="007B43A9">
        <w:rPr>
          <w:rFonts w:ascii="Book Antiqua" w:eastAsia="Times New Roman" w:hAnsi="Book Antiqua" w:cs="Times New Roman"/>
          <w:color w:val="000000" w:themeColor="text1"/>
          <w:kern w:val="0"/>
        </w:rPr>
        <w:t xml:space="preserve">and its effects </w:t>
      </w:r>
      <w:r w:rsidR="004F3129" w:rsidRPr="007B43A9">
        <w:rPr>
          <w:rFonts w:ascii="Book Antiqua" w:eastAsia="Times New Roman" w:hAnsi="Book Antiqua" w:cs="Times New Roman"/>
          <w:color w:val="000000" w:themeColor="text1"/>
          <w:kern w:val="0"/>
        </w:rPr>
        <w:t>on</w:t>
      </w:r>
      <w:r w:rsidR="007002B9" w:rsidRPr="007B43A9">
        <w:rPr>
          <w:rFonts w:ascii="Book Antiqua" w:eastAsia="Times New Roman" w:hAnsi="Book Antiqua" w:cs="Times New Roman"/>
          <w:color w:val="000000" w:themeColor="text1"/>
          <w:kern w:val="0"/>
        </w:rPr>
        <w:t xml:space="preserve"> </w:t>
      </w:r>
      <w:r w:rsidR="004F3129" w:rsidRPr="007B43A9">
        <w:rPr>
          <w:rFonts w:ascii="Book Antiqua" w:eastAsia="Times New Roman" w:hAnsi="Book Antiqua" w:cs="Times New Roman"/>
          <w:color w:val="000000" w:themeColor="text1"/>
          <w:kern w:val="0"/>
        </w:rPr>
        <w:t xml:space="preserve">osteogenic differentiation of osteoblasts, researchers studied osteoblasts </w:t>
      </w:r>
      <w:r w:rsidR="007002B9" w:rsidRPr="007B43A9">
        <w:rPr>
          <w:rFonts w:ascii="Book Antiqua" w:eastAsia="Times New Roman" w:hAnsi="Book Antiqua" w:cs="Times New Roman"/>
          <w:color w:val="000000" w:themeColor="text1"/>
          <w:kern w:val="0"/>
        </w:rPr>
        <w:t xml:space="preserve">treated with </w:t>
      </w:r>
      <w:r w:rsidR="004F3129" w:rsidRPr="007B43A9">
        <w:rPr>
          <w:rFonts w:ascii="Book Antiqua" w:eastAsia="Times New Roman" w:hAnsi="Book Antiqua" w:cs="Times New Roman"/>
          <w:color w:val="000000" w:themeColor="text1"/>
          <w:kern w:val="0"/>
        </w:rPr>
        <w:t>different concentrations of rifampicin.</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The results showed that rifampicin did not cause toxicity to osteoblasts or </w:t>
      </w:r>
      <w:r w:rsidR="007002B9" w:rsidRPr="007B43A9">
        <w:rPr>
          <w:rFonts w:ascii="Book Antiqua" w:eastAsia="Times New Roman" w:hAnsi="Book Antiqua" w:cs="Times New Roman"/>
          <w:color w:val="000000" w:themeColor="text1"/>
          <w:kern w:val="0"/>
        </w:rPr>
        <w:t xml:space="preserve">affect </w:t>
      </w:r>
      <w:r w:rsidR="004F3129" w:rsidRPr="007B43A9">
        <w:rPr>
          <w:rFonts w:ascii="Book Antiqua" w:eastAsia="Times New Roman" w:hAnsi="Book Antiqua" w:cs="Times New Roman"/>
          <w:color w:val="000000" w:themeColor="text1"/>
          <w:kern w:val="0"/>
        </w:rPr>
        <w:t>the level of alkaline phosphatase (ALP) in the cells when the concentration of rifampicin did not exceed 10 μg/mL.</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However, when the drug concentration reached 100 μg/mL and above, the number of osteoblasts and intracellular ALP levels decreased significantly</w:t>
      </w:r>
      <w:r w:rsidR="00897867" w:rsidRPr="007B43A9">
        <w:rPr>
          <w:rFonts w:ascii="Book Antiqua" w:eastAsia="Times New Roman" w:hAnsi="Book Antiqua" w:cs="Times New Roman"/>
          <w:color w:val="000000" w:themeColor="text1"/>
          <w:kern w:val="0"/>
        </w:rPr>
        <w:t>, and the decrease was over 75%</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 Another study demonstrated that rifampicin is cytotoxic to human bone marrow-derived MSCs at concentrations above 32 μg/mL and inhibited osteogenic differentiation potential of human bone marrow-derived MSCs in a concentration-dependent manner at concentrations rangin</w:t>
      </w:r>
      <w:r w:rsidR="00980651" w:rsidRPr="007B43A9">
        <w:rPr>
          <w:rFonts w:ascii="Book Antiqua" w:eastAsia="Times New Roman" w:hAnsi="Book Antiqua" w:cs="Times New Roman"/>
          <w:color w:val="000000" w:themeColor="text1"/>
          <w:kern w:val="0"/>
        </w:rPr>
        <w:t>g from 4</w:t>
      </w:r>
      <w:r w:rsidR="004F3129" w:rsidRPr="007B43A9">
        <w:rPr>
          <w:rFonts w:ascii="Book Antiqua" w:eastAsia="Times New Roman" w:hAnsi="Book Antiqua" w:cs="Times New Roman"/>
          <w:color w:val="000000" w:themeColor="text1"/>
          <w:kern w:val="0"/>
        </w:rPr>
        <w:t>-128 μg/mL.</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The collagen synthesis, mineralization effect, and expression level</w:t>
      </w:r>
      <w:r w:rsidR="007002B9" w:rsidRPr="007B43A9">
        <w:rPr>
          <w:rFonts w:ascii="Book Antiqua" w:eastAsia="Times New Roman" w:hAnsi="Book Antiqua" w:cs="Times New Roman"/>
          <w:color w:val="000000" w:themeColor="text1"/>
          <w:kern w:val="0"/>
        </w:rPr>
        <w:t>s</w:t>
      </w:r>
      <w:r w:rsidR="004F3129" w:rsidRPr="007B43A9">
        <w:rPr>
          <w:rFonts w:ascii="Book Antiqua" w:eastAsia="Times New Roman" w:hAnsi="Book Antiqua" w:cs="Times New Roman"/>
          <w:color w:val="000000" w:themeColor="text1"/>
          <w:kern w:val="0"/>
        </w:rPr>
        <w:t xml:space="preserve"> of osteogenic genes in MSCs were inhibited to varying degrees with </w:t>
      </w:r>
      <w:r w:rsidR="007002B9" w:rsidRPr="007B43A9">
        <w:rPr>
          <w:rFonts w:ascii="Book Antiqua" w:eastAsia="Times New Roman" w:hAnsi="Book Antiqua" w:cs="Times New Roman"/>
          <w:color w:val="000000" w:themeColor="text1"/>
          <w:kern w:val="0"/>
        </w:rPr>
        <w:t xml:space="preserve">the </w:t>
      </w:r>
      <w:r w:rsidR="004F3129" w:rsidRPr="007B43A9">
        <w:rPr>
          <w:rFonts w:ascii="Book Antiqua" w:eastAsia="Times New Roman" w:hAnsi="Book Antiqua" w:cs="Times New Roman"/>
          <w:color w:val="000000" w:themeColor="text1"/>
          <w:kern w:val="0"/>
        </w:rPr>
        <w:t>incre</w:t>
      </w:r>
      <w:r w:rsidR="00897867" w:rsidRPr="007B43A9">
        <w:rPr>
          <w:rFonts w:ascii="Book Antiqua" w:eastAsia="Times New Roman" w:hAnsi="Book Antiqua" w:cs="Times New Roman"/>
          <w:color w:val="000000" w:themeColor="text1"/>
          <w:kern w:val="0"/>
        </w:rPr>
        <w:t>ase in rifampicin concentration</w:t>
      </w:r>
      <w:r w:rsidR="004F3129" w:rsidRPr="007B43A9">
        <w:rPr>
          <w:rFonts w:ascii="Book Antiqua" w:eastAsia="Times New Roman" w:hAnsi="Book Antiqua" w:cs="Times New Roman"/>
          <w:color w:val="000000" w:themeColor="text1"/>
          <w:kern w:val="0"/>
          <w:vertAlign w:val="superscript"/>
        </w:rPr>
        <w:t>[15]</w:t>
      </w:r>
      <w:r w:rsidR="004F3129" w:rsidRPr="007B43A9">
        <w:rPr>
          <w:rFonts w:ascii="Book Antiqua" w:eastAsia="Times New Roman" w:hAnsi="Book Antiqua" w:cs="Times New Roman"/>
          <w:color w:val="000000" w:themeColor="text1"/>
          <w:kern w:val="0"/>
        </w:rPr>
        <w:t>.</w:t>
      </w:r>
    </w:p>
    <w:p w14:paraId="590E65FD" w14:textId="77777777" w:rsidR="00897867" w:rsidRPr="007B43A9" w:rsidRDefault="00897867" w:rsidP="005142C8">
      <w:pPr>
        <w:widowControl/>
        <w:spacing w:line="360" w:lineRule="auto"/>
        <w:rPr>
          <w:rFonts w:ascii="Book Antiqua" w:hAnsi="Book Antiqua" w:cs="Times New Roman"/>
          <w:b/>
          <w:color w:val="000000" w:themeColor="text1"/>
          <w:kern w:val="0"/>
        </w:rPr>
      </w:pPr>
    </w:p>
    <w:p w14:paraId="6B362DC7" w14:textId="3A9CBBEE" w:rsidR="004F3129" w:rsidRPr="007B43A9" w:rsidRDefault="00CE48F3" w:rsidP="005142C8">
      <w:pPr>
        <w:widowControl/>
        <w:spacing w:line="360" w:lineRule="auto"/>
        <w:rPr>
          <w:rFonts w:ascii="Book Antiqua" w:hAnsi="Book Antiqua" w:cs="Times New Roman"/>
          <w:color w:val="000000" w:themeColor="text1"/>
          <w:kern w:val="0"/>
        </w:rPr>
      </w:pPr>
      <w:bookmarkStart w:id="33" w:name="OLE_LINK46"/>
      <w:bookmarkStart w:id="34" w:name="OLE_LINK47"/>
      <w:r w:rsidRPr="007B43A9">
        <w:rPr>
          <w:rFonts w:ascii="Book Antiqua" w:eastAsia="Times New Roman" w:hAnsi="Book Antiqua" w:cs="Times New Roman"/>
          <w:b/>
          <w:color w:val="000000" w:themeColor="text1"/>
          <w:kern w:val="0"/>
        </w:rPr>
        <w:t>β-lactams</w:t>
      </w:r>
      <w:bookmarkEnd w:id="33"/>
      <w:bookmarkEnd w:id="34"/>
      <w:r w:rsidR="00897867" w:rsidRPr="007B43A9">
        <w:rPr>
          <w:rFonts w:ascii="Book Antiqua" w:hAnsi="Book Antiqua" w:cs="Times New Roman" w:hint="eastAsia"/>
          <w:b/>
          <w:color w:val="000000" w:themeColor="text1"/>
          <w:kern w:val="0"/>
        </w:rPr>
        <w:t xml:space="preserve">: </w:t>
      </w:r>
      <w:r w:rsidR="004F3129" w:rsidRPr="007B43A9">
        <w:rPr>
          <w:rFonts w:ascii="Book Antiqua" w:eastAsia="Times New Roman" w:hAnsi="Book Antiqua" w:cs="Times New Roman"/>
          <w:color w:val="000000" w:themeColor="text1"/>
          <w:kern w:val="0"/>
        </w:rPr>
        <w:t>As a representative drug of β-lactam antibiotics, the discovery of penicillin has great significance in the history of human infectious diseases.</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It has been reported that penicillin, at a conventional </w:t>
      </w:r>
      <w:bookmarkStart w:id="35" w:name="OLE_LINK5"/>
      <w:bookmarkStart w:id="36" w:name="OLE_LINK6"/>
      <w:r w:rsidR="004F3129" w:rsidRPr="007B43A9">
        <w:rPr>
          <w:rFonts w:ascii="Book Antiqua" w:eastAsia="Times New Roman" w:hAnsi="Book Antiqua" w:cs="Times New Roman"/>
          <w:color w:val="000000" w:themeColor="text1"/>
          <w:kern w:val="0"/>
        </w:rPr>
        <w:t>blood concentration</w:t>
      </w:r>
      <w:bookmarkEnd w:id="35"/>
      <w:bookmarkEnd w:id="36"/>
      <w:r w:rsidR="00837ABF" w:rsidRPr="007B43A9">
        <w:rPr>
          <w:rFonts w:ascii="Book Antiqua" w:eastAsia="Times New Roman" w:hAnsi="Book Antiqua" w:cs="Times New Roman"/>
          <w:color w:val="000000" w:themeColor="text1"/>
          <w:kern w:val="0"/>
        </w:rPr>
        <w:t xml:space="preserve"> </w:t>
      </w:r>
      <w:bookmarkStart w:id="37" w:name="OLE_LINK244"/>
      <w:bookmarkStart w:id="38" w:name="OLE_LINK250"/>
      <w:r w:rsidR="00837ABF" w:rsidRPr="007B43A9">
        <w:rPr>
          <w:rFonts w:ascii="Book Antiqua" w:eastAsia="Times New Roman" w:hAnsi="Book Antiqua" w:cs="Times New Roman"/>
          <w:color w:val="000000" w:themeColor="text1"/>
          <w:kern w:val="0"/>
        </w:rPr>
        <w:t>(</w:t>
      </w:r>
      <w:r w:rsidR="00837ABF" w:rsidRPr="007B43A9">
        <w:rPr>
          <w:rFonts w:ascii="Book Antiqua" w:eastAsia="宋体" w:hAnsi="Book Antiqua" w:cs="Times New Roman"/>
          <w:color w:val="000000" w:themeColor="text1"/>
        </w:rPr>
        <w:t>30 μg/m</w:t>
      </w:r>
      <w:r w:rsidR="00897867" w:rsidRPr="007B43A9">
        <w:rPr>
          <w:rFonts w:ascii="Book Antiqua" w:eastAsia="宋体" w:hAnsi="Book Antiqua" w:cs="Times New Roman"/>
          <w:color w:val="000000" w:themeColor="text1"/>
        </w:rPr>
        <w:t>L</w:t>
      </w:r>
      <w:r w:rsidR="00837ABF" w:rsidRPr="007B43A9">
        <w:rPr>
          <w:rFonts w:ascii="Book Antiqua" w:eastAsia="Times New Roman" w:hAnsi="Book Antiqua" w:cs="Times New Roman"/>
          <w:color w:val="000000" w:themeColor="text1"/>
          <w:kern w:val="0"/>
        </w:rPr>
        <w:t>)</w:t>
      </w:r>
      <w:bookmarkEnd w:id="37"/>
      <w:bookmarkEnd w:id="38"/>
      <w:r w:rsidR="004F3129" w:rsidRPr="007B43A9">
        <w:rPr>
          <w:rFonts w:ascii="Book Antiqua" w:eastAsia="Times New Roman" w:hAnsi="Book Antiqua" w:cs="Times New Roman"/>
          <w:color w:val="000000" w:themeColor="text1"/>
          <w:kern w:val="0"/>
        </w:rPr>
        <w:t>, does not inhibit the osteogenic differentiation process of</w:t>
      </w:r>
      <w:r w:rsidR="00897867" w:rsidRPr="007B43A9">
        <w:rPr>
          <w:rFonts w:ascii="Book Antiqua" w:eastAsia="Times New Roman" w:hAnsi="Book Antiqua" w:cs="Times New Roman"/>
          <w:color w:val="000000" w:themeColor="text1"/>
          <w:kern w:val="0"/>
        </w:rPr>
        <w:t xml:space="preserve"> human bone marrow-derived MSCs</w:t>
      </w:r>
      <w:r w:rsidR="004F3129" w:rsidRPr="007B43A9">
        <w:rPr>
          <w:rFonts w:ascii="Book Antiqua" w:eastAsia="Times New Roman" w:hAnsi="Book Antiqua" w:cs="Times New Roman"/>
          <w:color w:val="000000" w:themeColor="text1"/>
          <w:kern w:val="0"/>
          <w:vertAlign w:val="superscript"/>
        </w:rPr>
        <w:t>[16]</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When penicillin was added during the culture of human osteoblasts, cytotoxicity was observed when the penicillin concentration reached 500 μg/mL.</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At the same time, the differentiation function of osteoblasts was also significantly inhibited after penicillin concentration exceeded 500 μg/mL, and the intracellular ALP level was significantly decreased </w:t>
      </w:r>
      <w:r w:rsidR="00411A25" w:rsidRPr="007B43A9">
        <w:rPr>
          <w:rFonts w:ascii="Book Antiqua" w:eastAsia="Times New Roman" w:hAnsi="Book Antiqua" w:cs="Times New Roman"/>
          <w:color w:val="000000" w:themeColor="text1"/>
          <w:kern w:val="0"/>
        </w:rPr>
        <w:t xml:space="preserve">(above 75%) </w:t>
      </w:r>
      <w:r w:rsidR="004F3129" w:rsidRPr="007B43A9">
        <w:rPr>
          <w:rFonts w:ascii="Book Antiqua" w:eastAsia="Times New Roman" w:hAnsi="Book Antiqua" w:cs="Times New Roman"/>
          <w:color w:val="000000" w:themeColor="text1"/>
          <w:kern w:val="0"/>
        </w:rPr>
        <w:t>compared with the control group</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Since penicillin cannot tolerate the enzymes produced by a variety of bacteria</w:t>
      </w:r>
      <w:r w:rsidR="00921D6C" w:rsidRPr="007B43A9">
        <w:rPr>
          <w:rFonts w:ascii="Book Antiqua" w:eastAsia="Times New Roman" w:hAnsi="Book Antiqua" w:cs="Times New Roman"/>
          <w:color w:val="000000" w:themeColor="text1"/>
          <w:kern w:val="0"/>
        </w:rPr>
        <w:t xml:space="preserve"> and</w:t>
      </w:r>
      <w:r w:rsidR="004F3129" w:rsidRPr="007B43A9">
        <w:rPr>
          <w:rFonts w:ascii="Book Antiqua" w:eastAsia="Times New Roman" w:hAnsi="Book Antiqua" w:cs="Times New Roman"/>
          <w:color w:val="000000" w:themeColor="text1"/>
          <w:kern w:val="0"/>
        </w:rPr>
        <w:t xml:space="preserve"> </w:t>
      </w:r>
      <w:r w:rsidR="00E46F9E" w:rsidRPr="007B43A9">
        <w:rPr>
          <w:rFonts w:ascii="Book Antiqua" w:eastAsia="Times New Roman" w:hAnsi="Book Antiqua" w:cs="Times New Roman"/>
          <w:color w:val="000000" w:themeColor="text1"/>
          <w:kern w:val="0"/>
        </w:rPr>
        <w:t xml:space="preserve">is </w:t>
      </w:r>
      <w:r w:rsidR="004F3129" w:rsidRPr="007B43A9">
        <w:rPr>
          <w:rFonts w:ascii="Book Antiqua" w:eastAsia="Times New Roman" w:hAnsi="Book Antiqua" w:cs="Times New Roman"/>
          <w:color w:val="000000" w:themeColor="text1"/>
          <w:kern w:val="0"/>
        </w:rPr>
        <w:t xml:space="preserve">more likely to be destroyed, </w:t>
      </w:r>
      <w:r w:rsidR="006B1FDA" w:rsidRPr="007B43A9">
        <w:rPr>
          <w:rFonts w:ascii="Book Antiqua" w:eastAsia="Times New Roman" w:hAnsi="Book Antiqua" w:cs="Times New Roman"/>
          <w:color w:val="000000" w:themeColor="text1"/>
          <w:kern w:val="0"/>
        </w:rPr>
        <w:t>the probability of clinical drug resistance is increased</w:t>
      </w:r>
      <w:r w:rsidR="004F3129" w:rsidRPr="007B43A9">
        <w:rPr>
          <w:rFonts w:ascii="Book Antiqua" w:eastAsia="Times New Roman" w:hAnsi="Book Antiqua" w:cs="Times New Roman"/>
          <w:color w:val="000000" w:themeColor="text1"/>
          <w:kern w:val="0"/>
        </w:rPr>
        <w:t xml:space="preserve"> and </w:t>
      </w:r>
      <w:r w:rsidR="006B1FDA" w:rsidRPr="007B43A9">
        <w:rPr>
          <w:rFonts w:ascii="Book Antiqua" w:eastAsia="Times New Roman" w:hAnsi="Book Antiqua" w:cs="Times New Roman"/>
          <w:color w:val="000000" w:themeColor="text1"/>
          <w:kern w:val="0"/>
        </w:rPr>
        <w:t>the</w:t>
      </w:r>
      <w:r w:rsidR="004F3129" w:rsidRPr="007B43A9">
        <w:rPr>
          <w:rFonts w:ascii="Book Antiqua" w:eastAsia="Times New Roman" w:hAnsi="Book Antiqua" w:cs="Times New Roman"/>
          <w:color w:val="000000" w:themeColor="text1"/>
          <w:kern w:val="0"/>
        </w:rPr>
        <w:t xml:space="preserve"> clinical application is greatly limited.</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Therefore, some antibiotics that are artificially synthesized and can tolerate penicillinase</w:t>
      </w:r>
      <w:r w:rsidR="007002B9" w:rsidRPr="007B43A9">
        <w:rPr>
          <w:rFonts w:ascii="Book Antiqua" w:eastAsia="Times New Roman" w:hAnsi="Book Antiqua" w:cs="Times New Roman"/>
          <w:color w:val="000000" w:themeColor="text1"/>
          <w:kern w:val="0"/>
        </w:rPr>
        <w:t xml:space="preserve"> </w:t>
      </w:r>
      <w:r w:rsidR="004F3129" w:rsidRPr="007B43A9">
        <w:rPr>
          <w:rFonts w:ascii="Book Antiqua" w:eastAsia="Times New Roman" w:hAnsi="Book Antiqua" w:cs="Times New Roman"/>
          <w:color w:val="000000" w:themeColor="text1"/>
          <w:kern w:val="0"/>
        </w:rPr>
        <w:t>are gradually replacing penicillin and play a greater role in the clinic.</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Both flucloxacillin and nafcillin are semi-synthetic penicillins that can tolerate penicillinase.</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It has been reported that flucloxacillin </w:t>
      </w:r>
      <w:r w:rsidR="00873750" w:rsidRPr="007B43A9">
        <w:rPr>
          <w:rFonts w:ascii="Book Antiqua" w:eastAsia="Times New Roman" w:hAnsi="Book Antiqua" w:cs="Times New Roman"/>
          <w:color w:val="000000" w:themeColor="text1"/>
          <w:kern w:val="0"/>
        </w:rPr>
        <w:t>at conventional plasma concentrations (</w:t>
      </w:r>
      <w:r w:rsidR="00873750" w:rsidRPr="007B43A9">
        <w:rPr>
          <w:rFonts w:ascii="Book Antiqua" w:eastAsia="宋体" w:hAnsi="Book Antiqua" w:cs="Times New Roman"/>
          <w:color w:val="000000" w:themeColor="text1"/>
        </w:rPr>
        <w:t>200 μg/mL</w:t>
      </w:r>
      <w:r w:rsidR="00873750" w:rsidRPr="007B43A9">
        <w:rPr>
          <w:rFonts w:ascii="Book Antiqua" w:eastAsia="Times New Roman" w:hAnsi="Book Antiqua" w:cs="Times New Roman"/>
          <w:color w:val="000000" w:themeColor="text1"/>
          <w:kern w:val="0"/>
        </w:rPr>
        <w:t xml:space="preserve">) </w:t>
      </w:r>
      <w:r w:rsidR="004F3129" w:rsidRPr="007B43A9">
        <w:rPr>
          <w:rFonts w:ascii="Book Antiqua" w:eastAsia="Times New Roman" w:hAnsi="Book Antiqua" w:cs="Times New Roman"/>
          <w:color w:val="000000" w:themeColor="text1"/>
          <w:kern w:val="0"/>
        </w:rPr>
        <w:t>does not affect the osteogenic differentiation of human bone marrow-derived MSCs</w:t>
      </w:r>
      <w:r w:rsidR="004F3129" w:rsidRPr="007B43A9">
        <w:rPr>
          <w:rFonts w:ascii="Book Antiqua" w:eastAsia="Times New Roman" w:hAnsi="Book Antiqua" w:cs="Times New Roman"/>
          <w:color w:val="000000" w:themeColor="text1"/>
          <w:kern w:val="0"/>
          <w:vertAlign w:val="superscript"/>
        </w:rPr>
        <w:t>[16]</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Nafcillin can still exert its antibacterial effect under acidic conditions, but it has been reported that nafcillin has a strong inhibitory effect on the proliferation and differentiation of human osteoblasts. When its concentration exceeds 10 μg/mL, the ALP level in</w:t>
      </w:r>
      <w:r w:rsidR="00897867" w:rsidRPr="007B43A9">
        <w:rPr>
          <w:rFonts w:ascii="Book Antiqua" w:eastAsia="Times New Roman" w:hAnsi="Book Antiqua" w:cs="Times New Roman"/>
          <w:color w:val="000000" w:themeColor="text1"/>
          <w:kern w:val="0"/>
        </w:rPr>
        <w:t xml:space="preserve"> osteoblasts </w:t>
      </w:r>
      <w:r w:rsidR="007002B9" w:rsidRPr="007B43A9">
        <w:rPr>
          <w:rFonts w:ascii="Book Antiqua" w:eastAsia="Times New Roman" w:hAnsi="Book Antiqua" w:cs="Times New Roman"/>
          <w:color w:val="000000" w:themeColor="text1"/>
          <w:kern w:val="0"/>
        </w:rPr>
        <w:t xml:space="preserve">was </w:t>
      </w:r>
      <w:r w:rsidR="00897867" w:rsidRPr="007B43A9">
        <w:rPr>
          <w:rFonts w:ascii="Book Antiqua" w:eastAsia="Times New Roman" w:hAnsi="Book Antiqua" w:cs="Times New Roman"/>
          <w:color w:val="000000" w:themeColor="text1"/>
          <w:kern w:val="0"/>
        </w:rPr>
        <w:t>drastically reduce</w:t>
      </w:r>
      <w:r w:rsidR="007002B9" w:rsidRPr="007B43A9">
        <w:rPr>
          <w:rFonts w:ascii="Book Antiqua" w:eastAsia="Times New Roman" w:hAnsi="Book Antiqua" w:cs="Times New Roman"/>
          <w:color w:val="000000" w:themeColor="text1"/>
          <w:kern w:val="0"/>
        </w:rPr>
        <w:t>d</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w:t>
      </w:r>
    </w:p>
    <w:p w14:paraId="1887122C" w14:textId="2138E1FB" w:rsidR="004F3129" w:rsidRPr="007B43A9" w:rsidRDefault="004F3129" w:rsidP="00897867">
      <w:pPr>
        <w:widowControl/>
        <w:spacing w:line="360" w:lineRule="auto"/>
        <w:ind w:firstLineChars="100" w:firstLine="240"/>
        <w:rPr>
          <w:rFonts w:ascii="Book Antiqua" w:hAnsi="Book Antiqua" w:cs="Times New Roman"/>
          <w:color w:val="000000" w:themeColor="text1"/>
        </w:rPr>
      </w:pPr>
      <w:r w:rsidRPr="007B43A9">
        <w:rPr>
          <w:rFonts w:ascii="Book Antiqua" w:eastAsia="Times New Roman" w:hAnsi="Book Antiqua" w:cs="Times New Roman"/>
          <w:color w:val="000000" w:themeColor="text1"/>
          <w:kern w:val="0"/>
        </w:rPr>
        <w:t>Cephalosporins are an important branch of β-lactam antibiotics and play an important role in the treatment of various infectious diseases.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Cefazolin, cefuroxime, cefotaxime, and cefepime are representative drugs of first, second, third, and fourth generation cephalosporins, respectively, and their effects on the differentiation of osteoblasts have been reported.</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Previous studies showed that cefuroxime does not alter the osteogenic differentiation of human bone marrow-derived MSCs at conventional blood concentrations </w:t>
      </w:r>
      <w:r w:rsidR="00837ABF" w:rsidRPr="007B43A9">
        <w:rPr>
          <w:rFonts w:ascii="Book Antiqua" w:eastAsia="Times New Roman" w:hAnsi="Book Antiqua" w:cs="Times New Roman"/>
          <w:color w:val="000000" w:themeColor="text1"/>
          <w:kern w:val="0"/>
        </w:rPr>
        <w:t>(</w:t>
      </w:r>
      <w:r w:rsidR="00837ABF" w:rsidRPr="007B43A9">
        <w:rPr>
          <w:rFonts w:ascii="Book Antiqua" w:eastAsia="宋体" w:hAnsi="Book Antiqua" w:cs="Times New Roman"/>
          <w:color w:val="000000" w:themeColor="text1"/>
        </w:rPr>
        <w:t>50 μg/m</w:t>
      </w:r>
      <w:r w:rsidR="00897867" w:rsidRPr="007B43A9">
        <w:rPr>
          <w:rFonts w:ascii="Book Antiqua" w:eastAsia="宋体" w:hAnsi="Book Antiqua" w:cs="Times New Roman"/>
          <w:color w:val="000000" w:themeColor="text1"/>
        </w:rPr>
        <w:t>L</w:t>
      </w:r>
      <w:r w:rsidR="00837ABF"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vertAlign w:val="superscript"/>
        </w:rPr>
        <w:t>[16]</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Cefazolin and </w:t>
      </w:r>
      <w:bookmarkStart w:id="39" w:name="OLE_LINK48"/>
      <w:bookmarkStart w:id="40" w:name="OLE_LINK49"/>
      <w:r w:rsidRPr="007B43A9">
        <w:rPr>
          <w:rFonts w:ascii="Book Antiqua" w:eastAsia="Times New Roman" w:hAnsi="Book Antiqua" w:cs="Times New Roman"/>
          <w:color w:val="000000" w:themeColor="text1"/>
          <w:kern w:val="0"/>
        </w:rPr>
        <w:t xml:space="preserve">cefepime </w:t>
      </w:r>
      <w:bookmarkEnd w:id="39"/>
      <w:bookmarkEnd w:id="40"/>
      <w:r w:rsidRPr="007B43A9">
        <w:rPr>
          <w:rFonts w:ascii="Book Antiqua" w:eastAsia="Times New Roman" w:hAnsi="Book Antiqua" w:cs="Times New Roman"/>
          <w:color w:val="000000" w:themeColor="text1"/>
          <w:kern w:val="0"/>
        </w:rPr>
        <w:t xml:space="preserve">cause osteogenic inhibition </w:t>
      </w:r>
      <w:r w:rsidR="00411A25" w:rsidRPr="007B43A9">
        <w:rPr>
          <w:rFonts w:ascii="Book Antiqua" w:eastAsia="Times New Roman" w:hAnsi="Book Antiqua" w:cs="Times New Roman"/>
          <w:color w:val="000000" w:themeColor="text1"/>
          <w:kern w:val="0"/>
        </w:rPr>
        <w:t xml:space="preserve">(above </w:t>
      </w:r>
      <w:r w:rsidR="00C63A68" w:rsidRPr="007B43A9">
        <w:rPr>
          <w:rFonts w:ascii="Book Antiqua" w:eastAsia="Times New Roman" w:hAnsi="Book Antiqua" w:cs="Times New Roman"/>
          <w:color w:val="000000" w:themeColor="text1"/>
          <w:kern w:val="0"/>
        </w:rPr>
        <w:t xml:space="preserve">25% and </w:t>
      </w:r>
      <w:r w:rsidR="00411A25" w:rsidRPr="007B43A9">
        <w:rPr>
          <w:rFonts w:ascii="Book Antiqua" w:eastAsia="Times New Roman" w:hAnsi="Book Antiqua" w:cs="Times New Roman"/>
          <w:color w:val="000000" w:themeColor="text1"/>
          <w:kern w:val="0"/>
        </w:rPr>
        <w:t>75%</w:t>
      </w:r>
      <w:r w:rsidR="00C63A68" w:rsidRPr="007B43A9">
        <w:rPr>
          <w:rFonts w:ascii="Book Antiqua" w:eastAsia="Times New Roman" w:hAnsi="Book Antiqua" w:cs="Times New Roman"/>
          <w:color w:val="000000" w:themeColor="text1"/>
          <w:kern w:val="0"/>
        </w:rPr>
        <w:t>, respectively</w:t>
      </w:r>
      <w:r w:rsidR="00411A25"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 xml:space="preserve">at concentrations up to 200 μg/mL, and </w:t>
      </w:r>
      <w:bookmarkStart w:id="41" w:name="OLE_LINK50"/>
      <w:bookmarkStart w:id="42" w:name="OLE_LINK51"/>
      <w:r w:rsidRPr="007B43A9">
        <w:rPr>
          <w:rFonts w:ascii="Book Antiqua" w:eastAsia="Times New Roman" w:hAnsi="Book Antiqua" w:cs="Times New Roman"/>
          <w:color w:val="000000" w:themeColor="text1"/>
          <w:kern w:val="0"/>
        </w:rPr>
        <w:t xml:space="preserve">cefotaxime </w:t>
      </w:r>
      <w:bookmarkEnd w:id="41"/>
      <w:bookmarkEnd w:id="42"/>
      <w:r w:rsidRPr="007B43A9">
        <w:rPr>
          <w:rFonts w:ascii="Book Antiqua" w:eastAsia="Times New Roman" w:hAnsi="Book Antiqua" w:cs="Times New Roman"/>
          <w:color w:val="000000" w:themeColor="text1"/>
          <w:kern w:val="0"/>
        </w:rPr>
        <w:t xml:space="preserve">inhibits the differentiation of osteoblasts </w:t>
      </w:r>
      <w:r w:rsidR="007119C1" w:rsidRPr="007B43A9">
        <w:rPr>
          <w:rFonts w:ascii="Book Antiqua" w:eastAsia="Times New Roman" w:hAnsi="Book Antiqua" w:cs="Times New Roman"/>
          <w:color w:val="000000" w:themeColor="text1"/>
          <w:kern w:val="0"/>
        </w:rPr>
        <w:t xml:space="preserve">(above 75%) </w:t>
      </w:r>
      <w:r w:rsidRPr="007B43A9">
        <w:rPr>
          <w:rFonts w:ascii="Book Antiqua" w:eastAsia="Times New Roman" w:hAnsi="Book Antiqua" w:cs="Times New Roman"/>
          <w:color w:val="000000" w:themeColor="text1"/>
          <w:kern w:val="0"/>
        </w:rPr>
        <w:t>at</w:t>
      </w:r>
      <w:r w:rsidR="00897867" w:rsidRPr="007B43A9">
        <w:rPr>
          <w:rFonts w:ascii="Book Antiqua" w:eastAsia="Times New Roman" w:hAnsi="Book Antiqua" w:cs="Times New Roman"/>
          <w:color w:val="000000" w:themeColor="text1"/>
          <w:kern w:val="0"/>
        </w:rPr>
        <w:t xml:space="preserve"> concentrations up to 500 μg/mL</w:t>
      </w:r>
      <w:r w:rsidRPr="007B43A9">
        <w:rPr>
          <w:rFonts w:ascii="Book Antiqua" w:eastAsia="Times New Roman" w:hAnsi="Book Antiqua" w:cs="Times New Roman"/>
          <w:color w:val="000000" w:themeColor="text1"/>
          <w:kern w:val="0"/>
          <w:vertAlign w:val="superscript"/>
        </w:rPr>
        <w:t>[14]</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p>
    <w:p w14:paraId="06EAF624" w14:textId="60DB8C64" w:rsidR="00CE48F3" w:rsidRPr="007B43A9" w:rsidRDefault="004F3129" w:rsidP="00897867">
      <w:pPr>
        <w:widowControl/>
        <w:spacing w:line="360" w:lineRule="auto"/>
        <w:ind w:firstLineChars="100" w:firstLine="240"/>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Carbapenems are a new class of β-lactams that are known for their broad spectrum.</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These drugs have strong antibacterial activity against most Gram-positive, Gram-negative, aerobic, anaerobic, and multi-drug resistant bacteria, and are one of the most important antibacterial drugs employed for the treatment of serious bacterial infections.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Imipenem and meropenem are representative drugs that fall under in this category.</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Studies on the </w:t>
      </w:r>
      <w:r w:rsidR="007002B9" w:rsidRPr="007B43A9">
        <w:rPr>
          <w:rFonts w:ascii="Book Antiqua" w:eastAsia="Times New Roman" w:hAnsi="Book Antiqua" w:cs="Times New Roman"/>
          <w:color w:val="000000" w:themeColor="text1"/>
          <w:kern w:val="0"/>
        </w:rPr>
        <w:t xml:space="preserve">effect of these two drugs on </w:t>
      </w:r>
      <w:r w:rsidRPr="007B43A9">
        <w:rPr>
          <w:rFonts w:ascii="Book Antiqua" w:eastAsia="Times New Roman" w:hAnsi="Book Antiqua" w:cs="Times New Roman"/>
          <w:color w:val="000000" w:themeColor="text1"/>
          <w:kern w:val="0"/>
        </w:rPr>
        <w:t>differentiation of human osteoblasts</w:t>
      </w:r>
      <w:r w:rsidR="007002B9"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have shown that imipenem does not have a significant effect on the different</w:t>
      </w:r>
      <w:r w:rsidR="00A22236" w:rsidRPr="007B43A9">
        <w:rPr>
          <w:rFonts w:ascii="Book Antiqua" w:eastAsia="Times New Roman" w:hAnsi="Book Antiqua" w:cs="Times New Roman"/>
          <w:color w:val="000000" w:themeColor="text1"/>
          <w:kern w:val="0"/>
        </w:rPr>
        <w:t>iation potential of osteoblasts</w:t>
      </w:r>
      <w:r w:rsidRPr="007B43A9">
        <w:rPr>
          <w:rFonts w:ascii="Book Antiqua" w:eastAsia="Times New Roman" w:hAnsi="Book Antiqua" w:cs="Times New Roman"/>
          <w:color w:val="000000" w:themeColor="text1"/>
          <w:kern w:val="0"/>
          <w:vertAlign w:val="superscript"/>
        </w:rPr>
        <w:t>[14]</w:t>
      </w:r>
      <w:r w:rsidRPr="007B43A9">
        <w:rPr>
          <w:rFonts w:ascii="Book Antiqua" w:eastAsia="Times New Roman" w:hAnsi="Book Antiqua" w:cs="Times New Roman"/>
          <w:color w:val="000000" w:themeColor="text1"/>
          <w:kern w:val="0"/>
        </w:rPr>
        <w:t>, while meropenem inhibits the differentiation of osteoblasts to a certain extent at conce</w:t>
      </w:r>
      <w:r w:rsidR="00897867" w:rsidRPr="007B43A9">
        <w:rPr>
          <w:rFonts w:ascii="Book Antiqua" w:eastAsia="Times New Roman" w:hAnsi="Book Antiqua" w:cs="Times New Roman"/>
          <w:color w:val="000000" w:themeColor="text1"/>
          <w:kern w:val="0"/>
        </w:rPr>
        <w:t>ntration</w:t>
      </w:r>
      <w:r w:rsidR="007002B9" w:rsidRPr="007B43A9">
        <w:rPr>
          <w:rFonts w:ascii="Book Antiqua" w:eastAsia="Times New Roman" w:hAnsi="Book Antiqua" w:cs="Times New Roman"/>
          <w:color w:val="000000" w:themeColor="text1"/>
          <w:kern w:val="0"/>
        </w:rPr>
        <w:t>s</w:t>
      </w:r>
      <w:r w:rsidR="00897867" w:rsidRPr="007B43A9">
        <w:rPr>
          <w:rFonts w:ascii="Book Antiqua" w:eastAsia="Times New Roman" w:hAnsi="Book Antiqua" w:cs="Times New Roman"/>
          <w:color w:val="000000" w:themeColor="text1"/>
          <w:kern w:val="0"/>
        </w:rPr>
        <w:t xml:space="preserve"> of more than 500 μg/mL</w:t>
      </w:r>
      <w:r w:rsidRPr="007B43A9">
        <w:rPr>
          <w:rFonts w:ascii="Book Antiqua" w:eastAsia="Times New Roman" w:hAnsi="Book Antiqua" w:cs="Times New Roman"/>
          <w:color w:val="000000" w:themeColor="text1"/>
          <w:kern w:val="0"/>
          <w:vertAlign w:val="superscript"/>
        </w:rPr>
        <w:t>[14]</w:t>
      </w:r>
      <w:r w:rsidRPr="007B43A9">
        <w:rPr>
          <w:rFonts w:ascii="Book Antiqua" w:eastAsia="Times New Roman" w:hAnsi="Book Antiqua" w:cs="Times New Roman"/>
          <w:color w:val="000000" w:themeColor="text1"/>
          <w:kern w:val="0"/>
        </w:rPr>
        <w:t>.</w:t>
      </w:r>
    </w:p>
    <w:p w14:paraId="3B83FA01" w14:textId="77777777" w:rsidR="00897867" w:rsidRPr="007B43A9" w:rsidRDefault="00897867" w:rsidP="00897867">
      <w:pPr>
        <w:widowControl/>
        <w:spacing w:line="360" w:lineRule="auto"/>
        <w:ind w:firstLineChars="100" w:firstLine="240"/>
        <w:rPr>
          <w:rFonts w:ascii="Book Antiqua" w:hAnsi="Book Antiqua" w:cs="Times New Roman"/>
          <w:color w:val="000000" w:themeColor="text1"/>
          <w:kern w:val="0"/>
        </w:rPr>
      </w:pPr>
    </w:p>
    <w:p w14:paraId="1351F540" w14:textId="28B548D2" w:rsidR="00CE48F3" w:rsidRPr="007B43A9" w:rsidRDefault="00CE48F3" w:rsidP="005142C8">
      <w:pPr>
        <w:widowControl/>
        <w:spacing w:line="360" w:lineRule="auto"/>
        <w:rPr>
          <w:rFonts w:ascii="Book Antiqua" w:hAnsi="Book Antiqua" w:cs="Times New Roman"/>
          <w:color w:val="000000" w:themeColor="text1"/>
          <w:kern w:val="0"/>
        </w:rPr>
      </w:pPr>
      <w:r w:rsidRPr="007B43A9">
        <w:rPr>
          <w:rFonts w:ascii="Book Antiqua" w:eastAsia="Times New Roman" w:hAnsi="Book Antiqua" w:cs="Times New Roman"/>
          <w:b/>
          <w:color w:val="000000" w:themeColor="text1"/>
          <w:kern w:val="0"/>
        </w:rPr>
        <w:t>Macrolides</w:t>
      </w:r>
      <w:r w:rsidR="00897867" w:rsidRPr="007B43A9">
        <w:rPr>
          <w:rFonts w:ascii="Book Antiqua" w:hAnsi="Book Antiqua" w:cs="Times New Roman" w:hint="eastAsia"/>
          <w:b/>
          <w:color w:val="000000" w:themeColor="text1"/>
          <w:kern w:val="0"/>
        </w:rPr>
        <w:t xml:space="preserve">: </w:t>
      </w:r>
      <w:r w:rsidR="004F3129" w:rsidRPr="007B43A9">
        <w:rPr>
          <w:rFonts w:ascii="Book Antiqua" w:eastAsia="Times New Roman" w:hAnsi="Book Antiqua" w:cs="Times New Roman"/>
          <w:color w:val="000000" w:themeColor="text1"/>
          <w:kern w:val="0"/>
        </w:rPr>
        <w:t>Macrolide antibiotics, drugs that inhibit bacterial protein synthesis by blocking peptide acyltransferase in bacterial ribosomes, are a class of drugs with extensive antibacterial spectrum.</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Azithromycin is a drug commonly used in clinical practice</w:t>
      </w:r>
      <w:r w:rsidRPr="007B43A9">
        <w:rPr>
          <w:rFonts w:ascii="Book Antiqua" w:eastAsia="Times New Roman" w:hAnsi="Book Antiqua" w:cs="Times New Roman"/>
          <w:color w:val="000000" w:themeColor="text1"/>
          <w:kern w:val="0"/>
        </w:rPr>
        <w:t xml:space="preserve">, </w:t>
      </w:r>
      <w:r w:rsidR="004F3129" w:rsidRPr="007B43A9">
        <w:rPr>
          <w:rFonts w:ascii="Book Antiqua" w:eastAsia="Times New Roman" w:hAnsi="Book Antiqua" w:cs="Times New Roman"/>
          <w:color w:val="000000" w:themeColor="text1"/>
          <w:kern w:val="0"/>
        </w:rPr>
        <w:t>and has certain inhibitory effects on various bacteria, mycoplasma, and chlamydia.</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Studies have shown that azithromycin does not produce cytotoxicity in the concentration range of 0-200 μg/mL; however, it inhibits the differentiation potential of osteoblasts at very low concentrations.</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When its concentration exceeds 10 μg/mL, the differentiation of human osteoblasts grown in the osteogenic induction environment was significantly inhibited, and the level of intracellular ALP synth</w:t>
      </w:r>
      <w:r w:rsidR="00897867" w:rsidRPr="007B43A9">
        <w:rPr>
          <w:rFonts w:ascii="Book Antiqua" w:eastAsia="Times New Roman" w:hAnsi="Book Antiqua" w:cs="Times New Roman"/>
          <w:color w:val="000000" w:themeColor="text1"/>
          <w:kern w:val="0"/>
        </w:rPr>
        <w:t>esis decreased by more than 75%</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w:t>
      </w:r>
    </w:p>
    <w:p w14:paraId="4DB76DC4" w14:textId="77777777" w:rsidR="00897867" w:rsidRPr="007B43A9" w:rsidRDefault="00897867" w:rsidP="005142C8">
      <w:pPr>
        <w:widowControl/>
        <w:spacing w:line="360" w:lineRule="auto"/>
        <w:rPr>
          <w:rFonts w:ascii="Book Antiqua" w:hAnsi="Book Antiqua" w:cs="Times New Roman"/>
          <w:b/>
          <w:color w:val="000000" w:themeColor="text1"/>
          <w:kern w:val="0"/>
        </w:rPr>
      </w:pPr>
    </w:p>
    <w:p w14:paraId="37F6C193" w14:textId="61A5C1D3" w:rsidR="00CE48F3" w:rsidRPr="007B43A9" w:rsidRDefault="00CE48F3" w:rsidP="005142C8">
      <w:pPr>
        <w:widowControl/>
        <w:spacing w:line="360" w:lineRule="auto"/>
        <w:rPr>
          <w:rFonts w:ascii="Book Antiqua" w:hAnsi="Book Antiqua" w:cs="Times New Roman"/>
          <w:color w:val="000000" w:themeColor="text1"/>
          <w:kern w:val="0"/>
        </w:rPr>
      </w:pPr>
      <w:bookmarkStart w:id="43" w:name="OLE_LINK52"/>
      <w:bookmarkStart w:id="44" w:name="OLE_LINK53"/>
      <w:r w:rsidRPr="007B43A9">
        <w:rPr>
          <w:rFonts w:ascii="Book Antiqua" w:eastAsia="Times New Roman" w:hAnsi="Book Antiqua" w:cs="Times New Roman"/>
          <w:b/>
          <w:color w:val="000000" w:themeColor="text1"/>
          <w:kern w:val="0"/>
        </w:rPr>
        <w:t>Aminoglycosides</w:t>
      </w:r>
      <w:r w:rsidR="00897867" w:rsidRPr="007B43A9">
        <w:rPr>
          <w:rFonts w:ascii="Book Antiqua" w:hAnsi="Book Antiqua" w:cs="Times New Roman" w:hint="eastAsia"/>
          <w:b/>
          <w:color w:val="000000" w:themeColor="text1"/>
          <w:kern w:val="0"/>
        </w:rPr>
        <w:t>:</w:t>
      </w:r>
      <w:bookmarkEnd w:id="43"/>
      <w:bookmarkEnd w:id="44"/>
      <w:r w:rsidR="00897867" w:rsidRPr="007B43A9">
        <w:rPr>
          <w:rFonts w:ascii="Book Antiqua" w:hAnsi="Book Antiqua" w:cs="Times New Roman" w:hint="eastAsia"/>
          <w:b/>
          <w:color w:val="000000" w:themeColor="text1"/>
          <w:kern w:val="0"/>
        </w:rPr>
        <w:t xml:space="preserve"> </w:t>
      </w:r>
      <w:r w:rsidR="004F3129" w:rsidRPr="007B43A9">
        <w:rPr>
          <w:rFonts w:ascii="Book Antiqua" w:eastAsia="Times New Roman" w:hAnsi="Book Antiqua" w:cs="Times New Roman"/>
          <w:color w:val="000000" w:themeColor="text1"/>
          <w:kern w:val="0"/>
        </w:rPr>
        <w:t>Aminoglycoside antibiotics are a class of drugs that are effective against Gram-negative bacteria and aerobic bacteria, and gentamicin is a representative drug of this category.</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Studies have shown that gentamicin inhibits the osteogenic differentiation of human osteoblasts.</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When the drug concentration is less than 100 μg/mL, the drug does not have a significant effect on osteogenic differentiation. However, when its concentration exceeds 10</w:t>
      </w:r>
      <w:r w:rsidR="00082356" w:rsidRPr="007B43A9">
        <w:rPr>
          <w:rFonts w:ascii="Book Antiqua" w:eastAsia="Times New Roman" w:hAnsi="Book Antiqua" w:cs="Times New Roman"/>
          <w:color w:val="000000" w:themeColor="text1"/>
          <w:kern w:val="0"/>
        </w:rPr>
        <w:t>0 μg/mL, gentamicin exhibits</w:t>
      </w:r>
      <w:r w:rsidR="004F3129" w:rsidRPr="007B43A9">
        <w:rPr>
          <w:rFonts w:ascii="Book Antiqua" w:eastAsia="Times New Roman" w:hAnsi="Book Antiqua" w:cs="Times New Roman"/>
          <w:color w:val="000000" w:themeColor="text1"/>
          <w:kern w:val="0"/>
        </w:rPr>
        <w:t xml:space="preserve"> osteogenic inhibitory effect</w:t>
      </w:r>
      <w:r w:rsidR="00082356" w:rsidRPr="007B43A9">
        <w:rPr>
          <w:rFonts w:ascii="Book Antiqua" w:eastAsia="Times New Roman" w:hAnsi="Book Antiqua" w:cs="Times New Roman"/>
          <w:color w:val="000000" w:themeColor="text1"/>
          <w:kern w:val="0"/>
        </w:rPr>
        <w:t>s</w:t>
      </w:r>
      <w:r w:rsidR="004F3129" w:rsidRPr="007B43A9">
        <w:rPr>
          <w:rFonts w:ascii="Book Antiqua" w:eastAsia="Times New Roman" w:hAnsi="Book Antiqua" w:cs="Times New Roman"/>
          <w:color w:val="000000" w:themeColor="text1"/>
          <w:kern w:val="0"/>
        </w:rPr>
        <w:t xml:space="preserve">. When its concentration exceeds 500 μg/mL, the osteogenic differentiation potential </w:t>
      </w:r>
      <w:r w:rsidR="00897867" w:rsidRPr="007B43A9">
        <w:rPr>
          <w:rFonts w:ascii="Book Antiqua" w:eastAsia="Times New Roman" w:hAnsi="Book Antiqua" w:cs="Times New Roman"/>
          <w:color w:val="000000" w:themeColor="text1"/>
          <w:kern w:val="0"/>
        </w:rPr>
        <w:t>is almost completely suppressed</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In another study, a similar phenomenon was observed in bone marrow-derived MSCs. When the gentamicin concentration reached 75 μg/mL, the proliferation and osteogenic differentiation activity </w:t>
      </w:r>
      <w:r w:rsidR="00897867" w:rsidRPr="007B43A9">
        <w:rPr>
          <w:rFonts w:ascii="Book Antiqua" w:eastAsia="Times New Roman" w:hAnsi="Book Antiqua" w:cs="Times New Roman"/>
          <w:color w:val="000000" w:themeColor="text1"/>
          <w:kern w:val="0"/>
        </w:rPr>
        <w:t>of MSCs decreased significantly</w:t>
      </w:r>
      <w:r w:rsidR="004F3129" w:rsidRPr="007B43A9">
        <w:rPr>
          <w:rFonts w:ascii="Book Antiqua" w:eastAsia="Times New Roman" w:hAnsi="Book Antiqua" w:cs="Times New Roman"/>
          <w:color w:val="000000" w:themeColor="text1"/>
          <w:kern w:val="0"/>
          <w:vertAlign w:val="superscript"/>
        </w:rPr>
        <w:t>[16]</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In addition, studies have shown that gentamicin can inhibit the osteogenic differentiation of human bone marrow-derived MSCs in a dose-dependent manner within a concentration r</w:t>
      </w:r>
      <w:r w:rsidR="00980651" w:rsidRPr="007B43A9">
        <w:rPr>
          <w:rFonts w:ascii="Book Antiqua" w:eastAsia="Times New Roman" w:hAnsi="Book Antiqua" w:cs="Times New Roman"/>
          <w:color w:val="000000" w:themeColor="text1"/>
          <w:kern w:val="0"/>
        </w:rPr>
        <w:t>ange of 50</w:t>
      </w:r>
      <w:r w:rsidR="00897867" w:rsidRPr="007B43A9">
        <w:rPr>
          <w:rFonts w:ascii="Book Antiqua" w:eastAsia="Times New Roman" w:hAnsi="Book Antiqua" w:cs="Times New Roman"/>
          <w:color w:val="000000" w:themeColor="text1"/>
          <w:kern w:val="0"/>
        </w:rPr>
        <w:t>-200 μg/mL</w:t>
      </w:r>
      <w:r w:rsidR="004F3129" w:rsidRPr="007B43A9">
        <w:rPr>
          <w:rFonts w:ascii="Book Antiqua" w:eastAsia="Times New Roman" w:hAnsi="Book Antiqua" w:cs="Times New Roman"/>
          <w:color w:val="000000" w:themeColor="text1"/>
          <w:kern w:val="0"/>
          <w:vertAlign w:val="superscript"/>
        </w:rPr>
        <w:t>[17]</w:t>
      </w:r>
      <w:r w:rsidR="004F3129" w:rsidRPr="007B43A9">
        <w:rPr>
          <w:rFonts w:ascii="Book Antiqua" w:eastAsia="Times New Roman" w:hAnsi="Book Antiqua" w:cs="Times New Roman"/>
          <w:color w:val="000000" w:themeColor="text1"/>
          <w:kern w:val="0"/>
        </w:rPr>
        <w:t>.</w:t>
      </w:r>
      <w:r w:rsidR="009E7635" w:rsidRPr="007B43A9">
        <w:rPr>
          <w:rFonts w:ascii="Book Antiqua" w:eastAsia="Times New Roman" w:hAnsi="Book Antiqua" w:cs="Times New Roman"/>
          <w:color w:val="000000" w:themeColor="text1"/>
          <w:kern w:val="0"/>
        </w:rPr>
        <w:t xml:space="preserve"> The</w:t>
      </w:r>
      <w:r w:rsidR="00266064" w:rsidRPr="007B43A9">
        <w:rPr>
          <w:rFonts w:ascii="Book Antiqua" w:eastAsia="Times New Roman" w:hAnsi="Book Antiqua" w:cs="Times New Roman"/>
          <w:color w:val="000000" w:themeColor="text1"/>
          <w:kern w:val="0"/>
        </w:rPr>
        <w:t xml:space="preserve"> ALP level in the C2C12 cell line </w:t>
      </w:r>
      <w:r w:rsidR="004F3129" w:rsidRPr="007B43A9">
        <w:rPr>
          <w:rFonts w:ascii="Book Antiqua" w:eastAsia="Times New Roman" w:hAnsi="Book Antiqua" w:cs="Times New Roman"/>
          <w:color w:val="000000" w:themeColor="text1"/>
          <w:kern w:val="0"/>
        </w:rPr>
        <w:t xml:space="preserve">was </w:t>
      </w:r>
      <w:r w:rsidR="00890229" w:rsidRPr="007B43A9">
        <w:rPr>
          <w:rFonts w:ascii="Book Antiqua" w:eastAsia="Times New Roman" w:hAnsi="Book Antiqua" w:cs="Times New Roman"/>
          <w:color w:val="000000" w:themeColor="text1"/>
          <w:kern w:val="0"/>
        </w:rPr>
        <w:t>simil</w:t>
      </w:r>
      <w:r w:rsidR="00ED0057" w:rsidRPr="007B43A9">
        <w:rPr>
          <w:rFonts w:ascii="Book Antiqua" w:eastAsia="Times New Roman" w:hAnsi="Book Antiqua" w:cs="Times New Roman"/>
          <w:color w:val="000000" w:themeColor="text1"/>
          <w:kern w:val="0"/>
        </w:rPr>
        <w:t>arly</w:t>
      </w:r>
      <w:r w:rsidR="004F3129" w:rsidRPr="007B43A9">
        <w:rPr>
          <w:rFonts w:ascii="Book Antiqua" w:eastAsia="Times New Roman" w:hAnsi="Book Antiqua" w:cs="Times New Roman"/>
          <w:color w:val="000000" w:themeColor="text1"/>
          <w:kern w:val="0"/>
        </w:rPr>
        <w:t xml:space="preserve"> </w:t>
      </w:r>
      <w:r w:rsidR="00890229" w:rsidRPr="007B43A9">
        <w:rPr>
          <w:rFonts w:ascii="Book Antiqua" w:eastAsia="Times New Roman" w:hAnsi="Book Antiqua" w:cs="Times New Roman"/>
          <w:color w:val="000000" w:themeColor="text1"/>
          <w:kern w:val="0"/>
        </w:rPr>
        <w:t xml:space="preserve">been </w:t>
      </w:r>
      <w:r w:rsidR="005A2789" w:rsidRPr="007B43A9">
        <w:rPr>
          <w:rFonts w:ascii="Book Antiqua" w:eastAsia="Times New Roman" w:hAnsi="Book Antiqua" w:cs="Times New Roman"/>
          <w:color w:val="000000" w:themeColor="text1"/>
          <w:kern w:val="0"/>
        </w:rPr>
        <w:t>reduc</w:t>
      </w:r>
      <w:r w:rsidR="004F3129" w:rsidRPr="007B43A9">
        <w:rPr>
          <w:rFonts w:ascii="Book Antiqua" w:eastAsia="Times New Roman" w:hAnsi="Book Antiqua" w:cs="Times New Roman"/>
          <w:color w:val="000000" w:themeColor="text1"/>
          <w:kern w:val="0"/>
        </w:rPr>
        <w:t xml:space="preserve">ed </w:t>
      </w:r>
      <w:r w:rsidR="00897867" w:rsidRPr="007B43A9">
        <w:rPr>
          <w:rFonts w:ascii="Book Antiqua" w:eastAsia="Times New Roman" w:hAnsi="Book Antiqua" w:cs="Times New Roman"/>
          <w:color w:val="000000" w:themeColor="text1"/>
          <w:kern w:val="0"/>
        </w:rPr>
        <w:t>by gentamicin</w:t>
      </w:r>
      <w:r w:rsidR="004F3129" w:rsidRPr="007B43A9">
        <w:rPr>
          <w:rFonts w:ascii="Book Antiqua" w:eastAsia="Times New Roman" w:hAnsi="Book Antiqua" w:cs="Times New Roman"/>
          <w:color w:val="000000" w:themeColor="text1"/>
          <w:kern w:val="0"/>
          <w:vertAlign w:val="superscript"/>
        </w:rPr>
        <w:t>[18]</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Amikacin is a drug commonly used for the treatment of gentamicin-resistant infectious diseases.</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Its most prominent advantage is that it remains stable and active against the aminoglycoside inactivating enzymes produced by many Gram-negative bacilli.</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In addition, its effect on osteoblast differentiation is also less severe than that of gentamicin. At an amikacin concentration of 1000 μg/mL, the osteogenic differentiation of osteoblasts is still not significantly inhibited. Osteogenesis inhibition is exhibited only after the amikacin level reaches a very high co</w:t>
      </w:r>
      <w:r w:rsidR="00897867" w:rsidRPr="007B43A9">
        <w:rPr>
          <w:rFonts w:ascii="Book Antiqua" w:eastAsia="Times New Roman" w:hAnsi="Book Antiqua" w:cs="Times New Roman"/>
          <w:color w:val="000000" w:themeColor="text1"/>
          <w:kern w:val="0"/>
        </w:rPr>
        <w:t>ncentration of 2000 μg/mL</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As an aminoglycoside, tobramycin is often used for the treatment of gentamicin-resistant </w:t>
      </w:r>
      <w:r w:rsidR="004F3129" w:rsidRPr="007B43A9">
        <w:rPr>
          <w:rFonts w:ascii="Book Antiqua" w:eastAsia="Times New Roman" w:hAnsi="Book Antiqua" w:cs="Times New Roman"/>
          <w:i/>
          <w:color w:val="000000" w:themeColor="text1"/>
          <w:kern w:val="0"/>
        </w:rPr>
        <w:t>Pseudomonas aeruginosa</w:t>
      </w:r>
      <w:r w:rsidR="004F3129" w:rsidRPr="007B43A9">
        <w:rPr>
          <w:rFonts w:ascii="Book Antiqua" w:eastAsia="Times New Roman" w:hAnsi="Book Antiqua" w:cs="Times New Roman"/>
          <w:color w:val="000000" w:themeColor="text1"/>
          <w:kern w:val="0"/>
        </w:rPr>
        <w:t xml:space="preserve"> infections.</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Studies have shown that tobramycin may have a lower cytotoxicity than gentamicin while exhibiting antibacterial effect</w:t>
      </w:r>
      <w:r w:rsidR="007A6B1F" w:rsidRPr="007B43A9">
        <w:rPr>
          <w:rFonts w:ascii="Book Antiqua" w:eastAsia="Times New Roman" w:hAnsi="Book Antiqua" w:cs="Times New Roman"/>
          <w:color w:val="000000" w:themeColor="text1"/>
          <w:kern w:val="0"/>
        </w:rPr>
        <w:t>s</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However, the effect </w:t>
      </w:r>
      <w:bookmarkStart w:id="45" w:name="OLE_LINK212"/>
      <w:bookmarkStart w:id="46" w:name="OLE_LINK213"/>
      <w:r w:rsidR="004F3129" w:rsidRPr="007B43A9">
        <w:rPr>
          <w:rFonts w:ascii="Book Antiqua" w:eastAsia="Times New Roman" w:hAnsi="Book Antiqua" w:cs="Times New Roman"/>
          <w:color w:val="000000" w:themeColor="text1"/>
          <w:kern w:val="0"/>
        </w:rPr>
        <w:t>of tobramycin</w:t>
      </w:r>
      <w:bookmarkEnd w:id="45"/>
      <w:bookmarkEnd w:id="46"/>
      <w:r w:rsidR="004F3129" w:rsidRPr="007B43A9">
        <w:rPr>
          <w:rFonts w:ascii="Book Antiqua" w:eastAsia="Times New Roman" w:hAnsi="Book Antiqua" w:cs="Times New Roman"/>
          <w:color w:val="000000" w:themeColor="text1"/>
          <w:kern w:val="0"/>
        </w:rPr>
        <w:t xml:space="preserve"> on osteogenic diff</w:t>
      </w:r>
      <w:r w:rsidR="00897867" w:rsidRPr="007B43A9">
        <w:rPr>
          <w:rFonts w:ascii="Book Antiqua" w:eastAsia="Times New Roman" w:hAnsi="Book Antiqua" w:cs="Times New Roman"/>
          <w:color w:val="000000" w:themeColor="text1"/>
          <w:kern w:val="0"/>
        </w:rPr>
        <w:t>erentiation is still inhibitory</w:t>
      </w:r>
      <w:r w:rsidR="004F3129" w:rsidRPr="007B43A9">
        <w:rPr>
          <w:rFonts w:ascii="Book Antiqua" w:eastAsia="Times New Roman" w:hAnsi="Book Antiqua" w:cs="Times New Roman"/>
          <w:color w:val="000000" w:themeColor="text1"/>
          <w:kern w:val="0"/>
          <w:vertAlign w:val="superscript"/>
        </w:rPr>
        <w:t>[19]</w:t>
      </w:r>
      <w:r w:rsidRPr="007B43A9">
        <w:rPr>
          <w:rFonts w:ascii="Book Antiqua" w:eastAsia="Times New Roman" w:hAnsi="Book Antiqua" w:cs="Times New Roman"/>
          <w:color w:val="000000" w:themeColor="text1"/>
          <w:kern w:val="0"/>
        </w:rPr>
        <w:t>. When the con</w:t>
      </w:r>
      <w:r w:rsidR="004F3129" w:rsidRPr="007B43A9">
        <w:rPr>
          <w:rFonts w:ascii="Book Antiqua" w:eastAsia="Times New Roman" w:hAnsi="Book Antiqua" w:cs="Times New Roman"/>
          <w:color w:val="000000" w:themeColor="text1"/>
          <w:kern w:val="0"/>
        </w:rPr>
        <w:t>centration of tobramycin reaches 300 and 500 μg/mL</w:t>
      </w:r>
      <w:r w:rsidRPr="007B43A9">
        <w:rPr>
          <w:rFonts w:ascii="Book Antiqua" w:eastAsia="Times New Roman" w:hAnsi="Book Antiqua" w:cs="Times New Roman"/>
          <w:color w:val="000000" w:themeColor="text1"/>
          <w:kern w:val="0"/>
        </w:rPr>
        <w:t xml:space="preserve">, the osteogenic differentiation </w:t>
      </w:r>
      <w:r w:rsidR="00AC584B" w:rsidRPr="007B43A9">
        <w:rPr>
          <w:rFonts w:ascii="Book Antiqua" w:eastAsia="Times New Roman" w:hAnsi="Book Antiqua" w:cs="Times New Roman"/>
          <w:color w:val="000000" w:themeColor="text1"/>
          <w:kern w:val="0"/>
        </w:rPr>
        <w:t xml:space="preserve">potential </w:t>
      </w:r>
      <w:r w:rsidRPr="007B43A9">
        <w:rPr>
          <w:rFonts w:ascii="Book Antiqua" w:eastAsia="Times New Roman" w:hAnsi="Book Antiqua" w:cs="Times New Roman"/>
          <w:color w:val="000000" w:themeColor="text1"/>
          <w:kern w:val="0"/>
        </w:rPr>
        <w:t xml:space="preserve">of human bone marrow-derived MSCs and osteoblasts </w:t>
      </w:r>
      <w:r w:rsidR="004F3129" w:rsidRPr="007B43A9">
        <w:rPr>
          <w:rFonts w:ascii="Book Antiqua" w:eastAsia="Times New Roman" w:hAnsi="Book Antiqua" w:cs="Times New Roman"/>
          <w:color w:val="000000" w:themeColor="text1"/>
          <w:kern w:val="0"/>
        </w:rPr>
        <w:t>is</w:t>
      </w:r>
      <w:r w:rsidR="00897867" w:rsidRPr="007B43A9">
        <w:rPr>
          <w:rFonts w:ascii="Book Antiqua" w:eastAsia="Times New Roman" w:hAnsi="Book Antiqua" w:cs="Times New Roman"/>
          <w:color w:val="000000" w:themeColor="text1"/>
          <w:kern w:val="0"/>
        </w:rPr>
        <w:t xml:space="preserve"> inhibited, respectively</w:t>
      </w:r>
      <w:r w:rsidR="00897867" w:rsidRPr="007B43A9">
        <w:rPr>
          <w:rFonts w:ascii="Book Antiqua" w:eastAsia="Times New Roman" w:hAnsi="Book Antiqua" w:cs="Times New Roman"/>
          <w:noProof/>
          <w:color w:val="000000" w:themeColor="text1"/>
          <w:kern w:val="0"/>
          <w:vertAlign w:val="superscript"/>
        </w:rPr>
        <w:t>[14,</w:t>
      </w:r>
      <w:r w:rsidRPr="007B43A9">
        <w:rPr>
          <w:rFonts w:ascii="Book Antiqua" w:eastAsia="Times New Roman" w:hAnsi="Book Antiqua" w:cs="Times New Roman"/>
          <w:noProof/>
          <w:color w:val="000000" w:themeColor="text1"/>
          <w:kern w:val="0"/>
          <w:vertAlign w:val="superscript"/>
        </w:rPr>
        <w:t>20]</w:t>
      </w:r>
      <w:r w:rsidRPr="007B43A9">
        <w:rPr>
          <w:rFonts w:ascii="Book Antiqua" w:eastAsia="Times New Roman" w:hAnsi="Book Antiqua" w:cs="Times New Roman"/>
          <w:color w:val="000000" w:themeColor="text1"/>
          <w:kern w:val="0"/>
        </w:rPr>
        <w:t>.</w:t>
      </w:r>
    </w:p>
    <w:p w14:paraId="0079B483" w14:textId="77777777" w:rsidR="00897867" w:rsidRPr="007B43A9" w:rsidRDefault="00897867" w:rsidP="005142C8">
      <w:pPr>
        <w:widowControl/>
        <w:spacing w:line="360" w:lineRule="auto"/>
        <w:rPr>
          <w:rFonts w:ascii="Book Antiqua" w:hAnsi="Book Antiqua" w:cs="Times New Roman"/>
          <w:b/>
          <w:color w:val="000000" w:themeColor="text1"/>
          <w:kern w:val="0"/>
        </w:rPr>
      </w:pPr>
    </w:p>
    <w:p w14:paraId="3CD60B10" w14:textId="2208A2C9" w:rsidR="00CE48F3" w:rsidRPr="007B43A9" w:rsidRDefault="00CE48F3" w:rsidP="005142C8">
      <w:pPr>
        <w:widowControl/>
        <w:spacing w:line="360" w:lineRule="auto"/>
        <w:rPr>
          <w:rFonts w:ascii="Book Antiqua" w:hAnsi="Book Antiqua" w:cs="Times New Roman"/>
          <w:color w:val="000000" w:themeColor="text1"/>
          <w:kern w:val="0"/>
        </w:rPr>
      </w:pPr>
      <w:bookmarkStart w:id="47" w:name="OLE_LINK54"/>
      <w:bookmarkStart w:id="48" w:name="OLE_LINK55"/>
      <w:r w:rsidRPr="007B43A9">
        <w:rPr>
          <w:rFonts w:ascii="Book Antiqua" w:eastAsia="Times New Roman" w:hAnsi="Book Antiqua" w:cs="Times New Roman"/>
          <w:b/>
          <w:color w:val="000000" w:themeColor="text1"/>
          <w:kern w:val="0"/>
        </w:rPr>
        <w:t>Tetracyclines</w:t>
      </w:r>
      <w:bookmarkEnd w:id="47"/>
      <w:bookmarkEnd w:id="48"/>
      <w:r w:rsidR="00897867" w:rsidRPr="007B43A9">
        <w:rPr>
          <w:rFonts w:ascii="Book Antiqua" w:hAnsi="Book Antiqua" w:cs="Times New Roman" w:hint="eastAsia"/>
          <w:b/>
          <w:color w:val="000000" w:themeColor="text1"/>
          <w:kern w:val="0"/>
        </w:rPr>
        <w:t xml:space="preserve">: </w:t>
      </w:r>
      <w:r w:rsidR="004F3129" w:rsidRPr="007B43A9">
        <w:rPr>
          <w:rFonts w:ascii="Book Antiqua" w:eastAsia="Times New Roman" w:hAnsi="Book Antiqua" w:cs="Times New Roman"/>
          <w:color w:val="000000" w:themeColor="text1"/>
          <w:kern w:val="0"/>
        </w:rPr>
        <w:t>Tetracycline antibiotics exhibit a therapeutic effect on a variety of bacterial, rickettsial, chlamydial, and mycoplasma infections.</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Tetracycline is a representative member of such drugs. In addition to its role in killing various pathogenic microorganisms, tetracycline has been reported to exhibit bone tissue affinity and can, thus, be used</w:t>
      </w:r>
      <w:r w:rsidR="00897867" w:rsidRPr="007B43A9">
        <w:rPr>
          <w:rFonts w:ascii="Book Antiqua" w:eastAsia="Times New Roman" w:hAnsi="Book Antiqua" w:cs="Times New Roman"/>
          <w:color w:val="000000" w:themeColor="text1"/>
          <w:kern w:val="0"/>
        </w:rPr>
        <w:t xml:space="preserve"> for various targeted therapies</w:t>
      </w:r>
      <w:r w:rsidR="004F3129" w:rsidRPr="007B43A9">
        <w:rPr>
          <w:rFonts w:ascii="Book Antiqua" w:eastAsia="Times New Roman" w:hAnsi="Book Antiqua" w:cs="Times New Roman"/>
          <w:color w:val="000000" w:themeColor="text1"/>
          <w:kern w:val="0"/>
          <w:vertAlign w:val="superscript"/>
        </w:rPr>
        <w:t>[21]</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Studies related to osteogenic differentiation have shown that 10 μg/mL tetracycline can promote osteogenic differentiation of rat bone marrow-derived MSCs, increase ALP and mineralized nodules, and upregulate the osteogenic</w:t>
      </w:r>
      <w:r w:rsidR="00897867" w:rsidRPr="007B43A9">
        <w:rPr>
          <w:rFonts w:ascii="Book Antiqua" w:eastAsia="Times New Roman" w:hAnsi="Book Antiqua" w:cs="Times New Roman"/>
          <w:color w:val="000000" w:themeColor="text1"/>
          <w:kern w:val="0"/>
        </w:rPr>
        <w:t xml:space="preserve"> gene expression levels in MSCs</w:t>
      </w:r>
      <w:r w:rsidR="004F3129" w:rsidRPr="007B43A9">
        <w:rPr>
          <w:rFonts w:ascii="Book Antiqua" w:eastAsia="Times New Roman" w:hAnsi="Book Antiqua" w:cs="Times New Roman"/>
          <w:color w:val="000000" w:themeColor="text1"/>
          <w:kern w:val="0"/>
          <w:vertAlign w:val="superscript"/>
        </w:rPr>
        <w:t>[22]</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Doxycycline is the most commonly used tetracycline antibiotic, but unlike tetracycline, it exhibits a strong inhibitory effect on osteoblast proliferation and osteogenic differentiation. When its concentration reaches 100 μg/mL, the differentiation of human os</w:t>
      </w:r>
      <w:r w:rsidR="00897867" w:rsidRPr="007B43A9">
        <w:rPr>
          <w:rFonts w:ascii="Book Antiqua" w:eastAsia="Times New Roman" w:hAnsi="Book Antiqua" w:cs="Times New Roman"/>
          <w:color w:val="000000" w:themeColor="text1"/>
          <w:kern w:val="0"/>
        </w:rPr>
        <w:t>teoblasts is severely inhibited</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Minocycline is also widely used in clinical practice, and its antibacterial efficacy is relatively strong among tetracyclines.</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Similar to doxycycline, minocycline significantly inhibited the differentiation potential of osteoblasts </w:t>
      </w:r>
      <w:r w:rsidR="00C861CD" w:rsidRPr="007B43A9">
        <w:rPr>
          <w:rFonts w:ascii="Book Antiqua" w:eastAsia="Times New Roman" w:hAnsi="Book Antiqua" w:cs="Times New Roman"/>
          <w:color w:val="000000" w:themeColor="text1"/>
          <w:kern w:val="0"/>
        </w:rPr>
        <w:t xml:space="preserve">(above 75%) </w:t>
      </w:r>
      <w:r w:rsidR="004F3129" w:rsidRPr="007B43A9">
        <w:rPr>
          <w:rFonts w:ascii="Book Antiqua" w:eastAsia="Times New Roman" w:hAnsi="Book Antiqua" w:cs="Times New Roman"/>
          <w:color w:val="000000" w:themeColor="text1"/>
          <w:kern w:val="0"/>
        </w:rPr>
        <w:t>at</w:t>
      </w:r>
      <w:r w:rsidR="00897867" w:rsidRPr="007B43A9">
        <w:rPr>
          <w:rFonts w:ascii="Book Antiqua" w:eastAsia="Times New Roman" w:hAnsi="Book Antiqua" w:cs="Times New Roman"/>
          <w:color w:val="000000" w:themeColor="text1"/>
          <w:kern w:val="0"/>
        </w:rPr>
        <w:t xml:space="preserve"> concentrations above 100 μg/mL</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w:t>
      </w:r>
    </w:p>
    <w:p w14:paraId="7FB6BBB5" w14:textId="77777777" w:rsidR="00897867" w:rsidRPr="007B43A9" w:rsidRDefault="00897867" w:rsidP="005142C8">
      <w:pPr>
        <w:widowControl/>
        <w:spacing w:line="360" w:lineRule="auto"/>
        <w:rPr>
          <w:rFonts w:ascii="Book Antiqua" w:hAnsi="Book Antiqua" w:cs="Times New Roman"/>
          <w:b/>
          <w:color w:val="000000" w:themeColor="text1"/>
          <w:kern w:val="0"/>
        </w:rPr>
      </w:pPr>
    </w:p>
    <w:p w14:paraId="31D5A2BD" w14:textId="3912F92F" w:rsidR="00CE48F3" w:rsidRPr="007B43A9" w:rsidRDefault="00CE48F3" w:rsidP="00897867">
      <w:pPr>
        <w:widowControl/>
        <w:spacing w:line="360" w:lineRule="auto"/>
        <w:rPr>
          <w:rFonts w:ascii="Book Antiqua" w:hAnsi="Book Antiqua" w:cs="Times New Roman"/>
          <w:color w:val="000000" w:themeColor="text1"/>
          <w:kern w:val="0"/>
        </w:rPr>
      </w:pPr>
      <w:r w:rsidRPr="007B43A9">
        <w:rPr>
          <w:rFonts w:ascii="Book Antiqua" w:eastAsia="Times New Roman" w:hAnsi="Book Antiqua" w:cs="Times New Roman"/>
          <w:b/>
          <w:color w:val="000000" w:themeColor="text1"/>
          <w:kern w:val="0"/>
        </w:rPr>
        <w:t>Quinolones</w:t>
      </w:r>
      <w:r w:rsidR="00897867" w:rsidRPr="007B43A9">
        <w:rPr>
          <w:rFonts w:ascii="Book Antiqua" w:hAnsi="Book Antiqua" w:cs="Times New Roman" w:hint="eastAsia"/>
          <w:b/>
          <w:color w:val="000000" w:themeColor="text1"/>
          <w:kern w:val="0"/>
        </w:rPr>
        <w:t xml:space="preserve">: </w:t>
      </w:r>
      <w:r w:rsidR="004F3129" w:rsidRPr="007B43A9">
        <w:rPr>
          <w:rFonts w:ascii="Book Antiqua" w:eastAsia="Times New Roman" w:hAnsi="Book Antiqua" w:cs="Times New Roman"/>
          <w:color w:val="000000" w:themeColor="text1"/>
          <w:kern w:val="0"/>
        </w:rPr>
        <w:t>Quinolones are a class of synthetic antibiotics that are widely used in a variety of clinical infectious diseases due to their excellent and broad-spectrum antimicrobial properties.</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Levofloxacin is a commonly used quinolone in the clinic.</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Studies have shown that it does not cause toxicity to human osteoblasts in the concentration range of 0-200 μg/mL, but when </w:t>
      </w:r>
      <w:r w:rsidR="007119C1" w:rsidRPr="007B43A9">
        <w:rPr>
          <w:rFonts w:ascii="Book Antiqua" w:eastAsia="Times New Roman" w:hAnsi="Book Antiqua" w:cs="Times New Roman"/>
          <w:color w:val="000000" w:themeColor="text1"/>
          <w:kern w:val="0"/>
        </w:rPr>
        <w:t>the drug concentration reaches 2</w:t>
      </w:r>
      <w:r w:rsidR="004F3129" w:rsidRPr="007B43A9">
        <w:rPr>
          <w:rFonts w:ascii="Book Antiqua" w:eastAsia="Times New Roman" w:hAnsi="Book Antiqua" w:cs="Times New Roman"/>
          <w:color w:val="000000" w:themeColor="text1"/>
          <w:kern w:val="0"/>
        </w:rPr>
        <w:t xml:space="preserve">00 μg/mL or more, the differentiation potential of osteoblasts is significantly inhibited </w:t>
      </w:r>
      <w:r w:rsidR="007119C1" w:rsidRPr="007B43A9">
        <w:rPr>
          <w:rFonts w:ascii="Book Antiqua" w:eastAsia="Times New Roman" w:hAnsi="Book Antiqua" w:cs="Times New Roman"/>
          <w:color w:val="000000" w:themeColor="text1"/>
          <w:kern w:val="0"/>
        </w:rPr>
        <w:t>(above 75%)</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Ciprofloxacin is another representative drug of quinolones, which has poor biocompatibility and significantly inhibits the proliferation and differentiation of osteoblasts at concentrations above 10 μg/mL </w:t>
      </w:r>
      <w:r w:rsidR="007119C1" w:rsidRPr="007B43A9">
        <w:rPr>
          <w:rFonts w:ascii="Book Antiqua" w:eastAsia="Times New Roman" w:hAnsi="Book Antiqua" w:cs="Times New Roman"/>
          <w:color w:val="000000" w:themeColor="text1"/>
          <w:kern w:val="0"/>
        </w:rPr>
        <w:t>(above 75%)</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w:t>
      </w:r>
    </w:p>
    <w:p w14:paraId="27EE4888" w14:textId="77777777" w:rsidR="00897867" w:rsidRPr="007B43A9" w:rsidRDefault="00897867" w:rsidP="00897867">
      <w:pPr>
        <w:widowControl/>
        <w:spacing w:line="360" w:lineRule="auto"/>
        <w:rPr>
          <w:rFonts w:ascii="Book Antiqua" w:hAnsi="Book Antiqua" w:cs="Times New Roman"/>
          <w:b/>
          <w:color w:val="000000" w:themeColor="text1"/>
          <w:kern w:val="0"/>
        </w:rPr>
      </w:pPr>
    </w:p>
    <w:p w14:paraId="4AE245F8" w14:textId="168137DC" w:rsidR="00CE48F3" w:rsidRPr="007B43A9" w:rsidRDefault="00CE48F3" w:rsidP="005142C8">
      <w:pPr>
        <w:widowControl/>
        <w:tabs>
          <w:tab w:val="left" w:pos="1773"/>
        </w:tabs>
        <w:spacing w:line="360" w:lineRule="auto"/>
        <w:rPr>
          <w:rFonts w:ascii="Book Antiqua" w:hAnsi="Book Antiqua" w:cs="Times New Roman"/>
          <w:color w:val="000000" w:themeColor="text1"/>
          <w:kern w:val="0"/>
        </w:rPr>
      </w:pPr>
      <w:r w:rsidRPr="007B43A9">
        <w:rPr>
          <w:rFonts w:ascii="Book Antiqua" w:eastAsia="Times New Roman" w:hAnsi="Book Antiqua" w:cs="Times New Roman"/>
          <w:b/>
          <w:color w:val="000000" w:themeColor="text1"/>
          <w:kern w:val="0"/>
        </w:rPr>
        <w:t>Polypeptide antibiotics</w:t>
      </w:r>
      <w:r w:rsidR="00897867" w:rsidRPr="007B43A9">
        <w:rPr>
          <w:rFonts w:ascii="Book Antiqua" w:hAnsi="Book Antiqua" w:cs="Times New Roman" w:hint="eastAsia"/>
          <w:b/>
          <w:color w:val="000000" w:themeColor="text1"/>
          <w:kern w:val="0"/>
        </w:rPr>
        <w:t xml:space="preserve">: </w:t>
      </w:r>
      <w:r w:rsidR="004F3129" w:rsidRPr="007B43A9">
        <w:rPr>
          <w:rFonts w:ascii="Book Antiqua" w:eastAsia="Times New Roman" w:hAnsi="Book Antiqua" w:cs="Times New Roman"/>
          <w:color w:val="000000" w:themeColor="text1"/>
          <w:kern w:val="0"/>
        </w:rPr>
        <w:t>Polypeptide antibiotics are a class of antibiotics with structural features similar to those of polypeptides,</w:t>
      </w:r>
      <w:r w:rsidRPr="007B43A9">
        <w:rPr>
          <w:rFonts w:ascii="Book Antiqua" w:eastAsia="Times New Roman" w:hAnsi="Book Antiqua" w:cs="Times New Roman"/>
          <w:color w:val="000000" w:themeColor="text1"/>
          <w:kern w:val="0"/>
        </w:rPr>
        <w:t xml:space="preserve"> and their main members include polymyxins, bacitracins</w:t>
      </w:r>
      <w:r w:rsidR="00D14380"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 xml:space="preserve"> and vancomycins.</w:t>
      </w:r>
      <w:r w:rsidRPr="007B43A9">
        <w:rPr>
          <w:rFonts w:ascii="Book Antiqua" w:hAnsi="Book Antiqua"/>
          <w:color w:val="000000" w:themeColor="text1"/>
        </w:rPr>
        <w:t xml:space="preserve"> </w:t>
      </w:r>
      <w:r w:rsidRPr="007B43A9">
        <w:rPr>
          <w:rFonts w:ascii="Book Antiqua" w:eastAsia="Times New Roman" w:hAnsi="Book Antiqua" w:cs="Times New Roman"/>
          <w:color w:val="000000" w:themeColor="text1"/>
          <w:kern w:val="0"/>
        </w:rPr>
        <w:t>Colistin is one of the more commonly used polymyxin antibiotics. It mainly acts on Gram-negative bacteria and works synergistically with gentamicin.</w:t>
      </w:r>
      <w:r w:rsidRPr="007B43A9">
        <w:rPr>
          <w:rFonts w:ascii="Book Antiqua" w:hAnsi="Book Antiqua"/>
          <w:color w:val="000000" w:themeColor="text1"/>
        </w:rPr>
        <w:t xml:space="preserve"> </w:t>
      </w:r>
      <w:r w:rsidRPr="007B43A9">
        <w:rPr>
          <w:rFonts w:ascii="Book Antiqua" w:eastAsia="Times New Roman" w:hAnsi="Book Antiqua" w:cs="Times New Roman"/>
          <w:color w:val="000000" w:themeColor="text1"/>
          <w:kern w:val="0"/>
        </w:rPr>
        <w:t xml:space="preserve">It has been reported in the literature that when the concentration of colistin </w:t>
      </w:r>
      <w:r w:rsidR="004F3129" w:rsidRPr="007B43A9">
        <w:rPr>
          <w:rFonts w:ascii="Book Antiqua" w:eastAsia="Times New Roman" w:hAnsi="Book Antiqua" w:cs="Times New Roman"/>
          <w:color w:val="000000" w:themeColor="text1"/>
          <w:kern w:val="0"/>
        </w:rPr>
        <w:t>reaches 100 μg/mL</w:t>
      </w:r>
      <w:r w:rsidRPr="007B43A9">
        <w:rPr>
          <w:rFonts w:ascii="Book Antiqua" w:eastAsia="Times New Roman" w:hAnsi="Book Antiqua" w:cs="Times New Roman"/>
          <w:color w:val="000000" w:themeColor="text1"/>
          <w:kern w:val="0"/>
        </w:rPr>
        <w:t xml:space="preserve">, </w:t>
      </w:r>
      <w:r w:rsidR="004F3129" w:rsidRPr="007B43A9">
        <w:rPr>
          <w:rFonts w:ascii="Book Antiqua" w:eastAsia="Times New Roman" w:hAnsi="Book Antiqua" w:cs="Times New Roman"/>
          <w:color w:val="000000" w:themeColor="text1"/>
          <w:kern w:val="0"/>
        </w:rPr>
        <w:t>the differentiation ability of</w:t>
      </w:r>
      <w:r w:rsidR="00897867" w:rsidRPr="007B43A9">
        <w:rPr>
          <w:rFonts w:ascii="Book Antiqua" w:eastAsia="Times New Roman" w:hAnsi="Book Antiqua" w:cs="Times New Roman"/>
          <w:color w:val="000000" w:themeColor="text1"/>
          <w:kern w:val="0"/>
        </w:rPr>
        <w:t xml:space="preserve"> human osteoblasts is inhibited</w:t>
      </w:r>
      <w:r w:rsidR="004F3129" w:rsidRPr="007B43A9">
        <w:rPr>
          <w:rFonts w:ascii="Book Antiqua" w:eastAsia="Times New Roman" w:hAnsi="Book Antiqua" w:cs="Times New Roman"/>
          <w:color w:val="000000" w:themeColor="text1"/>
          <w:kern w:val="0"/>
          <w:vertAlign w:val="superscript"/>
        </w:rPr>
        <w:t>[14]</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Bacitracin is a metal peptide antibiotic produced by </w:t>
      </w:r>
      <w:r w:rsidR="004F3129" w:rsidRPr="007B43A9">
        <w:rPr>
          <w:rFonts w:ascii="Book Antiqua" w:eastAsia="Times New Roman" w:hAnsi="Book Antiqua" w:cs="Times New Roman"/>
          <w:i/>
          <w:color w:val="000000" w:themeColor="text1"/>
          <w:kern w:val="0"/>
        </w:rPr>
        <w:t>Bacillus subtilis</w:t>
      </w:r>
      <w:r w:rsidR="004F3129" w:rsidRPr="007B43A9">
        <w:rPr>
          <w:rFonts w:ascii="Book Antiqua" w:eastAsia="Times New Roman" w:hAnsi="Book Antiqua" w:cs="Times New Roman"/>
          <w:color w:val="000000" w:themeColor="text1"/>
          <w:kern w:val="0"/>
        </w:rPr>
        <w:t xml:space="preserve"> and </w:t>
      </w:r>
      <w:r w:rsidR="004F3129" w:rsidRPr="007B43A9">
        <w:rPr>
          <w:rFonts w:ascii="Book Antiqua" w:eastAsia="Times New Roman" w:hAnsi="Book Antiqua" w:cs="Times New Roman"/>
          <w:i/>
          <w:color w:val="000000" w:themeColor="text1"/>
          <w:kern w:val="0"/>
        </w:rPr>
        <w:t>Bacillus licheniformis</w:t>
      </w:r>
      <w:r w:rsidR="004F3129" w:rsidRPr="007B43A9">
        <w:rPr>
          <w:rFonts w:ascii="Book Antiqua" w:eastAsia="Times New Roman" w:hAnsi="Book Antiqua" w:cs="Times New Roman"/>
          <w:color w:val="000000" w:themeColor="text1"/>
          <w:kern w:val="0"/>
        </w:rPr>
        <w:t>; it can strongly inhibit Gram-positive bacteria and has antagonistic effect</w:t>
      </w:r>
      <w:r w:rsidR="00082356" w:rsidRPr="007B43A9">
        <w:rPr>
          <w:rFonts w:ascii="Book Antiqua" w:eastAsia="Times New Roman" w:hAnsi="Book Antiqua" w:cs="Times New Roman"/>
          <w:color w:val="000000" w:themeColor="text1"/>
          <w:kern w:val="0"/>
        </w:rPr>
        <w:t>s</w:t>
      </w:r>
      <w:r w:rsidR="004F3129" w:rsidRPr="007B43A9">
        <w:rPr>
          <w:rFonts w:ascii="Book Antiqua" w:eastAsia="Times New Roman" w:hAnsi="Book Antiqua" w:cs="Times New Roman"/>
          <w:color w:val="000000" w:themeColor="text1"/>
          <w:kern w:val="0"/>
        </w:rPr>
        <w:t xml:space="preserve"> on the development of resistance to </w:t>
      </w:r>
      <w:r w:rsidR="004F3129" w:rsidRPr="007B43A9">
        <w:rPr>
          <w:rFonts w:ascii="Book Antiqua" w:eastAsia="Times New Roman" w:hAnsi="Book Antiqua" w:cs="Times New Roman"/>
          <w:i/>
          <w:color w:val="000000" w:themeColor="text1"/>
          <w:kern w:val="0"/>
        </w:rPr>
        <w:t>Staphylococcus aureus</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Our previous studies have shown that bacitracin can promote the osteogenic differentiation of human bone marrow-derived MSCs in a dose-dependent manner, thus increasing intracellular ALP, collagen, and mineralization, and upregulating the level</w:t>
      </w:r>
      <w:r w:rsidR="00D14380" w:rsidRPr="007B43A9">
        <w:rPr>
          <w:rFonts w:ascii="Book Antiqua" w:eastAsia="Times New Roman" w:hAnsi="Book Antiqua" w:cs="Times New Roman"/>
          <w:color w:val="000000" w:themeColor="text1"/>
          <w:kern w:val="0"/>
        </w:rPr>
        <w:t>s</w:t>
      </w:r>
      <w:r w:rsidR="004F3129" w:rsidRPr="007B43A9">
        <w:rPr>
          <w:rFonts w:ascii="Book Antiqua" w:eastAsia="Times New Roman" w:hAnsi="Book Antiqua" w:cs="Times New Roman"/>
          <w:color w:val="000000" w:themeColor="text1"/>
          <w:kern w:val="0"/>
        </w:rPr>
        <w:t xml:space="preserve"> of osteogenesis marker genes.</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When the concentration of bacitracin reached 100 μ</w:t>
      </w:r>
      <w:r w:rsidR="00897867" w:rsidRPr="007B43A9">
        <w:rPr>
          <w:rFonts w:ascii="Book Antiqua" w:hAnsi="Book Antiqua" w:cs="Times New Roman" w:hint="eastAsia"/>
          <w:color w:val="000000" w:themeColor="text1"/>
          <w:kern w:val="0"/>
        </w:rPr>
        <w:t>mol/L</w:t>
      </w:r>
      <w:r w:rsidR="004F3129" w:rsidRPr="007B43A9">
        <w:rPr>
          <w:rFonts w:ascii="Book Antiqua" w:eastAsia="Times New Roman" w:hAnsi="Book Antiqua" w:cs="Times New Roman"/>
          <w:color w:val="000000" w:themeColor="text1"/>
          <w:kern w:val="0"/>
        </w:rPr>
        <w:t>, its ability to promote bone differentiation decreased, but this effect was still stronger</w:t>
      </w:r>
      <w:r w:rsidR="00897867" w:rsidRPr="007B43A9">
        <w:rPr>
          <w:rFonts w:ascii="Book Antiqua" w:eastAsia="Times New Roman" w:hAnsi="Book Antiqua" w:cs="Times New Roman"/>
          <w:color w:val="000000" w:themeColor="text1"/>
          <w:kern w:val="0"/>
        </w:rPr>
        <w:t xml:space="preserve"> than that in the control group</w:t>
      </w:r>
      <w:r w:rsidR="004F3129" w:rsidRPr="007B43A9">
        <w:rPr>
          <w:rFonts w:ascii="Book Antiqua" w:eastAsia="Times New Roman" w:hAnsi="Book Antiqua" w:cs="Times New Roman"/>
          <w:color w:val="000000" w:themeColor="text1"/>
          <w:kern w:val="0"/>
          <w:vertAlign w:val="superscript"/>
        </w:rPr>
        <w:t>[23]</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Vancomycin is mainly used for the treatment of methicillin-resistant </w:t>
      </w:r>
      <w:r w:rsidR="004F3129" w:rsidRPr="007B43A9">
        <w:rPr>
          <w:rFonts w:ascii="Book Antiqua" w:eastAsia="Times New Roman" w:hAnsi="Book Antiqua" w:cs="Times New Roman"/>
          <w:i/>
          <w:color w:val="000000" w:themeColor="text1"/>
          <w:kern w:val="0"/>
        </w:rPr>
        <w:t>Staphylococcus aureus</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There have been several reports on the effects of vancomycin on osteogenic differentiation.</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The general view is that vancomycin does not adversely affect the osteogenic differentiation of human osteoblasts and human bone marrow-derived MSCs at effective antimicrobial concentra</w:t>
      </w:r>
      <w:r w:rsidR="00897867" w:rsidRPr="007B43A9">
        <w:rPr>
          <w:rFonts w:ascii="Book Antiqua" w:eastAsia="Times New Roman" w:hAnsi="Book Antiqua" w:cs="Times New Roman"/>
          <w:color w:val="000000" w:themeColor="text1"/>
          <w:kern w:val="0"/>
        </w:rPr>
        <w:t>tions and higher concentrations</w:t>
      </w:r>
      <w:r w:rsidR="00897867" w:rsidRPr="007B43A9">
        <w:rPr>
          <w:rFonts w:ascii="Book Antiqua" w:eastAsia="Times New Roman" w:hAnsi="Book Antiqua" w:cs="Times New Roman"/>
          <w:color w:val="000000" w:themeColor="text1"/>
          <w:kern w:val="0"/>
          <w:vertAlign w:val="superscript"/>
        </w:rPr>
        <w:t>[14,24,</w:t>
      </w:r>
      <w:r w:rsidR="004F3129" w:rsidRPr="007B43A9">
        <w:rPr>
          <w:rFonts w:ascii="Book Antiqua" w:eastAsia="Times New Roman" w:hAnsi="Book Antiqua" w:cs="Times New Roman"/>
          <w:color w:val="000000" w:themeColor="text1"/>
          <w:kern w:val="0"/>
          <w:vertAlign w:val="superscript"/>
        </w:rPr>
        <w:t>25]</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 xml:space="preserve">However, it has also been reported that vancomycin inhibits the osteogenic differentiation of bone marrow-derived MSCs </w:t>
      </w:r>
      <w:r w:rsidR="00897867" w:rsidRPr="007B43A9">
        <w:rPr>
          <w:rFonts w:ascii="Book Antiqua" w:eastAsia="Times New Roman" w:hAnsi="Book Antiqua" w:cs="Times New Roman"/>
          <w:color w:val="000000" w:themeColor="text1"/>
          <w:kern w:val="0"/>
        </w:rPr>
        <w:t>at a concentration of 200 μg/mL</w:t>
      </w:r>
      <w:r w:rsidR="004F3129" w:rsidRPr="007B43A9">
        <w:rPr>
          <w:rFonts w:ascii="Book Antiqua" w:eastAsia="Times New Roman" w:hAnsi="Book Antiqua" w:cs="Times New Roman"/>
          <w:color w:val="000000" w:themeColor="text1"/>
          <w:kern w:val="0"/>
          <w:vertAlign w:val="superscript"/>
        </w:rPr>
        <w:t>[16]</w:t>
      </w:r>
      <w:r w:rsidR="004F3129" w:rsidRPr="007B43A9">
        <w:rPr>
          <w:rFonts w:ascii="Book Antiqua" w:eastAsia="Times New Roman" w:hAnsi="Book Antiqua" w:cs="Times New Roman"/>
          <w:color w:val="000000" w:themeColor="text1"/>
          <w:kern w:val="0"/>
        </w:rPr>
        <w:t>.</w:t>
      </w:r>
      <w:r w:rsidR="004F3129" w:rsidRPr="007B43A9">
        <w:rPr>
          <w:rFonts w:ascii="Book Antiqua" w:hAnsi="Book Antiqua" w:cs="Times New Roman"/>
          <w:color w:val="000000" w:themeColor="text1"/>
        </w:rPr>
        <w:t xml:space="preserve"> </w:t>
      </w:r>
      <w:r w:rsidR="004F3129" w:rsidRPr="007B43A9">
        <w:rPr>
          <w:rFonts w:ascii="Book Antiqua" w:eastAsia="Times New Roman" w:hAnsi="Book Antiqua" w:cs="Times New Roman"/>
          <w:color w:val="000000" w:themeColor="text1"/>
          <w:kern w:val="0"/>
        </w:rPr>
        <w:t>Therefore, further research on the regulation of osteogenic differentiation by vancomycin needs to be conducted to determine whether the effect of this drug on osteogenic differentiation is related to cell type and drug concentration.</w:t>
      </w:r>
    </w:p>
    <w:p w14:paraId="4C6E23E2" w14:textId="77777777" w:rsidR="00897867" w:rsidRPr="007B43A9" w:rsidRDefault="00897867" w:rsidP="005142C8">
      <w:pPr>
        <w:widowControl/>
        <w:tabs>
          <w:tab w:val="left" w:pos="1773"/>
        </w:tabs>
        <w:spacing w:line="360" w:lineRule="auto"/>
        <w:rPr>
          <w:rFonts w:ascii="Book Antiqua" w:hAnsi="Book Antiqua" w:cs="Times New Roman"/>
          <w:b/>
          <w:color w:val="000000" w:themeColor="text1"/>
          <w:kern w:val="0"/>
        </w:rPr>
      </w:pPr>
    </w:p>
    <w:p w14:paraId="3B027688" w14:textId="4C346848" w:rsidR="00CE48F3" w:rsidRPr="007B43A9" w:rsidRDefault="00CE48F3" w:rsidP="00897867">
      <w:pPr>
        <w:widowControl/>
        <w:tabs>
          <w:tab w:val="left" w:pos="1773"/>
          <w:tab w:val="center" w:pos="4150"/>
        </w:tabs>
        <w:spacing w:line="360" w:lineRule="auto"/>
        <w:rPr>
          <w:rFonts w:ascii="Book Antiqua" w:hAnsi="Book Antiqua" w:cs="Times New Roman"/>
          <w:color w:val="000000" w:themeColor="text1"/>
          <w:kern w:val="0"/>
        </w:rPr>
      </w:pPr>
      <w:r w:rsidRPr="007B43A9">
        <w:rPr>
          <w:rFonts w:ascii="Book Antiqua" w:eastAsia="Times New Roman" w:hAnsi="Book Antiqua" w:cs="Times New Roman"/>
          <w:b/>
          <w:color w:val="000000" w:themeColor="text1"/>
          <w:kern w:val="0"/>
        </w:rPr>
        <w:t>Other types of antibiotics</w:t>
      </w:r>
      <w:r w:rsidR="00897867" w:rsidRPr="007B43A9">
        <w:rPr>
          <w:rFonts w:ascii="Book Antiqua" w:hAnsi="Book Antiqua" w:cs="Times New Roman" w:hint="eastAsia"/>
          <w:b/>
          <w:color w:val="000000" w:themeColor="text1"/>
          <w:kern w:val="0"/>
        </w:rPr>
        <w:t xml:space="preserve">: </w:t>
      </w:r>
      <w:r w:rsidR="00986ACD" w:rsidRPr="007B43A9">
        <w:rPr>
          <w:rFonts w:ascii="Book Antiqua" w:eastAsia="Times New Roman" w:hAnsi="Book Antiqua" w:cs="Times New Roman"/>
          <w:color w:val="000000" w:themeColor="text1"/>
          <w:kern w:val="0"/>
        </w:rPr>
        <w:t xml:space="preserve">Metronidazole is a drug commonly used in the treatment of anaerobic infections in the clinic. Studies have shown that conventional plasma concentrations </w:t>
      </w:r>
      <w:r w:rsidR="00837ABF" w:rsidRPr="007B43A9">
        <w:rPr>
          <w:rFonts w:ascii="Book Antiqua" w:eastAsia="Times New Roman" w:hAnsi="Book Antiqua" w:cs="Times New Roman"/>
          <w:color w:val="000000" w:themeColor="text1"/>
          <w:kern w:val="0"/>
        </w:rPr>
        <w:t>(</w:t>
      </w:r>
      <w:r w:rsidR="00837ABF" w:rsidRPr="007B43A9">
        <w:rPr>
          <w:rFonts w:ascii="Book Antiqua" w:eastAsia="宋体" w:hAnsi="Book Antiqua" w:cs="Times New Roman"/>
          <w:color w:val="000000" w:themeColor="text1"/>
        </w:rPr>
        <w:t>20 μg/m</w:t>
      </w:r>
      <w:r w:rsidR="00897867" w:rsidRPr="007B43A9">
        <w:rPr>
          <w:rFonts w:ascii="Book Antiqua" w:eastAsia="宋体" w:hAnsi="Book Antiqua" w:cs="Times New Roman"/>
          <w:color w:val="000000" w:themeColor="text1"/>
        </w:rPr>
        <w:t>L</w:t>
      </w:r>
      <w:r w:rsidR="00837ABF" w:rsidRPr="007B43A9">
        <w:rPr>
          <w:rFonts w:ascii="Book Antiqua" w:eastAsia="Times New Roman" w:hAnsi="Book Antiqua" w:cs="Times New Roman"/>
          <w:color w:val="000000" w:themeColor="text1"/>
          <w:kern w:val="0"/>
        </w:rPr>
        <w:t xml:space="preserve">) </w:t>
      </w:r>
      <w:r w:rsidR="00986ACD" w:rsidRPr="007B43A9">
        <w:rPr>
          <w:rFonts w:ascii="Book Antiqua" w:eastAsia="Times New Roman" w:hAnsi="Book Antiqua" w:cs="Times New Roman"/>
          <w:color w:val="000000" w:themeColor="text1"/>
          <w:kern w:val="0"/>
        </w:rPr>
        <w:t>of metronidazole do not affect the osteogenic differentiation potential of</w:t>
      </w:r>
      <w:r w:rsidR="00897867" w:rsidRPr="007B43A9">
        <w:rPr>
          <w:rFonts w:ascii="Book Antiqua" w:eastAsia="Times New Roman" w:hAnsi="Book Antiqua" w:cs="Times New Roman"/>
          <w:color w:val="000000" w:themeColor="text1"/>
          <w:kern w:val="0"/>
        </w:rPr>
        <w:t xml:space="preserve"> human bone marrow-derived MSCs</w:t>
      </w:r>
      <w:r w:rsidR="00986ACD" w:rsidRPr="007B43A9">
        <w:rPr>
          <w:rFonts w:ascii="Book Antiqua" w:eastAsia="Times New Roman" w:hAnsi="Book Antiqua" w:cs="Times New Roman"/>
          <w:color w:val="000000" w:themeColor="text1"/>
          <w:kern w:val="0"/>
          <w:vertAlign w:val="superscript"/>
        </w:rPr>
        <w:t>[16]</w:t>
      </w:r>
      <w:r w:rsidR="00986ACD" w:rsidRPr="007B43A9">
        <w:rPr>
          <w:rFonts w:ascii="Book Antiqua" w:eastAsia="Times New Roman" w:hAnsi="Book Antiqua" w:cs="Times New Roman"/>
          <w:color w:val="000000" w:themeColor="text1"/>
          <w:kern w:val="0"/>
        </w:rPr>
        <w:t>.</w:t>
      </w:r>
      <w:r w:rsidR="00986ACD" w:rsidRPr="007B43A9">
        <w:rPr>
          <w:rFonts w:ascii="Book Antiqua" w:hAnsi="Book Antiqua" w:cs="Times New Roman"/>
          <w:color w:val="000000" w:themeColor="text1"/>
        </w:rPr>
        <w:t xml:space="preserve"> </w:t>
      </w:r>
      <w:r w:rsidR="00986ACD" w:rsidRPr="007B43A9">
        <w:rPr>
          <w:rFonts w:ascii="Book Antiqua" w:eastAsia="Times New Roman" w:hAnsi="Book Antiqua" w:cs="Times New Roman"/>
          <w:color w:val="000000" w:themeColor="text1"/>
          <w:kern w:val="0"/>
        </w:rPr>
        <w:t>Trimethoprim (TMP) is a well-known sulfa drug enhancer with an antibacterial spectrum similar to that of sulfonamides.</w:t>
      </w:r>
      <w:r w:rsidR="00986ACD" w:rsidRPr="007B43A9">
        <w:rPr>
          <w:rFonts w:ascii="Book Antiqua" w:hAnsi="Book Antiqua" w:cs="Times New Roman"/>
          <w:color w:val="000000" w:themeColor="text1"/>
        </w:rPr>
        <w:t xml:space="preserve"> </w:t>
      </w:r>
      <w:r w:rsidR="00986ACD" w:rsidRPr="007B43A9">
        <w:rPr>
          <w:rFonts w:ascii="Book Antiqua" w:eastAsia="Times New Roman" w:hAnsi="Book Antiqua" w:cs="Times New Roman"/>
          <w:color w:val="000000" w:themeColor="text1"/>
          <w:kern w:val="0"/>
        </w:rPr>
        <w:t>When TMP is combined with a sulfa drug, the combined antibacterial properties of both are greatly enhanced, and the formation of resistant bacteria can be reduced.</w:t>
      </w:r>
      <w:r w:rsidR="00986ACD" w:rsidRPr="007B43A9">
        <w:rPr>
          <w:rFonts w:ascii="Book Antiqua" w:hAnsi="Book Antiqua" w:cs="Times New Roman"/>
          <w:color w:val="000000" w:themeColor="text1"/>
        </w:rPr>
        <w:t xml:space="preserve"> </w:t>
      </w:r>
      <w:r w:rsidR="00986ACD" w:rsidRPr="007B43A9">
        <w:rPr>
          <w:rFonts w:ascii="Book Antiqua" w:eastAsia="Times New Roman" w:hAnsi="Book Antiqua" w:cs="Times New Roman"/>
          <w:color w:val="000000" w:themeColor="text1"/>
          <w:kern w:val="0"/>
        </w:rPr>
        <w:t xml:space="preserve">Studies have shown that </w:t>
      </w:r>
      <w:bookmarkStart w:id="49" w:name="OLE_LINK264"/>
      <w:r w:rsidR="00986ACD" w:rsidRPr="007B43A9">
        <w:rPr>
          <w:rFonts w:ascii="Book Antiqua" w:eastAsia="Times New Roman" w:hAnsi="Book Antiqua" w:cs="Times New Roman"/>
          <w:color w:val="000000" w:themeColor="text1"/>
          <w:kern w:val="0"/>
        </w:rPr>
        <w:t>TMP</w:t>
      </w:r>
      <w:bookmarkEnd w:id="49"/>
      <w:r w:rsidR="00986ACD" w:rsidRPr="007B43A9">
        <w:rPr>
          <w:rFonts w:ascii="Book Antiqua" w:eastAsia="Times New Roman" w:hAnsi="Book Antiqua" w:cs="Times New Roman"/>
          <w:color w:val="000000" w:themeColor="text1"/>
          <w:kern w:val="0"/>
        </w:rPr>
        <w:t xml:space="preserve"> does not affect the differentiation potential of osteoblasts in the concentration range of 0-200 μg/mL. However, when the concentration of TMP reaches 500 μg/mL, the osteogenic differenti</w:t>
      </w:r>
      <w:r w:rsidR="00570B2D" w:rsidRPr="007B43A9">
        <w:rPr>
          <w:rFonts w:ascii="Book Antiqua" w:eastAsia="Times New Roman" w:hAnsi="Book Antiqua" w:cs="Times New Roman"/>
          <w:color w:val="000000" w:themeColor="text1"/>
          <w:kern w:val="0"/>
        </w:rPr>
        <w:t>ation of the cells is inhibited</w:t>
      </w:r>
      <w:r w:rsidR="00986ACD" w:rsidRPr="007B43A9">
        <w:rPr>
          <w:rFonts w:ascii="Book Antiqua" w:eastAsia="Times New Roman" w:hAnsi="Book Antiqua" w:cs="Times New Roman"/>
          <w:color w:val="000000" w:themeColor="text1"/>
          <w:kern w:val="0"/>
          <w:vertAlign w:val="superscript"/>
        </w:rPr>
        <w:t>[14]</w:t>
      </w:r>
      <w:r w:rsidR="00986ACD" w:rsidRPr="007B43A9">
        <w:rPr>
          <w:rFonts w:ascii="Book Antiqua" w:eastAsia="Times New Roman" w:hAnsi="Book Antiqua" w:cs="Times New Roman"/>
          <w:color w:val="000000" w:themeColor="text1"/>
          <w:kern w:val="0"/>
        </w:rPr>
        <w:t>.</w:t>
      </w:r>
      <w:r w:rsidR="00986ACD" w:rsidRPr="007B43A9">
        <w:rPr>
          <w:rFonts w:ascii="Book Antiqua" w:hAnsi="Book Antiqua" w:cs="Times New Roman"/>
          <w:color w:val="000000" w:themeColor="text1"/>
        </w:rPr>
        <w:t xml:space="preserve"> </w:t>
      </w:r>
      <w:r w:rsidR="00986ACD" w:rsidRPr="007B43A9">
        <w:rPr>
          <w:rFonts w:ascii="Book Antiqua" w:eastAsia="Times New Roman" w:hAnsi="Book Antiqua" w:cs="Times New Roman"/>
          <w:color w:val="000000" w:themeColor="text1"/>
          <w:kern w:val="0"/>
        </w:rPr>
        <w:t>Linezolidone is a bacterial protein synthesis inhibitor and is a fully synthetic oxazolidinone antibiotic.</w:t>
      </w:r>
      <w:r w:rsidR="00986ACD" w:rsidRPr="007B43A9">
        <w:rPr>
          <w:rFonts w:ascii="Book Antiqua" w:hAnsi="Book Antiqua" w:cs="Times New Roman"/>
          <w:color w:val="000000" w:themeColor="text1"/>
        </w:rPr>
        <w:t xml:space="preserve"> </w:t>
      </w:r>
      <w:r w:rsidR="00986ACD" w:rsidRPr="007B43A9">
        <w:rPr>
          <w:rFonts w:ascii="Book Antiqua" w:eastAsia="Times New Roman" w:hAnsi="Book Antiqua" w:cs="Times New Roman"/>
          <w:color w:val="000000" w:themeColor="text1"/>
          <w:kern w:val="0"/>
        </w:rPr>
        <w:t>The drug has good biocompatibility and does not affect the viab</w:t>
      </w:r>
      <w:r w:rsidR="002A388E" w:rsidRPr="007B43A9">
        <w:rPr>
          <w:rFonts w:ascii="Book Antiqua" w:eastAsia="Times New Roman" w:hAnsi="Book Antiqua" w:cs="Times New Roman"/>
          <w:color w:val="000000" w:themeColor="text1"/>
          <w:kern w:val="0"/>
        </w:rPr>
        <w:t>ility of osteoblasts between 0-5</w:t>
      </w:r>
      <w:r w:rsidR="00986ACD" w:rsidRPr="007B43A9">
        <w:rPr>
          <w:rFonts w:ascii="Book Antiqua" w:eastAsia="Times New Roman" w:hAnsi="Book Antiqua" w:cs="Times New Roman"/>
          <w:color w:val="000000" w:themeColor="text1"/>
          <w:kern w:val="0"/>
        </w:rPr>
        <w:t>00 μg/mL.</w:t>
      </w:r>
      <w:r w:rsidR="00986ACD" w:rsidRPr="007B43A9">
        <w:rPr>
          <w:rFonts w:ascii="Book Antiqua" w:hAnsi="Book Antiqua" w:cs="Times New Roman"/>
          <w:color w:val="000000" w:themeColor="text1"/>
        </w:rPr>
        <w:t xml:space="preserve"> </w:t>
      </w:r>
      <w:r w:rsidR="00986ACD" w:rsidRPr="007B43A9">
        <w:rPr>
          <w:rFonts w:ascii="Book Antiqua" w:eastAsia="Times New Roman" w:hAnsi="Book Antiqua" w:cs="Times New Roman"/>
          <w:color w:val="000000" w:themeColor="text1"/>
          <w:kern w:val="0"/>
        </w:rPr>
        <w:t xml:space="preserve">However, when the concentration of linezolidone is greater than 10 </w:t>
      </w:r>
      <w:bookmarkStart w:id="50" w:name="OLE_LINK293"/>
      <w:bookmarkStart w:id="51" w:name="OLE_LINK294"/>
      <w:r w:rsidR="00986ACD" w:rsidRPr="007B43A9">
        <w:rPr>
          <w:rFonts w:ascii="Book Antiqua" w:eastAsia="Times New Roman" w:hAnsi="Book Antiqua" w:cs="Times New Roman"/>
          <w:color w:val="000000" w:themeColor="text1"/>
          <w:kern w:val="0"/>
        </w:rPr>
        <w:t>μg/mL</w:t>
      </w:r>
      <w:bookmarkEnd w:id="50"/>
      <w:bookmarkEnd w:id="51"/>
      <w:r w:rsidR="00570B2D" w:rsidRPr="007B43A9">
        <w:rPr>
          <w:rFonts w:ascii="Book Antiqua" w:eastAsia="Times New Roman" w:hAnsi="Book Antiqua" w:cs="Times New Roman"/>
          <w:color w:val="000000" w:themeColor="text1"/>
          <w:kern w:val="0"/>
        </w:rPr>
        <w:t>, osteogenic inhibition occurs</w:t>
      </w:r>
      <w:r w:rsidR="00986ACD" w:rsidRPr="007B43A9">
        <w:rPr>
          <w:rFonts w:ascii="Book Antiqua" w:eastAsia="Times New Roman" w:hAnsi="Book Antiqua" w:cs="Times New Roman"/>
          <w:color w:val="000000" w:themeColor="text1"/>
          <w:kern w:val="0"/>
          <w:vertAlign w:val="superscript"/>
        </w:rPr>
        <w:t>[14]</w:t>
      </w:r>
      <w:r w:rsidR="00986ACD" w:rsidRPr="007B43A9">
        <w:rPr>
          <w:rFonts w:ascii="Book Antiqua" w:eastAsia="Times New Roman" w:hAnsi="Book Antiqua" w:cs="Times New Roman"/>
          <w:color w:val="000000" w:themeColor="text1"/>
          <w:kern w:val="0"/>
        </w:rPr>
        <w:t>.</w:t>
      </w:r>
      <w:r w:rsidR="00986ACD" w:rsidRPr="007B43A9">
        <w:rPr>
          <w:rFonts w:ascii="Book Antiqua" w:hAnsi="Book Antiqua" w:cs="Times New Roman"/>
          <w:color w:val="000000" w:themeColor="text1"/>
        </w:rPr>
        <w:t xml:space="preserve"> </w:t>
      </w:r>
      <w:r w:rsidR="00986ACD" w:rsidRPr="007B43A9">
        <w:rPr>
          <w:rFonts w:ascii="Book Antiqua" w:eastAsia="Times New Roman" w:hAnsi="Book Antiqua" w:cs="Times New Roman"/>
          <w:color w:val="000000" w:themeColor="text1"/>
          <w:kern w:val="0"/>
        </w:rPr>
        <w:t xml:space="preserve">Salinomycin is a polyether antibiotic produced by </w:t>
      </w:r>
      <w:r w:rsidR="00986ACD" w:rsidRPr="007B43A9">
        <w:rPr>
          <w:rFonts w:ascii="Book Antiqua" w:eastAsia="Times New Roman" w:hAnsi="Book Antiqua" w:cs="Times New Roman"/>
          <w:i/>
          <w:color w:val="000000" w:themeColor="text1"/>
          <w:kern w:val="0"/>
        </w:rPr>
        <w:t>Streptomyces albus</w:t>
      </w:r>
      <w:r w:rsidR="00986ACD" w:rsidRPr="007B43A9">
        <w:rPr>
          <w:rFonts w:ascii="Book Antiqua" w:eastAsia="Times New Roman" w:hAnsi="Book Antiqua" w:cs="Times New Roman"/>
          <w:color w:val="000000" w:themeColor="text1"/>
          <w:kern w:val="0"/>
        </w:rPr>
        <w:t>. Studies have shown that 10 μM of salinomycin does not affect osteogenic differentiation and cellular mineralization of</w:t>
      </w:r>
      <w:r w:rsidR="00570B2D" w:rsidRPr="007B43A9">
        <w:rPr>
          <w:rFonts w:ascii="Book Antiqua" w:eastAsia="Times New Roman" w:hAnsi="Book Antiqua" w:cs="Times New Roman"/>
          <w:color w:val="000000" w:themeColor="text1"/>
          <w:kern w:val="0"/>
        </w:rPr>
        <w:t xml:space="preserve"> human bone marrow-derived MSCs</w:t>
      </w:r>
      <w:r w:rsidR="00986ACD" w:rsidRPr="007B43A9">
        <w:rPr>
          <w:rFonts w:ascii="Book Antiqua" w:eastAsia="Times New Roman" w:hAnsi="Book Antiqua" w:cs="Times New Roman"/>
          <w:color w:val="000000" w:themeColor="text1"/>
          <w:kern w:val="0"/>
          <w:vertAlign w:val="superscript"/>
        </w:rPr>
        <w:t>[26]</w:t>
      </w:r>
      <w:r w:rsidR="00986ACD" w:rsidRPr="007B43A9">
        <w:rPr>
          <w:rFonts w:ascii="Book Antiqua" w:eastAsia="Times New Roman" w:hAnsi="Book Antiqua" w:cs="Times New Roman"/>
          <w:color w:val="000000" w:themeColor="text1"/>
          <w:kern w:val="0"/>
        </w:rPr>
        <w:t>.</w:t>
      </w:r>
    </w:p>
    <w:p w14:paraId="11917597" w14:textId="77777777" w:rsidR="00570B2D" w:rsidRPr="007B43A9" w:rsidRDefault="00570B2D" w:rsidP="00897867">
      <w:pPr>
        <w:widowControl/>
        <w:tabs>
          <w:tab w:val="left" w:pos="1773"/>
          <w:tab w:val="center" w:pos="4150"/>
        </w:tabs>
        <w:spacing w:line="360" w:lineRule="auto"/>
        <w:rPr>
          <w:rFonts w:ascii="Book Antiqua" w:hAnsi="Book Antiqua" w:cs="Times New Roman"/>
          <w:b/>
          <w:color w:val="000000" w:themeColor="text1"/>
          <w:kern w:val="0"/>
        </w:rPr>
      </w:pPr>
    </w:p>
    <w:p w14:paraId="688A2515" w14:textId="10200B32" w:rsidR="00CE48F3" w:rsidRPr="007B43A9" w:rsidRDefault="00CE48F3" w:rsidP="005142C8">
      <w:pPr>
        <w:widowControl/>
        <w:tabs>
          <w:tab w:val="left" w:pos="1773"/>
        </w:tabs>
        <w:spacing w:line="360" w:lineRule="auto"/>
        <w:rPr>
          <w:rFonts w:ascii="Book Antiqua" w:eastAsia="Times New Roman" w:hAnsi="Book Antiqua" w:cs="Times New Roman"/>
          <w:b/>
          <w:i/>
          <w:color w:val="000000" w:themeColor="text1"/>
          <w:kern w:val="0"/>
        </w:rPr>
      </w:pPr>
      <w:bookmarkStart w:id="52" w:name="OLE_LINK208"/>
      <w:r w:rsidRPr="007B43A9">
        <w:rPr>
          <w:rFonts w:ascii="Book Antiqua" w:eastAsia="Times New Roman" w:hAnsi="Book Antiqua" w:cs="Times New Roman"/>
          <w:b/>
          <w:i/>
          <w:color w:val="000000" w:themeColor="text1"/>
          <w:kern w:val="0"/>
        </w:rPr>
        <w:t>Natural peptides</w:t>
      </w:r>
      <w:bookmarkEnd w:id="52"/>
    </w:p>
    <w:p w14:paraId="16BD8321" w14:textId="57BFFE30" w:rsidR="00CE48F3" w:rsidRPr="007B43A9" w:rsidRDefault="00986ACD" w:rsidP="005142C8">
      <w:pPr>
        <w:widowControl/>
        <w:tabs>
          <w:tab w:val="left" w:pos="1773"/>
        </w:tabs>
        <w:spacing w:line="360" w:lineRule="auto"/>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In addition to the use of antimicrobial agents for the treatment of pathogenic microorganisms, which cause infection symptoms, activation of immune cells and secretion of some peptides with antimicrobial effect</w:t>
      </w:r>
      <w:r w:rsidR="005F7620" w:rsidRPr="007B43A9">
        <w:rPr>
          <w:rFonts w:ascii="Book Antiqua" w:eastAsia="Times New Roman" w:hAnsi="Book Antiqua" w:cs="Times New Roman"/>
          <w:color w:val="000000" w:themeColor="text1"/>
          <w:kern w:val="0"/>
        </w:rPr>
        <w:t>s</w:t>
      </w:r>
      <w:r w:rsidRPr="007B43A9">
        <w:rPr>
          <w:rFonts w:ascii="Book Antiqua" w:eastAsia="Times New Roman" w:hAnsi="Book Antiqua" w:cs="Times New Roman"/>
          <w:color w:val="000000" w:themeColor="text1"/>
          <w:kern w:val="0"/>
        </w:rPr>
        <w:t xml:space="preserve"> in the human body also play a decisive role in the elimination of infection.</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Lactoferrin is an important non-heme iron-binding glycoprotein found in milk, with powerful biological functions, such as broad-spectrum antibacterial, anti-oxidation, anti-cancer</w:t>
      </w:r>
      <w:r w:rsidR="005F7620" w:rsidRPr="007B43A9">
        <w:rPr>
          <w:rFonts w:ascii="Book Antiqua" w:eastAsia="Times New Roman" w:hAnsi="Book Antiqua" w:cs="Times New Roman"/>
          <w:color w:val="000000" w:themeColor="text1"/>
          <w:kern w:val="0"/>
        </w:rPr>
        <w:t xml:space="preserve"> effects</w:t>
      </w:r>
      <w:r w:rsidRPr="007B43A9">
        <w:rPr>
          <w:rFonts w:ascii="Book Antiqua" w:eastAsia="Times New Roman" w:hAnsi="Book Antiqua" w:cs="Times New Roman"/>
          <w:color w:val="000000" w:themeColor="text1"/>
          <w:kern w:val="0"/>
        </w:rPr>
        <w:t>, and immune system regulation.</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It has been reported that lactoferrin promotes the differentiation of </w:t>
      </w:r>
      <w:bookmarkStart w:id="53" w:name="OLE_LINK204"/>
      <w:bookmarkStart w:id="54" w:name="OLE_LINK205"/>
      <w:r w:rsidRPr="007B43A9">
        <w:rPr>
          <w:rFonts w:ascii="Book Antiqua" w:eastAsia="Times New Roman" w:hAnsi="Book Antiqua" w:cs="Times New Roman"/>
          <w:color w:val="000000" w:themeColor="text1"/>
          <w:kern w:val="0"/>
        </w:rPr>
        <w:t>human adipose-derived stem cells</w:t>
      </w:r>
      <w:bookmarkEnd w:id="53"/>
      <w:bookmarkEnd w:id="54"/>
      <w:r w:rsidRPr="007B43A9">
        <w:rPr>
          <w:rFonts w:ascii="Book Antiqua" w:eastAsia="Times New Roman" w:hAnsi="Book Antiqua" w:cs="Times New Roman"/>
          <w:color w:val="000000" w:themeColor="text1"/>
          <w:kern w:val="0"/>
        </w:rPr>
        <w:t xml:space="preserve"> into osteoblasts in a concentration-dependent manner and also promotes the expre</w:t>
      </w:r>
      <w:r w:rsidR="00570B2D" w:rsidRPr="007B43A9">
        <w:rPr>
          <w:rFonts w:ascii="Book Antiqua" w:eastAsia="Times New Roman" w:hAnsi="Book Antiqua" w:cs="Times New Roman"/>
          <w:color w:val="000000" w:themeColor="text1"/>
          <w:kern w:val="0"/>
        </w:rPr>
        <w:t>ssion</w:t>
      </w:r>
      <w:r w:rsidR="005F7620" w:rsidRPr="007B43A9">
        <w:rPr>
          <w:rFonts w:ascii="Book Antiqua" w:eastAsia="Times New Roman" w:hAnsi="Book Antiqua" w:cs="Times New Roman"/>
          <w:color w:val="000000" w:themeColor="text1"/>
          <w:kern w:val="0"/>
        </w:rPr>
        <w:t xml:space="preserve"> </w:t>
      </w:r>
      <w:r w:rsidR="00570B2D" w:rsidRPr="007B43A9">
        <w:rPr>
          <w:rFonts w:ascii="Book Antiqua" w:eastAsia="Times New Roman" w:hAnsi="Book Antiqua" w:cs="Times New Roman"/>
          <w:color w:val="000000" w:themeColor="text1"/>
          <w:kern w:val="0"/>
        </w:rPr>
        <w:t>of osteogenic genes</w:t>
      </w:r>
      <w:r w:rsidRPr="007B43A9">
        <w:rPr>
          <w:rFonts w:ascii="Book Antiqua" w:eastAsia="Times New Roman" w:hAnsi="Book Antiqua" w:cs="Times New Roman"/>
          <w:color w:val="000000" w:themeColor="text1"/>
          <w:kern w:val="0"/>
          <w:vertAlign w:val="superscript"/>
        </w:rPr>
        <w:t>[27]</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Similarly, other studies have found that lactoferrin promotes the proliferation of MC3T3-E1 osteoblast cell</w:t>
      </w:r>
      <w:r w:rsidR="005F7620" w:rsidRPr="007B43A9">
        <w:rPr>
          <w:rFonts w:ascii="Book Antiqua" w:eastAsia="Times New Roman" w:hAnsi="Book Antiqua" w:cs="Times New Roman"/>
          <w:color w:val="000000" w:themeColor="text1"/>
          <w:kern w:val="0"/>
        </w:rPr>
        <w:t>s</w:t>
      </w:r>
      <w:r w:rsidRPr="007B43A9">
        <w:rPr>
          <w:rFonts w:ascii="Book Antiqua" w:eastAsia="Times New Roman" w:hAnsi="Book Antiqua" w:cs="Times New Roman"/>
          <w:color w:val="000000" w:themeColor="text1"/>
          <w:kern w:val="0"/>
        </w:rPr>
        <w:t xml:space="preserve"> </w:t>
      </w:r>
      <w:r w:rsidR="005F7620" w:rsidRPr="007B43A9">
        <w:rPr>
          <w:rFonts w:ascii="Book Antiqua" w:eastAsia="Times New Roman" w:hAnsi="Book Antiqua" w:cs="Times New Roman"/>
          <w:i/>
          <w:color w:val="000000" w:themeColor="text1"/>
          <w:kern w:val="0"/>
        </w:rPr>
        <w:t>via</w:t>
      </w:r>
      <w:r w:rsidR="005F7620"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 xml:space="preserve">the </w:t>
      </w:r>
      <w:r w:rsidR="00326925" w:rsidRPr="007B43A9">
        <w:rPr>
          <w:rFonts w:ascii="Book Antiqua" w:eastAsia="Times New Roman" w:hAnsi="Book Antiqua" w:cs="Times New Roman"/>
          <w:color w:val="000000" w:themeColor="text1"/>
          <w:kern w:val="0"/>
        </w:rPr>
        <w:t>mitogen-activated protein kinase (</w:t>
      </w:r>
      <w:r w:rsidRPr="007B43A9">
        <w:rPr>
          <w:rFonts w:ascii="Book Antiqua" w:eastAsia="Times New Roman" w:hAnsi="Book Antiqua" w:cs="Times New Roman"/>
          <w:color w:val="000000" w:themeColor="text1"/>
          <w:kern w:val="0"/>
        </w:rPr>
        <w:t>MAPK</w:t>
      </w:r>
      <w:r w:rsidR="00326925"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 xml:space="preserve"> signaling pathway and promotes the differentiation of MC3T3-E1 into osteogenesis </w:t>
      </w:r>
      <w:r w:rsidRPr="007B43A9">
        <w:rPr>
          <w:rFonts w:ascii="Book Antiqua" w:eastAsia="Times New Roman" w:hAnsi="Book Antiqua" w:cs="Times New Roman"/>
          <w:i/>
          <w:color w:val="000000" w:themeColor="text1"/>
          <w:kern w:val="0"/>
        </w:rPr>
        <w:t>via</w:t>
      </w:r>
      <w:r w:rsidR="000B4E97" w:rsidRPr="007B43A9">
        <w:rPr>
          <w:rFonts w:ascii="Book Antiqua" w:hAnsi="Book Antiqua"/>
          <w:color w:val="000000" w:themeColor="text1"/>
        </w:rPr>
        <w:t xml:space="preserve"> </w:t>
      </w:r>
      <w:r w:rsidR="005F7620" w:rsidRPr="007B43A9">
        <w:rPr>
          <w:rFonts w:ascii="Book Antiqua" w:hAnsi="Book Antiqua"/>
          <w:color w:val="000000" w:themeColor="text1"/>
        </w:rPr>
        <w:t xml:space="preserve">the </w:t>
      </w:r>
      <w:r w:rsidR="000B4E97" w:rsidRPr="007B43A9">
        <w:rPr>
          <w:rFonts w:ascii="Book Antiqua" w:eastAsia="Times New Roman" w:hAnsi="Book Antiqua" w:cs="Times New Roman"/>
          <w:color w:val="000000" w:themeColor="text1"/>
          <w:kern w:val="0"/>
        </w:rPr>
        <w:t>protein kinase A</w:t>
      </w:r>
      <w:r w:rsidR="00570B2D" w:rsidRPr="007B43A9">
        <w:rPr>
          <w:rFonts w:ascii="Book Antiqua" w:hAnsi="Book Antiqua" w:cs="Times New Roman" w:hint="eastAsia"/>
          <w:color w:val="000000" w:themeColor="text1"/>
          <w:kern w:val="0"/>
        </w:rPr>
        <w:t xml:space="preserve"> </w:t>
      </w:r>
      <w:r w:rsidR="00570B2D" w:rsidRPr="007B43A9">
        <w:rPr>
          <w:rFonts w:ascii="Book Antiqua" w:eastAsia="Times New Roman" w:hAnsi="Book Antiqua" w:cs="Times New Roman"/>
          <w:color w:val="000000" w:themeColor="text1"/>
          <w:kern w:val="0"/>
        </w:rPr>
        <w:t>and p38 signaling pathways</w:t>
      </w:r>
      <w:r w:rsidR="00570B2D" w:rsidRPr="007B43A9">
        <w:rPr>
          <w:rFonts w:ascii="Book Antiqua" w:eastAsia="Times New Roman" w:hAnsi="Book Antiqua" w:cs="Times New Roman"/>
          <w:color w:val="000000" w:themeColor="text1"/>
          <w:kern w:val="0"/>
          <w:vertAlign w:val="superscript"/>
        </w:rPr>
        <w:t>[28,</w:t>
      </w:r>
      <w:r w:rsidRPr="007B43A9">
        <w:rPr>
          <w:rFonts w:ascii="Book Antiqua" w:eastAsia="Times New Roman" w:hAnsi="Book Antiqua" w:cs="Times New Roman"/>
          <w:color w:val="000000" w:themeColor="text1"/>
          <w:kern w:val="0"/>
          <w:vertAlign w:val="superscript"/>
        </w:rPr>
        <w:t>29]</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Hepcidin is a cysteine-rich polypeptide synthesized and secreted by the liver, which has a wide range of antibacterial and anti-protozoal functions.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Studies have found that, in addition to regulating iron metabolism and antibacterial properties, hepcidin also regulates the function of rat bone marrow-derived MSCs.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At a concentration of 0.2 mmol/L, hepcidin enhanced the mineralization ability of rat bone marrow-derived MSCs and upregulated the expression of osteogenic genes. The researchers found that this osteogenic differentiation may be related to the activation of </w:t>
      </w:r>
      <w:r w:rsidR="005F7620" w:rsidRPr="007B43A9">
        <w:rPr>
          <w:rFonts w:ascii="Book Antiqua" w:eastAsia="Times New Roman" w:hAnsi="Book Antiqua" w:cs="Times New Roman"/>
          <w:color w:val="000000" w:themeColor="text1"/>
          <w:kern w:val="0"/>
        </w:rPr>
        <w:t xml:space="preserve">the </w:t>
      </w:r>
      <w:r w:rsidRPr="007B43A9">
        <w:rPr>
          <w:rFonts w:ascii="Book Antiqua" w:eastAsia="Times New Roman" w:hAnsi="Book Antiqua" w:cs="Times New Roman"/>
          <w:color w:val="000000" w:themeColor="text1"/>
          <w:kern w:val="0"/>
        </w:rPr>
        <w:t>p38 s</w:t>
      </w:r>
      <w:r w:rsidR="00570B2D" w:rsidRPr="007B43A9">
        <w:rPr>
          <w:rFonts w:ascii="Book Antiqua" w:eastAsia="Times New Roman" w:hAnsi="Book Antiqua" w:cs="Times New Roman"/>
          <w:color w:val="000000" w:themeColor="text1"/>
          <w:kern w:val="0"/>
        </w:rPr>
        <w:t>ignaling pathway</w:t>
      </w:r>
      <w:r w:rsidRPr="007B43A9">
        <w:rPr>
          <w:rFonts w:ascii="Book Antiqua" w:eastAsia="Times New Roman" w:hAnsi="Book Antiqua" w:cs="Times New Roman"/>
          <w:color w:val="000000" w:themeColor="text1"/>
          <w:kern w:val="0"/>
          <w:vertAlign w:val="superscript"/>
        </w:rPr>
        <w:t>[30]</w:t>
      </w:r>
      <w:r w:rsidRPr="007B43A9">
        <w:rPr>
          <w:rFonts w:ascii="Book Antiqua" w:eastAsia="Times New Roman" w:hAnsi="Book Antiqua" w:cs="Times New Roman"/>
          <w:color w:val="000000" w:themeColor="text1"/>
          <w:kern w:val="0"/>
        </w:rPr>
        <w:t xml:space="preserve">. As an important part of the immune system, antimicrobial peptides (AMPs) can destroy microbial membranes and induce </w:t>
      </w:r>
      <w:r w:rsidR="00147FDB" w:rsidRPr="007B43A9">
        <w:rPr>
          <w:rFonts w:ascii="Book Antiqua" w:eastAsia="Times New Roman" w:hAnsi="Book Antiqua" w:cs="Times New Roman"/>
          <w:color w:val="000000" w:themeColor="text1"/>
          <w:kern w:val="0"/>
        </w:rPr>
        <w:t xml:space="preserve">the death of </w:t>
      </w:r>
      <w:r w:rsidRPr="007B43A9">
        <w:rPr>
          <w:rFonts w:ascii="Book Antiqua" w:eastAsia="Times New Roman" w:hAnsi="Book Antiqua" w:cs="Times New Roman"/>
          <w:color w:val="000000" w:themeColor="text1"/>
          <w:kern w:val="0"/>
        </w:rPr>
        <w:t xml:space="preserve">pathogenic bacteria, </w:t>
      </w:r>
      <w:r w:rsidR="005F7620" w:rsidRPr="007B43A9">
        <w:rPr>
          <w:rFonts w:ascii="Book Antiqua" w:eastAsia="Times New Roman" w:hAnsi="Book Antiqua" w:cs="Times New Roman"/>
          <w:color w:val="000000" w:themeColor="text1"/>
          <w:kern w:val="0"/>
        </w:rPr>
        <w:t>hav</w:t>
      </w:r>
      <w:r w:rsidR="00873750" w:rsidRPr="007B43A9">
        <w:rPr>
          <w:rFonts w:ascii="Book Antiqua" w:eastAsia="Times New Roman" w:hAnsi="Book Antiqua" w:cs="Times New Roman"/>
          <w:color w:val="000000" w:themeColor="text1"/>
          <w:kern w:val="0"/>
        </w:rPr>
        <w:t>ing</w:t>
      </w:r>
      <w:r w:rsidR="005F7620"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the potential to become a substitute for traditional antibiotics.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The only natural antimicrobial </w:t>
      </w:r>
      <w:r w:rsidR="00570B2D" w:rsidRPr="007B43A9">
        <w:rPr>
          <w:rFonts w:ascii="Book Antiqua" w:eastAsia="Times New Roman" w:hAnsi="Book Antiqua" w:cs="Times New Roman"/>
          <w:color w:val="000000" w:themeColor="text1"/>
          <w:kern w:val="0"/>
        </w:rPr>
        <w:t>peptide, cathelicidin (hCAP18/</w:t>
      </w:r>
      <w:r w:rsidRPr="007B43A9">
        <w:rPr>
          <w:rFonts w:ascii="Book Antiqua" w:eastAsia="Times New Roman" w:hAnsi="Book Antiqua" w:cs="Times New Roman"/>
          <w:color w:val="000000" w:themeColor="text1"/>
          <w:kern w:val="0"/>
        </w:rPr>
        <w:t xml:space="preserve">LL-37), was confirmed in 1995 and proved to exhibit antibacterial activity both </w:t>
      </w:r>
      <w:r w:rsidRPr="007B43A9">
        <w:rPr>
          <w:rFonts w:ascii="Book Antiqua" w:eastAsia="Times New Roman" w:hAnsi="Book Antiqua" w:cs="Times New Roman"/>
          <w:i/>
          <w:color w:val="000000" w:themeColor="text1"/>
          <w:kern w:val="0"/>
        </w:rPr>
        <w:t xml:space="preserve">in vitro </w:t>
      </w:r>
      <w:r w:rsidRPr="007B43A9">
        <w:rPr>
          <w:rFonts w:ascii="Book Antiqua" w:eastAsia="Times New Roman" w:hAnsi="Book Antiqua" w:cs="Times New Roman"/>
          <w:color w:val="000000" w:themeColor="text1"/>
          <w:kern w:val="0"/>
        </w:rPr>
        <w:t xml:space="preserve">and </w:t>
      </w:r>
      <w:r w:rsidRPr="007B43A9">
        <w:rPr>
          <w:rFonts w:ascii="Book Antiqua" w:eastAsia="Times New Roman" w:hAnsi="Book Antiqua" w:cs="Times New Roman"/>
          <w:i/>
          <w:color w:val="000000" w:themeColor="text1"/>
          <w:kern w:val="0"/>
        </w:rPr>
        <w:t>in vivo</w:t>
      </w:r>
      <w:r w:rsidRPr="007B43A9">
        <w:rPr>
          <w:rFonts w:ascii="Book Antiqua" w:eastAsia="Times New Roman" w:hAnsi="Book Antiqua" w:cs="Times New Roman"/>
          <w:color w:val="000000" w:themeColor="text1"/>
          <w:kern w:val="0"/>
        </w:rPr>
        <w:t xml:space="preserve">. Moreover, in addition to its resistance to pathogenic microorganisms, LL-37 has also been shown to </w:t>
      </w:r>
      <w:r w:rsidR="00A03A5D" w:rsidRPr="007B43A9">
        <w:rPr>
          <w:rFonts w:ascii="Book Antiqua" w:eastAsia="Times New Roman" w:hAnsi="Book Antiqua" w:cs="Times New Roman"/>
          <w:color w:val="000000" w:themeColor="text1"/>
          <w:kern w:val="0"/>
        </w:rPr>
        <w:t>promote the</w:t>
      </w:r>
      <w:r w:rsidRPr="007B43A9">
        <w:rPr>
          <w:rFonts w:ascii="Book Antiqua" w:eastAsia="Times New Roman" w:hAnsi="Book Antiqua" w:cs="Times New Roman"/>
          <w:color w:val="000000" w:themeColor="text1"/>
          <w:kern w:val="0"/>
        </w:rPr>
        <w:t xml:space="preserve"> proliferati</w:t>
      </w:r>
      <w:r w:rsidR="00A03A5D" w:rsidRPr="007B43A9">
        <w:rPr>
          <w:rFonts w:ascii="Book Antiqua" w:eastAsia="Times New Roman" w:hAnsi="Book Antiqua" w:cs="Times New Roman"/>
          <w:color w:val="000000" w:themeColor="text1"/>
          <w:kern w:val="0"/>
        </w:rPr>
        <w:t xml:space="preserve">on, </w:t>
      </w:r>
      <w:bookmarkStart w:id="55" w:name="OLE_LINK44"/>
      <w:bookmarkStart w:id="56" w:name="OLE_LINK45"/>
      <w:r w:rsidR="00A03A5D" w:rsidRPr="007B43A9">
        <w:rPr>
          <w:rFonts w:ascii="Book Antiqua" w:eastAsia="Times New Roman" w:hAnsi="Book Antiqua" w:cs="Times New Roman"/>
          <w:color w:val="000000" w:themeColor="text1"/>
          <w:kern w:val="0"/>
        </w:rPr>
        <w:t>migration</w:t>
      </w:r>
      <w:bookmarkEnd w:id="55"/>
      <w:bookmarkEnd w:id="56"/>
      <w:r w:rsidRPr="007B43A9">
        <w:rPr>
          <w:rFonts w:ascii="Book Antiqua" w:eastAsia="Times New Roman" w:hAnsi="Book Antiqua" w:cs="Times New Roman"/>
          <w:color w:val="000000" w:themeColor="text1"/>
          <w:kern w:val="0"/>
        </w:rPr>
        <w:t>, and osteogenic differentiation of rat bone marrow-derived MSCs.</w:t>
      </w:r>
      <w:r w:rsidRPr="007B43A9">
        <w:rPr>
          <w:rFonts w:ascii="Book Antiqua" w:hAnsi="Book Antiqua" w:cs="Times New Roman"/>
          <w:color w:val="000000" w:themeColor="text1"/>
        </w:rPr>
        <w:t xml:space="preserve"> </w:t>
      </w:r>
      <w:r w:rsidR="00DD3F23" w:rsidRPr="007B43A9">
        <w:rPr>
          <w:rFonts w:ascii="Book Antiqua" w:eastAsia="Times New Roman" w:hAnsi="Book Antiqua" w:cs="Times New Roman"/>
          <w:color w:val="000000" w:themeColor="text1"/>
          <w:kern w:val="0"/>
        </w:rPr>
        <w:t>In the concentration range of 5</w:t>
      </w:r>
      <w:r w:rsidRPr="007B43A9">
        <w:rPr>
          <w:rFonts w:ascii="Book Antiqua" w:eastAsia="Times New Roman" w:hAnsi="Book Antiqua" w:cs="Times New Roman"/>
          <w:color w:val="000000" w:themeColor="text1"/>
          <w:kern w:val="0"/>
        </w:rPr>
        <w:t xml:space="preserve">-20 </w:t>
      </w:r>
      <w:bookmarkStart w:id="57" w:name="OLE_LINK300"/>
      <w:bookmarkStart w:id="58" w:name="OLE_LINK301"/>
      <w:r w:rsidRPr="007B43A9">
        <w:rPr>
          <w:rFonts w:ascii="Book Antiqua" w:eastAsia="Times New Roman" w:hAnsi="Book Antiqua" w:cs="Times New Roman"/>
          <w:color w:val="000000" w:themeColor="text1"/>
          <w:kern w:val="0"/>
        </w:rPr>
        <w:t>μg/mL,</w:t>
      </w:r>
      <w:bookmarkEnd w:id="57"/>
      <w:bookmarkEnd w:id="58"/>
      <w:r w:rsidRPr="007B43A9">
        <w:rPr>
          <w:rFonts w:ascii="Book Antiqua" w:eastAsia="Times New Roman" w:hAnsi="Book Antiqua" w:cs="Times New Roman"/>
          <w:color w:val="000000" w:themeColor="text1"/>
          <w:kern w:val="0"/>
        </w:rPr>
        <w:t xml:space="preserve"> LL-37 promoted the osteogenic differentiation potential of MSCs in a dose-dependent manner. More importantly, LL-37</w:t>
      </w:r>
      <w:r w:rsidR="005F7620"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at a concentration of 10 μg/m</w:t>
      </w:r>
      <w:r w:rsidR="00570B2D" w:rsidRPr="007B43A9">
        <w:rPr>
          <w:rFonts w:ascii="Book Antiqua" w:eastAsia="Times New Roman" w:hAnsi="Book Antiqua" w:cs="Times New Roman"/>
          <w:color w:val="000000" w:themeColor="text1"/>
          <w:kern w:val="0"/>
        </w:rPr>
        <w:t>L</w:t>
      </w:r>
      <w:r w:rsidR="005F7620"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can reverse the osteogenic inhibiti</w:t>
      </w:r>
      <w:r w:rsidR="00570B2D" w:rsidRPr="007B43A9">
        <w:rPr>
          <w:rFonts w:ascii="Book Antiqua" w:eastAsia="Times New Roman" w:hAnsi="Book Antiqua" w:cs="Times New Roman"/>
          <w:color w:val="000000" w:themeColor="text1"/>
          <w:kern w:val="0"/>
        </w:rPr>
        <w:t>on caused by lipopolysaccharide</w:t>
      </w:r>
      <w:r w:rsidRPr="007B43A9">
        <w:rPr>
          <w:rFonts w:ascii="Book Antiqua" w:eastAsia="Times New Roman" w:hAnsi="Book Antiqua" w:cs="Times New Roman"/>
          <w:color w:val="000000" w:themeColor="text1"/>
          <w:kern w:val="0"/>
          <w:vertAlign w:val="superscript"/>
        </w:rPr>
        <w:t>[31]</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However, since the peptide chain of LL-37 is too long and too difficult to synthesize, it is inconvenient to use it as a conventional therapeutic drug for bacterial infections and inflammatory diseases.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Short-chain AMPs have recently attracted attention due to their lower production costs. Among the LL-37 active fragments of different lengths investigated, KR-12 is the shortest antimicrobial peptide with antibacterial activity.</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In our previous study, KR-12 stimulated osteogenic differentiation of human bone marrow-derived MSCs within an effectiv</w:t>
      </w:r>
      <w:r w:rsidR="00DD3F23" w:rsidRPr="007B43A9">
        <w:rPr>
          <w:rFonts w:ascii="Book Antiqua" w:eastAsia="Times New Roman" w:hAnsi="Book Antiqua" w:cs="Times New Roman"/>
          <w:color w:val="000000" w:themeColor="text1"/>
          <w:kern w:val="0"/>
        </w:rPr>
        <w:t>e antimicrobial concentration (1</w:t>
      </w:r>
      <w:r w:rsidRPr="007B43A9">
        <w:rPr>
          <w:rFonts w:ascii="Book Antiqua" w:eastAsia="Times New Roman" w:hAnsi="Book Antiqua" w:cs="Times New Roman"/>
          <w:color w:val="000000" w:themeColor="text1"/>
          <w:kern w:val="0"/>
        </w:rPr>
        <w:t>-1000 μg/mL). This osteoinductive phenomenon also appear</w:t>
      </w:r>
      <w:r w:rsidR="00570B2D" w:rsidRPr="007B43A9">
        <w:rPr>
          <w:rFonts w:ascii="Book Antiqua" w:eastAsia="Times New Roman" w:hAnsi="Book Antiqua" w:cs="Times New Roman"/>
          <w:color w:val="000000" w:themeColor="text1"/>
          <w:kern w:val="0"/>
        </w:rPr>
        <w:t>s to be concentration-dependent</w:t>
      </w:r>
      <w:r w:rsidRPr="007B43A9">
        <w:rPr>
          <w:rFonts w:ascii="Book Antiqua" w:eastAsia="Times New Roman" w:hAnsi="Book Antiqua" w:cs="Times New Roman"/>
          <w:color w:val="000000" w:themeColor="text1"/>
          <w:kern w:val="0"/>
          <w:vertAlign w:val="superscript"/>
        </w:rPr>
        <w:t>[32]</w:t>
      </w:r>
      <w:r w:rsidRPr="007B43A9">
        <w:rPr>
          <w:rFonts w:ascii="Book Antiqua" w:eastAsia="Times New Roman" w:hAnsi="Book Antiqua" w:cs="Times New Roman"/>
          <w:color w:val="000000" w:themeColor="text1"/>
          <w:kern w:val="0"/>
        </w:rPr>
        <w:t>.</w:t>
      </w:r>
    </w:p>
    <w:p w14:paraId="41B2EB9E" w14:textId="77777777" w:rsidR="00570B2D" w:rsidRPr="007B43A9" w:rsidRDefault="00570B2D" w:rsidP="005142C8">
      <w:pPr>
        <w:widowControl/>
        <w:tabs>
          <w:tab w:val="left" w:pos="1773"/>
        </w:tabs>
        <w:spacing w:line="360" w:lineRule="auto"/>
        <w:rPr>
          <w:rFonts w:ascii="Book Antiqua" w:hAnsi="Book Antiqua" w:cs="Times New Roman"/>
          <w:color w:val="000000" w:themeColor="text1"/>
          <w:kern w:val="0"/>
        </w:rPr>
      </w:pPr>
    </w:p>
    <w:p w14:paraId="7F5C3D0F" w14:textId="217D81CF" w:rsidR="00CE48F3" w:rsidRPr="007B43A9" w:rsidRDefault="00CE48F3" w:rsidP="005142C8">
      <w:pPr>
        <w:widowControl/>
        <w:tabs>
          <w:tab w:val="left" w:pos="1773"/>
        </w:tabs>
        <w:spacing w:line="360" w:lineRule="auto"/>
        <w:rPr>
          <w:rFonts w:ascii="Book Antiqua" w:eastAsia="宋体" w:hAnsi="Book Antiqua" w:cs="Times New Roman"/>
          <w:b/>
          <w:i/>
          <w:color w:val="000000" w:themeColor="text1"/>
        </w:rPr>
      </w:pPr>
      <w:bookmarkStart w:id="59" w:name="OLE_LINK209"/>
      <w:bookmarkStart w:id="60" w:name="OLE_LINK210"/>
      <w:r w:rsidRPr="007B43A9">
        <w:rPr>
          <w:rFonts w:ascii="Book Antiqua" w:eastAsia="宋体" w:hAnsi="Book Antiqua" w:cs="Times New Roman"/>
          <w:b/>
          <w:i/>
          <w:color w:val="000000" w:themeColor="text1"/>
        </w:rPr>
        <w:t>Chinese traditional drug extracts</w:t>
      </w:r>
      <w:bookmarkEnd w:id="59"/>
      <w:bookmarkEnd w:id="60"/>
    </w:p>
    <w:p w14:paraId="109F71DF" w14:textId="5F5ACB08" w:rsidR="00CE48F3" w:rsidRPr="007B43A9" w:rsidRDefault="00986ACD" w:rsidP="005142C8">
      <w:pPr>
        <w:widowControl/>
        <w:tabs>
          <w:tab w:val="left" w:pos="1773"/>
        </w:tabs>
        <w:spacing w:line="360" w:lineRule="auto"/>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 xml:space="preserve">Chinese </w:t>
      </w:r>
      <w:bookmarkStart w:id="61" w:name="OLE_LINK310"/>
      <w:bookmarkStart w:id="62" w:name="OLE_LINK311"/>
      <w:r w:rsidRPr="007B43A9">
        <w:rPr>
          <w:rFonts w:ascii="Book Antiqua" w:eastAsia="Times New Roman" w:hAnsi="Book Antiqua" w:cs="Times New Roman"/>
          <w:color w:val="000000" w:themeColor="text1"/>
          <w:kern w:val="0"/>
        </w:rPr>
        <w:t>traditional drug</w:t>
      </w:r>
      <w:r w:rsidR="005F7620" w:rsidRPr="007B43A9">
        <w:rPr>
          <w:rFonts w:ascii="Book Antiqua" w:eastAsia="Times New Roman" w:hAnsi="Book Antiqua" w:cs="Times New Roman"/>
          <w:color w:val="000000" w:themeColor="text1"/>
          <w:kern w:val="0"/>
        </w:rPr>
        <w:t>s</w:t>
      </w:r>
      <w:r w:rsidRPr="007B43A9">
        <w:rPr>
          <w:rFonts w:ascii="Book Antiqua" w:eastAsia="Times New Roman" w:hAnsi="Book Antiqua" w:cs="Times New Roman"/>
          <w:color w:val="000000" w:themeColor="text1"/>
          <w:kern w:val="0"/>
        </w:rPr>
        <w:t xml:space="preserve"> </w:t>
      </w:r>
      <w:bookmarkEnd w:id="61"/>
      <w:bookmarkEnd w:id="62"/>
      <w:r w:rsidR="005F7620" w:rsidRPr="007B43A9">
        <w:rPr>
          <w:rFonts w:ascii="Book Antiqua" w:eastAsia="Times New Roman" w:hAnsi="Book Antiqua" w:cs="Times New Roman"/>
          <w:color w:val="000000" w:themeColor="text1"/>
          <w:kern w:val="0"/>
        </w:rPr>
        <w:t xml:space="preserve">are </w:t>
      </w:r>
      <w:r w:rsidRPr="007B43A9">
        <w:rPr>
          <w:rFonts w:ascii="Book Antiqua" w:eastAsia="Times New Roman" w:hAnsi="Book Antiqua" w:cs="Times New Roman"/>
          <w:color w:val="000000" w:themeColor="text1"/>
          <w:kern w:val="0"/>
        </w:rPr>
        <w:t xml:space="preserve">mainly composed of botanicals (roots, stems, leaves, </w:t>
      </w:r>
      <w:r w:rsidR="005F7620" w:rsidRPr="007B43A9">
        <w:rPr>
          <w:rFonts w:ascii="Book Antiqua" w:eastAsia="Times New Roman" w:hAnsi="Book Antiqua" w:cs="Times New Roman"/>
          <w:color w:val="000000" w:themeColor="text1"/>
          <w:kern w:val="0"/>
        </w:rPr>
        <w:t xml:space="preserve">and </w:t>
      </w:r>
      <w:r w:rsidRPr="007B43A9">
        <w:rPr>
          <w:rFonts w:ascii="Book Antiqua" w:eastAsia="Times New Roman" w:hAnsi="Book Antiqua" w:cs="Times New Roman"/>
          <w:color w:val="000000" w:themeColor="text1"/>
          <w:kern w:val="0"/>
        </w:rPr>
        <w:t xml:space="preserve">fruits), animal drugs (viscera, skin, bone, organs, </w:t>
      </w:r>
      <w:r w:rsidRPr="007B43A9">
        <w:rPr>
          <w:rFonts w:ascii="Book Antiqua" w:eastAsia="Times New Roman" w:hAnsi="Book Antiqua" w:cs="Times New Roman"/>
          <w:i/>
          <w:color w:val="000000" w:themeColor="text1"/>
          <w:kern w:val="0"/>
        </w:rPr>
        <w:t>etc</w:t>
      </w:r>
      <w:r w:rsidRPr="007B43A9">
        <w:rPr>
          <w:rFonts w:ascii="Book Antiqua" w:eastAsia="Times New Roman" w:hAnsi="Book Antiqua" w:cs="Times New Roman"/>
          <w:color w:val="000000" w:themeColor="text1"/>
          <w:kern w:val="0"/>
        </w:rPr>
        <w:t>.)</w:t>
      </w:r>
      <w:r w:rsidR="005F7620"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 xml:space="preserve"> and mineral medicines.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Since such drugs are often present in a mixture rather than in a monomer form, their pharmacological effects are often studied by extracting the active ingredient of the drug.</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Similar to the above-mentioned antimicrobial drugs, some Chinese herbal extracts with antibacterial or anti-pathogenic properties have attracted a l</w:t>
      </w:r>
      <w:r w:rsidR="00A22236" w:rsidRPr="007B43A9">
        <w:rPr>
          <w:rFonts w:ascii="Book Antiqua" w:eastAsia="Times New Roman" w:hAnsi="Book Antiqua" w:cs="Times New Roman"/>
          <w:color w:val="000000" w:themeColor="text1"/>
          <w:kern w:val="0"/>
        </w:rPr>
        <w:t>ot of attention in recent years</w:t>
      </w:r>
      <w:r w:rsidRPr="007B43A9">
        <w:rPr>
          <w:rFonts w:ascii="Book Antiqua" w:eastAsia="Times New Roman" w:hAnsi="Book Antiqua" w:cs="Times New Roman"/>
          <w:color w:val="000000" w:themeColor="text1"/>
          <w:kern w:val="0"/>
          <w:vertAlign w:val="superscript"/>
        </w:rPr>
        <w:t>[33-49]</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Compared with traditional antibiotics, these Chinese traditional drug</w:t>
      </w:r>
      <w:r w:rsidR="0018210C"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extracts exhibit less side effects and are less prone to drug resistance while exerting antibacterial effects.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Among these herbal extracts, some promote osteogenic differentiation of bone marrow-derived MSCs, such as cordycepin, tanshinone, </w:t>
      </w:r>
      <w:r w:rsidR="0018210C" w:rsidRPr="007B43A9">
        <w:rPr>
          <w:rFonts w:ascii="Book Antiqua" w:eastAsia="Times New Roman" w:hAnsi="Book Antiqua" w:cs="Times New Roman"/>
          <w:color w:val="000000" w:themeColor="text1"/>
          <w:kern w:val="0"/>
        </w:rPr>
        <w:t>and baicalin</w:t>
      </w:r>
      <w:r w:rsidRPr="007B43A9">
        <w:rPr>
          <w:rFonts w:ascii="Book Antiqua" w:eastAsia="Times New Roman" w:hAnsi="Book Antiqua" w:cs="Times New Roman"/>
          <w:color w:val="000000" w:themeColor="text1"/>
          <w:kern w:val="0"/>
          <w:vertAlign w:val="superscript"/>
        </w:rPr>
        <w:t>[33</w:t>
      </w:r>
      <w:r w:rsidR="0018210C" w:rsidRPr="007B43A9">
        <w:rPr>
          <w:rFonts w:ascii="Book Antiqua" w:eastAsia="Times New Roman" w:hAnsi="Book Antiqua" w:cs="Times New Roman"/>
          <w:color w:val="000000" w:themeColor="text1"/>
          <w:kern w:val="0"/>
          <w:vertAlign w:val="superscript"/>
        </w:rPr>
        <w:t>-36,38,</w:t>
      </w:r>
      <w:r w:rsidRPr="007B43A9">
        <w:rPr>
          <w:rFonts w:ascii="Book Antiqua" w:eastAsia="Times New Roman" w:hAnsi="Book Antiqua" w:cs="Times New Roman"/>
          <w:color w:val="000000" w:themeColor="text1"/>
          <w:kern w:val="0"/>
          <w:vertAlign w:val="superscript"/>
        </w:rPr>
        <w:t>39]</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If these extracts can exert stable antibacterial activity and simultaneously induce bone marrow-derived MSCs to differentiate into new osseous tissue by virtue of their osteoinductive properties, the clinical application prospects of these extracts will be more extensive.</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The Chinese traditional drug extracts that have been reported to regulate osteogenic differentiation and to exhibit antibacterial properties in recent years are also listed in Table 1.</w:t>
      </w:r>
    </w:p>
    <w:p w14:paraId="70C5B01A" w14:textId="77777777" w:rsidR="0018210C" w:rsidRPr="007B43A9" w:rsidRDefault="0018210C" w:rsidP="005142C8">
      <w:pPr>
        <w:widowControl/>
        <w:tabs>
          <w:tab w:val="left" w:pos="1773"/>
        </w:tabs>
        <w:spacing w:line="360" w:lineRule="auto"/>
        <w:rPr>
          <w:rFonts w:ascii="Book Antiqua" w:hAnsi="Book Antiqua" w:cs="Times New Roman"/>
          <w:color w:val="000000" w:themeColor="text1"/>
          <w:kern w:val="0"/>
        </w:rPr>
      </w:pPr>
    </w:p>
    <w:p w14:paraId="4FE03095" w14:textId="6B01C23D" w:rsidR="00CE48F3" w:rsidRPr="007B43A9" w:rsidRDefault="00CE48F3" w:rsidP="005142C8">
      <w:pPr>
        <w:widowControl/>
        <w:tabs>
          <w:tab w:val="left" w:pos="1773"/>
        </w:tabs>
        <w:spacing w:line="360" w:lineRule="auto"/>
        <w:rPr>
          <w:rFonts w:ascii="Book Antiqua" w:eastAsia="Times New Roman" w:hAnsi="Book Antiqua" w:cs="Times New Roman"/>
          <w:b/>
          <w:i/>
          <w:color w:val="000000" w:themeColor="text1"/>
          <w:kern w:val="0"/>
        </w:rPr>
      </w:pPr>
      <w:r w:rsidRPr="007B43A9">
        <w:rPr>
          <w:rFonts w:ascii="Book Antiqua" w:eastAsia="Times New Roman" w:hAnsi="Book Antiqua" w:cs="Times New Roman"/>
          <w:b/>
          <w:i/>
          <w:color w:val="000000" w:themeColor="text1"/>
          <w:kern w:val="0"/>
        </w:rPr>
        <w:t>Antifungal drugs</w:t>
      </w:r>
    </w:p>
    <w:p w14:paraId="66B4A349" w14:textId="02ECD0A3" w:rsidR="00CE48F3" w:rsidRPr="007B43A9" w:rsidRDefault="00986ACD" w:rsidP="005142C8">
      <w:pPr>
        <w:widowControl/>
        <w:tabs>
          <w:tab w:val="left" w:pos="1773"/>
        </w:tabs>
        <w:spacing w:line="360" w:lineRule="auto"/>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 xml:space="preserve">Local and systemic fungal infections are not uncommon, and with the increase in immunodeficiency diseases, such as </w:t>
      </w:r>
      <w:r w:rsidR="000B4E97" w:rsidRPr="007B43A9">
        <w:rPr>
          <w:rFonts w:ascii="Book Antiqua" w:eastAsia="Times New Roman" w:hAnsi="Book Antiqua" w:cs="Times New Roman"/>
          <w:color w:val="000000" w:themeColor="text1"/>
          <w:kern w:val="0"/>
        </w:rPr>
        <w:t>acquired immunodeficiency syndrome</w:t>
      </w:r>
      <w:r w:rsidRPr="007B43A9">
        <w:rPr>
          <w:rFonts w:ascii="Book Antiqua" w:eastAsia="Times New Roman" w:hAnsi="Book Antiqua" w:cs="Times New Roman"/>
          <w:color w:val="000000" w:themeColor="text1"/>
          <w:kern w:val="0"/>
        </w:rPr>
        <w:t>, the harm caused by fungal infections is also more serious. Fungal infections of bone tissue are rare and often accompanied by systemic immunodeficiencies or inhibition.</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While antifungal agents are used to treat fungal infections, the effects of the drug itself on osseous tissue and osteogenic differentiation are equally noteworthy.</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Trichostatin A (TSA) is a drug that exhibits a therapeutic effect on mold. It has been found that TSA</w:t>
      </w:r>
      <w:r w:rsidR="005F7620"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at 75 n</w:t>
      </w:r>
      <w:r w:rsidR="0018210C" w:rsidRPr="007B43A9">
        <w:rPr>
          <w:rFonts w:ascii="Book Antiqua" w:hAnsi="Book Antiqua" w:cs="Times New Roman" w:hint="eastAsia"/>
          <w:color w:val="000000" w:themeColor="text1"/>
          <w:kern w:val="0"/>
        </w:rPr>
        <w:t>mol/L</w:t>
      </w:r>
      <w:r w:rsidR="005F7620"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can stimulate the osteogenic differentiation pote</w:t>
      </w:r>
      <w:r w:rsidR="0018210C" w:rsidRPr="007B43A9">
        <w:rPr>
          <w:rFonts w:ascii="Book Antiqua" w:eastAsia="Times New Roman" w:hAnsi="Book Antiqua" w:cs="Times New Roman"/>
          <w:color w:val="000000" w:themeColor="text1"/>
          <w:kern w:val="0"/>
        </w:rPr>
        <w:t>ntial of rat adipose stem cells</w:t>
      </w:r>
      <w:r w:rsidRPr="007B43A9">
        <w:rPr>
          <w:rFonts w:ascii="Book Antiqua" w:eastAsia="Times New Roman" w:hAnsi="Book Antiqua" w:cs="Times New Roman"/>
          <w:color w:val="000000" w:themeColor="text1"/>
          <w:kern w:val="0"/>
          <w:vertAlign w:val="superscript"/>
        </w:rPr>
        <w:t>[50]</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005F7620" w:rsidRPr="007B43A9">
        <w:rPr>
          <w:rFonts w:ascii="Book Antiqua" w:eastAsia="Times New Roman" w:hAnsi="Book Antiqua" w:cs="Times New Roman"/>
          <w:color w:val="000000" w:themeColor="text1"/>
          <w:kern w:val="0"/>
        </w:rPr>
        <w:t xml:space="preserve">some </w:t>
      </w:r>
      <w:r w:rsidRPr="007B43A9">
        <w:rPr>
          <w:rFonts w:ascii="Book Antiqua" w:eastAsia="Times New Roman" w:hAnsi="Book Antiqua" w:cs="Times New Roman"/>
          <w:color w:val="000000" w:themeColor="text1"/>
          <w:kern w:val="0"/>
        </w:rPr>
        <w:t>scholars have found similar phenomena in human periodontal ligament cells (HPDLCs). TSA can promote the differentiation of such cells into osteoblasts in a concentration-dependent manner within a co</w:t>
      </w:r>
      <w:r w:rsidR="0018210C" w:rsidRPr="007B43A9">
        <w:rPr>
          <w:rFonts w:ascii="Book Antiqua" w:eastAsia="Times New Roman" w:hAnsi="Book Antiqua" w:cs="Times New Roman"/>
          <w:color w:val="000000" w:themeColor="text1"/>
          <w:kern w:val="0"/>
        </w:rPr>
        <w:t>ncentration range of 100-400 n</w:t>
      </w:r>
      <w:r w:rsidR="0018210C" w:rsidRPr="007B43A9">
        <w:rPr>
          <w:rFonts w:ascii="Book Antiqua" w:hAnsi="Book Antiqua" w:cs="Times New Roman" w:hint="eastAsia"/>
          <w:color w:val="000000" w:themeColor="text1"/>
          <w:kern w:val="0"/>
        </w:rPr>
        <w:t>mol/L</w:t>
      </w:r>
      <w:r w:rsidRPr="007B43A9">
        <w:rPr>
          <w:rFonts w:ascii="Book Antiqua" w:eastAsia="Times New Roman" w:hAnsi="Book Antiqua" w:cs="Times New Roman"/>
          <w:color w:val="000000" w:themeColor="text1"/>
          <w:kern w:val="0"/>
          <w:vertAlign w:val="superscript"/>
        </w:rPr>
        <w:t>[51]</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As inhibitors of histone deacetylases, TSA (1 μ</w:t>
      </w:r>
      <w:r w:rsidR="0018210C" w:rsidRPr="007B43A9">
        <w:rPr>
          <w:rFonts w:ascii="Book Antiqua" w:hAnsi="Book Antiqua" w:cs="Times New Roman" w:hint="eastAsia"/>
          <w:color w:val="000000" w:themeColor="text1"/>
          <w:kern w:val="0"/>
        </w:rPr>
        <w:t>mol/L</w:t>
      </w:r>
      <w:r w:rsidRPr="007B43A9">
        <w:rPr>
          <w:rFonts w:ascii="Book Antiqua" w:eastAsia="Times New Roman" w:hAnsi="Book Antiqua" w:cs="Times New Roman"/>
          <w:color w:val="000000" w:themeColor="text1"/>
          <w:kern w:val="0"/>
        </w:rPr>
        <w:t>) also increases bone formation during osteogenic differentiation of h</w:t>
      </w:r>
      <w:r w:rsidR="0018210C" w:rsidRPr="007B43A9">
        <w:rPr>
          <w:rFonts w:ascii="Book Antiqua" w:eastAsia="Times New Roman" w:hAnsi="Book Antiqua" w:cs="Times New Roman"/>
          <w:color w:val="000000" w:themeColor="text1"/>
          <w:kern w:val="0"/>
        </w:rPr>
        <w:t>uman adipose-derived stem cells</w:t>
      </w:r>
      <w:r w:rsidRPr="007B43A9">
        <w:rPr>
          <w:rFonts w:ascii="Book Antiqua" w:eastAsia="Times New Roman" w:hAnsi="Book Antiqua" w:cs="Times New Roman"/>
          <w:color w:val="000000" w:themeColor="text1"/>
          <w:kern w:val="0"/>
          <w:vertAlign w:val="superscript"/>
        </w:rPr>
        <w:t>[52]</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Voriconazole is an antifungal drug commonly used to treat severe invasive infections caused by fluconazole-resistant Candida.</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Studies on its effects on osteoblasts have shown that </w:t>
      </w:r>
      <w:r w:rsidR="005F7620" w:rsidRPr="007B43A9">
        <w:rPr>
          <w:rFonts w:ascii="Book Antiqua" w:eastAsia="Times New Roman" w:hAnsi="Book Antiqua" w:cs="Times New Roman"/>
          <w:color w:val="000000" w:themeColor="text1"/>
          <w:kern w:val="0"/>
        </w:rPr>
        <w:t xml:space="preserve">voriconazole at </w:t>
      </w:r>
      <w:r w:rsidRPr="007B43A9">
        <w:rPr>
          <w:rFonts w:ascii="Book Antiqua" w:eastAsia="Times New Roman" w:hAnsi="Book Antiqua" w:cs="Times New Roman"/>
          <w:color w:val="000000" w:themeColor="text1"/>
          <w:kern w:val="0"/>
        </w:rPr>
        <w:t>both 15 μg/mL and 200 μg/mL</w:t>
      </w:r>
      <w:r w:rsidR="005F7620"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can stimulate osteogenic differentiation of human osteoblasts</w:t>
      </w:r>
      <w:r w:rsidR="005F7620"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i/>
          <w:color w:val="000000" w:themeColor="text1"/>
          <w:kern w:val="0"/>
        </w:rPr>
        <w:t>in vitro</w:t>
      </w:r>
      <w:r w:rsidRPr="007B43A9">
        <w:rPr>
          <w:rFonts w:ascii="Book Antiqua" w:eastAsia="Times New Roman" w:hAnsi="Book Antiqua" w:cs="Times New Roman"/>
          <w:color w:val="000000" w:themeColor="text1"/>
          <w:kern w:val="0"/>
        </w:rPr>
        <w:t xml:space="preserve">, whereas </w:t>
      </w:r>
      <w:bookmarkStart w:id="63" w:name="OLE_LINK19"/>
      <w:bookmarkStart w:id="64" w:name="OLE_LINK20"/>
      <w:r w:rsidRPr="007B43A9">
        <w:rPr>
          <w:rFonts w:ascii="Book Antiqua" w:eastAsia="Times New Roman" w:hAnsi="Book Antiqua" w:cs="Times New Roman"/>
          <w:color w:val="000000" w:themeColor="text1"/>
          <w:kern w:val="0"/>
        </w:rPr>
        <w:t xml:space="preserve">fluconazole </w:t>
      </w:r>
      <w:bookmarkEnd w:id="63"/>
      <w:bookmarkEnd w:id="64"/>
      <w:r w:rsidRPr="007B43A9">
        <w:rPr>
          <w:rFonts w:ascii="Book Antiqua" w:eastAsia="Times New Roman" w:hAnsi="Book Antiqua" w:cs="Times New Roman"/>
          <w:color w:val="000000" w:themeColor="text1"/>
          <w:kern w:val="0"/>
        </w:rPr>
        <w:t>exhibits no such eff</w:t>
      </w:r>
      <w:r w:rsidR="0018210C" w:rsidRPr="007B43A9">
        <w:rPr>
          <w:rFonts w:ascii="Book Antiqua" w:eastAsia="Times New Roman" w:hAnsi="Book Antiqua" w:cs="Times New Roman"/>
          <w:color w:val="000000" w:themeColor="text1"/>
          <w:kern w:val="0"/>
        </w:rPr>
        <w:t>ect of inducing differentiation</w:t>
      </w:r>
      <w:r w:rsidRPr="007B43A9">
        <w:rPr>
          <w:rFonts w:ascii="Book Antiqua" w:eastAsia="Times New Roman" w:hAnsi="Book Antiqua" w:cs="Times New Roman"/>
          <w:color w:val="000000" w:themeColor="text1"/>
          <w:kern w:val="0"/>
          <w:vertAlign w:val="superscript"/>
        </w:rPr>
        <w:t>[53]</w:t>
      </w:r>
      <w:r w:rsidRPr="007B43A9">
        <w:rPr>
          <w:rFonts w:ascii="Book Antiqua" w:eastAsia="Times New Roman" w:hAnsi="Book Antiqua" w:cs="Times New Roman"/>
          <w:color w:val="000000" w:themeColor="text1"/>
          <w:kern w:val="0"/>
        </w:rPr>
        <w:t>.</w:t>
      </w:r>
    </w:p>
    <w:p w14:paraId="50F7064B" w14:textId="77777777" w:rsidR="0018210C" w:rsidRPr="007B43A9" w:rsidRDefault="0018210C" w:rsidP="005142C8">
      <w:pPr>
        <w:widowControl/>
        <w:tabs>
          <w:tab w:val="left" w:pos="1773"/>
        </w:tabs>
        <w:spacing w:line="360" w:lineRule="auto"/>
        <w:rPr>
          <w:rFonts w:ascii="Book Antiqua" w:hAnsi="Book Antiqua" w:cs="Times New Roman"/>
          <w:color w:val="000000" w:themeColor="text1"/>
          <w:kern w:val="0"/>
        </w:rPr>
      </w:pPr>
    </w:p>
    <w:p w14:paraId="3AE91B96" w14:textId="1CD753BA" w:rsidR="00CE48F3" w:rsidRPr="007B43A9" w:rsidRDefault="0018210C" w:rsidP="005142C8">
      <w:pPr>
        <w:widowControl/>
        <w:tabs>
          <w:tab w:val="left" w:pos="1773"/>
        </w:tabs>
        <w:spacing w:line="360" w:lineRule="auto"/>
        <w:rPr>
          <w:rFonts w:ascii="Book Antiqua" w:eastAsia="Times New Roman" w:hAnsi="Book Antiqua" w:cs="Times New Roman"/>
          <w:b/>
          <w:color w:val="000000" w:themeColor="text1"/>
          <w:kern w:val="0"/>
        </w:rPr>
      </w:pPr>
      <w:bookmarkStart w:id="65" w:name="OLE_LINK372"/>
      <w:bookmarkStart w:id="66" w:name="OLE_LINK373"/>
      <w:r w:rsidRPr="007B43A9">
        <w:rPr>
          <w:rFonts w:ascii="Book Antiqua" w:eastAsia="Times New Roman" w:hAnsi="Book Antiqua" w:cs="Times New Roman"/>
          <w:b/>
          <w:color w:val="000000" w:themeColor="text1"/>
          <w:kern w:val="0"/>
        </w:rPr>
        <w:t xml:space="preserve">EFFECTS OF VARIOUS ANTIMICROBIAL AGENTS ON </w:t>
      </w:r>
      <w:bookmarkStart w:id="67" w:name="OLE_LINK56"/>
      <w:bookmarkStart w:id="68" w:name="OLE_LINK57"/>
      <w:bookmarkStart w:id="69" w:name="OLE_LINK186"/>
      <w:bookmarkStart w:id="70" w:name="OLE_LINK187"/>
      <w:r w:rsidRPr="007B43A9">
        <w:rPr>
          <w:rFonts w:ascii="Book Antiqua" w:eastAsia="Times New Roman" w:hAnsi="Book Antiqua" w:cs="Times New Roman"/>
          <w:b/>
          <w:color w:val="000000" w:themeColor="text1"/>
          <w:kern w:val="0"/>
        </w:rPr>
        <w:t>CHONDROGENIC</w:t>
      </w:r>
      <w:r w:rsidRPr="007B43A9">
        <w:rPr>
          <w:rFonts w:ascii="Book Antiqua" w:eastAsia="Times New Roman" w:hAnsi="Book Antiqua" w:cs="Times New Roman"/>
          <w:color w:val="000000" w:themeColor="text1"/>
          <w:kern w:val="0"/>
        </w:rPr>
        <w:t xml:space="preserve"> </w:t>
      </w:r>
      <w:bookmarkEnd w:id="67"/>
      <w:bookmarkEnd w:id="68"/>
      <w:r w:rsidRPr="007B43A9">
        <w:rPr>
          <w:rFonts w:ascii="Book Antiqua" w:eastAsia="Times New Roman" w:hAnsi="Book Antiqua" w:cs="Times New Roman"/>
          <w:b/>
          <w:color w:val="000000" w:themeColor="text1"/>
          <w:kern w:val="0"/>
        </w:rPr>
        <w:t>DIFFERENTIATION</w:t>
      </w:r>
      <w:bookmarkEnd w:id="65"/>
      <w:bookmarkEnd w:id="66"/>
      <w:bookmarkEnd w:id="69"/>
      <w:bookmarkEnd w:id="70"/>
    </w:p>
    <w:p w14:paraId="4B89806C" w14:textId="23EB9A03" w:rsidR="00986ACD" w:rsidRPr="007B43A9" w:rsidRDefault="00986ACD" w:rsidP="005142C8">
      <w:pPr>
        <w:widowControl/>
        <w:tabs>
          <w:tab w:val="left" w:pos="1773"/>
        </w:tabs>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 xml:space="preserve">As an important seed cell for local cartilage repair, the ability of </w:t>
      </w:r>
      <w:bookmarkStart w:id="71" w:name="OLE_LINK184"/>
      <w:bookmarkStart w:id="72" w:name="OLE_LINK185"/>
      <w:r w:rsidRPr="007B43A9">
        <w:rPr>
          <w:rFonts w:ascii="Book Antiqua" w:eastAsia="Times New Roman" w:hAnsi="Book Antiqua" w:cs="Times New Roman"/>
          <w:color w:val="000000" w:themeColor="text1"/>
          <w:kern w:val="0"/>
        </w:rPr>
        <w:t>bone marrow-derived MSCs</w:t>
      </w:r>
      <w:bookmarkEnd w:id="71"/>
      <w:bookmarkEnd w:id="72"/>
      <w:r w:rsidRPr="007B43A9">
        <w:rPr>
          <w:rFonts w:ascii="Book Antiqua" w:eastAsia="Times New Roman" w:hAnsi="Book Antiqua" w:cs="Times New Roman"/>
          <w:color w:val="000000" w:themeColor="text1"/>
          <w:kern w:val="0"/>
        </w:rPr>
        <w:t xml:space="preserve"> to differentiate into chondrocytes in the dire</w:t>
      </w:r>
      <w:r w:rsidR="00D7042C" w:rsidRPr="007B43A9">
        <w:rPr>
          <w:rFonts w:ascii="Book Antiqua" w:eastAsia="Times New Roman" w:hAnsi="Book Antiqua" w:cs="Times New Roman"/>
          <w:color w:val="000000" w:themeColor="text1"/>
          <w:kern w:val="0"/>
        </w:rPr>
        <w:t>ction of cartilage is essential</w:t>
      </w:r>
      <w:r w:rsidRPr="007B43A9">
        <w:rPr>
          <w:rFonts w:ascii="Book Antiqua" w:eastAsia="Times New Roman" w:hAnsi="Book Antiqua" w:cs="Times New Roman"/>
          <w:color w:val="000000" w:themeColor="text1"/>
          <w:kern w:val="0"/>
          <w:vertAlign w:val="superscript"/>
        </w:rPr>
        <w:t>[54]</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After the cartilage tissue is damaged by factors</w:t>
      </w:r>
      <w:r w:rsidR="008A2F3B"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such as trauma, inflammation, and infection, microfracture surgery is an important approach for clinical treat</w:t>
      </w:r>
      <w:r w:rsidR="00D7042C" w:rsidRPr="007B43A9">
        <w:rPr>
          <w:rFonts w:ascii="Book Antiqua" w:eastAsia="Times New Roman" w:hAnsi="Book Antiqua" w:cs="Times New Roman"/>
          <w:color w:val="000000" w:themeColor="text1"/>
          <w:kern w:val="0"/>
        </w:rPr>
        <w:t>ment of local cartilage defects</w:t>
      </w:r>
      <w:r w:rsidRPr="007B43A9">
        <w:rPr>
          <w:rFonts w:ascii="Book Antiqua" w:eastAsia="Times New Roman" w:hAnsi="Book Antiqua" w:cs="Times New Roman"/>
          <w:color w:val="000000" w:themeColor="text1"/>
          <w:kern w:val="0"/>
          <w:vertAlign w:val="superscript"/>
        </w:rPr>
        <w:t>[55]</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Surgery can transport MSCs in the medullary cavity to the cartilage defect area and complete the repair of the local defect by dividing the cel</w:t>
      </w:r>
      <w:r w:rsidR="00D7042C" w:rsidRPr="007B43A9">
        <w:rPr>
          <w:rFonts w:ascii="Book Antiqua" w:eastAsia="Times New Roman" w:hAnsi="Book Antiqua" w:cs="Times New Roman"/>
          <w:color w:val="000000" w:themeColor="text1"/>
          <w:kern w:val="0"/>
        </w:rPr>
        <w:t>ls into the cartilage direction</w:t>
      </w:r>
      <w:r w:rsidRPr="007B43A9">
        <w:rPr>
          <w:rFonts w:ascii="Book Antiqua" w:eastAsia="Times New Roman" w:hAnsi="Book Antiqua" w:cs="Times New Roman"/>
          <w:color w:val="000000" w:themeColor="text1"/>
          <w:kern w:val="0"/>
          <w:vertAlign w:val="superscript"/>
        </w:rPr>
        <w:t>[56]</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During the treatment of joint infections, surgical treatment, such as debridement drainage, and the application of systemic or topical antibiotics are equally important.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If the drug can effectively control the infection and promote the differentiation of MSCs into chondrocytes to repair the existing cartilage defects, its clinical application range will be greatly increased, and it will play a more important role in the process of infectious arthritis and tissue engineering cartilage repair.</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At present, there have been very few studies on the regulation of chondrogenic differentiation by various antibacterial drugs. In this section, we list antimicrobial drugs that have been shown to have an effect on chondrogenic differentiation, and the overall data </w:t>
      </w:r>
      <w:r w:rsidR="008A2F3B" w:rsidRPr="007B43A9">
        <w:rPr>
          <w:rFonts w:ascii="Book Antiqua" w:eastAsia="Times New Roman" w:hAnsi="Book Antiqua" w:cs="Times New Roman"/>
          <w:color w:val="000000" w:themeColor="text1"/>
          <w:kern w:val="0"/>
        </w:rPr>
        <w:t xml:space="preserve">are </w:t>
      </w:r>
      <w:r w:rsidRPr="007B43A9">
        <w:rPr>
          <w:rFonts w:ascii="Book Antiqua" w:eastAsia="Times New Roman" w:hAnsi="Book Antiqua" w:cs="Times New Roman"/>
          <w:color w:val="000000" w:themeColor="text1"/>
          <w:kern w:val="0"/>
        </w:rPr>
        <w:t>listed in Table 2.</w:t>
      </w:r>
      <w:r w:rsidR="00D7042C" w:rsidRPr="007B43A9">
        <w:rPr>
          <w:rFonts w:ascii="Book Antiqua" w:hAnsi="Book Antiqua" w:cs="Times New Roman" w:hint="eastAsia"/>
          <w:color w:val="000000" w:themeColor="text1"/>
          <w:kern w:val="0"/>
        </w:rPr>
        <w:t xml:space="preserve"> </w:t>
      </w:r>
      <w:r w:rsidRPr="007B43A9">
        <w:rPr>
          <w:rFonts w:ascii="Book Antiqua" w:eastAsia="Times New Roman" w:hAnsi="Book Antiqua" w:cs="Times New Roman"/>
          <w:color w:val="000000" w:themeColor="text1"/>
          <w:kern w:val="0"/>
        </w:rPr>
        <w:t>In the previous section, we discussed the inhibitory effect of doxycycline on human osteoblast differentiation. The effect of this drug on the chondrogenic differentiation potential of human bone marrow-derived MSCs has also attracted attention.</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It has been reported that </w:t>
      </w:r>
      <w:bookmarkStart w:id="73" w:name="OLE_LINK23"/>
      <w:bookmarkStart w:id="74" w:name="OLE_LINK24"/>
      <w:r w:rsidRPr="007B43A9">
        <w:rPr>
          <w:rFonts w:ascii="Book Antiqua" w:eastAsia="Times New Roman" w:hAnsi="Book Antiqua" w:cs="Times New Roman"/>
          <w:color w:val="000000" w:themeColor="text1"/>
          <w:kern w:val="0"/>
        </w:rPr>
        <w:t>doxycycline</w:t>
      </w:r>
      <w:bookmarkEnd w:id="73"/>
      <w:bookmarkEnd w:id="74"/>
      <w:r w:rsidR="008A2F3B"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at 2 μg/mL</w:t>
      </w:r>
      <w:r w:rsidR="008A2F3B"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can enhance the chondrogenic differentiation of MSCs</w:t>
      </w:r>
      <w:r w:rsidR="008A2F3B"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i/>
          <w:color w:val="000000" w:themeColor="text1"/>
          <w:kern w:val="0"/>
        </w:rPr>
        <w:t>in vitro</w:t>
      </w:r>
      <w:r w:rsidRPr="007B43A9">
        <w:rPr>
          <w:rFonts w:ascii="Book Antiqua" w:eastAsia="Times New Roman" w:hAnsi="Book Antiqua" w:cs="Times New Roman"/>
          <w:color w:val="000000" w:themeColor="text1"/>
          <w:kern w:val="0"/>
        </w:rPr>
        <w:t>. This phenomenon w</w:t>
      </w:r>
      <w:r w:rsidR="00D7042C" w:rsidRPr="007B43A9">
        <w:rPr>
          <w:rFonts w:ascii="Book Antiqua" w:eastAsia="Times New Roman" w:hAnsi="Book Antiqua" w:cs="Times New Roman"/>
          <w:color w:val="000000" w:themeColor="text1"/>
          <w:kern w:val="0"/>
        </w:rPr>
        <w:t>as further confirmed</w:t>
      </w:r>
      <w:r w:rsidR="008A2F3B" w:rsidRPr="007B43A9">
        <w:rPr>
          <w:rFonts w:ascii="Book Antiqua" w:eastAsia="Times New Roman" w:hAnsi="Book Antiqua" w:cs="Times New Roman"/>
          <w:color w:val="000000" w:themeColor="text1"/>
          <w:kern w:val="0"/>
        </w:rPr>
        <w:t xml:space="preserve"> </w:t>
      </w:r>
      <w:r w:rsidR="00D7042C" w:rsidRPr="007B43A9">
        <w:rPr>
          <w:rFonts w:ascii="Book Antiqua" w:eastAsia="Times New Roman" w:hAnsi="Book Antiqua" w:cs="Times New Roman"/>
          <w:i/>
          <w:color w:val="000000" w:themeColor="text1"/>
          <w:kern w:val="0"/>
        </w:rPr>
        <w:t>in vivo</w:t>
      </w:r>
      <w:r w:rsidRPr="007B43A9">
        <w:rPr>
          <w:rFonts w:ascii="Book Antiqua" w:eastAsia="Times New Roman" w:hAnsi="Book Antiqua" w:cs="Times New Roman"/>
          <w:color w:val="000000" w:themeColor="text1"/>
          <w:kern w:val="0"/>
          <w:vertAlign w:val="superscript"/>
        </w:rPr>
        <w:t>[57</w:t>
      </w:r>
      <w:r w:rsidR="008A2F3B" w:rsidRPr="007B43A9">
        <w:rPr>
          <w:rFonts w:ascii="Book Antiqua" w:eastAsia="Times New Roman" w:hAnsi="Book Antiqua" w:cs="Times New Roman"/>
          <w:color w:val="000000" w:themeColor="text1"/>
          <w:kern w:val="0"/>
          <w:vertAlign w:val="superscript"/>
        </w:rPr>
        <w:t>]</w:t>
      </w:r>
      <w:r w:rsidR="008A2F3B" w:rsidRPr="007B43A9">
        <w:rPr>
          <w:rFonts w:ascii="Book Antiqua" w:eastAsia="Times New Roman" w:hAnsi="Book Antiqua" w:cs="Times New Roman"/>
          <w:color w:val="000000" w:themeColor="text1"/>
          <w:kern w:val="0"/>
        </w:rPr>
        <w:t>.</w:t>
      </w:r>
      <w:r w:rsidR="008A2F3B"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Oxytetracycline is another member of the tetracycline antibiotic class, and some scholars have reported its ability to promote cartilage differentiation in </w:t>
      </w:r>
      <w:r w:rsidR="008C4660" w:rsidRPr="007B43A9">
        <w:rPr>
          <w:rFonts w:ascii="Book Antiqua" w:eastAsia="Times New Roman" w:hAnsi="Book Antiqua" w:cs="Times New Roman"/>
          <w:color w:val="000000" w:themeColor="text1"/>
          <w:kern w:val="0"/>
        </w:rPr>
        <w:t>ATDC5 cell line</w:t>
      </w:r>
      <w:r w:rsidR="00F47EEE" w:rsidRPr="007B43A9">
        <w:rPr>
          <w:rFonts w:ascii="Book Antiqua" w:eastAsia="Times New Roman" w:hAnsi="Book Antiqua" w:cs="Times New Roman"/>
          <w:color w:val="000000" w:themeColor="text1"/>
          <w:kern w:val="0"/>
        </w:rPr>
        <w:t xml:space="preserve"> (</w:t>
      </w:r>
      <w:r w:rsidR="008A2F3B" w:rsidRPr="007B43A9">
        <w:rPr>
          <w:rFonts w:ascii="Book Antiqua" w:eastAsia="Times New Roman" w:hAnsi="Book Antiqua" w:cs="Times New Roman"/>
          <w:color w:val="000000" w:themeColor="text1"/>
          <w:kern w:val="0"/>
        </w:rPr>
        <w:t>pre</w:t>
      </w:r>
      <w:r w:rsidR="00414CA8" w:rsidRPr="007B43A9">
        <w:rPr>
          <w:rFonts w:ascii="Book Antiqua" w:eastAsia="Times New Roman" w:hAnsi="Book Antiqua" w:cs="Times New Roman"/>
          <w:color w:val="000000" w:themeColor="text1"/>
          <w:kern w:val="0"/>
        </w:rPr>
        <w:t>-chondrocyte cell line</w:t>
      </w:r>
      <w:r w:rsidR="00F47EEE"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Studies have shown that oxytetracycline can promote the differentiation of ATDC5 cells into cartilage in a dose-dependent manner within a conce</w:t>
      </w:r>
      <w:r w:rsidR="00D7042C" w:rsidRPr="007B43A9">
        <w:rPr>
          <w:rFonts w:ascii="Book Antiqua" w:eastAsia="Times New Roman" w:hAnsi="Book Antiqua" w:cs="Times New Roman"/>
          <w:color w:val="000000" w:themeColor="text1"/>
          <w:kern w:val="0"/>
        </w:rPr>
        <w:t>ntration range of 0.01 to 10 μ</w:t>
      </w:r>
      <w:r w:rsidR="00D7042C" w:rsidRPr="007B43A9">
        <w:rPr>
          <w:rFonts w:ascii="Book Antiqua" w:hAnsi="Book Antiqua" w:cs="Times New Roman" w:hint="eastAsia"/>
          <w:color w:val="000000" w:themeColor="text1"/>
          <w:kern w:val="0"/>
        </w:rPr>
        <w:t>mol/L</w:t>
      </w:r>
      <w:r w:rsidRPr="007B43A9">
        <w:rPr>
          <w:rFonts w:ascii="Book Antiqua" w:eastAsia="Times New Roman" w:hAnsi="Book Antiqua" w:cs="Times New Roman"/>
          <w:color w:val="000000" w:themeColor="text1"/>
          <w:kern w:val="0"/>
          <w:vertAlign w:val="superscript"/>
        </w:rPr>
        <w:t>[58]</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Cordycepin is a natural extract that has been extensively studied in recent years. Its broad-spectrum antibacterial, anti-fungal, and anti-viral capabilities have attracted the attention of the medical community.</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The positive effect of cordycepin on the osteogenic differentiation potential of various stem cells has been introduced in the previous section, and its regulatory effect on the chondrogenic differentiation of MSCs is also worthy of attention.</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Studies have shown that 1 μg/mL of cordycepin can promote the differentiation of MCSs into cartilage and increase the expression level</w:t>
      </w:r>
      <w:r w:rsidR="008A2F3B" w:rsidRPr="007B43A9">
        <w:rPr>
          <w:rFonts w:ascii="Book Antiqua" w:eastAsia="Times New Roman" w:hAnsi="Book Antiqua" w:cs="Times New Roman"/>
          <w:color w:val="000000" w:themeColor="text1"/>
          <w:kern w:val="0"/>
        </w:rPr>
        <w:t>s</w:t>
      </w:r>
      <w:r w:rsidRPr="007B43A9">
        <w:rPr>
          <w:rFonts w:ascii="Book Antiqua" w:eastAsia="Times New Roman" w:hAnsi="Book Antiqua" w:cs="Times New Roman"/>
          <w:color w:val="000000" w:themeColor="text1"/>
          <w:kern w:val="0"/>
        </w:rPr>
        <w:t xml:space="preserve"> of intracellular cartilage genes.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Further experiments have demonstrated that this phenomenon is mediated by the inhibition of </w:t>
      </w:r>
      <w:bookmarkStart w:id="75" w:name="OLE_LINK257"/>
      <w:bookmarkStart w:id="76" w:name="OLE_LINK258"/>
      <w:r w:rsidRPr="007B43A9">
        <w:rPr>
          <w:rFonts w:ascii="Book Antiqua" w:eastAsia="Times New Roman" w:hAnsi="Book Antiqua" w:cs="Times New Roman"/>
          <w:color w:val="000000" w:themeColor="text1"/>
          <w:kern w:val="0"/>
        </w:rPr>
        <w:t xml:space="preserve">Nrf2 </w:t>
      </w:r>
      <w:bookmarkEnd w:id="75"/>
      <w:bookmarkEnd w:id="76"/>
      <w:r w:rsidRPr="007B43A9">
        <w:rPr>
          <w:rFonts w:ascii="Book Antiqua" w:eastAsia="Times New Roman" w:hAnsi="Book Antiqua" w:cs="Times New Roman"/>
          <w:color w:val="000000" w:themeColor="text1"/>
          <w:kern w:val="0"/>
        </w:rPr>
        <w:t xml:space="preserve">and </w:t>
      </w:r>
      <w:r w:rsidR="00D7042C" w:rsidRPr="007B43A9">
        <w:rPr>
          <w:rFonts w:ascii="Book Antiqua" w:eastAsia="Times New Roman" w:hAnsi="Book Antiqua" w:cs="Times New Roman"/>
          <w:color w:val="000000" w:themeColor="text1"/>
          <w:kern w:val="0"/>
        </w:rPr>
        <w:t>the activation of BMP signaling</w:t>
      </w:r>
      <w:r w:rsidRPr="007B43A9">
        <w:rPr>
          <w:rFonts w:ascii="Book Antiqua" w:eastAsia="Times New Roman" w:hAnsi="Book Antiqua" w:cs="Times New Roman"/>
          <w:color w:val="000000" w:themeColor="text1"/>
          <w:kern w:val="0"/>
          <w:vertAlign w:val="superscript"/>
        </w:rPr>
        <w:t>[59]</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Similarly, some scholars have found that lactoferrin promotes early chondrogenic differentiation of ATDC5 cells by </w:t>
      </w:r>
      <w:r w:rsidR="008A2F3B" w:rsidRPr="007B43A9">
        <w:rPr>
          <w:rFonts w:ascii="Book Antiqua" w:eastAsia="Times New Roman" w:hAnsi="Book Antiqua" w:cs="Times New Roman"/>
          <w:color w:val="000000" w:themeColor="text1"/>
          <w:kern w:val="0"/>
        </w:rPr>
        <w:t xml:space="preserve">the </w:t>
      </w:r>
      <w:r w:rsidRPr="007B43A9">
        <w:rPr>
          <w:rFonts w:ascii="Book Antiqua" w:eastAsia="Times New Roman" w:hAnsi="Book Antiqua" w:cs="Times New Roman"/>
          <w:color w:val="000000" w:themeColor="text1"/>
          <w:kern w:val="0"/>
        </w:rPr>
        <w:t>activating Smad2/3-Sox9 signaling pathway while also exhibiting osteoinductive effects, and also inhibits excess</w:t>
      </w:r>
      <w:r w:rsidR="00D7042C" w:rsidRPr="007B43A9">
        <w:rPr>
          <w:rFonts w:ascii="Book Antiqua" w:eastAsia="Times New Roman" w:hAnsi="Book Antiqua" w:cs="Times New Roman"/>
          <w:color w:val="000000" w:themeColor="text1"/>
          <w:kern w:val="0"/>
        </w:rPr>
        <w:t>ive hypertrophy of chondrocytes</w:t>
      </w:r>
      <w:r w:rsidRPr="007B43A9">
        <w:rPr>
          <w:rFonts w:ascii="Book Antiqua" w:eastAsia="Times New Roman" w:hAnsi="Book Antiqua" w:cs="Times New Roman"/>
          <w:color w:val="000000" w:themeColor="text1"/>
          <w:kern w:val="0"/>
          <w:vertAlign w:val="superscript"/>
        </w:rPr>
        <w:t>[60]</w:t>
      </w:r>
      <w:r w:rsidRPr="007B43A9">
        <w:rPr>
          <w:rFonts w:ascii="Book Antiqua" w:eastAsia="Times New Roman" w:hAnsi="Book Antiqua" w:cs="Times New Roman"/>
          <w:color w:val="000000" w:themeColor="text1"/>
          <w:kern w:val="0"/>
        </w:rPr>
        <w:t>.</w:t>
      </w:r>
    </w:p>
    <w:p w14:paraId="76F3C95D" w14:textId="18EB5C08" w:rsidR="00CE48F3" w:rsidRPr="007B43A9" w:rsidRDefault="00986ACD" w:rsidP="00D7042C">
      <w:pPr>
        <w:widowControl/>
        <w:tabs>
          <w:tab w:val="left" w:pos="1773"/>
        </w:tabs>
        <w:spacing w:line="360" w:lineRule="auto"/>
        <w:ind w:firstLineChars="100" w:firstLine="240"/>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Phorbol-12-myristate-13-acetate (PMA) is an antibiotic extracted from penicillium culture and the first antibiotic to treat human diseases.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Very low concentrations of PMA (0.1 μ</w:t>
      </w:r>
      <w:r w:rsidR="00D7042C" w:rsidRPr="007B43A9">
        <w:rPr>
          <w:rFonts w:ascii="Book Antiqua" w:hAnsi="Book Antiqua" w:cs="Times New Roman" w:hint="eastAsia"/>
          <w:color w:val="000000" w:themeColor="text1"/>
          <w:kern w:val="0"/>
        </w:rPr>
        <w:t>mol/L</w:t>
      </w:r>
      <w:r w:rsidRPr="007B43A9">
        <w:rPr>
          <w:rFonts w:ascii="Book Antiqua" w:eastAsia="Times New Roman" w:hAnsi="Book Antiqua" w:cs="Times New Roman"/>
          <w:color w:val="000000" w:themeColor="text1"/>
          <w:kern w:val="0"/>
        </w:rPr>
        <w:t>) have a strong inhibitory effect on the chondrogenic differentiation potentia</w:t>
      </w:r>
      <w:r w:rsidR="00D7042C" w:rsidRPr="007B43A9">
        <w:rPr>
          <w:rFonts w:ascii="Book Antiqua" w:eastAsia="Times New Roman" w:hAnsi="Book Antiqua" w:cs="Times New Roman"/>
          <w:color w:val="000000" w:themeColor="text1"/>
          <w:kern w:val="0"/>
        </w:rPr>
        <w:t>l of chick embryonic stem cells</w:t>
      </w:r>
      <w:r w:rsidRPr="007B43A9">
        <w:rPr>
          <w:rFonts w:ascii="Book Antiqua" w:eastAsia="Times New Roman" w:hAnsi="Book Antiqua" w:cs="Times New Roman"/>
          <w:color w:val="000000" w:themeColor="text1"/>
          <w:kern w:val="0"/>
          <w:vertAlign w:val="superscript"/>
        </w:rPr>
        <w:t>[61]</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0018210C" w:rsidRPr="007B43A9">
        <w:rPr>
          <w:rFonts w:ascii="Book Antiqua" w:eastAsia="Times New Roman" w:hAnsi="Book Antiqua" w:cs="Times New Roman"/>
          <w:color w:val="000000" w:themeColor="text1"/>
          <w:kern w:val="0"/>
        </w:rPr>
        <w:t>TSA</w:t>
      </w:r>
      <w:r w:rsidRPr="007B43A9">
        <w:rPr>
          <w:rFonts w:ascii="Book Antiqua" w:eastAsia="Times New Roman" w:hAnsi="Book Antiqua" w:cs="Times New Roman"/>
          <w:color w:val="000000" w:themeColor="text1"/>
          <w:kern w:val="0"/>
        </w:rPr>
        <w:t xml:space="preserve"> exhibits osteogenic induction properties while possessing antibacterial properties. It can positively regulate osteogenic differentiation, but exhibits an inhibitory effect on </w:t>
      </w:r>
      <w:bookmarkStart w:id="77" w:name="OLE_LINK188"/>
      <w:r w:rsidRPr="007B43A9">
        <w:rPr>
          <w:rFonts w:ascii="Book Antiqua" w:eastAsia="Times New Roman" w:hAnsi="Book Antiqua" w:cs="Times New Roman"/>
          <w:color w:val="000000" w:themeColor="text1"/>
          <w:kern w:val="0"/>
        </w:rPr>
        <w:t xml:space="preserve">chondrogenic </w:t>
      </w:r>
      <w:bookmarkEnd w:id="77"/>
      <w:r w:rsidRPr="007B43A9">
        <w:rPr>
          <w:rFonts w:ascii="Book Antiqua" w:eastAsia="Times New Roman" w:hAnsi="Book Antiqua" w:cs="Times New Roman"/>
          <w:color w:val="000000" w:themeColor="text1"/>
          <w:kern w:val="0"/>
        </w:rPr>
        <w:t>differentiation.</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When the concentration of </w:t>
      </w:r>
      <w:r w:rsidR="0018210C" w:rsidRPr="007B43A9">
        <w:rPr>
          <w:rFonts w:ascii="Book Antiqua" w:eastAsia="Times New Roman" w:hAnsi="Book Antiqua" w:cs="Times New Roman"/>
          <w:color w:val="000000" w:themeColor="text1"/>
          <w:kern w:val="0"/>
        </w:rPr>
        <w:t>TSA</w:t>
      </w:r>
      <w:r w:rsidRPr="007B43A9">
        <w:rPr>
          <w:rFonts w:ascii="Book Antiqua" w:eastAsia="Times New Roman" w:hAnsi="Book Antiqua" w:cs="Times New Roman"/>
          <w:color w:val="000000" w:themeColor="text1"/>
          <w:kern w:val="0"/>
        </w:rPr>
        <w:t xml:space="preserve"> reaches 100 n</w:t>
      </w:r>
      <w:r w:rsidR="00D7042C" w:rsidRPr="007B43A9">
        <w:rPr>
          <w:rFonts w:ascii="Book Antiqua" w:hAnsi="Book Antiqua" w:cs="Times New Roman" w:hint="eastAsia"/>
          <w:color w:val="000000" w:themeColor="text1"/>
          <w:kern w:val="0"/>
        </w:rPr>
        <w:t>mol/L</w:t>
      </w:r>
      <w:r w:rsidRPr="007B43A9">
        <w:rPr>
          <w:rFonts w:ascii="Book Antiqua" w:eastAsia="Times New Roman" w:hAnsi="Book Antiqua" w:cs="Times New Roman"/>
          <w:color w:val="000000" w:themeColor="text1"/>
          <w:kern w:val="0"/>
        </w:rPr>
        <w:t xml:space="preserve">, the chondrogenic differentiation of human bone marrow-derived MSCs induced by </w:t>
      </w:r>
      <w:bookmarkStart w:id="78" w:name="OLE_LINK259"/>
      <w:r w:rsidR="008A2F3B" w:rsidRPr="007B43A9">
        <w:rPr>
          <w:rFonts w:ascii="Book Antiqua" w:eastAsia="Times New Roman" w:hAnsi="Book Antiqua" w:cs="Times New Roman"/>
          <w:color w:val="000000" w:themeColor="text1"/>
          <w:kern w:val="0"/>
        </w:rPr>
        <w:t>t</w:t>
      </w:r>
      <w:r w:rsidR="000B4E97" w:rsidRPr="007B43A9">
        <w:rPr>
          <w:rFonts w:ascii="Book Antiqua" w:eastAsia="Times New Roman" w:hAnsi="Book Antiqua" w:cs="Times New Roman"/>
          <w:color w:val="000000" w:themeColor="text1"/>
          <w:kern w:val="0"/>
        </w:rPr>
        <w:t>ransforming growth factor-β (</w:t>
      </w:r>
      <w:r w:rsidRPr="007B43A9">
        <w:rPr>
          <w:rFonts w:ascii="Book Antiqua" w:eastAsia="Times New Roman" w:hAnsi="Book Antiqua" w:cs="Times New Roman"/>
          <w:color w:val="000000" w:themeColor="text1"/>
          <w:kern w:val="0"/>
        </w:rPr>
        <w:t>TGF</w:t>
      </w:r>
      <w:bookmarkEnd w:id="78"/>
      <w:r w:rsidRPr="007B43A9">
        <w:rPr>
          <w:rFonts w:ascii="Book Antiqua" w:eastAsia="Times New Roman" w:hAnsi="Book Antiqua" w:cs="Times New Roman"/>
          <w:color w:val="000000" w:themeColor="text1"/>
          <w:kern w:val="0"/>
        </w:rPr>
        <w:t>-β1</w:t>
      </w:r>
      <w:r w:rsidR="000B4E97" w:rsidRPr="007B43A9">
        <w:rPr>
          <w:rFonts w:ascii="Book Antiqua" w:eastAsia="Times New Roman" w:hAnsi="Book Antiqua" w:cs="Times New Roman"/>
          <w:color w:val="000000" w:themeColor="text1"/>
          <w:kern w:val="0"/>
        </w:rPr>
        <w:t>)</w:t>
      </w:r>
      <w:r w:rsidRPr="007B43A9">
        <w:rPr>
          <w:rFonts w:ascii="Book Antiqua" w:eastAsia="Times New Roman" w:hAnsi="Book Antiqua" w:cs="Times New Roman"/>
          <w:color w:val="000000" w:themeColor="text1"/>
          <w:kern w:val="0"/>
        </w:rPr>
        <w:t xml:space="preserve"> can be</w:t>
      </w:r>
      <w:r w:rsidRPr="007B43A9">
        <w:rPr>
          <w:rFonts w:ascii="Book Antiqua" w:hAnsi="Book Antiqua" w:cs="Times New Roman"/>
          <w:color w:val="000000" w:themeColor="text1"/>
        </w:rPr>
        <w:t xml:space="preserve"> </w:t>
      </w:r>
      <w:r w:rsidR="00D7042C" w:rsidRPr="007B43A9">
        <w:rPr>
          <w:rFonts w:ascii="Book Antiqua" w:eastAsia="Times New Roman" w:hAnsi="Book Antiqua" w:cs="Times New Roman"/>
          <w:color w:val="000000" w:themeColor="text1"/>
          <w:kern w:val="0"/>
        </w:rPr>
        <w:t>inhibited</w:t>
      </w:r>
      <w:r w:rsidRPr="007B43A9">
        <w:rPr>
          <w:rFonts w:ascii="Book Antiqua" w:eastAsia="Times New Roman" w:hAnsi="Book Antiqua" w:cs="Times New Roman"/>
          <w:color w:val="000000" w:themeColor="text1"/>
          <w:kern w:val="0"/>
          <w:vertAlign w:val="superscript"/>
        </w:rPr>
        <w:t>[62]</w:t>
      </w:r>
      <w:r w:rsidRPr="007B43A9">
        <w:rPr>
          <w:rFonts w:ascii="Book Antiqua" w:eastAsia="Times New Roman" w:hAnsi="Book Antiqua" w:cs="Times New Roman"/>
          <w:color w:val="000000" w:themeColor="text1"/>
          <w:kern w:val="0"/>
        </w:rPr>
        <w:t>.</w:t>
      </w:r>
    </w:p>
    <w:p w14:paraId="69A58DCB" w14:textId="77777777" w:rsidR="00D7042C" w:rsidRPr="007B43A9" w:rsidRDefault="00D7042C" w:rsidP="00D7042C">
      <w:pPr>
        <w:widowControl/>
        <w:tabs>
          <w:tab w:val="left" w:pos="1773"/>
        </w:tabs>
        <w:spacing w:line="360" w:lineRule="auto"/>
        <w:ind w:firstLineChars="100" w:firstLine="240"/>
        <w:rPr>
          <w:rFonts w:ascii="Book Antiqua" w:hAnsi="Book Antiqua" w:cs="Times New Roman"/>
          <w:color w:val="000000" w:themeColor="text1"/>
          <w:kern w:val="0"/>
        </w:rPr>
      </w:pPr>
    </w:p>
    <w:p w14:paraId="0180E1F6" w14:textId="3ABCA2FF" w:rsidR="00CE48F3" w:rsidRPr="007B43A9" w:rsidRDefault="00D7042C" w:rsidP="005142C8">
      <w:pPr>
        <w:widowControl/>
        <w:tabs>
          <w:tab w:val="left" w:pos="1773"/>
        </w:tabs>
        <w:spacing w:line="360" w:lineRule="auto"/>
        <w:rPr>
          <w:rFonts w:ascii="Book Antiqua" w:eastAsia="Times New Roman" w:hAnsi="Book Antiqua" w:cs="Times New Roman"/>
          <w:b/>
          <w:color w:val="000000" w:themeColor="text1"/>
          <w:kern w:val="0"/>
        </w:rPr>
      </w:pPr>
      <w:r w:rsidRPr="007B43A9">
        <w:rPr>
          <w:rFonts w:ascii="Book Antiqua" w:eastAsia="Times New Roman" w:hAnsi="Book Antiqua" w:cs="Times New Roman"/>
          <w:b/>
          <w:color w:val="000000" w:themeColor="text1"/>
          <w:kern w:val="0"/>
        </w:rPr>
        <w:t>EFFECTS OF VARIOUS ANTIMICROBIAL AGENTS ON ADIPOGENIC DIFFERENTIATION</w:t>
      </w:r>
    </w:p>
    <w:p w14:paraId="48694081" w14:textId="1A8315F9" w:rsidR="00CE48F3" w:rsidRPr="007B43A9" w:rsidRDefault="00986ACD" w:rsidP="005142C8">
      <w:pPr>
        <w:widowControl/>
        <w:tabs>
          <w:tab w:val="left" w:pos="1773"/>
        </w:tabs>
        <w:spacing w:line="360" w:lineRule="auto"/>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 xml:space="preserve">Adult bone marrow contains a variety of cells, such as endothelial-like cells, fibroblasts, macrophages, osteocytes, adipocytes, and </w:t>
      </w:r>
      <w:r w:rsidR="005142C8" w:rsidRPr="007B43A9">
        <w:rPr>
          <w:rFonts w:ascii="Book Antiqua" w:eastAsia="Times New Roman" w:hAnsi="Book Antiqua" w:cs="Times New Roman"/>
          <w:color w:val="000000" w:themeColor="text1"/>
          <w:kern w:val="0"/>
        </w:rPr>
        <w:t>MSC</w:t>
      </w:r>
      <w:r w:rsidRPr="007B43A9">
        <w:rPr>
          <w:rFonts w:ascii="Book Antiqua" w:eastAsia="Times New Roman" w:hAnsi="Book Antiqua" w:cs="Times New Roman"/>
          <w:color w:val="000000" w:themeColor="text1"/>
          <w:kern w:val="0"/>
        </w:rPr>
        <w:t xml:space="preserve">s. Among them, </w:t>
      </w:r>
      <w:bookmarkStart w:id="79" w:name="OLE_LINK376"/>
      <w:bookmarkStart w:id="80" w:name="OLE_LINK377"/>
      <w:r w:rsidRPr="007B43A9">
        <w:rPr>
          <w:rFonts w:ascii="Book Antiqua" w:eastAsia="Times New Roman" w:hAnsi="Book Antiqua" w:cs="Times New Roman"/>
          <w:color w:val="000000" w:themeColor="text1"/>
          <w:kern w:val="0"/>
        </w:rPr>
        <w:t xml:space="preserve">adipocytes </w:t>
      </w:r>
      <w:bookmarkEnd w:id="79"/>
      <w:bookmarkEnd w:id="80"/>
      <w:r w:rsidRPr="007B43A9">
        <w:rPr>
          <w:rFonts w:ascii="Book Antiqua" w:eastAsia="Times New Roman" w:hAnsi="Book Antiqua" w:cs="Times New Roman"/>
          <w:color w:val="000000" w:themeColor="text1"/>
          <w:kern w:val="0"/>
        </w:rPr>
        <w:t xml:space="preserve">are the most abundant and can occupy more than 50% of the volume of the bone marrow cavity. In old age, </w:t>
      </w:r>
      <w:bookmarkStart w:id="81" w:name="OLE_LINK380"/>
      <w:bookmarkStart w:id="82" w:name="OLE_LINK381"/>
      <w:r w:rsidRPr="007B43A9">
        <w:rPr>
          <w:rFonts w:ascii="Book Antiqua" w:eastAsia="Times New Roman" w:hAnsi="Book Antiqua" w:cs="Times New Roman"/>
          <w:color w:val="000000" w:themeColor="text1"/>
          <w:kern w:val="0"/>
        </w:rPr>
        <w:t>adipocytes</w:t>
      </w:r>
      <w:bookmarkEnd w:id="81"/>
      <w:bookmarkEnd w:id="82"/>
      <w:r w:rsidRPr="007B43A9">
        <w:rPr>
          <w:rFonts w:ascii="Book Antiqua" w:eastAsia="Times New Roman" w:hAnsi="Book Antiqua" w:cs="Times New Roman"/>
          <w:color w:val="000000" w:themeColor="text1"/>
          <w:kern w:val="0"/>
        </w:rPr>
        <w:t xml:space="preserve"> can even occupy more than 90% of </w:t>
      </w:r>
      <w:r w:rsidR="00D7042C" w:rsidRPr="007B43A9">
        <w:rPr>
          <w:rFonts w:ascii="Book Antiqua" w:eastAsia="Times New Roman" w:hAnsi="Book Antiqua" w:cs="Times New Roman"/>
          <w:color w:val="000000" w:themeColor="text1"/>
          <w:kern w:val="0"/>
        </w:rPr>
        <w:t>the volume of the marrow cavity</w:t>
      </w:r>
      <w:r w:rsidRPr="007B43A9">
        <w:rPr>
          <w:rFonts w:ascii="Book Antiqua" w:eastAsia="Times New Roman" w:hAnsi="Book Antiqua" w:cs="Times New Roman"/>
          <w:color w:val="000000" w:themeColor="text1"/>
          <w:kern w:val="0"/>
          <w:vertAlign w:val="superscript"/>
        </w:rPr>
        <w:t>[63]</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Bone marrow adipocytes are also involved in bone metabolism. In the pathological state of advanced osteoporosis or osteonecrosis, the differentiation of bone marrow-derived MSCs into adipocytes is enhanced, resulting in an increased number of adi</w:t>
      </w:r>
      <w:r w:rsidR="00D7042C" w:rsidRPr="007B43A9">
        <w:rPr>
          <w:rFonts w:ascii="Book Antiqua" w:eastAsia="Times New Roman" w:hAnsi="Book Antiqua" w:cs="Times New Roman"/>
          <w:color w:val="000000" w:themeColor="text1"/>
          <w:kern w:val="0"/>
        </w:rPr>
        <w:t>pocytes and decreased bone mass</w:t>
      </w:r>
      <w:r w:rsidRPr="007B43A9">
        <w:rPr>
          <w:rFonts w:ascii="Book Antiqua" w:eastAsia="Times New Roman" w:hAnsi="Book Antiqua" w:cs="Times New Roman"/>
          <w:color w:val="000000" w:themeColor="text1"/>
          <w:kern w:val="0"/>
          <w:vertAlign w:val="superscript"/>
        </w:rPr>
        <w:t>[64]</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As an important component of the bone marrow microenvironment, bone marrow adipocytes not only occupy the non-hematopoietic medullary cavity space, but also have many physiological functions and play an important role in the pathologi</w:t>
      </w:r>
      <w:r w:rsidR="00D7042C" w:rsidRPr="007B43A9">
        <w:rPr>
          <w:rFonts w:ascii="Book Antiqua" w:eastAsia="Times New Roman" w:hAnsi="Book Antiqua" w:cs="Times New Roman"/>
          <w:color w:val="000000" w:themeColor="text1"/>
          <w:kern w:val="0"/>
        </w:rPr>
        <w:t>cal process of various diseases</w:t>
      </w:r>
      <w:r w:rsidRPr="007B43A9">
        <w:rPr>
          <w:rFonts w:ascii="Book Antiqua" w:eastAsia="Times New Roman" w:hAnsi="Book Antiqua" w:cs="Times New Roman"/>
          <w:color w:val="000000" w:themeColor="text1"/>
          <w:kern w:val="0"/>
          <w:vertAlign w:val="superscript"/>
        </w:rPr>
        <w:t>[65]</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Bone marrow-derived MSCs are the main source of bone marrow adipocytes, and their adipogenic differentiation potential plays a vital role in the physiological renewal of adipose tissue in the medullary cavity and the repair of fat necrosis caused by patholog</w:t>
      </w:r>
      <w:r w:rsidR="00D7042C" w:rsidRPr="007B43A9">
        <w:rPr>
          <w:rFonts w:ascii="Book Antiqua" w:eastAsia="Times New Roman" w:hAnsi="Book Antiqua" w:cs="Times New Roman"/>
          <w:color w:val="000000" w:themeColor="text1"/>
          <w:kern w:val="0"/>
        </w:rPr>
        <w:t>ical factors, such as infection</w:t>
      </w:r>
      <w:r w:rsidRPr="007B43A9">
        <w:rPr>
          <w:rFonts w:ascii="Book Antiqua" w:eastAsia="Times New Roman" w:hAnsi="Book Antiqua" w:cs="Times New Roman"/>
          <w:color w:val="000000" w:themeColor="text1"/>
          <w:kern w:val="0"/>
          <w:vertAlign w:val="superscript"/>
        </w:rPr>
        <w:t>[66]</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During the process of using antibacterial drugs to treat osteomyelitis caused by various pathogenic microorganisms, both the antibacterial properties of antimicrobial drugs and their effects on the adipose tissue repair process are worthy of attention.</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In this section, we </w:t>
      </w:r>
      <w:r w:rsidR="00B86939" w:rsidRPr="007B43A9">
        <w:rPr>
          <w:rFonts w:ascii="Book Antiqua" w:eastAsia="Times New Roman" w:hAnsi="Book Antiqua" w:cs="Times New Roman"/>
          <w:color w:val="000000" w:themeColor="text1"/>
          <w:kern w:val="0"/>
        </w:rPr>
        <w:t xml:space="preserve">will </w:t>
      </w:r>
      <w:r w:rsidRPr="007B43A9">
        <w:rPr>
          <w:rFonts w:ascii="Book Antiqua" w:eastAsia="Times New Roman" w:hAnsi="Book Antiqua" w:cs="Times New Roman"/>
          <w:color w:val="000000" w:themeColor="text1"/>
          <w:kern w:val="0"/>
        </w:rPr>
        <w:t>review the effects of various antimicrobial agents on adipogenic differentiation</w:t>
      </w:r>
      <w:r w:rsidR="00CE48F3" w:rsidRPr="007B43A9">
        <w:rPr>
          <w:rFonts w:ascii="Book Antiqua" w:eastAsia="Times New Roman" w:hAnsi="Book Antiqua" w:cs="Times New Roman"/>
          <w:color w:val="000000" w:themeColor="text1"/>
          <w:kern w:val="0"/>
        </w:rPr>
        <w:t xml:space="preserve"> </w:t>
      </w:r>
      <w:r w:rsidR="00B86939" w:rsidRPr="007B43A9">
        <w:rPr>
          <w:rFonts w:ascii="Book Antiqua" w:eastAsia="Times New Roman" w:hAnsi="Book Antiqua" w:cs="Times New Roman"/>
          <w:color w:val="000000" w:themeColor="text1"/>
          <w:kern w:val="0"/>
        </w:rPr>
        <w:t>to</w:t>
      </w:r>
      <w:r w:rsidR="00CE48F3" w:rsidRPr="007B43A9">
        <w:rPr>
          <w:rFonts w:ascii="Book Antiqua" w:eastAsia="Times New Roman" w:hAnsi="Book Antiqua" w:cs="Times New Roman"/>
          <w:color w:val="000000" w:themeColor="text1"/>
          <w:kern w:val="0"/>
        </w:rPr>
        <w:t xml:space="preserve"> provide a reference for clinical use (Table 3).</w:t>
      </w:r>
    </w:p>
    <w:p w14:paraId="13D05D66" w14:textId="77777777" w:rsidR="00D7042C" w:rsidRPr="007B43A9" w:rsidRDefault="00D7042C" w:rsidP="005142C8">
      <w:pPr>
        <w:widowControl/>
        <w:tabs>
          <w:tab w:val="left" w:pos="1773"/>
        </w:tabs>
        <w:spacing w:line="360" w:lineRule="auto"/>
        <w:rPr>
          <w:rFonts w:ascii="Book Antiqua" w:hAnsi="Book Antiqua" w:cs="Times New Roman"/>
          <w:color w:val="000000" w:themeColor="text1"/>
          <w:kern w:val="0"/>
        </w:rPr>
      </w:pPr>
    </w:p>
    <w:p w14:paraId="08DC802A" w14:textId="3B9BBC77" w:rsidR="00CE48F3" w:rsidRPr="007B43A9" w:rsidRDefault="00CE48F3" w:rsidP="005142C8">
      <w:pPr>
        <w:widowControl/>
        <w:spacing w:line="360" w:lineRule="auto"/>
        <w:rPr>
          <w:rFonts w:ascii="Book Antiqua" w:eastAsia="Times New Roman" w:hAnsi="Book Antiqua" w:cs="Times New Roman"/>
          <w:b/>
          <w:i/>
          <w:color w:val="000000" w:themeColor="text1"/>
          <w:kern w:val="0"/>
        </w:rPr>
      </w:pPr>
      <w:r w:rsidRPr="007B43A9">
        <w:rPr>
          <w:rFonts w:ascii="Book Antiqua" w:eastAsia="Times New Roman" w:hAnsi="Book Antiqua" w:cs="Times New Roman"/>
          <w:b/>
          <w:i/>
          <w:color w:val="000000" w:themeColor="text1"/>
          <w:kern w:val="0"/>
        </w:rPr>
        <w:t>Antibiotics</w:t>
      </w:r>
    </w:p>
    <w:p w14:paraId="0E2D8E66" w14:textId="2F702600" w:rsidR="00CE48F3" w:rsidRPr="007B43A9" w:rsidRDefault="00986ACD" w:rsidP="005142C8">
      <w:pPr>
        <w:widowControl/>
        <w:tabs>
          <w:tab w:val="left" w:pos="1773"/>
        </w:tabs>
        <w:spacing w:line="360" w:lineRule="auto"/>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Isoniazid is another important member of anti-tuberculosis drugs, and its inhibition of adipogenic differentiation has been reported in the literature.</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Isoniazid inhibited the adipogenic differentiation potential of 3T3-L1 pre-adipocytes in a concentration-dependent manner, in a concentration range of 0</w:t>
      </w:r>
      <w:r w:rsidR="00DD3F23" w:rsidRPr="007B43A9">
        <w:rPr>
          <w:rFonts w:ascii="Book Antiqua" w:eastAsia="Times New Roman" w:hAnsi="Book Antiqua" w:cs="Times New Roman"/>
          <w:color w:val="000000" w:themeColor="text1"/>
          <w:kern w:val="0"/>
        </w:rPr>
        <w:t>.5</w:t>
      </w:r>
      <w:r w:rsidRPr="007B43A9">
        <w:rPr>
          <w:rFonts w:ascii="Book Antiqua" w:eastAsia="Times New Roman" w:hAnsi="Book Antiqua" w:cs="Times New Roman"/>
          <w:color w:val="000000" w:themeColor="text1"/>
          <w:kern w:val="0"/>
        </w:rPr>
        <w:t>-10 m</w:t>
      </w:r>
      <w:r w:rsidR="00D7042C" w:rsidRPr="007B43A9">
        <w:rPr>
          <w:rFonts w:ascii="Book Antiqua" w:hAnsi="Book Antiqua" w:cs="Times New Roman" w:hint="eastAsia"/>
          <w:color w:val="000000" w:themeColor="text1"/>
          <w:kern w:val="0"/>
        </w:rPr>
        <w:t>mol/L</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A similar phenomenon was also observed in human </w:t>
      </w:r>
      <w:bookmarkStart w:id="83" w:name="OLE_LINK33"/>
      <w:bookmarkStart w:id="84" w:name="OLE_LINK34"/>
      <w:r w:rsidRPr="007B43A9">
        <w:rPr>
          <w:rFonts w:ascii="Book Antiqua" w:eastAsia="Times New Roman" w:hAnsi="Book Antiqua" w:cs="Times New Roman"/>
          <w:color w:val="000000" w:themeColor="text1"/>
          <w:kern w:val="0"/>
        </w:rPr>
        <w:t>adipose stem cells</w:t>
      </w:r>
      <w:bookmarkEnd w:id="83"/>
      <w:bookmarkEnd w:id="84"/>
      <w:r w:rsidRPr="007B43A9">
        <w:rPr>
          <w:rFonts w:ascii="Book Antiqua" w:eastAsia="Times New Roman" w:hAnsi="Book Antiqua" w:cs="Times New Roman"/>
          <w:color w:val="000000" w:themeColor="text1"/>
          <w:kern w:val="0"/>
          <w:vertAlign w:val="superscript"/>
        </w:rPr>
        <w:t>[67]</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Streptomycin is an aminoglycoside antibiotic, but it is widely used in the treatment of tuberculosis because of its anti-tuberculosis effect.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Some scholars have found that 100 μg/mL streptomycin can inhibit the expression of adipogenic genes and the adipogenic ability of</w:t>
      </w:r>
      <w:r w:rsidR="00D7042C" w:rsidRPr="007B43A9">
        <w:rPr>
          <w:rFonts w:ascii="Book Antiqua" w:eastAsia="Times New Roman" w:hAnsi="Book Antiqua" w:cs="Times New Roman"/>
          <w:color w:val="000000" w:themeColor="text1"/>
          <w:kern w:val="0"/>
        </w:rPr>
        <w:t xml:space="preserve"> human bone marrow-derived MSCs</w:t>
      </w:r>
      <w:r w:rsidRPr="007B43A9">
        <w:rPr>
          <w:rFonts w:ascii="Book Antiqua" w:eastAsia="Times New Roman" w:hAnsi="Book Antiqua" w:cs="Times New Roman"/>
          <w:color w:val="000000" w:themeColor="text1"/>
          <w:kern w:val="0"/>
          <w:vertAlign w:val="superscript"/>
        </w:rPr>
        <w:t>[68]</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Spiramycin is a macrolide antibiotic that exhibits antibacterial properties in the body and can enhance the phagocytosis of phagocytic cells.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Studies on the effects of this drug on adipogenesis have revealed that spiramycin inhibits adipogenesis both </w:t>
      </w:r>
      <w:r w:rsidRPr="007B43A9">
        <w:rPr>
          <w:rFonts w:ascii="Book Antiqua" w:eastAsia="Times New Roman" w:hAnsi="Book Antiqua" w:cs="Times New Roman"/>
          <w:i/>
          <w:color w:val="000000" w:themeColor="text1"/>
          <w:kern w:val="0"/>
        </w:rPr>
        <w:t>in vivo</w:t>
      </w:r>
      <w:r w:rsidRPr="007B43A9">
        <w:rPr>
          <w:rFonts w:ascii="Book Antiqua" w:eastAsia="Times New Roman" w:hAnsi="Book Antiqua" w:cs="Times New Roman"/>
          <w:color w:val="000000" w:themeColor="text1"/>
          <w:kern w:val="0"/>
        </w:rPr>
        <w:t xml:space="preserve"> and </w:t>
      </w:r>
      <w:r w:rsidRPr="007B43A9">
        <w:rPr>
          <w:rFonts w:ascii="Book Antiqua" w:eastAsia="Times New Roman" w:hAnsi="Book Antiqua" w:cs="Times New Roman"/>
          <w:i/>
          <w:color w:val="000000" w:themeColor="text1"/>
          <w:kern w:val="0"/>
        </w:rPr>
        <w:t>in vitro</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Spiramycin at</w:t>
      </w:r>
      <w:r w:rsidR="00B86939"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concentration</w:t>
      </w:r>
      <w:r w:rsidR="00B86939" w:rsidRPr="007B43A9">
        <w:rPr>
          <w:rFonts w:ascii="Book Antiqua" w:eastAsia="Times New Roman" w:hAnsi="Book Antiqua" w:cs="Times New Roman"/>
          <w:color w:val="000000" w:themeColor="text1"/>
          <w:kern w:val="0"/>
        </w:rPr>
        <w:t>s</w:t>
      </w:r>
      <w:r w:rsidRPr="007B43A9">
        <w:rPr>
          <w:rFonts w:ascii="Book Antiqua" w:eastAsia="Times New Roman" w:hAnsi="Book Antiqua" w:cs="Times New Roman"/>
          <w:color w:val="000000" w:themeColor="text1"/>
          <w:kern w:val="0"/>
        </w:rPr>
        <w:t xml:space="preserve"> of </w:t>
      </w:r>
      <w:bookmarkStart w:id="85" w:name="OLE_LINK37"/>
      <w:r w:rsidR="00DD3F23" w:rsidRPr="007B43A9">
        <w:rPr>
          <w:rFonts w:ascii="Book Antiqua" w:eastAsia="Times New Roman" w:hAnsi="Book Antiqua" w:cs="Times New Roman"/>
          <w:color w:val="000000" w:themeColor="text1"/>
          <w:kern w:val="0"/>
        </w:rPr>
        <w:t>2.5</w:t>
      </w:r>
      <w:r w:rsidRPr="007B43A9">
        <w:rPr>
          <w:rFonts w:ascii="Book Antiqua" w:eastAsia="Times New Roman" w:hAnsi="Book Antiqua" w:cs="Times New Roman"/>
          <w:color w:val="000000" w:themeColor="text1"/>
          <w:kern w:val="0"/>
        </w:rPr>
        <w:t>-20 μ</w:t>
      </w:r>
      <w:bookmarkEnd w:id="85"/>
      <w:r w:rsidR="00D7042C" w:rsidRPr="007B43A9">
        <w:rPr>
          <w:rFonts w:ascii="Book Antiqua" w:hAnsi="Book Antiqua" w:cs="Times New Roman" w:hint="eastAsia"/>
          <w:color w:val="000000" w:themeColor="text1"/>
          <w:kern w:val="0"/>
        </w:rPr>
        <w:t>mol/L</w:t>
      </w:r>
      <w:r w:rsidRPr="007B43A9">
        <w:rPr>
          <w:rFonts w:ascii="Book Antiqua" w:eastAsia="Times New Roman" w:hAnsi="Book Antiqua" w:cs="Times New Roman"/>
          <w:color w:val="000000" w:themeColor="text1"/>
          <w:kern w:val="0"/>
        </w:rPr>
        <w:t xml:space="preserve"> inhibited the adipogenic differentiation of 3T3-L1 pre-adipocyte cells in a dose-dependent manner, which was further confirmed in the </w:t>
      </w:r>
      <w:bookmarkStart w:id="86" w:name="OLE_LINK260"/>
      <w:bookmarkStart w:id="87" w:name="OLE_LINK261"/>
      <w:r w:rsidR="00D7042C" w:rsidRPr="007B43A9">
        <w:rPr>
          <w:rFonts w:ascii="Book Antiqua" w:eastAsia="Times New Roman" w:hAnsi="Book Antiqua" w:cs="Times New Roman"/>
          <w:color w:val="000000" w:themeColor="text1"/>
          <w:kern w:val="0"/>
        </w:rPr>
        <w:t>high-fat diet</w:t>
      </w:r>
      <w:r w:rsidRPr="007B43A9">
        <w:rPr>
          <w:rFonts w:ascii="Book Antiqua" w:eastAsia="Times New Roman" w:hAnsi="Book Antiqua" w:cs="Times New Roman"/>
          <w:color w:val="000000" w:themeColor="text1"/>
          <w:kern w:val="0"/>
        </w:rPr>
        <w:t>-induced obese mice model</w:t>
      </w:r>
      <w:bookmarkEnd w:id="86"/>
      <w:bookmarkEnd w:id="87"/>
      <w:r w:rsidRPr="007B43A9">
        <w:rPr>
          <w:rFonts w:ascii="Book Antiqua" w:eastAsia="Times New Roman" w:hAnsi="Book Antiqua" w:cs="Times New Roman"/>
          <w:color w:val="000000" w:themeColor="text1"/>
          <w:kern w:val="0"/>
          <w:vertAlign w:val="superscript"/>
        </w:rPr>
        <w:t>[69]</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It is reported in the above study that</w:t>
      </w:r>
      <w:r w:rsidR="00B86939"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salinomycin at 10 μ</w:t>
      </w:r>
      <w:r w:rsidR="00D7042C" w:rsidRPr="007B43A9">
        <w:rPr>
          <w:rFonts w:ascii="Book Antiqua" w:hAnsi="Book Antiqua" w:cs="Times New Roman" w:hint="eastAsia"/>
          <w:color w:val="000000" w:themeColor="text1"/>
          <w:kern w:val="0"/>
        </w:rPr>
        <w:t>mol/L</w:t>
      </w:r>
      <w:r w:rsidRPr="007B43A9">
        <w:rPr>
          <w:rFonts w:ascii="Book Antiqua" w:eastAsia="Times New Roman" w:hAnsi="Book Antiqua" w:cs="Times New Roman"/>
          <w:color w:val="000000" w:themeColor="text1"/>
          <w:kern w:val="0"/>
        </w:rPr>
        <w:t xml:space="preserve"> does not affect the osteogenic differentiation potential of human bone marrow-derived MSCs. At this concentration, the adipogenic differentiation activi</w:t>
      </w:r>
      <w:r w:rsidR="00D7042C" w:rsidRPr="007B43A9">
        <w:rPr>
          <w:rFonts w:ascii="Book Antiqua" w:eastAsia="Times New Roman" w:hAnsi="Book Antiqua" w:cs="Times New Roman"/>
          <w:color w:val="000000" w:themeColor="text1"/>
          <w:kern w:val="0"/>
        </w:rPr>
        <w:t>ty of MSCs is also not affected</w:t>
      </w:r>
      <w:r w:rsidRPr="007B43A9">
        <w:rPr>
          <w:rFonts w:ascii="Book Antiqua" w:eastAsia="Times New Roman" w:hAnsi="Book Antiqua" w:cs="Times New Roman"/>
          <w:color w:val="000000" w:themeColor="text1"/>
          <w:kern w:val="0"/>
          <w:vertAlign w:val="superscript"/>
        </w:rPr>
        <w:t>[26]</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However, we believe that this result does not represent the effect of thalimycin at different concentrations on the osteogenic and adipogenic differentiation of MSCs. Further studies are needed to demonstrate the effect of this drug on the multi-directional differentiation potential of bone marrow-derived MSCs.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Geldanamycin is an antibiotic secreted by </w:t>
      </w:r>
      <w:r w:rsidRPr="007B43A9">
        <w:rPr>
          <w:rFonts w:ascii="Book Antiqua" w:eastAsia="Times New Roman" w:hAnsi="Book Antiqua" w:cs="Times New Roman"/>
          <w:i/>
          <w:color w:val="000000" w:themeColor="text1"/>
          <w:kern w:val="0"/>
        </w:rPr>
        <w:t>Streptomyces hygroscopicus</w:t>
      </w:r>
      <w:r w:rsidRPr="007B43A9">
        <w:rPr>
          <w:rFonts w:ascii="Book Antiqua" w:eastAsia="Times New Roman" w:hAnsi="Book Antiqua" w:cs="Times New Roman"/>
          <w:color w:val="000000" w:themeColor="text1"/>
          <w:kern w:val="0"/>
        </w:rPr>
        <w:t xml:space="preserve"> and has been shown to exhibit antibacterial, antiprotozoal, and antitumor activities.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Studies have shown that geldanamycin can inhibit the adipogenic differentiation of 3T3-L1 pre-adipocytes in a dose-dependent manner at very low concentrations (0.00</w:t>
      </w:r>
      <w:bookmarkStart w:id="88" w:name="OLE_LINK38"/>
      <w:bookmarkStart w:id="89" w:name="OLE_LINK39"/>
      <w:r w:rsidRPr="007B43A9">
        <w:rPr>
          <w:rFonts w:ascii="Book Antiqua" w:eastAsia="Times New Roman" w:hAnsi="Book Antiqua" w:cs="Times New Roman"/>
          <w:color w:val="000000" w:themeColor="text1"/>
          <w:kern w:val="0"/>
        </w:rPr>
        <w:t>1-1 μ</w:t>
      </w:r>
      <w:bookmarkEnd w:id="88"/>
      <w:bookmarkEnd w:id="89"/>
      <w:r w:rsidR="00D7042C" w:rsidRPr="007B43A9">
        <w:rPr>
          <w:rFonts w:ascii="Book Antiqua" w:hAnsi="Book Antiqua" w:cs="Times New Roman" w:hint="eastAsia"/>
          <w:color w:val="000000" w:themeColor="text1"/>
          <w:kern w:val="0"/>
        </w:rPr>
        <w:t>mol/L</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i/>
          <w:color w:val="000000" w:themeColor="text1"/>
          <w:kern w:val="0"/>
        </w:rPr>
        <w:t>In vivo</w:t>
      </w:r>
      <w:r w:rsidRPr="007B43A9">
        <w:rPr>
          <w:rFonts w:ascii="Book Antiqua" w:eastAsia="Times New Roman" w:hAnsi="Book Antiqua" w:cs="Times New Roman"/>
          <w:color w:val="000000" w:themeColor="text1"/>
          <w:kern w:val="0"/>
        </w:rPr>
        <w:t xml:space="preserve"> experiments in mice further confirmed the inhibitory effect of geldanamyci</w:t>
      </w:r>
      <w:r w:rsidR="00D7042C" w:rsidRPr="007B43A9">
        <w:rPr>
          <w:rFonts w:ascii="Book Antiqua" w:eastAsia="Times New Roman" w:hAnsi="Book Antiqua" w:cs="Times New Roman"/>
          <w:color w:val="000000" w:themeColor="text1"/>
          <w:kern w:val="0"/>
        </w:rPr>
        <w:t>n on adipogenic differentiation</w:t>
      </w:r>
      <w:r w:rsidRPr="007B43A9">
        <w:rPr>
          <w:rFonts w:ascii="Book Antiqua" w:eastAsia="Times New Roman" w:hAnsi="Book Antiqua" w:cs="Times New Roman"/>
          <w:color w:val="000000" w:themeColor="text1"/>
          <w:kern w:val="0"/>
          <w:vertAlign w:val="superscript"/>
        </w:rPr>
        <w:t>[70]</w:t>
      </w:r>
      <w:r w:rsidRPr="007B43A9">
        <w:rPr>
          <w:rFonts w:ascii="Book Antiqua" w:eastAsia="Times New Roman" w:hAnsi="Book Antiqua" w:cs="Times New Roman"/>
          <w:color w:val="000000" w:themeColor="text1"/>
          <w:kern w:val="0"/>
        </w:rPr>
        <w:t>.</w:t>
      </w:r>
    </w:p>
    <w:p w14:paraId="0E9578B4" w14:textId="77777777" w:rsidR="00D7042C" w:rsidRPr="007B43A9" w:rsidRDefault="00D7042C" w:rsidP="005142C8">
      <w:pPr>
        <w:widowControl/>
        <w:tabs>
          <w:tab w:val="left" w:pos="1773"/>
        </w:tabs>
        <w:spacing w:line="360" w:lineRule="auto"/>
        <w:rPr>
          <w:rFonts w:ascii="Book Antiqua" w:hAnsi="Book Antiqua" w:cs="Times New Roman"/>
          <w:color w:val="000000" w:themeColor="text1"/>
          <w:kern w:val="0"/>
        </w:rPr>
      </w:pPr>
    </w:p>
    <w:p w14:paraId="04BC88F2" w14:textId="17444372" w:rsidR="00CE48F3" w:rsidRPr="007B43A9" w:rsidRDefault="00CE48F3" w:rsidP="005142C8">
      <w:pPr>
        <w:widowControl/>
        <w:tabs>
          <w:tab w:val="left" w:pos="1773"/>
        </w:tabs>
        <w:spacing w:line="360" w:lineRule="auto"/>
        <w:rPr>
          <w:rFonts w:ascii="Book Antiqua" w:eastAsia="Times New Roman" w:hAnsi="Book Antiqua" w:cs="Times New Roman"/>
          <w:b/>
          <w:i/>
          <w:color w:val="000000" w:themeColor="text1"/>
          <w:kern w:val="0"/>
        </w:rPr>
      </w:pPr>
      <w:r w:rsidRPr="007B43A9">
        <w:rPr>
          <w:rFonts w:ascii="Book Antiqua" w:eastAsia="Times New Roman" w:hAnsi="Book Antiqua" w:cs="Times New Roman"/>
          <w:b/>
          <w:i/>
          <w:color w:val="000000" w:themeColor="text1"/>
          <w:kern w:val="0"/>
        </w:rPr>
        <w:t>Natural peptides</w:t>
      </w:r>
    </w:p>
    <w:p w14:paraId="4FDE4DA2" w14:textId="3A77A84E" w:rsidR="00CE48F3" w:rsidRPr="007B43A9" w:rsidRDefault="00986ACD" w:rsidP="005142C8">
      <w:pPr>
        <w:widowControl/>
        <w:tabs>
          <w:tab w:val="left" w:pos="1773"/>
        </w:tabs>
        <w:spacing w:line="360" w:lineRule="auto"/>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The positive regulation of lactoferrin on osteogenic and chondrogenic differentiation has been mentioned in the previous section, and its regulation of adipogenic differentiation is also worthy of attention.</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More than one study has shown that </w:t>
      </w:r>
      <w:bookmarkStart w:id="90" w:name="OLE_LINK203"/>
      <w:r w:rsidRPr="007B43A9">
        <w:rPr>
          <w:rFonts w:ascii="Book Antiqua" w:eastAsia="Times New Roman" w:hAnsi="Book Antiqua" w:cs="Times New Roman"/>
          <w:color w:val="000000" w:themeColor="text1"/>
          <w:kern w:val="0"/>
        </w:rPr>
        <w:t xml:space="preserve">lactoferrin </w:t>
      </w:r>
      <w:bookmarkEnd w:id="90"/>
      <w:r w:rsidRPr="007B43A9">
        <w:rPr>
          <w:rFonts w:ascii="Book Antiqua" w:eastAsia="Times New Roman" w:hAnsi="Book Antiqua" w:cs="Times New Roman"/>
          <w:color w:val="000000" w:themeColor="text1"/>
          <w:kern w:val="0"/>
        </w:rPr>
        <w:t>negatively regulates the adipogenic differentiation potential of cells.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Some scholars ha</w:t>
      </w:r>
      <w:r w:rsidR="003D6427" w:rsidRPr="007B43A9">
        <w:rPr>
          <w:rFonts w:ascii="Book Antiqua" w:eastAsia="Times New Roman" w:hAnsi="Book Antiqua" w:cs="Times New Roman"/>
          <w:color w:val="000000" w:themeColor="text1"/>
          <w:kern w:val="0"/>
        </w:rPr>
        <w:t xml:space="preserve">ve found that MC3T3-G2/PA6 cells </w:t>
      </w:r>
      <w:r w:rsidRPr="007B43A9">
        <w:rPr>
          <w:rFonts w:ascii="Book Antiqua" w:eastAsia="Times New Roman" w:hAnsi="Book Antiqua" w:cs="Times New Roman"/>
          <w:color w:val="000000" w:themeColor="text1"/>
          <w:kern w:val="0"/>
        </w:rPr>
        <w:t xml:space="preserve">gradually lose their ability to differentiate into adipocytes under the action of </w:t>
      </w:r>
      <w:r w:rsidR="00DD3F23" w:rsidRPr="007B43A9">
        <w:rPr>
          <w:rFonts w:ascii="Book Antiqua" w:eastAsia="Times New Roman" w:hAnsi="Book Antiqua" w:cs="Times New Roman"/>
          <w:color w:val="000000" w:themeColor="text1"/>
          <w:kern w:val="0"/>
        </w:rPr>
        <w:t>1</w:t>
      </w:r>
      <w:r w:rsidR="006F763C" w:rsidRPr="007B43A9">
        <w:rPr>
          <w:rFonts w:ascii="Book Antiqua" w:eastAsia="Times New Roman" w:hAnsi="Book Antiqua" w:cs="Times New Roman"/>
          <w:color w:val="000000" w:themeColor="text1"/>
          <w:kern w:val="0"/>
        </w:rPr>
        <w:t>0-100 μg/mL lactoferrin</w:t>
      </w:r>
      <w:r w:rsidRPr="007B43A9">
        <w:rPr>
          <w:rFonts w:ascii="Book Antiqua" w:eastAsia="Times New Roman" w:hAnsi="Book Antiqua" w:cs="Times New Roman"/>
          <w:color w:val="000000" w:themeColor="text1"/>
          <w:kern w:val="0"/>
          <w:vertAlign w:val="superscript"/>
        </w:rPr>
        <w:t>[71]</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the level of adipogenic genes in C1C12 pluripotent stem cells have also been found to downregulate under the action of nipple proteins, and instead, the cells differentiate into osteogenesis and cartilage</w:t>
      </w:r>
      <w:r w:rsidRPr="007B43A9">
        <w:rPr>
          <w:rFonts w:ascii="Book Antiqua" w:eastAsia="Times New Roman" w:hAnsi="Book Antiqua" w:cs="Times New Roman"/>
          <w:color w:val="000000" w:themeColor="text1"/>
          <w:kern w:val="0"/>
          <w:vertAlign w:val="superscript"/>
        </w:rPr>
        <w:t>[72]</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However, studies have shown that lactoferrin at a concentration of 10 μ</w:t>
      </w:r>
      <w:r w:rsidR="006F763C" w:rsidRPr="007B43A9">
        <w:rPr>
          <w:rFonts w:ascii="Book Antiqua" w:hAnsi="Book Antiqua" w:cs="Times New Roman" w:hint="eastAsia"/>
          <w:color w:val="000000" w:themeColor="text1"/>
          <w:kern w:val="0"/>
        </w:rPr>
        <w:t>mol/L</w:t>
      </w:r>
      <w:r w:rsidRPr="007B43A9">
        <w:rPr>
          <w:rFonts w:ascii="Book Antiqua" w:eastAsia="Times New Roman" w:hAnsi="Book Antiqua" w:cs="Times New Roman"/>
          <w:color w:val="000000" w:themeColor="text1"/>
          <w:kern w:val="0"/>
        </w:rPr>
        <w:t xml:space="preserve"> can promote the adipogenic activity of subcutaneous preadipocytes, and the associated adipogenic pr</w:t>
      </w:r>
      <w:r w:rsidR="006F763C" w:rsidRPr="007B43A9">
        <w:rPr>
          <w:rFonts w:ascii="Book Antiqua" w:eastAsia="Times New Roman" w:hAnsi="Book Antiqua" w:cs="Times New Roman"/>
          <w:color w:val="000000" w:themeColor="text1"/>
          <w:kern w:val="0"/>
        </w:rPr>
        <w:t>otein levels are also increased</w:t>
      </w:r>
      <w:r w:rsidRPr="007B43A9">
        <w:rPr>
          <w:rFonts w:ascii="Book Antiqua" w:eastAsia="Times New Roman" w:hAnsi="Book Antiqua" w:cs="Times New Roman"/>
          <w:color w:val="000000" w:themeColor="text1"/>
          <w:kern w:val="0"/>
          <w:vertAlign w:val="superscript"/>
        </w:rPr>
        <w:t>[73]</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These results </w:t>
      </w:r>
      <w:r w:rsidR="00CB1E9C" w:rsidRPr="007B43A9">
        <w:rPr>
          <w:rFonts w:ascii="Book Antiqua" w:eastAsia="Times New Roman" w:hAnsi="Book Antiqua" w:cs="Times New Roman"/>
          <w:color w:val="000000" w:themeColor="text1"/>
          <w:kern w:val="0"/>
        </w:rPr>
        <w:t xml:space="preserve">suggest </w:t>
      </w:r>
      <w:r w:rsidRPr="007B43A9">
        <w:rPr>
          <w:rFonts w:ascii="Book Antiqua" w:eastAsia="Times New Roman" w:hAnsi="Book Antiqua" w:cs="Times New Roman"/>
          <w:color w:val="000000" w:themeColor="text1"/>
          <w:kern w:val="0"/>
        </w:rPr>
        <w:t xml:space="preserve">that more research on the </w:t>
      </w:r>
      <w:r w:rsidR="00CB1E9C" w:rsidRPr="007B43A9">
        <w:rPr>
          <w:rFonts w:ascii="Book Antiqua" w:eastAsia="Times New Roman" w:hAnsi="Book Antiqua" w:cs="Times New Roman"/>
          <w:color w:val="000000" w:themeColor="text1"/>
          <w:kern w:val="0"/>
        </w:rPr>
        <w:t xml:space="preserve">regulatory effect </w:t>
      </w:r>
      <w:r w:rsidRPr="007B43A9">
        <w:rPr>
          <w:rFonts w:ascii="Book Antiqua" w:eastAsia="Times New Roman" w:hAnsi="Book Antiqua" w:cs="Times New Roman"/>
          <w:color w:val="000000" w:themeColor="text1"/>
          <w:kern w:val="0"/>
        </w:rPr>
        <w:t>of lactoferrin on adipogenic differentiation needs to be conducted.</w:t>
      </w:r>
    </w:p>
    <w:p w14:paraId="156A0CA4" w14:textId="77777777" w:rsidR="006F763C" w:rsidRPr="007B43A9" w:rsidRDefault="006F763C" w:rsidP="005142C8">
      <w:pPr>
        <w:widowControl/>
        <w:tabs>
          <w:tab w:val="left" w:pos="1773"/>
        </w:tabs>
        <w:spacing w:line="360" w:lineRule="auto"/>
        <w:rPr>
          <w:rFonts w:ascii="Book Antiqua" w:hAnsi="Book Antiqua" w:cs="Times New Roman"/>
          <w:color w:val="000000" w:themeColor="text1"/>
          <w:kern w:val="0"/>
        </w:rPr>
      </w:pPr>
    </w:p>
    <w:p w14:paraId="1E550FA7" w14:textId="2073A6A7" w:rsidR="00CE48F3" w:rsidRPr="007B43A9" w:rsidRDefault="00CE48F3" w:rsidP="005142C8">
      <w:pPr>
        <w:widowControl/>
        <w:tabs>
          <w:tab w:val="left" w:pos="1773"/>
        </w:tabs>
        <w:spacing w:line="360" w:lineRule="auto"/>
        <w:rPr>
          <w:rFonts w:ascii="Book Antiqua" w:eastAsia="宋体" w:hAnsi="Book Antiqua" w:cs="Times New Roman"/>
          <w:b/>
          <w:i/>
          <w:color w:val="000000" w:themeColor="text1"/>
        </w:rPr>
      </w:pPr>
      <w:r w:rsidRPr="007B43A9">
        <w:rPr>
          <w:rFonts w:ascii="Book Antiqua" w:eastAsia="宋体" w:hAnsi="Book Antiqua" w:cs="Times New Roman"/>
          <w:b/>
          <w:i/>
          <w:color w:val="000000" w:themeColor="text1"/>
        </w:rPr>
        <w:t>Chinese traditional drug extracts</w:t>
      </w:r>
    </w:p>
    <w:p w14:paraId="40463E4D" w14:textId="11768E90" w:rsidR="00CE48F3" w:rsidRPr="007B43A9" w:rsidRDefault="00986ACD" w:rsidP="005142C8">
      <w:pPr>
        <w:widowControl/>
        <w:tabs>
          <w:tab w:val="left" w:pos="1773"/>
        </w:tabs>
        <w:spacing w:line="360" w:lineRule="auto"/>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 xml:space="preserve">In Table 1, we list the Chinese </w:t>
      </w:r>
      <w:bookmarkStart w:id="91" w:name="OLE_LINK419"/>
      <w:bookmarkStart w:id="92" w:name="OLE_LINK418"/>
      <w:r w:rsidRPr="007B43A9">
        <w:rPr>
          <w:rFonts w:ascii="Book Antiqua" w:eastAsia="宋体" w:hAnsi="Book Antiqua" w:cs="Times New Roman"/>
          <w:color w:val="000000" w:themeColor="text1"/>
        </w:rPr>
        <w:t>traditional drug</w:t>
      </w:r>
      <w:bookmarkEnd w:id="91"/>
      <w:r w:rsidRPr="007B43A9">
        <w:rPr>
          <w:rFonts w:ascii="Book Antiqua" w:eastAsia="Times New Roman" w:hAnsi="Book Antiqua" w:cs="Times New Roman"/>
          <w:color w:val="000000" w:themeColor="text1"/>
          <w:kern w:val="0"/>
        </w:rPr>
        <w:t xml:space="preserve"> extracts</w:t>
      </w:r>
      <w:bookmarkEnd w:id="92"/>
      <w:r w:rsidRPr="007B43A9">
        <w:rPr>
          <w:rFonts w:ascii="Book Antiqua" w:eastAsia="Times New Roman" w:hAnsi="Book Antiqua" w:cs="Times New Roman"/>
          <w:color w:val="000000" w:themeColor="text1"/>
          <w:kern w:val="0"/>
        </w:rPr>
        <w:t xml:space="preserve"> that have been reported to have antibacterial properties and can regulate osteogenic differentiation in recent years.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Among these</w:t>
      </w:r>
      <w:r w:rsidR="00CB1E9C"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 xml:space="preserve">Chinese traditional drug extracts, cordycepin, </w:t>
      </w:r>
      <w:bookmarkStart w:id="93" w:name="OLE_LINK42"/>
      <w:bookmarkStart w:id="94" w:name="OLE_LINK43"/>
      <w:r w:rsidRPr="007B43A9">
        <w:rPr>
          <w:rFonts w:ascii="Book Antiqua" w:eastAsia="Times New Roman" w:hAnsi="Book Antiqua" w:cs="Times New Roman"/>
          <w:color w:val="000000" w:themeColor="text1"/>
          <w:kern w:val="0"/>
        </w:rPr>
        <w:t>tanshinone</w:t>
      </w:r>
      <w:bookmarkEnd w:id="93"/>
      <w:bookmarkEnd w:id="94"/>
      <w:r w:rsidRPr="007B43A9">
        <w:rPr>
          <w:rFonts w:ascii="Book Antiqua" w:eastAsia="Times New Roman" w:hAnsi="Book Antiqua" w:cs="Times New Roman"/>
          <w:color w:val="000000" w:themeColor="text1"/>
          <w:kern w:val="0"/>
        </w:rPr>
        <w:t>, andrographolide, and baicalin have also been reported to exhibit the ability to regu</w:t>
      </w:r>
      <w:r w:rsidR="006F763C" w:rsidRPr="007B43A9">
        <w:rPr>
          <w:rFonts w:ascii="Book Antiqua" w:eastAsia="Times New Roman" w:hAnsi="Book Antiqua" w:cs="Times New Roman"/>
          <w:color w:val="000000" w:themeColor="text1"/>
          <w:kern w:val="0"/>
        </w:rPr>
        <w:t>late adipogenic differentiation</w:t>
      </w:r>
      <w:r w:rsidRPr="007B43A9">
        <w:rPr>
          <w:rFonts w:ascii="Book Antiqua" w:eastAsia="Times New Roman" w:hAnsi="Book Antiqua" w:cs="Times New Roman"/>
          <w:color w:val="000000" w:themeColor="text1"/>
          <w:kern w:val="0"/>
          <w:vertAlign w:val="superscript"/>
        </w:rPr>
        <w:t>[74-79</w:t>
      </w:r>
      <w:r w:rsidR="00CB1E9C" w:rsidRPr="007B43A9">
        <w:rPr>
          <w:rFonts w:ascii="Book Antiqua" w:eastAsia="Times New Roman" w:hAnsi="Book Antiqua" w:cs="Times New Roman"/>
          <w:color w:val="000000" w:themeColor="text1"/>
          <w:kern w:val="0"/>
          <w:vertAlign w:val="superscript"/>
        </w:rPr>
        <w:t>]</w:t>
      </w:r>
      <w:r w:rsidR="00CB1E9C" w:rsidRPr="007B43A9">
        <w:rPr>
          <w:rFonts w:ascii="Book Antiqua" w:eastAsia="Times New Roman" w:hAnsi="Book Antiqua" w:cs="Times New Roman"/>
          <w:color w:val="000000" w:themeColor="text1"/>
          <w:kern w:val="0"/>
        </w:rPr>
        <w:t>.</w:t>
      </w:r>
      <w:r w:rsidR="00CB1E9C"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In addition, other Chinese </w:t>
      </w:r>
      <w:r w:rsidRPr="007B43A9">
        <w:rPr>
          <w:rFonts w:ascii="Book Antiqua" w:eastAsia="宋体" w:hAnsi="Book Antiqua" w:cs="Times New Roman"/>
          <w:color w:val="000000" w:themeColor="text1"/>
        </w:rPr>
        <w:t xml:space="preserve">traditional </w:t>
      </w:r>
      <w:r w:rsidRPr="007B43A9">
        <w:rPr>
          <w:rFonts w:ascii="Book Antiqua" w:eastAsia="Times New Roman" w:hAnsi="Book Antiqua" w:cs="Times New Roman"/>
          <w:color w:val="000000" w:themeColor="text1"/>
          <w:kern w:val="0"/>
        </w:rPr>
        <w:t>medicines that have antimicrobial effects and have the opportunity to play a role in clinical infectious diseases have also been re</w:t>
      </w:r>
      <w:r w:rsidR="006F763C" w:rsidRPr="007B43A9">
        <w:rPr>
          <w:rFonts w:ascii="Book Antiqua" w:eastAsia="Times New Roman" w:hAnsi="Book Antiqua" w:cs="Times New Roman"/>
          <w:color w:val="000000" w:themeColor="text1"/>
          <w:kern w:val="0"/>
        </w:rPr>
        <w:t>ported to regulate adipogenesis</w:t>
      </w:r>
      <w:r w:rsidRPr="007B43A9">
        <w:rPr>
          <w:rFonts w:ascii="Book Antiqua" w:eastAsia="Times New Roman" w:hAnsi="Book Antiqua" w:cs="Times New Roman"/>
          <w:color w:val="000000" w:themeColor="text1"/>
          <w:kern w:val="0"/>
          <w:vertAlign w:val="superscript"/>
        </w:rPr>
        <w:t>[80-92]</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 xml:space="preserve">We summarize the regulation mediated by these Chinese </w:t>
      </w:r>
      <w:r w:rsidRPr="007B43A9">
        <w:rPr>
          <w:rFonts w:ascii="Book Antiqua" w:eastAsia="宋体" w:hAnsi="Book Antiqua" w:cs="Times New Roman"/>
          <w:color w:val="000000" w:themeColor="text1"/>
        </w:rPr>
        <w:t>traditional drug</w:t>
      </w:r>
      <w:r w:rsidRPr="007B43A9">
        <w:rPr>
          <w:rFonts w:ascii="Book Antiqua" w:eastAsia="Times New Roman" w:hAnsi="Book Antiqua" w:cs="Times New Roman"/>
          <w:color w:val="000000" w:themeColor="text1"/>
          <w:kern w:val="0"/>
        </w:rPr>
        <w:t xml:space="preserve"> extracts on adipogenic differentiation in Table 3.</w:t>
      </w:r>
    </w:p>
    <w:p w14:paraId="78F4B5C0" w14:textId="77777777" w:rsidR="006F763C" w:rsidRPr="007B43A9" w:rsidRDefault="006F763C" w:rsidP="005142C8">
      <w:pPr>
        <w:widowControl/>
        <w:tabs>
          <w:tab w:val="left" w:pos="1773"/>
        </w:tabs>
        <w:spacing w:line="360" w:lineRule="auto"/>
        <w:rPr>
          <w:rFonts w:ascii="Book Antiqua" w:hAnsi="Book Antiqua" w:cs="Times New Roman"/>
          <w:color w:val="000000" w:themeColor="text1"/>
          <w:kern w:val="0"/>
        </w:rPr>
      </w:pPr>
    </w:p>
    <w:p w14:paraId="61D0F87F" w14:textId="5510259E" w:rsidR="00CE48F3" w:rsidRPr="007B43A9" w:rsidRDefault="00CE48F3" w:rsidP="005142C8">
      <w:pPr>
        <w:widowControl/>
        <w:tabs>
          <w:tab w:val="left" w:pos="1773"/>
        </w:tabs>
        <w:spacing w:line="360" w:lineRule="auto"/>
        <w:rPr>
          <w:rFonts w:ascii="Book Antiqua" w:eastAsia="Times New Roman" w:hAnsi="Book Antiqua" w:cs="Times New Roman"/>
          <w:b/>
          <w:i/>
          <w:color w:val="000000" w:themeColor="text1"/>
          <w:kern w:val="0"/>
        </w:rPr>
      </w:pPr>
      <w:bookmarkStart w:id="95" w:name="OLE_LINK229"/>
      <w:bookmarkStart w:id="96" w:name="OLE_LINK230"/>
      <w:r w:rsidRPr="007B43A9">
        <w:rPr>
          <w:rFonts w:ascii="Book Antiqua" w:eastAsia="Times New Roman" w:hAnsi="Book Antiqua" w:cs="Times New Roman"/>
          <w:b/>
          <w:i/>
          <w:color w:val="000000" w:themeColor="text1"/>
          <w:kern w:val="0"/>
        </w:rPr>
        <w:t xml:space="preserve">Antifungal drugs, </w:t>
      </w:r>
      <w:bookmarkStart w:id="97" w:name="OLE_LINK231"/>
      <w:bookmarkStart w:id="98" w:name="OLE_LINK232"/>
      <w:r w:rsidRPr="007B43A9">
        <w:rPr>
          <w:rFonts w:ascii="Book Antiqua" w:eastAsia="Times New Roman" w:hAnsi="Book Antiqua" w:cs="Times New Roman"/>
          <w:b/>
          <w:i/>
          <w:color w:val="000000" w:themeColor="text1"/>
          <w:kern w:val="0"/>
        </w:rPr>
        <w:t>antiviral drugs</w:t>
      </w:r>
      <w:bookmarkEnd w:id="97"/>
      <w:bookmarkEnd w:id="98"/>
      <w:r w:rsidR="00CB1E9C" w:rsidRPr="007B43A9">
        <w:rPr>
          <w:rFonts w:ascii="Book Antiqua" w:eastAsia="Times New Roman" w:hAnsi="Book Antiqua" w:cs="Times New Roman"/>
          <w:b/>
          <w:i/>
          <w:color w:val="000000" w:themeColor="text1"/>
          <w:kern w:val="0"/>
        </w:rPr>
        <w:t>,</w:t>
      </w:r>
      <w:r w:rsidRPr="007B43A9">
        <w:rPr>
          <w:rFonts w:ascii="Book Antiqua" w:eastAsia="Times New Roman" w:hAnsi="Book Antiqua" w:cs="Times New Roman"/>
          <w:b/>
          <w:i/>
          <w:color w:val="000000" w:themeColor="text1"/>
          <w:kern w:val="0"/>
        </w:rPr>
        <w:t xml:space="preserve"> and </w:t>
      </w:r>
      <w:bookmarkStart w:id="99" w:name="OLE_LINK35"/>
      <w:bookmarkStart w:id="100" w:name="OLE_LINK36"/>
      <w:r w:rsidRPr="007B43A9">
        <w:rPr>
          <w:rFonts w:ascii="Book Antiqua" w:eastAsia="Times New Roman" w:hAnsi="Book Antiqua" w:cs="Times New Roman"/>
          <w:b/>
          <w:i/>
          <w:color w:val="000000" w:themeColor="text1"/>
          <w:kern w:val="0"/>
        </w:rPr>
        <w:t>antimalarials</w:t>
      </w:r>
      <w:bookmarkEnd w:id="95"/>
      <w:bookmarkEnd w:id="96"/>
      <w:bookmarkEnd w:id="99"/>
      <w:bookmarkEnd w:id="100"/>
    </w:p>
    <w:p w14:paraId="1F769CFF" w14:textId="2E8182F5" w:rsidR="00986ACD" w:rsidRPr="007B43A9" w:rsidRDefault="00986ACD" w:rsidP="005142C8">
      <w:pPr>
        <w:widowControl/>
        <w:tabs>
          <w:tab w:val="left" w:pos="1773"/>
        </w:tabs>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 xml:space="preserve">The promotion of </w:t>
      </w:r>
      <w:r w:rsidR="0018210C" w:rsidRPr="007B43A9">
        <w:rPr>
          <w:rFonts w:ascii="Book Antiqua" w:eastAsia="Times New Roman" w:hAnsi="Book Antiqua" w:cs="Times New Roman"/>
          <w:color w:val="000000" w:themeColor="text1"/>
          <w:kern w:val="0"/>
        </w:rPr>
        <w:t>TSA</w:t>
      </w:r>
      <w:r w:rsidRPr="007B43A9">
        <w:rPr>
          <w:rFonts w:ascii="Book Antiqua" w:eastAsia="Times New Roman" w:hAnsi="Book Antiqua" w:cs="Times New Roman"/>
          <w:color w:val="000000" w:themeColor="text1"/>
          <w:kern w:val="0"/>
        </w:rPr>
        <w:t xml:space="preserve"> for osteogenic differentiation and inhibition of chondrogenic differentiation </w:t>
      </w:r>
      <w:r w:rsidR="00CB1E9C" w:rsidRPr="007B43A9">
        <w:rPr>
          <w:rFonts w:ascii="Book Antiqua" w:eastAsia="Times New Roman" w:hAnsi="Book Antiqua" w:cs="Times New Roman"/>
          <w:color w:val="000000" w:themeColor="text1"/>
          <w:kern w:val="0"/>
        </w:rPr>
        <w:t xml:space="preserve">have </w:t>
      </w:r>
      <w:r w:rsidRPr="007B43A9">
        <w:rPr>
          <w:rFonts w:ascii="Book Antiqua" w:eastAsia="Times New Roman" w:hAnsi="Book Antiqua" w:cs="Times New Roman"/>
          <w:color w:val="000000" w:themeColor="text1"/>
          <w:kern w:val="0"/>
        </w:rPr>
        <w:t>been mentioned earlier in this paper.</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In a study of its effects on adipogenic differentiation, TSA</w:t>
      </w:r>
      <w:r w:rsidR="00CB1E9C"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at a concentration of 400 n</w:t>
      </w:r>
      <w:r w:rsidR="006F763C" w:rsidRPr="007B43A9">
        <w:rPr>
          <w:rFonts w:ascii="Book Antiqua" w:hAnsi="Book Antiqua" w:cs="Times New Roman" w:hint="eastAsia"/>
          <w:color w:val="000000" w:themeColor="text1"/>
          <w:kern w:val="0"/>
        </w:rPr>
        <w:t>mol/L</w:t>
      </w:r>
      <w:r w:rsidR="00CB1E9C"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 xml:space="preserve">did not promote differentiation of </w:t>
      </w:r>
      <w:r w:rsidR="0018210C" w:rsidRPr="007B43A9">
        <w:rPr>
          <w:rFonts w:ascii="Book Antiqua" w:eastAsia="Times New Roman" w:hAnsi="Book Antiqua" w:cs="Times New Roman"/>
          <w:color w:val="000000" w:themeColor="text1"/>
          <w:kern w:val="0"/>
        </w:rPr>
        <w:t>HPDLCs into adipogenic phase</w:t>
      </w:r>
      <w:r w:rsidRPr="007B43A9">
        <w:rPr>
          <w:rFonts w:ascii="Book Antiqua" w:eastAsia="Times New Roman" w:hAnsi="Book Antiqua" w:cs="Times New Roman"/>
          <w:color w:val="000000" w:themeColor="text1"/>
          <w:kern w:val="0"/>
          <w:vertAlign w:val="superscript"/>
        </w:rPr>
        <w:t>[51]</w:t>
      </w:r>
      <w:r w:rsidRPr="007B43A9">
        <w:rPr>
          <w:rFonts w:ascii="Book Antiqua" w:eastAsia="Times New Roman" w:hAnsi="Book Antiqua" w:cs="Times New Roman"/>
          <w:color w:val="000000" w:themeColor="text1"/>
          <w:kern w:val="0"/>
        </w:rPr>
        <w:t>.</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In another study, the</w:t>
      </w:r>
      <w:r w:rsidR="006F763C" w:rsidRPr="007B43A9">
        <w:rPr>
          <w:rFonts w:ascii="Book Antiqua" w:eastAsia="Times New Roman" w:hAnsi="Book Antiqua" w:cs="Times New Roman"/>
          <w:color w:val="000000" w:themeColor="text1"/>
          <w:kern w:val="0"/>
        </w:rPr>
        <w:t xml:space="preserve"> researchers concluded that TSA</w:t>
      </w:r>
      <w:r w:rsidRPr="007B43A9">
        <w:rPr>
          <w:rFonts w:ascii="Book Antiqua" w:eastAsia="Times New Roman" w:hAnsi="Book Antiqua" w:cs="Times New Roman"/>
          <w:color w:val="000000" w:themeColor="text1"/>
          <w:kern w:val="0"/>
        </w:rPr>
        <w:t xml:space="preserve"> at a concentration of 500 n</w:t>
      </w:r>
      <w:r w:rsidR="006F763C" w:rsidRPr="007B43A9">
        <w:rPr>
          <w:rFonts w:ascii="Book Antiqua" w:hAnsi="Book Antiqua" w:cs="Times New Roman" w:hint="eastAsia"/>
          <w:color w:val="000000" w:themeColor="text1"/>
          <w:kern w:val="0"/>
        </w:rPr>
        <w:t>mol/L</w:t>
      </w:r>
      <w:r w:rsidR="00CB1E9C" w:rsidRPr="007B43A9">
        <w:rPr>
          <w:rFonts w:ascii="Book Antiqua"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 xml:space="preserve">inhibited the adipogenic differentiation activity of 3T3-L1 cells by inhibiting the </w:t>
      </w:r>
      <w:r w:rsidR="006F763C" w:rsidRPr="007B43A9">
        <w:rPr>
          <w:rFonts w:ascii="Book Antiqua" w:eastAsia="Times New Roman" w:hAnsi="Book Antiqua" w:cs="Times New Roman"/>
          <w:color w:val="000000" w:themeColor="text1"/>
          <w:kern w:val="0"/>
        </w:rPr>
        <w:t>activity of histone deacetylase</w:t>
      </w:r>
      <w:r w:rsidRPr="007B43A9">
        <w:rPr>
          <w:rFonts w:ascii="Book Antiqua" w:eastAsia="Times New Roman" w:hAnsi="Book Antiqua" w:cs="Times New Roman"/>
          <w:color w:val="000000" w:themeColor="text1"/>
          <w:kern w:val="0"/>
          <w:vertAlign w:val="superscript"/>
        </w:rPr>
        <w:t>[93]</w:t>
      </w:r>
      <w:r w:rsidRPr="007B43A9">
        <w:rPr>
          <w:rFonts w:ascii="Book Antiqua" w:eastAsia="Times New Roman" w:hAnsi="Book Antiqua" w:cs="Times New Roman"/>
          <w:color w:val="000000" w:themeColor="text1"/>
          <w:kern w:val="0"/>
        </w:rPr>
        <w:t>.</w:t>
      </w:r>
    </w:p>
    <w:p w14:paraId="4F93C3C1" w14:textId="5EF4B9AA" w:rsidR="00CE48F3" w:rsidRPr="007B43A9" w:rsidRDefault="00986ACD" w:rsidP="006F763C">
      <w:pPr>
        <w:widowControl/>
        <w:tabs>
          <w:tab w:val="left" w:pos="1773"/>
        </w:tabs>
        <w:spacing w:line="360" w:lineRule="auto"/>
        <w:ind w:firstLineChars="100" w:firstLine="240"/>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Viruses and malarial parasites are not common pathogenic microorganisms of bone and joint infections.</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However, due to the particularity of the mechanism of pharmacological action, its related therapeutic drugs may have a significant impact on fat metabolism.</w:t>
      </w:r>
      <w:r w:rsidRPr="007B43A9">
        <w:rPr>
          <w:rFonts w:ascii="Book Antiqua" w:hAnsi="Book Antiqua" w:cs="Times New Roman"/>
          <w:color w:val="000000" w:themeColor="text1"/>
        </w:rPr>
        <w:t xml:space="preserve"> </w:t>
      </w:r>
      <w:r w:rsidRPr="007B43A9">
        <w:rPr>
          <w:rFonts w:ascii="Book Antiqua" w:eastAsia="Times New Roman" w:hAnsi="Book Antiqua" w:cs="Times New Roman"/>
          <w:color w:val="000000" w:themeColor="text1"/>
          <w:kern w:val="0"/>
        </w:rPr>
        <w:t>We</w:t>
      </w:r>
      <w:r w:rsidR="00CB1E9C" w:rsidRPr="007B43A9">
        <w:rPr>
          <w:rFonts w:ascii="Book Antiqua" w:eastAsia="Times New Roman" w:hAnsi="Book Antiqua" w:cs="Times New Roman"/>
          <w:color w:val="000000" w:themeColor="text1"/>
          <w:kern w:val="0"/>
        </w:rPr>
        <w:t xml:space="preserve"> </w:t>
      </w:r>
      <w:r w:rsidRPr="007B43A9">
        <w:rPr>
          <w:rFonts w:ascii="Book Antiqua" w:eastAsia="Times New Roman" w:hAnsi="Book Antiqua" w:cs="Times New Roman"/>
          <w:color w:val="000000" w:themeColor="text1"/>
          <w:kern w:val="0"/>
        </w:rPr>
        <w:t xml:space="preserve">summarize the antiviral and antimalarial drugs that have been reported to regulate adipogenesis in recent years and </w:t>
      </w:r>
      <w:r w:rsidR="00CB1E9C" w:rsidRPr="007B43A9">
        <w:rPr>
          <w:rFonts w:ascii="Book Antiqua" w:eastAsia="Times New Roman" w:hAnsi="Book Antiqua" w:cs="Times New Roman"/>
          <w:color w:val="000000" w:themeColor="text1"/>
          <w:kern w:val="0"/>
        </w:rPr>
        <w:t xml:space="preserve">list </w:t>
      </w:r>
      <w:r w:rsidRPr="007B43A9">
        <w:rPr>
          <w:rFonts w:ascii="Book Antiqua" w:eastAsia="Times New Roman" w:hAnsi="Book Antiqua" w:cs="Times New Roman"/>
          <w:color w:val="000000" w:themeColor="text1"/>
          <w:kern w:val="0"/>
        </w:rPr>
        <w:t>them in Table 3</w:t>
      </w:r>
      <w:r w:rsidR="00CE48F3" w:rsidRPr="007B43A9">
        <w:rPr>
          <w:rFonts w:ascii="Book Antiqua" w:eastAsia="Times New Roman" w:hAnsi="Book Antiqua" w:cs="Times New Roman"/>
          <w:noProof/>
          <w:color w:val="000000" w:themeColor="text1"/>
          <w:kern w:val="0"/>
          <w:vertAlign w:val="superscript"/>
        </w:rPr>
        <w:t>[94-107]</w:t>
      </w:r>
      <w:r w:rsidR="00CE48F3" w:rsidRPr="007B43A9">
        <w:rPr>
          <w:rFonts w:ascii="Book Antiqua" w:eastAsia="Times New Roman" w:hAnsi="Book Antiqua" w:cs="Times New Roman"/>
          <w:color w:val="000000" w:themeColor="text1"/>
          <w:kern w:val="0"/>
        </w:rPr>
        <w:t>.</w:t>
      </w:r>
    </w:p>
    <w:p w14:paraId="3E1D4E33" w14:textId="77777777" w:rsidR="006F763C" w:rsidRPr="007B43A9" w:rsidRDefault="006F763C" w:rsidP="006F763C">
      <w:pPr>
        <w:widowControl/>
        <w:tabs>
          <w:tab w:val="left" w:pos="1773"/>
        </w:tabs>
        <w:spacing w:line="360" w:lineRule="auto"/>
        <w:ind w:firstLineChars="100" w:firstLine="240"/>
        <w:rPr>
          <w:rFonts w:ascii="Book Antiqua" w:hAnsi="Book Antiqua" w:cs="Times New Roman"/>
          <w:color w:val="000000" w:themeColor="text1"/>
          <w:kern w:val="0"/>
        </w:rPr>
      </w:pPr>
    </w:p>
    <w:p w14:paraId="72C9B467" w14:textId="1881A066" w:rsidR="00CE48F3" w:rsidRPr="007B43A9" w:rsidRDefault="006F763C" w:rsidP="005142C8">
      <w:pPr>
        <w:tabs>
          <w:tab w:val="left" w:pos="1827"/>
          <w:tab w:val="left" w:pos="4027"/>
        </w:tabs>
        <w:spacing w:line="360" w:lineRule="auto"/>
        <w:rPr>
          <w:rFonts w:ascii="Book Antiqua" w:eastAsia="宋体" w:hAnsi="Book Antiqua" w:cs="Times New Roman"/>
          <w:b/>
          <w:color w:val="000000" w:themeColor="text1"/>
        </w:rPr>
      </w:pPr>
      <w:r w:rsidRPr="007B43A9">
        <w:rPr>
          <w:rFonts w:ascii="Book Antiqua" w:eastAsia="宋体" w:hAnsi="Book Antiqua" w:cs="Times New Roman"/>
          <w:b/>
          <w:color w:val="000000" w:themeColor="text1"/>
        </w:rPr>
        <w:t>CONCLUSION</w:t>
      </w:r>
    </w:p>
    <w:p w14:paraId="00E81347" w14:textId="6D8385AC" w:rsidR="00ED154B" w:rsidRPr="007B43A9" w:rsidRDefault="00CE48F3" w:rsidP="005142C8">
      <w:pPr>
        <w:widowControl/>
        <w:tabs>
          <w:tab w:val="left" w:pos="1773"/>
        </w:tabs>
        <w:spacing w:line="360" w:lineRule="auto"/>
        <w:rPr>
          <w:rFonts w:ascii="Book Antiqua" w:hAnsi="Book Antiqua" w:cs="Times New Roman"/>
          <w:color w:val="000000" w:themeColor="text1"/>
          <w:kern w:val="0"/>
        </w:rPr>
      </w:pPr>
      <w:r w:rsidRPr="007B43A9">
        <w:rPr>
          <w:rFonts w:ascii="Book Antiqua" w:eastAsia="Times New Roman" w:hAnsi="Book Antiqua" w:cs="Times New Roman"/>
          <w:color w:val="000000" w:themeColor="text1"/>
          <w:kern w:val="0"/>
        </w:rPr>
        <w:t xml:space="preserve">In order to achieve better </w:t>
      </w:r>
      <w:r w:rsidR="00E212A0" w:rsidRPr="007B43A9">
        <w:rPr>
          <w:rFonts w:ascii="Book Antiqua" w:eastAsia="Times New Roman" w:hAnsi="Book Antiqua" w:cs="Times New Roman"/>
          <w:color w:val="000000" w:themeColor="text1"/>
          <w:kern w:val="0"/>
        </w:rPr>
        <w:t xml:space="preserve">results </w:t>
      </w:r>
      <w:r w:rsidR="00E212A0" w:rsidRPr="007B43A9">
        <w:rPr>
          <w:rFonts w:ascii="Book Antiqua" w:eastAsia="Times New Roman" w:hAnsi="Book Antiqua" w:cs="Times New Roman"/>
          <w:i/>
          <w:color w:val="000000" w:themeColor="text1"/>
          <w:kern w:val="0"/>
        </w:rPr>
        <w:t>via</w:t>
      </w:r>
      <w:r w:rsidR="00E212A0" w:rsidRPr="007B43A9">
        <w:rPr>
          <w:rFonts w:ascii="Book Antiqua" w:eastAsia="Times New Roman" w:hAnsi="Book Antiqua" w:cs="Times New Roman"/>
          <w:color w:val="000000" w:themeColor="text1"/>
          <w:kern w:val="0"/>
        </w:rPr>
        <w:t xml:space="preserve"> the antimicrobial</w:t>
      </w:r>
      <w:r w:rsidRPr="007B43A9">
        <w:rPr>
          <w:rFonts w:ascii="Book Antiqua" w:eastAsia="Times New Roman" w:hAnsi="Book Antiqua" w:cs="Times New Roman"/>
          <w:color w:val="000000" w:themeColor="text1"/>
          <w:kern w:val="0"/>
        </w:rPr>
        <w:t xml:space="preserve"> drug treatment of bone and joint infections, </w:t>
      </w:r>
      <w:r w:rsidR="00E212A0" w:rsidRPr="007B43A9">
        <w:rPr>
          <w:rFonts w:ascii="Book Antiqua" w:eastAsia="Times New Roman" w:hAnsi="Book Antiqua" w:cs="Times New Roman"/>
          <w:color w:val="000000" w:themeColor="text1"/>
          <w:kern w:val="0"/>
        </w:rPr>
        <w:t xml:space="preserve">we should pay attention to the elimination of pathogenic microorganisms using various </w:t>
      </w:r>
      <w:bookmarkStart w:id="101" w:name="OLE_LINK438"/>
      <w:bookmarkStart w:id="102" w:name="OLE_LINK439"/>
      <w:bookmarkStart w:id="103" w:name="OLE_LINK440"/>
      <w:bookmarkStart w:id="104" w:name="OLE_LINK441"/>
      <w:r w:rsidR="00E212A0" w:rsidRPr="007B43A9">
        <w:rPr>
          <w:rFonts w:ascii="Book Antiqua" w:eastAsia="Times New Roman" w:hAnsi="Book Antiqua" w:cs="Times New Roman"/>
          <w:color w:val="000000" w:themeColor="text1"/>
          <w:kern w:val="0"/>
        </w:rPr>
        <w:t>antimicrobial</w:t>
      </w:r>
      <w:bookmarkEnd w:id="101"/>
      <w:bookmarkEnd w:id="102"/>
      <w:r w:rsidR="00E212A0" w:rsidRPr="007B43A9">
        <w:rPr>
          <w:rFonts w:ascii="Book Antiqua" w:eastAsia="Times New Roman" w:hAnsi="Book Antiqua" w:cs="Times New Roman"/>
          <w:color w:val="000000" w:themeColor="text1"/>
          <w:kern w:val="0"/>
        </w:rPr>
        <w:t xml:space="preserve"> </w:t>
      </w:r>
      <w:bookmarkEnd w:id="103"/>
      <w:bookmarkEnd w:id="104"/>
      <w:r w:rsidR="00E212A0" w:rsidRPr="007B43A9">
        <w:rPr>
          <w:rFonts w:ascii="Book Antiqua" w:eastAsia="Times New Roman" w:hAnsi="Book Antiqua" w:cs="Times New Roman"/>
          <w:color w:val="000000" w:themeColor="text1"/>
          <w:kern w:val="0"/>
        </w:rPr>
        <w:t>drugs while also taking into account</w:t>
      </w:r>
      <w:r w:rsidR="00CB1E9C" w:rsidRPr="007B43A9">
        <w:rPr>
          <w:rFonts w:ascii="Book Antiqua" w:eastAsia="Times New Roman" w:hAnsi="Book Antiqua" w:cs="Times New Roman"/>
          <w:color w:val="000000" w:themeColor="text1"/>
          <w:kern w:val="0"/>
        </w:rPr>
        <w:t xml:space="preserve"> </w:t>
      </w:r>
      <w:r w:rsidR="00E212A0" w:rsidRPr="007B43A9">
        <w:rPr>
          <w:rFonts w:ascii="Book Antiqua" w:eastAsia="Times New Roman" w:hAnsi="Book Antiqua" w:cs="Times New Roman"/>
          <w:color w:val="000000" w:themeColor="text1"/>
          <w:kern w:val="0"/>
        </w:rPr>
        <w:t>the effects of these drugs on local tissue repair.</w:t>
      </w:r>
      <w:r w:rsidR="00E212A0" w:rsidRPr="007B43A9">
        <w:rPr>
          <w:rFonts w:ascii="Book Antiqua" w:hAnsi="Book Antiqua" w:cs="Times New Roman"/>
          <w:color w:val="000000" w:themeColor="text1"/>
        </w:rPr>
        <w:t xml:space="preserve"> </w:t>
      </w:r>
      <w:r w:rsidR="00E212A0" w:rsidRPr="007B43A9">
        <w:rPr>
          <w:rFonts w:ascii="Book Antiqua" w:eastAsia="Times New Roman" w:hAnsi="Book Antiqua" w:cs="Times New Roman"/>
          <w:color w:val="000000" w:themeColor="text1"/>
          <w:kern w:val="0"/>
        </w:rPr>
        <w:t>Bone marrow-derived MSCs are used as core cells for the renewal and repair of local bone, cartilage, and medullary adipose tissue. The regulation of multiple differentiation potentials of MSCs by various antimicrobial agents affects</w:t>
      </w:r>
      <w:r w:rsidRPr="007B43A9">
        <w:rPr>
          <w:rFonts w:ascii="Book Antiqua" w:eastAsia="Times New Roman" w:hAnsi="Book Antiqua" w:cs="Times New Roman"/>
          <w:color w:val="000000" w:themeColor="text1"/>
          <w:kern w:val="0"/>
        </w:rPr>
        <w:t xml:space="preserve"> </w:t>
      </w:r>
      <w:r w:rsidR="00E212A0" w:rsidRPr="007B43A9">
        <w:rPr>
          <w:rFonts w:ascii="Book Antiqua" w:eastAsia="Times New Roman" w:hAnsi="Book Antiqua" w:cs="Times New Roman"/>
          <w:color w:val="000000" w:themeColor="text1"/>
          <w:kern w:val="0"/>
        </w:rPr>
        <w:t>recovery from</w:t>
      </w:r>
      <w:r w:rsidRPr="007B43A9">
        <w:rPr>
          <w:rFonts w:ascii="Book Antiqua" w:eastAsia="Times New Roman" w:hAnsi="Book Antiqua" w:cs="Times New Roman"/>
          <w:color w:val="000000" w:themeColor="text1"/>
          <w:kern w:val="0"/>
        </w:rPr>
        <w:t xml:space="preserve"> bone and joint infectious diseases.</w:t>
      </w:r>
      <w:r w:rsidRPr="007B43A9">
        <w:rPr>
          <w:rFonts w:ascii="Book Antiqua" w:hAnsi="Book Antiqua"/>
          <w:color w:val="000000" w:themeColor="text1"/>
        </w:rPr>
        <w:t xml:space="preserve"> </w:t>
      </w:r>
      <w:r w:rsidR="00E212A0" w:rsidRPr="007B43A9">
        <w:rPr>
          <w:rFonts w:ascii="Book Antiqua" w:eastAsia="Times New Roman" w:hAnsi="Book Antiqua" w:cs="Times New Roman"/>
          <w:color w:val="000000" w:themeColor="text1"/>
          <w:kern w:val="0"/>
        </w:rPr>
        <w:t>In the course of clinical drug treatment,</w:t>
      </w:r>
      <w:r w:rsidR="00E212A0" w:rsidRPr="007B43A9">
        <w:rPr>
          <w:rFonts w:ascii="Book Antiqua" w:hAnsi="Book Antiqua" w:cs="Times New Roman"/>
          <w:color w:val="000000" w:themeColor="text1"/>
        </w:rPr>
        <w:t xml:space="preserve"> </w:t>
      </w:r>
      <w:r w:rsidR="00E212A0" w:rsidRPr="007B43A9">
        <w:rPr>
          <w:rFonts w:ascii="Book Antiqua" w:eastAsia="Times New Roman" w:hAnsi="Book Antiqua" w:cs="Times New Roman"/>
          <w:color w:val="000000" w:themeColor="text1"/>
          <w:kern w:val="0"/>
        </w:rPr>
        <w:t>only by understanding the effects of antibacterial drugs on the osteogenic, cartilage, and adipogenic differentiation of bone marrow-derived MSCs and rationally selecting the antimicrobial drugs that are most beneficial for controlling infection as well as repairing local tissue according to the pathogens and infection sites involved, can effective treatment against infection with minimum damage to local tissue be achieved.</w:t>
      </w:r>
    </w:p>
    <w:p w14:paraId="4FEC64FD" w14:textId="77777777" w:rsidR="006F763C" w:rsidRPr="007B43A9" w:rsidRDefault="006F763C">
      <w:pPr>
        <w:widowControl/>
        <w:jc w:val="left"/>
        <w:rPr>
          <w:rFonts w:ascii="Book Antiqua" w:eastAsia="Times New Roman" w:hAnsi="Book Antiqua" w:cs="Times New Roman"/>
          <w:b/>
          <w:color w:val="000000" w:themeColor="text1"/>
          <w:kern w:val="0"/>
        </w:rPr>
      </w:pPr>
      <w:r w:rsidRPr="007B43A9">
        <w:rPr>
          <w:rFonts w:ascii="Book Antiqua" w:eastAsia="Times New Roman" w:hAnsi="Book Antiqua" w:cs="Times New Roman"/>
          <w:b/>
          <w:color w:val="000000" w:themeColor="text1"/>
          <w:kern w:val="0"/>
        </w:rPr>
        <w:br w:type="page"/>
      </w:r>
    </w:p>
    <w:p w14:paraId="12238318" w14:textId="284CF1EE" w:rsidR="00A44C4A" w:rsidRPr="007B43A9" w:rsidRDefault="006F763C" w:rsidP="00B66378">
      <w:pPr>
        <w:widowControl/>
        <w:tabs>
          <w:tab w:val="left" w:pos="1773"/>
        </w:tabs>
        <w:spacing w:line="360" w:lineRule="auto"/>
        <w:rPr>
          <w:rFonts w:ascii="Book Antiqua" w:hAnsi="Book Antiqua" w:cs="Times New Roman"/>
          <w:noProof/>
          <w:color w:val="000000" w:themeColor="text1"/>
        </w:rPr>
      </w:pPr>
      <w:r w:rsidRPr="007B43A9">
        <w:rPr>
          <w:rFonts w:ascii="Book Antiqua" w:eastAsia="Times New Roman" w:hAnsi="Book Antiqua" w:cs="Times New Roman"/>
          <w:b/>
          <w:color w:val="000000" w:themeColor="text1"/>
          <w:kern w:val="0"/>
        </w:rPr>
        <w:t>REFERENCE</w:t>
      </w:r>
      <w:r w:rsidRPr="007B43A9">
        <w:rPr>
          <w:rFonts w:ascii="Book Antiqua" w:hAnsi="Book Antiqua" w:cs="Times New Roman"/>
          <w:b/>
          <w:color w:val="000000" w:themeColor="text1"/>
          <w:kern w:val="0"/>
        </w:rPr>
        <w:t>S</w:t>
      </w:r>
    </w:p>
    <w:p w14:paraId="6B298FF9"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 </w:t>
      </w:r>
      <w:r w:rsidRPr="007B43A9">
        <w:rPr>
          <w:rFonts w:ascii="Book Antiqua" w:hAnsi="Book Antiqua"/>
          <w:b/>
          <w:color w:val="000000" w:themeColor="text1"/>
        </w:rPr>
        <w:t>Barker CI</w:t>
      </w:r>
      <w:r w:rsidRPr="007B43A9">
        <w:rPr>
          <w:rFonts w:ascii="Book Antiqua" w:hAnsi="Book Antiqua"/>
          <w:color w:val="000000" w:themeColor="text1"/>
        </w:rPr>
        <w:t xml:space="preserve">, Germovsek E, Sharland M. What do I need to know about penicillin antibiotics? </w:t>
      </w:r>
      <w:r w:rsidRPr="007B43A9">
        <w:rPr>
          <w:rFonts w:ascii="Book Antiqua" w:hAnsi="Book Antiqua"/>
          <w:i/>
          <w:color w:val="000000" w:themeColor="text1"/>
        </w:rPr>
        <w:t>Arch Dis Child Educ Pract Ed</w:t>
      </w:r>
      <w:r w:rsidRPr="007B43A9">
        <w:rPr>
          <w:rFonts w:ascii="Book Antiqua" w:hAnsi="Book Antiqua"/>
          <w:color w:val="000000" w:themeColor="text1"/>
        </w:rPr>
        <w:t xml:space="preserve"> 2017; </w:t>
      </w:r>
      <w:r w:rsidRPr="007B43A9">
        <w:rPr>
          <w:rFonts w:ascii="Book Antiqua" w:hAnsi="Book Antiqua"/>
          <w:b/>
          <w:color w:val="000000" w:themeColor="text1"/>
        </w:rPr>
        <w:t>102</w:t>
      </w:r>
      <w:r w:rsidRPr="007B43A9">
        <w:rPr>
          <w:rFonts w:ascii="Book Antiqua" w:hAnsi="Book Antiqua"/>
          <w:color w:val="000000" w:themeColor="text1"/>
        </w:rPr>
        <w:t>: 44-50 [PMID: 27412043 DOI: 10.1136/archdischild-2015-309068]</w:t>
      </w:r>
    </w:p>
    <w:p w14:paraId="34852AEF"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2 </w:t>
      </w:r>
      <w:r w:rsidRPr="007B43A9">
        <w:rPr>
          <w:rFonts w:ascii="Book Antiqua" w:hAnsi="Book Antiqua"/>
          <w:b/>
          <w:color w:val="000000" w:themeColor="text1"/>
        </w:rPr>
        <w:t>Rissing JP</w:t>
      </w:r>
      <w:r w:rsidRPr="007B43A9">
        <w:rPr>
          <w:rFonts w:ascii="Book Antiqua" w:hAnsi="Book Antiqua"/>
          <w:color w:val="000000" w:themeColor="text1"/>
        </w:rPr>
        <w:t xml:space="preserve">. Antimicrobial therapy for chronic osteomyelitis in adults: role of the quinolones. </w:t>
      </w:r>
      <w:r w:rsidRPr="007B43A9">
        <w:rPr>
          <w:rFonts w:ascii="Book Antiqua" w:hAnsi="Book Antiqua"/>
          <w:i/>
          <w:color w:val="000000" w:themeColor="text1"/>
        </w:rPr>
        <w:t>Clin Infect Dis</w:t>
      </w:r>
      <w:r w:rsidRPr="007B43A9">
        <w:rPr>
          <w:rFonts w:ascii="Book Antiqua" w:hAnsi="Book Antiqua"/>
          <w:color w:val="000000" w:themeColor="text1"/>
        </w:rPr>
        <w:t xml:space="preserve"> 1997; </w:t>
      </w:r>
      <w:r w:rsidRPr="007B43A9">
        <w:rPr>
          <w:rFonts w:ascii="Book Antiqua" w:hAnsi="Book Antiqua"/>
          <w:b/>
          <w:color w:val="000000" w:themeColor="text1"/>
        </w:rPr>
        <w:t>25</w:t>
      </w:r>
      <w:r w:rsidRPr="007B43A9">
        <w:rPr>
          <w:rFonts w:ascii="Book Antiqua" w:hAnsi="Book Antiqua"/>
          <w:color w:val="000000" w:themeColor="text1"/>
        </w:rPr>
        <w:t>: 1327-1333 [PMID: 9431371 DOI: 10.2307/4460225]</w:t>
      </w:r>
    </w:p>
    <w:p w14:paraId="73CCE6D1"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3 </w:t>
      </w:r>
      <w:r w:rsidRPr="007B43A9">
        <w:rPr>
          <w:rFonts w:ascii="Book Antiqua" w:hAnsi="Book Antiqua"/>
          <w:b/>
          <w:color w:val="000000" w:themeColor="text1"/>
        </w:rPr>
        <w:t>Chen R</w:t>
      </w:r>
      <w:r w:rsidRPr="007B43A9">
        <w:rPr>
          <w:rFonts w:ascii="Book Antiqua" w:hAnsi="Book Antiqua"/>
          <w:color w:val="000000" w:themeColor="text1"/>
        </w:rPr>
        <w:t xml:space="preserve">, Cole N, Dutta D, Kumar N, Willcox MDP. Antimicrobial activity of immobilized lactoferrin and lactoferricin. </w:t>
      </w:r>
      <w:r w:rsidRPr="007B43A9">
        <w:rPr>
          <w:rFonts w:ascii="Book Antiqua" w:hAnsi="Book Antiqua"/>
          <w:i/>
          <w:color w:val="000000" w:themeColor="text1"/>
        </w:rPr>
        <w:t>J Biomed Mater Res B Appl Biomater</w:t>
      </w:r>
      <w:r w:rsidRPr="007B43A9">
        <w:rPr>
          <w:rFonts w:ascii="Book Antiqua" w:hAnsi="Book Antiqua"/>
          <w:color w:val="000000" w:themeColor="text1"/>
        </w:rPr>
        <w:t xml:space="preserve"> 2017; </w:t>
      </w:r>
      <w:r w:rsidRPr="007B43A9">
        <w:rPr>
          <w:rFonts w:ascii="Book Antiqua" w:hAnsi="Book Antiqua"/>
          <w:b/>
          <w:color w:val="000000" w:themeColor="text1"/>
        </w:rPr>
        <w:t>105</w:t>
      </w:r>
      <w:r w:rsidRPr="007B43A9">
        <w:rPr>
          <w:rFonts w:ascii="Book Antiqua" w:hAnsi="Book Antiqua"/>
          <w:color w:val="000000" w:themeColor="text1"/>
        </w:rPr>
        <w:t>: 2612-2617 [PMID: 27758034 DOI: 10.1002/jbm.b.33804]</w:t>
      </w:r>
    </w:p>
    <w:p w14:paraId="16BFD185"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4 </w:t>
      </w:r>
      <w:r w:rsidRPr="007B43A9">
        <w:rPr>
          <w:rFonts w:ascii="Book Antiqua" w:hAnsi="Book Antiqua"/>
          <w:b/>
          <w:color w:val="000000" w:themeColor="text1"/>
        </w:rPr>
        <w:t>Bucki R</w:t>
      </w:r>
      <w:r w:rsidRPr="007B43A9">
        <w:rPr>
          <w:rFonts w:ascii="Book Antiqua" w:hAnsi="Book Antiqua"/>
          <w:color w:val="000000" w:themeColor="text1"/>
        </w:rPr>
        <w:t xml:space="preserve">, Leszczyńska K, Namiot A, Sokołowski W. Cathelicidin LL-37: a multitask antimicrobial peptide. </w:t>
      </w:r>
      <w:r w:rsidRPr="007B43A9">
        <w:rPr>
          <w:rFonts w:ascii="Book Antiqua" w:hAnsi="Book Antiqua"/>
          <w:i/>
          <w:color w:val="000000" w:themeColor="text1"/>
        </w:rPr>
        <w:t>Arch Immunol Ther Exp (Warsz)</w:t>
      </w:r>
      <w:r w:rsidRPr="007B43A9">
        <w:rPr>
          <w:rFonts w:ascii="Book Antiqua" w:hAnsi="Book Antiqua"/>
          <w:color w:val="000000" w:themeColor="text1"/>
        </w:rPr>
        <w:t xml:space="preserve"> 2010; </w:t>
      </w:r>
      <w:r w:rsidRPr="007B43A9">
        <w:rPr>
          <w:rFonts w:ascii="Book Antiqua" w:hAnsi="Book Antiqua"/>
          <w:b/>
          <w:color w:val="000000" w:themeColor="text1"/>
        </w:rPr>
        <w:t>58</w:t>
      </w:r>
      <w:r w:rsidRPr="007B43A9">
        <w:rPr>
          <w:rFonts w:ascii="Book Antiqua" w:hAnsi="Book Antiqua"/>
          <w:color w:val="000000" w:themeColor="text1"/>
        </w:rPr>
        <w:t>: 15-25 [PMID: 20049649 DOI: 10.1007/s00005-009-0057-2]</w:t>
      </w:r>
    </w:p>
    <w:p w14:paraId="57D59CE1"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5 </w:t>
      </w:r>
      <w:r w:rsidRPr="007B43A9">
        <w:rPr>
          <w:rFonts w:ascii="Book Antiqua" w:hAnsi="Book Antiqua"/>
          <w:b/>
          <w:color w:val="000000" w:themeColor="text1"/>
        </w:rPr>
        <w:t>Tomioka H</w:t>
      </w:r>
      <w:r w:rsidRPr="007B43A9">
        <w:rPr>
          <w:rFonts w:ascii="Book Antiqua" w:hAnsi="Book Antiqua"/>
          <w:color w:val="000000" w:themeColor="text1"/>
        </w:rPr>
        <w:t xml:space="preserve">. Usefulness of Chinese Herbal Medicines as Host-Directed Therapeutics against Mycobacterial Infections: A Review. </w:t>
      </w:r>
      <w:r w:rsidRPr="007B43A9">
        <w:rPr>
          <w:rFonts w:ascii="Book Antiqua" w:hAnsi="Book Antiqua"/>
          <w:i/>
          <w:color w:val="000000" w:themeColor="text1"/>
        </w:rPr>
        <w:t>Am J Chin Med</w:t>
      </w:r>
      <w:r w:rsidRPr="007B43A9">
        <w:rPr>
          <w:rFonts w:ascii="Book Antiqua" w:hAnsi="Book Antiqua"/>
          <w:color w:val="000000" w:themeColor="text1"/>
        </w:rPr>
        <w:t xml:space="preserve"> 2017; </w:t>
      </w:r>
      <w:r w:rsidRPr="007B43A9">
        <w:rPr>
          <w:rFonts w:ascii="Book Antiqua" w:hAnsi="Book Antiqua"/>
          <w:b/>
          <w:color w:val="000000" w:themeColor="text1"/>
        </w:rPr>
        <w:t>45</w:t>
      </w:r>
      <w:r w:rsidRPr="007B43A9">
        <w:rPr>
          <w:rFonts w:ascii="Book Antiqua" w:hAnsi="Book Antiqua"/>
          <w:color w:val="000000" w:themeColor="text1"/>
        </w:rPr>
        <w:t>: 1597-1611 [PMID: 29121801 DOI: 10.1142/S0192415X17500860]</w:t>
      </w:r>
    </w:p>
    <w:p w14:paraId="38F03B1B"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6 </w:t>
      </w:r>
      <w:r w:rsidRPr="007B43A9">
        <w:rPr>
          <w:rFonts w:ascii="Book Antiqua" w:hAnsi="Book Antiqua"/>
          <w:b/>
          <w:color w:val="000000" w:themeColor="text1"/>
        </w:rPr>
        <w:t>Ma H</w:t>
      </w:r>
      <w:r w:rsidRPr="007B43A9">
        <w:rPr>
          <w:rFonts w:ascii="Book Antiqua" w:hAnsi="Book Antiqua"/>
          <w:color w:val="000000" w:themeColor="text1"/>
        </w:rPr>
        <w:t xml:space="preserve">, Lv G, Wang B. Does surgery influence the outcome of Aspergillus osteomyelitis? </w:t>
      </w:r>
      <w:r w:rsidRPr="007B43A9">
        <w:rPr>
          <w:rFonts w:ascii="Book Antiqua" w:hAnsi="Book Antiqua"/>
          <w:i/>
          <w:color w:val="000000" w:themeColor="text1"/>
        </w:rPr>
        <w:t>Clin Microbiol Infect</w:t>
      </w:r>
      <w:r w:rsidRPr="007B43A9">
        <w:rPr>
          <w:rFonts w:ascii="Book Antiqua" w:hAnsi="Book Antiqua"/>
          <w:color w:val="000000" w:themeColor="text1"/>
        </w:rPr>
        <w:t xml:space="preserve"> 2014; </w:t>
      </w:r>
      <w:r w:rsidRPr="007B43A9">
        <w:rPr>
          <w:rFonts w:ascii="Book Antiqua" w:hAnsi="Book Antiqua"/>
          <w:b/>
          <w:color w:val="000000" w:themeColor="text1"/>
        </w:rPr>
        <w:t>20</w:t>
      </w:r>
      <w:r w:rsidRPr="007B43A9">
        <w:rPr>
          <w:rFonts w:ascii="Book Antiqua" w:hAnsi="Book Antiqua"/>
          <w:color w:val="000000" w:themeColor="text1"/>
        </w:rPr>
        <w:t>: O788 [PMID: 24666933 DOI: 10.1111/1469-0691.12588]</w:t>
      </w:r>
    </w:p>
    <w:p w14:paraId="73184CB4"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7 </w:t>
      </w:r>
      <w:r w:rsidRPr="007B43A9">
        <w:rPr>
          <w:rFonts w:ascii="Book Antiqua" w:hAnsi="Book Antiqua"/>
          <w:b/>
          <w:color w:val="000000" w:themeColor="text1"/>
        </w:rPr>
        <w:t>Mirabet V</w:t>
      </w:r>
      <w:r w:rsidRPr="007B43A9">
        <w:rPr>
          <w:rFonts w:ascii="Book Antiqua" w:hAnsi="Book Antiqua"/>
          <w:color w:val="000000" w:themeColor="text1"/>
        </w:rPr>
        <w:t xml:space="preserve">, Álvarez M, Luis-Hidalgo M, Galán J, Puig N, Larrea L, Arbona C. Detection of hepatitis B virus in bone allografts from donors with occult hepatitis B infection. </w:t>
      </w:r>
      <w:r w:rsidRPr="007B43A9">
        <w:rPr>
          <w:rFonts w:ascii="Book Antiqua" w:hAnsi="Book Antiqua"/>
          <w:i/>
          <w:color w:val="000000" w:themeColor="text1"/>
        </w:rPr>
        <w:t>Cell Tissue Bank</w:t>
      </w:r>
      <w:r w:rsidRPr="007B43A9">
        <w:rPr>
          <w:rFonts w:ascii="Book Antiqua" w:hAnsi="Book Antiqua"/>
          <w:color w:val="000000" w:themeColor="text1"/>
        </w:rPr>
        <w:t xml:space="preserve"> 2017; </w:t>
      </w:r>
      <w:r w:rsidRPr="007B43A9">
        <w:rPr>
          <w:rFonts w:ascii="Book Antiqua" w:hAnsi="Book Antiqua"/>
          <w:b/>
          <w:color w:val="000000" w:themeColor="text1"/>
        </w:rPr>
        <w:t>18</w:t>
      </w:r>
      <w:r w:rsidRPr="007B43A9">
        <w:rPr>
          <w:rFonts w:ascii="Book Antiqua" w:hAnsi="Book Antiqua"/>
          <w:color w:val="000000" w:themeColor="text1"/>
        </w:rPr>
        <w:t>: 335-341 [PMID: 28748417 DOI: 10.1007/s10561-017-9644-3]</w:t>
      </w:r>
    </w:p>
    <w:p w14:paraId="064383B0"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8 </w:t>
      </w:r>
      <w:r w:rsidRPr="007B43A9">
        <w:rPr>
          <w:rFonts w:ascii="Book Antiqua" w:hAnsi="Book Antiqua"/>
          <w:b/>
          <w:color w:val="000000" w:themeColor="text1"/>
        </w:rPr>
        <w:t>Chakraborty PP</w:t>
      </w:r>
      <w:r w:rsidRPr="007B43A9">
        <w:rPr>
          <w:rFonts w:ascii="Book Antiqua" w:hAnsi="Book Antiqua"/>
          <w:color w:val="000000" w:themeColor="text1"/>
        </w:rPr>
        <w:t xml:space="preserve">, Roy A, Bhattacharjee R, Mukhopadhyay S, Chowdhury S. Reversible Secondary Osteolysis in Diabetic Foot Infection. </w:t>
      </w:r>
      <w:r w:rsidRPr="007B43A9">
        <w:rPr>
          <w:rFonts w:ascii="Book Antiqua" w:hAnsi="Book Antiqua"/>
          <w:i/>
          <w:color w:val="000000" w:themeColor="text1"/>
        </w:rPr>
        <w:t>J Am Podiatr Med Assoc</w:t>
      </w:r>
      <w:r w:rsidRPr="007B43A9">
        <w:rPr>
          <w:rFonts w:ascii="Book Antiqua" w:hAnsi="Book Antiqua"/>
          <w:color w:val="000000" w:themeColor="text1"/>
        </w:rPr>
        <w:t xml:space="preserve"> 2017; </w:t>
      </w:r>
      <w:r w:rsidRPr="007B43A9">
        <w:rPr>
          <w:rFonts w:ascii="Book Antiqua" w:hAnsi="Book Antiqua"/>
          <w:b/>
          <w:color w:val="000000" w:themeColor="text1"/>
        </w:rPr>
        <w:t>107</w:t>
      </w:r>
      <w:r w:rsidRPr="007B43A9">
        <w:rPr>
          <w:rFonts w:ascii="Book Antiqua" w:hAnsi="Book Antiqua"/>
          <w:color w:val="000000" w:themeColor="text1"/>
        </w:rPr>
        <w:t>: 538-540 [PMID: 29252019 DOI: 10.7547/16-004]</w:t>
      </w:r>
    </w:p>
    <w:p w14:paraId="671FB8CC"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9 </w:t>
      </w:r>
      <w:r w:rsidRPr="007B43A9">
        <w:rPr>
          <w:rFonts w:ascii="Book Antiqua" w:hAnsi="Book Antiqua"/>
          <w:b/>
          <w:color w:val="000000" w:themeColor="text1"/>
        </w:rPr>
        <w:t>Wu H</w:t>
      </w:r>
      <w:r w:rsidRPr="007B43A9">
        <w:rPr>
          <w:rFonts w:ascii="Book Antiqua" w:hAnsi="Book Antiqua"/>
          <w:color w:val="000000" w:themeColor="text1"/>
        </w:rPr>
        <w:t xml:space="preserve">, Hu B, Zhou X, Zhou C, Meng J, Yang Y, Zhao X, Shi Z, Yan S. Artemether attenuates LPS-induced inflammatory bone loss by inhibiting osteoclastogenesis and bone resorption via suppression of MAPK signaling pathway. </w:t>
      </w:r>
      <w:r w:rsidRPr="007B43A9">
        <w:rPr>
          <w:rFonts w:ascii="Book Antiqua" w:hAnsi="Book Antiqua"/>
          <w:i/>
          <w:color w:val="000000" w:themeColor="text1"/>
        </w:rPr>
        <w:t>Cell Death Dis</w:t>
      </w:r>
      <w:r w:rsidRPr="007B43A9">
        <w:rPr>
          <w:rFonts w:ascii="Book Antiqua" w:hAnsi="Book Antiqua"/>
          <w:color w:val="000000" w:themeColor="text1"/>
        </w:rPr>
        <w:t xml:space="preserve"> 2018; </w:t>
      </w:r>
      <w:r w:rsidRPr="007B43A9">
        <w:rPr>
          <w:rFonts w:ascii="Book Antiqua" w:hAnsi="Book Antiqua"/>
          <w:b/>
          <w:color w:val="000000" w:themeColor="text1"/>
        </w:rPr>
        <w:t>9</w:t>
      </w:r>
      <w:r w:rsidRPr="007B43A9">
        <w:rPr>
          <w:rFonts w:ascii="Book Antiqua" w:hAnsi="Book Antiqua"/>
          <w:color w:val="000000" w:themeColor="text1"/>
        </w:rPr>
        <w:t>: 498 [PMID: 29703893 DOI: 10.1038/s41419-018-0540-y]</w:t>
      </w:r>
    </w:p>
    <w:p w14:paraId="47015D59"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10 </w:t>
      </w:r>
      <w:r w:rsidRPr="007B43A9">
        <w:rPr>
          <w:rFonts w:ascii="Book Antiqua" w:hAnsi="Book Antiqua"/>
          <w:b/>
          <w:color w:val="000000" w:themeColor="text1"/>
        </w:rPr>
        <w:t>Yin H</w:t>
      </w:r>
      <w:r w:rsidRPr="007B43A9">
        <w:rPr>
          <w:rFonts w:ascii="Book Antiqua" w:hAnsi="Book Antiqua"/>
          <w:color w:val="000000" w:themeColor="text1"/>
        </w:rPr>
        <w:t xml:space="preserve">, Wang Y, Sun Z, Sun X, Xu Y, Li P, Meng H, Yu X, Xiao B, Fan T, Wang Y, Xu W, Wang A, Guo Q, Peng J, Lu S. Induction of mesenchymal stem cell chondrogenic differentiation and functional cartilage microtissue formation for in vivo cartilage regeneration by cartilage extracellular matrix-derived particles. </w:t>
      </w:r>
      <w:r w:rsidRPr="007B43A9">
        <w:rPr>
          <w:rFonts w:ascii="Book Antiqua" w:hAnsi="Book Antiqua"/>
          <w:i/>
          <w:color w:val="000000" w:themeColor="text1"/>
        </w:rPr>
        <w:t>Acta Biomater</w:t>
      </w:r>
      <w:r w:rsidRPr="007B43A9">
        <w:rPr>
          <w:rFonts w:ascii="Book Antiqua" w:hAnsi="Book Antiqua"/>
          <w:color w:val="000000" w:themeColor="text1"/>
        </w:rPr>
        <w:t xml:space="preserve"> 2016; </w:t>
      </w:r>
      <w:r w:rsidRPr="007B43A9">
        <w:rPr>
          <w:rFonts w:ascii="Book Antiqua" w:hAnsi="Book Antiqua"/>
          <w:b/>
          <w:color w:val="000000" w:themeColor="text1"/>
        </w:rPr>
        <w:t>33</w:t>
      </w:r>
      <w:r w:rsidRPr="007B43A9">
        <w:rPr>
          <w:rFonts w:ascii="Book Antiqua" w:hAnsi="Book Antiqua"/>
          <w:color w:val="000000" w:themeColor="text1"/>
        </w:rPr>
        <w:t>: 96-109 [PMID: 26802442 DOI: 10.1016/j.actbio.2016.01.024]</w:t>
      </w:r>
    </w:p>
    <w:p w14:paraId="1A67071C"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11 </w:t>
      </w:r>
      <w:r w:rsidRPr="007B43A9">
        <w:rPr>
          <w:rFonts w:ascii="Book Antiqua" w:hAnsi="Book Antiqua"/>
          <w:b/>
          <w:color w:val="000000" w:themeColor="text1"/>
        </w:rPr>
        <w:t>Dominici M</w:t>
      </w:r>
      <w:r w:rsidRPr="007B43A9">
        <w:rPr>
          <w:rFonts w:ascii="Book Antiqua" w:hAnsi="Book Antiqua"/>
          <w:color w:val="000000" w:themeColor="text1"/>
        </w:rPr>
        <w:t xml:space="preserve">, Le Blanc K, Mueller I, Slaper-Cortenbach I, Marini F, Krause D, Deans R, Keating A, Prockop Dj, Horwitz E. Minimal criteria for defining multipotent mesenchymal stromal cells. The International Society for Cellular Therapy position statement. </w:t>
      </w:r>
      <w:r w:rsidRPr="007B43A9">
        <w:rPr>
          <w:rFonts w:ascii="Book Antiqua" w:hAnsi="Book Antiqua"/>
          <w:i/>
          <w:color w:val="000000" w:themeColor="text1"/>
        </w:rPr>
        <w:t>Cytotherapy</w:t>
      </w:r>
      <w:r w:rsidRPr="007B43A9">
        <w:rPr>
          <w:rFonts w:ascii="Book Antiqua" w:hAnsi="Book Antiqua"/>
          <w:color w:val="000000" w:themeColor="text1"/>
        </w:rPr>
        <w:t xml:space="preserve"> 2006; </w:t>
      </w:r>
      <w:r w:rsidRPr="007B43A9">
        <w:rPr>
          <w:rFonts w:ascii="Book Antiqua" w:hAnsi="Book Antiqua"/>
          <w:b/>
          <w:color w:val="000000" w:themeColor="text1"/>
        </w:rPr>
        <w:t>8</w:t>
      </w:r>
      <w:r w:rsidRPr="007B43A9">
        <w:rPr>
          <w:rFonts w:ascii="Book Antiqua" w:hAnsi="Book Antiqua"/>
          <w:color w:val="000000" w:themeColor="text1"/>
        </w:rPr>
        <w:t>: 315-317 [PMID: 16923606 DOI: 10.1080/14653240600855905]</w:t>
      </w:r>
    </w:p>
    <w:p w14:paraId="7D888699"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12 </w:t>
      </w:r>
      <w:r w:rsidRPr="007B43A9">
        <w:rPr>
          <w:rFonts w:ascii="Book Antiqua" w:hAnsi="Book Antiqua"/>
          <w:b/>
          <w:color w:val="000000" w:themeColor="text1"/>
        </w:rPr>
        <w:t>Kärner E</w:t>
      </w:r>
      <w:r w:rsidRPr="007B43A9">
        <w:rPr>
          <w:rFonts w:ascii="Book Antiqua" w:hAnsi="Book Antiqua"/>
          <w:color w:val="000000" w:themeColor="text1"/>
        </w:rPr>
        <w:t xml:space="preserve">, Bäckesjö CM, Cedervall J, Sugars RV, Ahrlund-Richter L, Wendel M. Dynamics of gene expression during bone matrix formation in osteogenic cultures derived from human embryonic stem cells in vitro. </w:t>
      </w:r>
      <w:r w:rsidRPr="007B43A9">
        <w:rPr>
          <w:rFonts w:ascii="Book Antiqua" w:hAnsi="Book Antiqua"/>
          <w:i/>
          <w:color w:val="000000" w:themeColor="text1"/>
        </w:rPr>
        <w:t>Biochim Biophys Acta</w:t>
      </w:r>
      <w:r w:rsidRPr="007B43A9">
        <w:rPr>
          <w:rFonts w:ascii="Book Antiqua" w:hAnsi="Book Antiqua"/>
          <w:color w:val="000000" w:themeColor="text1"/>
        </w:rPr>
        <w:t xml:space="preserve"> 2009; </w:t>
      </w:r>
      <w:r w:rsidRPr="007B43A9">
        <w:rPr>
          <w:rFonts w:ascii="Book Antiqua" w:hAnsi="Book Antiqua"/>
          <w:b/>
          <w:color w:val="000000" w:themeColor="text1"/>
        </w:rPr>
        <w:t>1790</w:t>
      </w:r>
      <w:r w:rsidRPr="007B43A9">
        <w:rPr>
          <w:rFonts w:ascii="Book Antiqua" w:hAnsi="Book Antiqua"/>
          <w:color w:val="000000" w:themeColor="text1"/>
        </w:rPr>
        <w:t>: 110-118 [PMID: 19007861 DOI: 10.1016/j.bbagen.2008.10.004]</w:t>
      </w:r>
    </w:p>
    <w:p w14:paraId="79A09C15"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13 </w:t>
      </w:r>
      <w:r w:rsidRPr="007B43A9">
        <w:rPr>
          <w:rFonts w:ascii="Book Antiqua" w:hAnsi="Book Antiqua"/>
          <w:b/>
          <w:color w:val="000000" w:themeColor="text1"/>
        </w:rPr>
        <w:t>Chen D</w:t>
      </w:r>
      <w:r w:rsidRPr="007B43A9">
        <w:rPr>
          <w:rFonts w:ascii="Book Antiqua" w:hAnsi="Book Antiqua"/>
          <w:color w:val="000000" w:themeColor="text1"/>
        </w:rPr>
        <w:t xml:space="preserve">, Shen H, He Y, Chen Y, Wang Q, Lu J, Jiang Y. Synergetic effects of hBMSCs and hPCs in osteogenic differentiation and their capacity in the repair of critical-sized femoral condyle defects. </w:t>
      </w:r>
      <w:r w:rsidRPr="007B43A9">
        <w:rPr>
          <w:rFonts w:ascii="Book Antiqua" w:hAnsi="Book Antiqua"/>
          <w:i/>
          <w:color w:val="000000" w:themeColor="text1"/>
        </w:rPr>
        <w:t>Mol Med Rep</w:t>
      </w:r>
      <w:r w:rsidRPr="007B43A9">
        <w:rPr>
          <w:rFonts w:ascii="Book Antiqua" w:hAnsi="Book Antiqua"/>
          <w:color w:val="000000" w:themeColor="text1"/>
        </w:rPr>
        <w:t xml:space="preserve"> 2015; </w:t>
      </w:r>
      <w:r w:rsidRPr="007B43A9">
        <w:rPr>
          <w:rFonts w:ascii="Book Antiqua" w:hAnsi="Book Antiqua"/>
          <w:b/>
          <w:color w:val="000000" w:themeColor="text1"/>
        </w:rPr>
        <w:t>11</w:t>
      </w:r>
      <w:r w:rsidRPr="007B43A9">
        <w:rPr>
          <w:rFonts w:ascii="Book Antiqua" w:hAnsi="Book Antiqua"/>
          <w:color w:val="000000" w:themeColor="text1"/>
        </w:rPr>
        <w:t>: 1111-1119 [PMID: 25373389 DOI: 10.3892/mmr.2014.2883]</w:t>
      </w:r>
    </w:p>
    <w:p w14:paraId="2190BF40"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14 </w:t>
      </w:r>
      <w:r w:rsidRPr="007B43A9">
        <w:rPr>
          <w:rFonts w:ascii="Book Antiqua" w:hAnsi="Book Antiqua"/>
          <w:b/>
          <w:color w:val="000000" w:themeColor="text1"/>
        </w:rPr>
        <w:t>Rathbone CR</w:t>
      </w:r>
      <w:r w:rsidRPr="007B43A9">
        <w:rPr>
          <w:rFonts w:ascii="Book Antiqua" w:hAnsi="Book Antiqua"/>
          <w:color w:val="000000" w:themeColor="text1"/>
        </w:rPr>
        <w:t xml:space="preserve">, Cross JD, Brown KV, Murray CK, Wenke JC. Effect of various concentrations of antibiotics on osteogenic cell viability and activity. </w:t>
      </w:r>
      <w:r w:rsidRPr="007B43A9">
        <w:rPr>
          <w:rFonts w:ascii="Book Antiqua" w:hAnsi="Book Antiqua"/>
          <w:i/>
          <w:color w:val="000000" w:themeColor="text1"/>
        </w:rPr>
        <w:t>J Orthop Res</w:t>
      </w:r>
      <w:r w:rsidRPr="007B43A9">
        <w:rPr>
          <w:rFonts w:ascii="Book Antiqua" w:hAnsi="Book Antiqua"/>
          <w:color w:val="000000" w:themeColor="text1"/>
        </w:rPr>
        <w:t xml:space="preserve"> 2011; </w:t>
      </w:r>
      <w:r w:rsidRPr="007B43A9">
        <w:rPr>
          <w:rFonts w:ascii="Book Antiqua" w:hAnsi="Book Antiqua"/>
          <w:b/>
          <w:color w:val="000000" w:themeColor="text1"/>
        </w:rPr>
        <w:t>29</w:t>
      </w:r>
      <w:r w:rsidRPr="007B43A9">
        <w:rPr>
          <w:rFonts w:ascii="Book Antiqua" w:hAnsi="Book Antiqua"/>
          <w:color w:val="000000" w:themeColor="text1"/>
        </w:rPr>
        <w:t>: 1070-1074 [PMID: 21567453 DOI: 10.1002/jor.21343]</w:t>
      </w:r>
    </w:p>
    <w:p w14:paraId="4905CA33"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15 </w:t>
      </w:r>
      <w:r w:rsidRPr="007B43A9">
        <w:rPr>
          <w:rFonts w:ascii="Book Antiqua" w:hAnsi="Book Antiqua"/>
          <w:b/>
          <w:color w:val="000000" w:themeColor="text1"/>
        </w:rPr>
        <w:t>Zhang Z</w:t>
      </w:r>
      <w:r w:rsidRPr="007B43A9">
        <w:rPr>
          <w:rFonts w:ascii="Book Antiqua" w:hAnsi="Book Antiqua"/>
          <w:color w:val="000000" w:themeColor="text1"/>
        </w:rPr>
        <w:t xml:space="preserve">, Wang X, Luo F, Yang H, Hou T, Zhou Q, Dai F, He Q, Xu J. Effects of rifampicin on osteogenic differentiation and proliferation of human mesenchymal stem cells in the bone marrow. </w:t>
      </w:r>
      <w:r w:rsidRPr="007B43A9">
        <w:rPr>
          <w:rFonts w:ascii="Book Antiqua" w:hAnsi="Book Antiqua"/>
          <w:i/>
          <w:color w:val="000000" w:themeColor="text1"/>
        </w:rPr>
        <w:t>Genet Mol Res</w:t>
      </w:r>
      <w:r w:rsidRPr="007B43A9">
        <w:rPr>
          <w:rFonts w:ascii="Book Antiqua" w:hAnsi="Book Antiqua"/>
          <w:color w:val="000000" w:themeColor="text1"/>
        </w:rPr>
        <w:t xml:space="preserve"> 2014; </w:t>
      </w:r>
      <w:r w:rsidRPr="007B43A9">
        <w:rPr>
          <w:rFonts w:ascii="Book Antiqua" w:hAnsi="Book Antiqua"/>
          <w:b/>
          <w:color w:val="000000" w:themeColor="text1"/>
        </w:rPr>
        <w:t>13</w:t>
      </w:r>
      <w:r w:rsidRPr="007B43A9">
        <w:rPr>
          <w:rFonts w:ascii="Book Antiqua" w:hAnsi="Book Antiqua"/>
          <w:color w:val="000000" w:themeColor="text1"/>
        </w:rPr>
        <w:t>: 6398-6410 [PMID: 25158258 DOI: 10.4238/2014.August.25.3]</w:t>
      </w:r>
    </w:p>
    <w:p w14:paraId="7E2AD918"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16 </w:t>
      </w:r>
      <w:r w:rsidRPr="007B43A9">
        <w:rPr>
          <w:rFonts w:ascii="Book Antiqua" w:hAnsi="Book Antiqua"/>
          <w:b/>
          <w:color w:val="000000" w:themeColor="text1"/>
        </w:rPr>
        <w:t>Pountos I</w:t>
      </w:r>
      <w:r w:rsidRPr="007B43A9">
        <w:rPr>
          <w:rFonts w:ascii="Book Antiqua" w:hAnsi="Book Antiqua"/>
          <w:color w:val="000000" w:themeColor="text1"/>
        </w:rPr>
        <w:t xml:space="preserve">, Georgouli T, Henshaw K, Howard B, Giannoudis PV. Mesenchymal Stem Cell physiology can be affected by antibiotics: An in vitro study. </w:t>
      </w:r>
      <w:r w:rsidRPr="007B43A9">
        <w:rPr>
          <w:rFonts w:ascii="Book Antiqua" w:hAnsi="Book Antiqua"/>
          <w:i/>
          <w:color w:val="000000" w:themeColor="text1"/>
        </w:rPr>
        <w:t>Cell Mol Biol (Noisy-le-grand)</w:t>
      </w:r>
      <w:r w:rsidRPr="007B43A9">
        <w:rPr>
          <w:rFonts w:ascii="Book Antiqua" w:hAnsi="Book Antiqua"/>
          <w:color w:val="000000" w:themeColor="text1"/>
        </w:rPr>
        <w:t xml:space="preserve"> 2014; </w:t>
      </w:r>
      <w:r w:rsidRPr="007B43A9">
        <w:rPr>
          <w:rFonts w:ascii="Book Antiqua" w:hAnsi="Book Antiqua"/>
          <w:b/>
          <w:color w:val="000000" w:themeColor="text1"/>
        </w:rPr>
        <w:t>60</w:t>
      </w:r>
      <w:r w:rsidRPr="007B43A9">
        <w:rPr>
          <w:rFonts w:ascii="Book Antiqua" w:hAnsi="Book Antiqua"/>
          <w:color w:val="000000" w:themeColor="text1"/>
        </w:rPr>
        <w:t>: 1-7 [PMID: 25350512]</w:t>
      </w:r>
    </w:p>
    <w:p w14:paraId="4CD7745D"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17 </w:t>
      </w:r>
      <w:r w:rsidRPr="007B43A9">
        <w:rPr>
          <w:rFonts w:ascii="Book Antiqua" w:hAnsi="Book Antiqua"/>
          <w:b/>
          <w:color w:val="000000" w:themeColor="text1"/>
        </w:rPr>
        <w:t>Chang Y</w:t>
      </w:r>
      <w:r w:rsidRPr="007B43A9">
        <w:rPr>
          <w:rFonts w:ascii="Book Antiqua" w:hAnsi="Book Antiqua"/>
          <w:color w:val="000000" w:themeColor="text1"/>
        </w:rPr>
        <w:t xml:space="preserve">, Goldberg VM, Caplan AI. Toxic effects of gentamicin on marrow-derived human mesenchymal stem cells. </w:t>
      </w:r>
      <w:r w:rsidRPr="007B43A9">
        <w:rPr>
          <w:rFonts w:ascii="Book Antiqua" w:hAnsi="Book Antiqua"/>
          <w:i/>
          <w:color w:val="000000" w:themeColor="text1"/>
        </w:rPr>
        <w:t>Clin Orthop Relat Res</w:t>
      </w:r>
      <w:r w:rsidRPr="007B43A9">
        <w:rPr>
          <w:rFonts w:ascii="Book Antiqua" w:hAnsi="Book Antiqua"/>
          <w:color w:val="000000" w:themeColor="text1"/>
        </w:rPr>
        <w:t xml:space="preserve"> 2006; </w:t>
      </w:r>
      <w:r w:rsidRPr="007B43A9">
        <w:rPr>
          <w:rFonts w:ascii="Book Antiqua" w:hAnsi="Book Antiqua"/>
          <w:b/>
          <w:color w:val="000000" w:themeColor="text1"/>
        </w:rPr>
        <w:t>452</w:t>
      </w:r>
      <w:r w:rsidRPr="007B43A9">
        <w:rPr>
          <w:rFonts w:ascii="Book Antiqua" w:hAnsi="Book Antiqua"/>
          <w:color w:val="000000" w:themeColor="text1"/>
        </w:rPr>
        <w:t>: 242-249 [PMID: 16906089 DOI: 10.1097/01.blo.0000229324.75911.c7]</w:t>
      </w:r>
    </w:p>
    <w:p w14:paraId="0097FD5D"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18 </w:t>
      </w:r>
      <w:r w:rsidRPr="007B43A9">
        <w:rPr>
          <w:rFonts w:ascii="Book Antiqua" w:hAnsi="Book Antiqua"/>
          <w:b/>
          <w:color w:val="000000" w:themeColor="text1"/>
        </w:rPr>
        <w:t>Ince A</w:t>
      </w:r>
      <w:r w:rsidRPr="007B43A9">
        <w:rPr>
          <w:rFonts w:ascii="Book Antiqua" w:hAnsi="Book Antiqua"/>
          <w:color w:val="000000" w:themeColor="text1"/>
        </w:rPr>
        <w:t xml:space="preserve">, Schütze N, Karl N, Löhr JF, Eulert J. Gentamicin negatively influenced osteogenic function in vitro. </w:t>
      </w:r>
      <w:r w:rsidRPr="007B43A9">
        <w:rPr>
          <w:rFonts w:ascii="Book Antiqua" w:hAnsi="Book Antiqua"/>
          <w:i/>
          <w:color w:val="000000" w:themeColor="text1"/>
        </w:rPr>
        <w:t>Int Orthop</w:t>
      </w:r>
      <w:r w:rsidRPr="007B43A9">
        <w:rPr>
          <w:rFonts w:ascii="Book Antiqua" w:hAnsi="Book Antiqua"/>
          <w:color w:val="000000" w:themeColor="text1"/>
        </w:rPr>
        <w:t xml:space="preserve"> 2007; </w:t>
      </w:r>
      <w:r w:rsidRPr="007B43A9">
        <w:rPr>
          <w:rFonts w:ascii="Book Antiqua" w:hAnsi="Book Antiqua"/>
          <w:b/>
          <w:color w:val="000000" w:themeColor="text1"/>
        </w:rPr>
        <w:t>31</w:t>
      </w:r>
      <w:r w:rsidRPr="007B43A9">
        <w:rPr>
          <w:rFonts w:ascii="Book Antiqua" w:hAnsi="Book Antiqua"/>
          <w:color w:val="000000" w:themeColor="text1"/>
        </w:rPr>
        <w:t>: 223-228 [PMID: 16710734 DOI: 10.1007/s00264-006-0144-5]</w:t>
      </w:r>
    </w:p>
    <w:p w14:paraId="61DF89A3"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19 </w:t>
      </w:r>
      <w:r w:rsidRPr="007B43A9">
        <w:rPr>
          <w:rFonts w:ascii="Book Antiqua" w:hAnsi="Book Antiqua"/>
          <w:b/>
          <w:color w:val="000000" w:themeColor="text1"/>
        </w:rPr>
        <w:t>Martin B</w:t>
      </w:r>
      <w:r w:rsidRPr="007B43A9">
        <w:rPr>
          <w:rFonts w:ascii="Book Antiqua" w:hAnsi="Book Antiqua"/>
          <w:color w:val="000000" w:themeColor="text1"/>
        </w:rPr>
        <w:t xml:space="preserve">, Tucci MA, Benghuzzi HA. In vitro evaluation of the effects of tobramycin and parathyroid hormone on mesenchymal stem cells. </w:t>
      </w:r>
      <w:r w:rsidRPr="007B43A9">
        <w:rPr>
          <w:rFonts w:ascii="Book Antiqua" w:hAnsi="Book Antiqua"/>
          <w:i/>
          <w:color w:val="000000" w:themeColor="text1"/>
        </w:rPr>
        <w:t>Biomed Sci Instrum</w:t>
      </w:r>
      <w:r w:rsidRPr="007B43A9">
        <w:rPr>
          <w:rFonts w:ascii="Book Antiqua" w:hAnsi="Book Antiqua"/>
          <w:color w:val="000000" w:themeColor="text1"/>
        </w:rPr>
        <w:t xml:space="preserve"> 2014; </w:t>
      </w:r>
      <w:r w:rsidRPr="007B43A9">
        <w:rPr>
          <w:rFonts w:ascii="Book Antiqua" w:hAnsi="Book Antiqua"/>
          <w:b/>
          <w:color w:val="000000" w:themeColor="text1"/>
        </w:rPr>
        <w:t>50</w:t>
      </w:r>
      <w:r w:rsidRPr="007B43A9">
        <w:rPr>
          <w:rFonts w:ascii="Book Antiqua" w:hAnsi="Book Antiqua"/>
          <w:color w:val="000000" w:themeColor="text1"/>
        </w:rPr>
        <w:t>: 383-390 [PMID: 25405448 DOI: 10.5923/c.jce.201402.26]</w:t>
      </w:r>
    </w:p>
    <w:p w14:paraId="57B01C8A"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20 </w:t>
      </w:r>
      <w:r w:rsidRPr="007B43A9">
        <w:rPr>
          <w:rFonts w:ascii="Book Antiqua" w:hAnsi="Book Antiqua"/>
          <w:b/>
          <w:color w:val="000000" w:themeColor="text1"/>
        </w:rPr>
        <w:t>Glatt V</w:t>
      </w:r>
      <w:r w:rsidRPr="007B43A9">
        <w:rPr>
          <w:rFonts w:ascii="Book Antiqua" w:hAnsi="Book Antiqua"/>
          <w:color w:val="000000" w:themeColor="text1"/>
        </w:rPr>
        <w:t xml:space="preserve">, Kwong FN, Park K, Parry N, Griffin D, Vrahas M, Evans CH, Harris M. Ability of recombinant human bone morphogenetic protein 2 to enhance bone healing in the presence of tobramycin: evaluation in a rat segmental defect model. </w:t>
      </w:r>
      <w:r w:rsidRPr="007B43A9">
        <w:rPr>
          <w:rFonts w:ascii="Book Antiqua" w:hAnsi="Book Antiqua"/>
          <w:i/>
          <w:color w:val="000000" w:themeColor="text1"/>
        </w:rPr>
        <w:t>J Orthop Trauma</w:t>
      </w:r>
      <w:r w:rsidRPr="007B43A9">
        <w:rPr>
          <w:rFonts w:ascii="Book Antiqua" w:hAnsi="Book Antiqua"/>
          <w:color w:val="000000" w:themeColor="text1"/>
        </w:rPr>
        <w:t xml:space="preserve"> 2009; </w:t>
      </w:r>
      <w:r w:rsidRPr="007B43A9">
        <w:rPr>
          <w:rFonts w:ascii="Book Antiqua" w:hAnsi="Book Antiqua"/>
          <w:b/>
          <w:color w:val="000000" w:themeColor="text1"/>
        </w:rPr>
        <w:t>23</w:t>
      </w:r>
      <w:r w:rsidRPr="007B43A9">
        <w:rPr>
          <w:rFonts w:ascii="Book Antiqua" w:hAnsi="Book Antiqua"/>
          <w:color w:val="000000" w:themeColor="text1"/>
        </w:rPr>
        <w:t>: 693-701 [PMID: 19858977 DOI: 10.1097/BOT.0b013e3181b01b2f]</w:t>
      </w:r>
    </w:p>
    <w:p w14:paraId="1A43B5C6"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21 </w:t>
      </w:r>
      <w:r w:rsidRPr="007B43A9">
        <w:rPr>
          <w:rFonts w:ascii="Book Antiqua" w:hAnsi="Book Antiqua"/>
          <w:b/>
          <w:color w:val="000000" w:themeColor="text1"/>
        </w:rPr>
        <w:t>Feng X</w:t>
      </w:r>
      <w:r w:rsidRPr="007B43A9">
        <w:rPr>
          <w:rFonts w:ascii="Book Antiqua" w:hAnsi="Book Antiqua"/>
          <w:color w:val="000000" w:themeColor="text1"/>
        </w:rPr>
        <w:t xml:space="preserve">, Liu X, Cai X, Lin T, Xu W, Yang C, Liu Y, Yang S, Fu D. The Influence of Tetracycline Inducible Targeting Rat PPARγ Gene Silencing on the Osteogenic and Adipogenic Differentiation of Bone Marrow Stromal Cells. </w:t>
      </w:r>
      <w:r w:rsidRPr="007B43A9">
        <w:rPr>
          <w:rFonts w:ascii="Book Antiqua" w:hAnsi="Book Antiqua"/>
          <w:i/>
          <w:color w:val="000000" w:themeColor="text1"/>
        </w:rPr>
        <w:t>Curr Pharm Des</w:t>
      </w:r>
      <w:r w:rsidRPr="007B43A9">
        <w:rPr>
          <w:rFonts w:ascii="Book Antiqua" w:hAnsi="Book Antiqua"/>
          <w:color w:val="000000" w:themeColor="text1"/>
        </w:rPr>
        <w:t xml:space="preserve"> 2016; </w:t>
      </w:r>
      <w:r w:rsidRPr="007B43A9">
        <w:rPr>
          <w:rFonts w:ascii="Book Antiqua" w:hAnsi="Book Antiqua"/>
          <w:b/>
          <w:color w:val="000000" w:themeColor="text1"/>
        </w:rPr>
        <w:t>22</w:t>
      </w:r>
      <w:r w:rsidRPr="007B43A9">
        <w:rPr>
          <w:rFonts w:ascii="Book Antiqua" w:hAnsi="Book Antiqua"/>
          <w:color w:val="000000" w:themeColor="text1"/>
        </w:rPr>
        <w:t>: 6330-6338 [PMID: 27396594 DOI: 10.2174/1381612822666160708223353]</w:t>
      </w:r>
    </w:p>
    <w:p w14:paraId="32A12607" w14:textId="10A0A959"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22 </w:t>
      </w:r>
      <w:r w:rsidRPr="007B43A9">
        <w:rPr>
          <w:rFonts w:ascii="Book Antiqua" w:hAnsi="Book Antiqua"/>
          <w:b/>
          <w:color w:val="000000" w:themeColor="text1"/>
        </w:rPr>
        <w:t>Zhang J</w:t>
      </w:r>
      <w:r w:rsidRPr="007B43A9">
        <w:rPr>
          <w:rFonts w:ascii="Book Antiqua" w:hAnsi="Book Antiqua"/>
          <w:color w:val="000000" w:themeColor="text1"/>
        </w:rPr>
        <w:t>,</w:t>
      </w:r>
      <w:r w:rsidR="00D17858" w:rsidRPr="007B43A9">
        <w:rPr>
          <w:rFonts w:ascii="Book Antiqua" w:hAnsi="Book Antiqua"/>
          <w:color w:val="000000" w:themeColor="text1"/>
        </w:rPr>
        <w:t xml:space="preserve"> </w:t>
      </w:r>
      <w:r w:rsidRPr="007B43A9">
        <w:rPr>
          <w:rFonts w:ascii="Book Antiqua" w:hAnsi="Book Antiqua"/>
          <w:color w:val="000000" w:themeColor="text1"/>
        </w:rPr>
        <w:t>Xue S, Luo Y, Zhi W. Tetracycline hydrochloride induces the osteogenic differentiation of rat bone marrow mesenchymal stem cells.</w:t>
      </w:r>
      <w:r w:rsidRPr="007B43A9">
        <w:rPr>
          <w:rFonts w:ascii="Book Antiqua" w:hAnsi="Book Antiqua"/>
          <w:i/>
          <w:color w:val="000000" w:themeColor="text1"/>
        </w:rPr>
        <w:t xml:space="preserve"> CJTER </w:t>
      </w:r>
      <w:r w:rsidRPr="007B43A9">
        <w:rPr>
          <w:rFonts w:ascii="Book Antiqua" w:hAnsi="Book Antiqua"/>
          <w:color w:val="000000" w:themeColor="text1"/>
        </w:rPr>
        <w:t xml:space="preserve">2017; </w:t>
      </w:r>
      <w:r w:rsidRPr="007B43A9">
        <w:rPr>
          <w:rFonts w:ascii="Book Antiqua" w:hAnsi="Book Antiqua"/>
          <w:b/>
          <w:color w:val="000000" w:themeColor="text1"/>
        </w:rPr>
        <w:t>21</w:t>
      </w:r>
      <w:r w:rsidRPr="007B43A9">
        <w:rPr>
          <w:rFonts w:ascii="Book Antiqua" w:hAnsi="Book Antiqua"/>
          <w:color w:val="000000" w:themeColor="text1"/>
        </w:rPr>
        <w:t>: 4605-4610 [DOI: 10.3969/1.issn.2095-4344.2017.29.003]</w:t>
      </w:r>
    </w:p>
    <w:p w14:paraId="6B3C9DC0"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23 </w:t>
      </w:r>
      <w:r w:rsidRPr="007B43A9">
        <w:rPr>
          <w:rFonts w:ascii="Book Antiqua" w:hAnsi="Book Antiqua"/>
          <w:b/>
          <w:color w:val="000000" w:themeColor="text1"/>
        </w:rPr>
        <w:t>Li H</w:t>
      </w:r>
      <w:r w:rsidRPr="007B43A9">
        <w:rPr>
          <w:rFonts w:ascii="Book Antiqua" w:hAnsi="Book Antiqua"/>
          <w:color w:val="000000" w:themeColor="text1"/>
        </w:rPr>
        <w:t xml:space="preserve">, Nie B, Du Z, Zhang S, Long T, Yue B. Bacitracin promotes osteogenic differentiation of human bone marrow mesenchymal stem cells by stimulating the bone morphogenetic protein-2/Smad axis. </w:t>
      </w:r>
      <w:r w:rsidRPr="007B43A9">
        <w:rPr>
          <w:rFonts w:ascii="Book Antiqua" w:hAnsi="Book Antiqua"/>
          <w:i/>
          <w:color w:val="000000" w:themeColor="text1"/>
        </w:rPr>
        <w:t>Biomed Pharmacother</w:t>
      </w:r>
      <w:r w:rsidRPr="007B43A9">
        <w:rPr>
          <w:rFonts w:ascii="Book Antiqua" w:hAnsi="Book Antiqua"/>
          <w:color w:val="000000" w:themeColor="text1"/>
        </w:rPr>
        <w:t xml:space="preserve"> 2018; </w:t>
      </w:r>
      <w:r w:rsidRPr="007B43A9">
        <w:rPr>
          <w:rFonts w:ascii="Book Antiqua" w:hAnsi="Book Antiqua"/>
          <w:b/>
          <w:color w:val="000000" w:themeColor="text1"/>
        </w:rPr>
        <w:t>103</w:t>
      </w:r>
      <w:r w:rsidRPr="007B43A9">
        <w:rPr>
          <w:rFonts w:ascii="Book Antiqua" w:hAnsi="Book Antiqua"/>
          <w:color w:val="000000" w:themeColor="text1"/>
        </w:rPr>
        <w:t>: 588-597 [PMID: 29677546 DOI: 10.1016/j.biopha.2018.04.084]</w:t>
      </w:r>
    </w:p>
    <w:p w14:paraId="0F7CCC55"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24 </w:t>
      </w:r>
      <w:r w:rsidRPr="007B43A9">
        <w:rPr>
          <w:rFonts w:ascii="Book Antiqua" w:hAnsi="Book Antiqua"/>
          <w:b/>
          <w:color w:val="000000" w:themeColor="text1"/>
        </w:rPr>
        <w:t>Bariteau JT</w:t>
      </w:r>
      <w:r w:rsidRPr="007B43A9">
        <w:rPr>
          <w:rFonts w:ascii="Book Antiqua" w:hAnsi="Book Antiqua"/>
          <w:color w:val="000000" w:themeColor="text1"/>
        </w:rPr>
        <w:t xml:space="preserve">, Kadakia RJ, Traub BC, Viggeswarapu M, Willett NJ. Impact of Vancomycin Treatment on Human Mesenchymal Stromal Cells During Osteogenic Differentiation. </w:t>
      </w:r>
      <w:r w:rsidRPr="007B43A9">
        <w:rPr>
          <w:rFonts w:ascii="Book Antiqua" w:hAnsi="Book Antiqua"/>
          <w:i/>
          <w:color w:val="000000" w:themeColor="text1"/>
        </w:rPr>
        <w:t>Foot Ankle Int</w:t>
      </w:r>
      <w:r w:rsidRPr="007B43A9">
        <w:rPr>
          <w:rFonts w:ascii="Book Antiqua" w:hAnsi="Book Antiqua"/>
          <w:color w:val="000000" w:themeColor="text1"/>
        </w:rPr>
        <w:t xml:space="preserve"> 2018; </w:t>
      </w:r>
      <w:r w:rsidRPr="007B43A9">
        <w:rPr>
          <w:rFonts w:ascii="Book Antiqua" w:hAnsi="Book Antiqua"/>
          <w:b/>
          <w:color w:val="000000" w:themeColor="text1"/>
        </w:rPr>
        <w:t>39</w:t>
      </w:r>
      <w:r w:rsidRPr="007B43A9">
        <w:rPr>
          <w:rFonts w:ascii="Book Antiqua" w:hAnsi="Book Antiqua"/>
          <w:color w:val="000000" w:themeColor="text1"/>
        </w:rPr>
        <w:t>: 954-959 [PMID: 29620948 DOI: 10.1177/1071100718766655]</w:t>
      </w:r>
    </w:p>
    <w:p w14:paraId="41B79CD7" w14:textId="6C3ADE49"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25 </w:t>
      </w:r>
      <w:r w:rsidRPr="007B43A9">
        <w:rPr>
          <w:rFonts w:ascii="Book Antiqua" w:hAnsi="Book Antiqua"/>
          <w:b/>
          <w:color w:val="000000" w:themeColor="text1"/>
        </w:rPr>
        <w:t>Booysen E</w:t>
      </w:r>
      <w:r w:rsidRPr="007B43A9">
        <w:rPr>
          <w:rFonts w:ascii="Book Antiqua" w:hAnsi="Book Antiqua"/>
          <w:color w:val="000000" w:themeColor="text1"/>
        </w:rPr>
        <w:t xml:space="preserve">, Sadie-Van Gijsen H, Deane SM, Ferris W, Dicks LMT. The Effect of Vancomycin on the Viability and Osteogenic Potential of Bone-Derived Mesenchymal Stem Cells. </w:t>
      </w:r>
      <w:r w:rsidRPr="007B43A9">
        <w:rPr>
          <w:rFonts w:ascii="Book Antiqua" w:hAnsi="Book Antiqua"/>
          <w:i/>
          <w:color w:val="000000" w:themeColor="text1"/>
        </w:rPr>
        <w:t>Probiotics Antimicrob Proteins</w:t>
      </w:r>
      <w:r w:rsidRPr="007B43A9">
        <w:rPr>
          <w:rFonts w:ascii="Book Antiqua" w:hAnsi="Book Antiqua"/>
          <w:color w:val="000000" w:themeColor="text1"/>
        </w:rPr>
        <w:t xml:space="preserve"> 2018 [PMID: 30276719 DOI: 10.1007/s12602-018-9473-0]</w:t>
      </w:r>
    </w:p>
    <w:p w14:paraId="3C08B448"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26 </w:t>
      </w:r>
      <w:r w:rsidRPr="007B43A9">
        <w:rPr>
          <w:rFonts w:ascii="Book Antiqua" w:hAnsi="Book Antiqua"/>
          <w:b/>
          <w:color w:val="000000" w:themeColor="text1"/>
        </w:rPr>
        <w:t>Scherzed A</w:t>
      </w:r>
      <w:r w:rsidRPr="007B43A9">
        <w:rPr>
          <w:rFonts w:ascii="Book Antiqua" w:hAnsi="Book Antiqua"/>
          <w:color w:val="000000" w:themeColor="text1"/>
        </w:rPr>
        <w:t xml:space="preserve">, Hackenberg S, Froelich K, Rak K, Technau A, Radeloff A, Nöth U, Koehler C, Hagen R, Kleinsasser N. Effects of salinomycin on human bone marrow-derived mesenchymal stem cells in vitro. </w:t>
      </w:r>
      <w:r w:rsidRPr="007B43A9">
        <w:rPr>
          <w:rFonts w:ascii="Book Antiqua" w:hAnsi="Book Antiqua"/>
          <w:i/>
          <w:color w:val="000000" w:themeColor="text1"/>
        </w:rPr>
        <w:t>Toxicol Lett</w:t>
      </w:r>
      <w:r w:rsidRPr="007B43A9">
        <w:rPr>
          <w:rFonts w:ascii="Book Antiqua" w:hAnsi="Book Antiqua"/>
          <w:color w:val="000000" w:themeColor="text1"/>
        </w:rPr>
        <w:t xml:space="preserve"> 2013; </w:t>
      </w:r>
      <w:r w:rsidRPr="007B43A9">
        <w:rPr>
          <w:rFonts w:ascii="Book Antiqua" w:hAnsi="Book Antiqua"/>
          <w:b/>
          <w:color w:val="000000" w:themeColor="text1"/>
        </w:rPr>
        <w:t>218</w:t>
      </w:r>
      <w:r w:rsidRPr="007B43A9">
        <w:rPr>
          <w:rFonts w:ascii="Book Antiqua" w:hAnsi="Book Antiqua"/>
          <w:color w:val="000000" w:themeColor="text1"/>
        </w:rPr>
        <w:t>: 207-214 [PMID: 23410960 DOI: 10.1016/j.toxlet.2013.02.001]</w:t>
      </w:r>
    </w:p>
    <w:p w14:paraId="34F8EF45"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27 </w:t>
      </w:r>
      <w:r w:rsidRPr="007B43A9">
        <w:rPr>
          <w:rFonts w:ascii="Book Antiqua" w:hAnsi="Book Antiqua"/>
          <w:b/>
          <w:color w:val="000000" w:themeColor="text1"/>
        </w:rPr>
        <w:t>Ying X</w:t>
      </w:r>
      <w:r w:rsidRPr="007B43A9">
        <w:rPr>
          <w:rFonts w:ascii="Book Antiqua" w:hAnsi="Book Antiqua"/>
          <w:color w:val="000000" w:themeColor="text1"/>
        </w:rPr>
        <w:t xml:space="preserve">, Cheng S, Wang W, Lin Z, Chen Q, Zhang W, Kou D, Shen Y, Cheng X, Peng L, Zi Xu H, Zhu Lu C. Effect of lactoferrin on osteogenic differentiation of human adipose stem cells. </w:t>
      </w:r>
      <w:r w:rsidRPr="007B43A9">
        <w:rPr>
          <w:rFonts w:ascii="Book Antiqua" w:hAnsi="Book Antiqua"/>
          <w:i/>
          <w:color w:val="000000" w:themeColor="text1"/>
        </w:rPr>
        <w:t>Int Orthop</w:t>
      </w:r>
      <w:r w:rsidRPr="007B43A9">
        <w:rPr>
          <w:rFonts w:ascii="Book Antiqua" w:hAnsi="Book Antiqua"/>
          <w:color w:val="000000" w:themeColor="text1"/>
        </w:rPr>
        <w:t xml:space="preserve"> 2012; </w:t>
      </w:r>
      <w:r w:rsidRPr="007B43A9">
        <w:rPr>
          <w:rFonts w:ascii="Book Antiqua" w:hAnsi="Book Antiqua"/>
          <w:b/>
          <w:color w:val="000000" w:themeColor="text1"/>
        </w:rPr>
        <w:t>36</w:t>
      </w:r>
      <w:r w:rsidRPr="007B43A9">
        <w:rPr>
          <w:rFonts w:ascii="Book Antiqua" w:hAnsi="Book Antiqua"/>
          <w:color w:val="000000" w:themeColor="text1"/>
        </w:rPr>
        <w:t>: 647-653 [PMID: 21713451 DOI: 10.1007/s00264-011-1303-x]</w:t>
      </w:r>
    </w:p>
    <w:p w14:paraId="4CFFFDFC"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28 </w:t>
      </w:r>
      <w:r w:rsidRPr="007B43A9">
        <w:rPr>
          <w:rFonts w:ascii="Book Antiqua" w:hAnsi="Book Antiqua"/>
          <w:b/>
          <w:color w:val="000000" w:themeColor="text1"/>
        </w:rPr>
        <w:t>Liu M</w:t>
      </w:r>
      <w:r w:rsidRPr="007B43A9">
        <w:rPr>
          <w:rFonts w:ascii="Book Antiqua" w:hAnsi="Book Antiqua"/>
          <w:color w:val="000000" w:themeColor="text1"/>
        </w:rPr>
        <w:t xml:space="preserve">, Fan F, Shi P, Tu M, Yu C, Yu C, Du M. Lactoferrin promotes MC3T3-E1 osteoblast cells proliferation via MAPK signaling pathways. </w:t>
      </w:r>
      <w:r w:rsidRPr="007B43A9">
        <w:rPr>
          <w:rFonts w:ascii="Book Antiqua" w:hAnsi="Book Antiqua"/>
          <w:i/>
          <w:color w:val="000000" w:themeColor="text1"/>
        </w:rPr>
        <w:t>Int J Biol Macromol</w:t>
      </w:r>
      <w:r w:rsidRPr="007B43A9">
        <w:rPr>
          <w:rFonts w:ascii="Book Antiqua" w:hAnsi="Book Antiqua"/>
          <w:color w:val="000000" w:themeColor="text1"/>
        </w:rPr>
        <w:t xml:space="preserve"> 2018; </w:t>
      </w:r>
      <w:r w:rsidRPr="007B43A9">
        <w:rPr>
          <w:rFonts w:ascii="Book Antiqua" w:hAnsi="Book Antiqua"/>
          <w:b/>
          <w:color w:val="000000" w:themeColor="text1"/>
        </w:rPr>
        <w:t>107</w:t>
      </w:r>
      <w:r w:rsidRPr="007B43A9">
        <w:rPr>
          <w:rFonts w:ascii="Book Antiqua" w:hAnsi="Book Antiqua"/>
          <w:color w:val="000000" w:themeColor="text1"/>
        </w:rPr>
        <w:t>: 137-143 [PMID: 28863893 DOI: 10.1016/j.ijbiomac.2017.08.151]</w:t>
      </w:r>
    </w:p>
    <w:p w14:paraId="13BF972C"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29 </w:t>
      </w:r>
      <w:r w:rsidRPr="007B43A9">
        <w:rPr>
          <w:rFonts w:ascii="Book Antiqua" w:hAnsi="Book Antiqua"/>
          <w:b/>
          <w:color w:val="000000" w:themeColor="text1"/>
        </w:rPr>
        <w:t>Zhang W</w:t>
      </w:r>
      <w:r w:rsidRPr="007B43A9">
        <w:rPr>
          <w:rFonts w:ascii="Book Antiqua" w:hAnsi="Book Antiqua"/>
          <w:color w:val="000000" w:themeColor="text1"/>
        </w:rPr>
        <w:t xml:space="preserve">, Guo H, Jing H, Li Y, Wang X, Zhang H, Jiang L, Ren F. Lactoferrin stimulates osteoblast differentiation through PKA and p38 pathways independent of lactoferrin's receptor LRP1. </w:t>
      </w:r>
      <w:r w:rsidRPr="007B43A9">
        <w:rPr>
          <w:rFonts w:ascii="Book Antiqua" w:hAnsi="Book Antiqua"/>
          <w:i/>
          <w:color w:val="000000" w:themeColor="text1"/>
        </w:rPr>
        <w:t>J Bone Miner Res</w:t>
      </w:r>
      <w:r w:rsidRPr="007B43A9">
        <w:rPr>
          <w:rFonts w:ascii="Book Antiqua" w:hAnsi="Book Antiqua"/>
          <w:color w:val="000000" w:themeColor="text1"/>
        </w:rPr>
        <w:t xml:space="preserve"> 2014; </w:t>
      </w:r>
      <w:r w:rsidRPr="007B43A9">
        <w:rPr>
          <w:rFonts w:ascii="Book Antiqua" w:hAnsi="Book Antiqua"/>
          <w:b/>
          <w:color w:val="000000" w:themeColor="text1"/>
        </w:rPr>
        <w:t>29</w:t>
      </w:r>
      <w:r w:rsidRPr="007B43A9">
        <w:rPr>
          <w:rFonts w:ascii="Book Antiqua" w:hAnsi="Book Antiqua"/>
          <w:color w:val="000000" w:themeColor="text1"/>
        </w:rPr>
        <w:t>: 1232-1243 [PMID: 24877241 DOI: 10.1002/jbmr.2116]</w:t>
      </w:r>
    </w:p>
    <w:p w14:paraId="381738AB"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30 </w:t>
      </w:r>
      <w:r w:rsidRPr="007B43A9">
        <w:rPr>
          <w:rFonts w:ascii="Book Antiqua" w:hAnsi="Book Antiqua"/>
          <w:b/>
          <w:color w:val="000000" w:themeColor="text1"/>
        </w:rPr>
        <w:t>Lu H</w:t>
      </w:r>
      <w:r w:rsidRPr="007B43A9">
        <w:rPr>
          <w:rFonts w:ascii="Book Antiqua" w:hAnsi="Book Antiqua"/>
          <w:color w:val="000000" w:themeColor="text1"/>
        </w:rPr>
        <w:t xml:space="preserve">, Lian L, Shi D, Zhao H, Dai Y. Hepcidin promotes osteogenic differentiation through the bone morphogenetic protein 2/small mothers against decapentaplegic and mitogen-activated protein kinase/P38 signaling pathways in mesenchymal stem cells. </w:t>
      </w:r>
      <w:r w:rsidRPr="007B43A9">
        <w:rPr>
          <w:rFonts w:ascii="Book Antiqua" w:hAnsi="Book Antiqua"/>
          <w:i/>
          <w:color w:val="000000" w:themeColor="text1"/>
        </w:rPr>
        <w:t>Mol Med Rep</w:t>
      </w:r>
      <w:r w:rsidRPr="007B43A9">
        <w:rPr>
          <w:rFonts w:ascii="Book Antiqua" w:hAnsi="Book Antiqua"/>
          <w:color w:val="000000" w:themeColor="text1"/>
        </w:rPr>
        <w:t xml:space="preserve"> 2015; </w:t>
      </w:r>
      <w:r w:rsidRPr="007B43A9">
        <w:rPr>
          <w:rFonts w:ascii="Book Antiqua" w:hAnsi="Book Antiqua"/>
          <w:b/>
          <w:color w:val="000000" w:themeColor="text1"/>
        </w:rPr>
        <w:t>11</w:t>
      </w:r>
      <w:r w:rsidRPr="007B43A9">
        <w:rPr>
          <w:rFonts w:ascii="Book Antiqua" w:hAnsi="Book Antiqua"/>
          <w:color w:val="000000" w:themeColor="text1"/>
        </w:rPr>
        <w:t>: 143-150 [PMID: 25351366 DOI: 10.3892/mmr.2014.2769]</w:t>
      </w:r>
    </w:p>
    <w:p w14:paraId="6DE5CF1C"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31 </w:t>
      </w:r>
      <w:r w:rsidRPr="007B43A9">
        <w:rPr>
          <w:rFonts w:ascii="Book Antiqua" w:hAnsi="Book Antiqua"/>
          <w:b/>
          <w:color w:val="000000" w:themeColor="text1"/>
        </w:rPr>
        <w:t>Yu X</w:t>
      </w:r>
      <w:r w:rsidRPr="007B43A9">
        <w:rPr>
          <w:rFonts w:ascii="Book Antiqua" w:hAnsi="Book Antiqua"/>
          <w:color w:val="000000" w:themeColor="text1"/>
        </w:rPr>
        <w:t xml:space="preserve">, Quan J, Long W, Chen H, Wang R, Guo J, Lin X, Mai S. LL-37 inhibits LPS-induced inflammation and stimulates the osteogenic differentiation of BMSCs via P2X7 receptor and MAPK signaling pathway. </w:t>
      </w:r>
      <w:r w:rsidRPr="007B43A9">
        <w:rPr>
          <w:rFonts w:ascii="Book Antiqua" w:hAnsi="Book Antiqua"/>
          <w:i/>
          <w:color w:val="000000" w:themeColor="text1"/>
        </w:rPr>
        <w:t>Exp Cell Res</w:t>
      </w:r>
      <w:r w:rsidRPr="007B43A9">
        <w:rPr>
          <w:rFonts w:ascii="Book Antiqua" w:hAnsi="Book Antiqua"/>
          <w:color w:val="000000" w:themeColor="text1"/>
        </w:rPr>
        <w:t xml:space="preserve"> 2018; </w:t>
      </w:r>
      <w:r w:rsidRPr="007B43A9">
        <w:rPr>
          <w:rFonts w:ascii="Book Antiqua" w:hAnsi="Book Antiqua"/>
          <w:b/>
          <w:color w:val="000000" w:themeColor="text1"/>
        </w:rPr>
        <w:t>372</w:t>
      </w:r>
      <w:r w:rsidRPr="007B43A9">
        <w:rPr>
          <w:rFonts w:ascii="Book Antiqua" w:hAnsi="Book Antiqua"/>
          <w:color w:val="000000" w:themeColor="text1"/>
        </w:rPr>
        <w:t>: 178-187 [PMID: 30287143 DOI: 10.1016/j.yexcr.2018.09.024]</w:t>
      </w:r>
    </w:p>
    <w:p w14:paraId="244760F5" w14:textId="141FDE85"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32 </w:t>
      </w:r>
      <w:r w:rsidRPr="007B43A9">
        <w:rPr>
          <w:rFonts w:ascii="Book Antiqua" w:hAnsi="Book Antiqua"/>
          <w:b/>
          <w:color w:val="000000" w:themeColor="text1"/>
        </w:rPr>
        <w:t>Li H</w:t>
      </w:r>
      <w:r w:rsidRPr="007B43A9">
        <w:rPr>
          <w:rFonts w:ascii="Book Antiqua" w:hAnsi="Book Antiqua"/>
          <w:color w:val="000000" w:themeColor="text1"/>
        </w:rPr>
        <w:t>,</w:t>
      </w:r>
      <w:r w:rsidR="00D17858" w:rsidRPr="007B43A9">
        <w:rPr>
          <w:rFonts w:ascii="Book Antiqua" w:hAnsi="Book Antiqua"/>
          <w:color w:val="000000" w:themeColor="text1"/>
        </w:rPr>
        <w:t xml:space="preserve"> </w:t>
      </w:r>
      <w:r w:rsidRPr="007B43A9">
        <w:rPr>
          <w:rFonts w:ascii="Book Antiqua" w:hAnsi="Book Antiqua"/>
          <w:color w:val="000000" w:themeColor="text1"/>
        </w:rPr>
        <w:t xml:space="preserve">Zhang S, Nie Be, Du Z, Long T, Yue B. The antimicrobial peptide kr-12 promotes the osteogenic differentiation of human bone marrow stem cells by stimulating bmp/smad signaling. </w:t>
      </w:r>
      <w:r w:rsidRPr="007B43A9">
        <w:rPr>
          <w:rFonts w:ascii="Book Antiqua" w:hAnsi="Book Antiqua"/>
          <w:i/>
          <w:color w:val="000000" w:themeColor="text1"/>
        </w:rPr>
        <w:t>RSC Advances</w:t>
      </w:r>
      <w:r w:rsidRPr="007B43A9">
        <w:rPr>
          <w:rFonts w:ascii="Book Antiqua" w:hAnsi="Book Antiqua"/>
          <w:color w:val="000000" w:themeColor="text1"/>
        </w:rPr>
        <w:t xml:space="preserve"> 2018; </w:t>
      </w:r>
      <w:r w:rsidRPr="007B43A9">
        <w:rPr>
          <w:rFonts w:ascii="Book Antiqua" w:hAnsi="Book Antiqua"/>
          <w:b/>
          <w:color w:val="000000" w:themeColor="text1"/>
        </w:rPr>
        <w:t>8</w:t>
      </w:r>
      <w:r w:rsidRPr="007B43A9">
        <w:rPr>
          <w:rFonts w:ascii="Book Antiqua" w:hAnsi="Book Antiqua"/>
          <w:color w:val="000000" w:themeColor="text1"/>
        </w:rPr>
        <w:t>: 15547-15557 [DOI: 10.1039/c8ra00750k]</w:t>
      </w:r>
    </w:p>
    <w:p w14:paraId="615F4D2D"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33 </w:t>
      </w:r>
      <w:r w:rsidRPr="007B43A9">
        <w:rPr>
          <w:rFonts w:ascii="Book Antiqua" w:hAnsi="Book Antiqua"/>
          <w:b/>
          <w:color w:val="000000" w:themeColor="text1"/>
        </w:rPr>
        <w:t>Yang J</w:t>
      </w:r>
      <w:r w:rsidRPr="007B43A9">
        <w:rPr>
          <w:rFonts w:ascii="Book Antiqua" w:hAnsi="Book Antiqua"/>
          <w:color w:val="000000" w:themeColor="text1"/>
        </w:rPr>
        <w:t xml:space="preserve">, Cao Y, Lv Z, Jiang T, Wang L, Li Z. Cordycepin protected against the TNF-α-induced inhibition of osteogenic differentiation of human adipose-derived mesenchymal stem cells. </w:t>
      </w:r>
      <w:r w:rsidRPr="007B43A9">
        <w:rPr>
          <w:rFonts w:ascii="Book Antiqua" w:hAnsi="Book Antiqua"/>
          <w:i/>
          <w:color w:val="000000" w:themeColor="text1"/>
        </w:rPr>
        <w:t>Int J Immunopathol Pharmacol</w:t>
      </w:r>
      <w:r w:rsidRPr="007B43A9">
        <w:rPr>
          <w:rFonts w:ascii="Book Antiqua" w:hAnsi="Book Antiqua"/>
          <w:color w:val="000000" w:themeColor="text1"/>
        </w:rPr>
        <w:t xml:space="preserve"> 2015; </w:t>
      </w:r>
      <w:r w:rsidRPr="007B43A9">
        <w:rPr>
          <w:rFonts w:ascii="Book Antiqua" w:hAnsi="Book Antiqua"/>
          <w:b/>
          <w:color w:val="000000" w:themeColor="text1"/>
        </w:rPr>
        <w:t>28</w:t>
      </w:r>
      <w:r w:rsidRPr="007B43A9">
        <w:rPr>
          <w:rFonts w:ascii="Book Antiqua" w:hAnsi="Book Antiqua"/>
          <w:color w:val="000000" w:themeColor="text1"/>
        </w:rPr>
        <w:t>: 296-307 [PMID: 26130747 DOI: 10.1177/0394632015592160]</w:t>
      </w:r>
    </w:p>
    <w:p w14:paraId="20209DB4"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34 </w:t>
      </w:r>
      <w:r w:rsidRPr="007B43A9">
        <w:rPr>
          <w:rFonts w:ascii="Book Antiqua" w:hAnsi="Book Antiqua"/>
          <w:b/>
          <w:color w:val="000000" w:themeColor="text1"/>
        </w:rPr>
        <w:t>Wang F</w:t>
      </w:r>
      <w:r w:rsidRPr="007B43A9">
        <w:rPr>
          <w:rFonts w:ascii="Book Antiqua" w:hAnsi="Book Antiqua"/>
          <w:color w:val="000000" w:themeColor="text1"/>
        </w:rPr>
        <w:t xml:space="preserve">, Yin P, Lu Y, Zhou Z, Jiang C, Liu Y, Yu X. Cordycepin prevents oxidative stress-induced inhibition of osteogenesis. </w:t>
      </w:r>
      <w:r w:rsidRPr="007B43A9">
        <w:rPr>
          <w:rFonts w:ascii="Book Antiqua" w:hAnsi="Book Antiqua"/>
          <w:i/>
          <w:color w:val="000000" w:themeColor="text1"/>
        </w:rPr>
        <w:t>Oncotarget</w:t>
      </w:r>
      <w:r w:rsidRPr="007B43A9">
        <w:rPr>
          <w:rFonts w:ascii="Book Antiqua" w:hAnsi="Book Antiqua"/>
          <w:color w:val="000000" w:themeColor="text1"/>
        </w:rPr>
        <w:t xml:space="preserve"> 2015; </w:t>
      </w:r>
      <w:r w:rsidRPr="007B43A9">
        <w:rPr>
          <w:rFonts w:ascii="Book Antiqua" w:hAnsi="Book Antiqua"/>
          <w:b/>
          <w:color w:val="000000" w:themeColor="text1"/>
        </w:rPr>
        <w:t>6</w:t>
      </w:r>
      <w:r w:rsidRPr="007B43A9">
        <w:rPr>
          <w:rFonts w:ascii="Book Antiqua" w:hAnsi="Book Antiqua"/>
          <w:color w:val="000000" w:themeColor="text1"/>
        </w:rPr>
        <w:t>: 35496-35508 [PMID: 26462178 DOI: 10.18632/oncotarget.6072]</w:t>
      </w:r>
    </w:p>
    <w:p w14:paraId="1E4EBA84"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35 </w:t>
      </w:r>
      <w:r w:rsidRPr="007B43A9">
        <w:rPr>
          <w:rFonts w:ascii="Book Antiqua" w:hAnsi="Book Antiqua"/>
          <w:b/>
          <w:color w:val="000000" w:themeColor="text1"/>
        </w:rPr>
        <w:t>Qian K</w:t>
      </w:r>
      <w:r w:rsidRPr="007B43A9">
        <w:rPr>
          <w:rFonts w:ascii="Book Antiqua" w:hAnsi="Book Antiqua"/>
          <w:color w:val="000000" w:themeColor="text1"/>
        </w:rPr>
        <w:t xml:space="preserve">, Xu H, Dai T, Shi K. Effects of Tanshinone IIA on osteogenic differentiation of mouse bone marrow mesenchymal stem cells. </w:t>
      </w:r>
      <w:r w:rsidRPr="007B43A9">
        <w:rPr>
          <w:rFonts w:ascii="Book Antiqua" w:hAnsi="Book Antiqua"/>
          <w:i/>
          <w:color w:val="000000" w:themeColor="text1"/>
        </w:rPr>
        <w:t>Naunyn Schmiedebergs Arch Pharmacol</w:t>
      </w:r>
      <w:r w:rsidRPr="007B43A9">
        <w:rPr>
          <w:rFonts w:ascii="Book Antiqua" w:hAnsi="Book Antiqua"/>
          <w:color w:val="000000" w:themeColor="text1"/>
        </w:rPr>
        <w:t xml:space="preserve"> 2015; </w:t>
      </w:r>
      <w:r w:rsidRPr="007B43A9">
        <w:rPr>
          <w:rFonts w:ascii="Book Antiqua" w:hAnsi="Book Antiqua"/>
          <w:b/>
          <w:color w:val="000000" w:themeColor="text1"/>
        </w:rPr>
        <w:t>388</w:t>
      </w:r>
      <w:r w:rsidRPr="007B43A9">
        <w:rPr>
          <w:rFonts w:ascii="Book Antiqua" w:hAnsi="Book Antiqua"/>
          <w:color w:val="000000" w:themeColor="text1"/>
        </w:rPr>
        <w:t>: 1201-1209 [PMID: 26231349 DOI: 10.1007/s00210-015-1154-x]</w:t>
      </w:r>
    </w:p>
    <w:p w14:paraId="4D560F4D"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36 </w:t>
      </w:r>
      <w:r w:rsidRPr="007B43A9">
        <w:rPr>
          <w:rFonts w:ascii="Book Antiqua" w:hAnsi="Book Antiqua"/>
          <w:b/>
          <w:color w:val="000000" w:themeColor="text1"/>
        </w:rPr>
        <w:t>Kim HJ</w:t>
      </w:r>
      <w:r w:rsidRPr="007B43A9">
        <w:rPr>
          <w:rFonts w:ascii="Book Antiqua" w:hAnsi="Book Antiqua"/>
          <w:color w:val="000000" w:themeColor="text1"/>
        </w:rPr>
        <w:t xml:space="preserve">, Kim SH. Tanshinone IIA enhances BMP-2-stimulated commitment of C2C12 cells into osteoblasts via p38 activation. </w:t>
      </w:r>
      <w:r w:rsidRPr="007B43A9">
        <w:rPr>
          <w:rFonts w:ascii="Book Antiqua" w:hAnsi="Book Antiqua"/>
          <w:i/>
          <w:color w:val="000000" w:themeColor="text1"/>
        </w:rPr>
        <w:t>Amino Acids</w:t>
      </w:r>
      <w:r w:rsidRPr="007B43A9">
        <w:rPr>
          <w:rFonts w:ascii="Book Antiqua" w:hAnsi="Book Antiqua"/>
          <w:color w:val="000000" w:themeColor="text1"/>
        </w:rPr>
        <w:t xml:space="preserve"> 2010; </w:t>
      </w:r>
      <w:r w:rsidRPr="007B43A9">
        <w:rPr>
          <w:rFonts w:ascii="Book Antiqua" w:hAnsi="Book Antiqua"/>
          <w:b/>
          <w:color w:val="000000" w:themeColor="text1"/>
        </w:rPr>
        <w:t>39</w:t>
      </w:r>
      <w:r w:rsidRPr="007B43A9">
        <w:rPr>
          <w:rFonts w:ascii="Book Antiqua" w:hAnsi="Book Antiqua"/>
          <w:color w:val="000000" w:themeColor="text1"/>
        </w:rPr>
        <w:t>: 1217-1226 [PMID: 20300786 DOI: 10.1007/s00726-010-0557-8]</w:t>
      </w:r>
    </w:p>
    <w:p w14:paraId="7995E365"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37 </w:t>
      </w:r>
      <w:r w:rsidRPr="007B43A9">
        <w:rPr>
          <w:rFonts w:ascii="Book Antiqua" w:hAnsi="Book Antiqua"/>
          <w:b/>
          <w:color w:val="000000" w:themeColor="text1"/>
        </w:rPr>
        <w:t>Jiang T</w:t>
      </w:r>
      <w:r w:rsidRPr="007B43A9">
        <w:rPr>
          <w:rFonts w:ascii="Book Antiqua" w:hAnsi="Book Antiqua"/>
          <w:color w:val="000000" w:themeColor="text1"/>
        </w:rPr>
        <w:t xml:space="preserve">, Zhou B, Huang L, Wu H, Huang J, Liang T, Liu H, Zheng L, Zhao J. Andrographolide Exerts Pro-Osteogenic Effect by Activation of Wnt/β-Catenin Signaling Pathway in Vitro. </w:t>
      </w:r>
      <w:r w:rsidRPr="007B43A9">
        <w:rPr>
          <w:rFonts w:ascii="Book Antiqua" w:hAnsi="Book Antiqua"/>
          <w:i/>
          <w:color w:val="000000" w:themeColor="text1"/>
        </w:rPr>
        <w:t>Cell Physiol Biochem</w:t>
      </w:r>
      <w:r w:rsidRPr="007B43A9">
        <w:rPr>
          <w:rFonts w:ascii="Book Antiqua" w:hAnsi="Book Antiqua"/>
          <w:color w:val="000000" w:themeColor="text1"/>
        </w:rPr>
        <w:t xml:space="preserve"> 2015; </w:t>
      </w:r>
      <w:r w:rsidRPr="007B43A9">
        <w:rPr>
          <w:rFonts w:ascii="Book Antiqua" w:hAnsi="Book Antiqua"/>
          <w:b/>
          <w:color w:val="000000" w:themeColor="text1"/>
        </w:rPr>
        <w:t>36</w:t>
      </w:r>
      <w:r w:rsidRPr="007B43A9">
        <w:rPr>
          <w:rFonts w:ascii="Book Antiqua" w:hAnsi="Book Antiqua"/>
          <w:color w:val="000000" w:themeColor="text1"/>
        </w:rPr>
        <w:t>: 2327-2339 [PMID: 26279437 DOI: 10.1159/000430196]</w:t>
      </w:r>
    </w:p>
    <w:p w14:paraId="0641A583" w14:textId="736296A6"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38 </w:t>
      </w:r>
      <w:r w:rsidRPr="007B43A9">
        <w:rPr>
          <w:rFonts w:ascii="Book Antiqua" w:hAnsi="Book Antiqua"/>
          <w:b/>
          <w:color w:val="000000" w:themeColor="text1"/>
        </w:rPr>
        <w:t>Zhang G</w:t>
      </w:r>
      <w:r w:rsidRPr="007B43A9">
        <w:rPr>
          <w:rFonts w:ascii="Book Antiqua" w:hAnsi="Book Antiqua"/>
          <w:color w:val="000000" w:themeColor="text1"/>
        </w:rPr>
        <w:t xml:space="preserve">, Li C, Niu Y, Yu Q, Chen Y, Liu E. Osteoprotective Effect of Radix Scutellariae in Female Hindlimb-Suspended Sprague-Dawley Rats and the Osteogenic Differentiation Effect of Its Major Constituent. </w:t>
      </w:r>
      <w:r w:rsidRPr="007B43A9">
        <w:rPr>
          <w:rFonts w:ascii="Book Antiqua" w:hAnsi="Book Antiqua"/>
          <w:i/>
          <w:color w:val="000000" w:themeColor="text1"/>
        </w:rPr>
        <w:t>Molecules</w:t>
      </w:r>
      <w:r w:rsidRPr="007B43A9">
        <w:rPr>
          <w:rFonts w:ascii="Book Antiqua" w:hAnsi="Book Antiqua"/>
          <w:color w:val="000000" w:themeColor="text1"/>
        </w:rPr>
        <w:t xml:space="preserve"> 2017; </w:t>
      </w:r>
      <w:r w:rsidRPr="007B43A9">
        <w:rPr>
          <w:rFonts w:ascii="Book Antiqua" w:hAnsi="Book Antiqua"/>
          <w:b/>
          <w:color w:val="000000" w:themeColor="text1"/>
        </w:rPr>
        <w:t>22</w:t>
      </w:r>
      <w:r w:rsidRPr="007B43A9">
        <w:rPr>
          <w:rFonts w:ascii="Book Antiqua" w:hAnsi="Book Antiqua"/>
          <w:color w:val="000000" w:themeColor="text1"/>
        </w:rPr>
        <w:t>:</w:t>
      </w:r>
      <w:r w:rsidR="00DC2205" w:rsidRPr="007B43A9">
        <w:rPr>
          <w:rFonts w:ascii="Arial" w:hAnsi="Arial" w:cs="Arial"/>
          <w:color w:val="000000" w:themeColor="text1"/>
          <w:sz w:val="18"/>
          <w:szCs w:val="18"/>
          <w:shd w:val="clear" w:color="auto" w:fill="FFFFFF"/>
        </w:rPr>
        <w:t xml:space="preserve"> </w:t>
      </w:r>
      <w:r w:rsidR="00DC2205" w:rsidRPr="007B43A9">
        <w:rPr>
          <w:rFonts w:ascii="Book Antiqua" w:hAnsi="Book Antiqua"/>
          <w:color w:val="000000" w:themeColor="text1"/>
        </w:rPr>
        <w:t xml:space="preserve">pii: E1044 </w:t>
      </w:r>
      <w:r w:rsidRPr="007B43A9">
        <w:rPr>
          <w:rFonts w:ascii="Book Antiqua" w:hAnsi="Book Antiqua"/>
          <w:color w:val="000000" w:themeColor="text1"/>
        </w:rPr>
        <w:t>[PMID: 28671635 DOI: 10.3390/molecules22071044]</w:t>
      </w:r>
    </w:p>
    <w:p w14:paraId="1F7743F8"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39 </w:t>
      </w:r>
      <w:r w:rsidRPr="007B43A9">
        <w:rPr>
          <w:rFonts w:ascii="Book Antiqua" w:hAnsi="Book Antiqua"/>
          <w:b/>
          <w:color w:val="000000" w:themeColor="text1"/>
        </w:rPr>
        <w:t>Guo AJ</w:t>
      </w:r>
      <w:r w:rsidRPr="007B43A9">
        <w:rPr>
          <w:rFonts w:ascii="Book Antiqua" w:hAnsi="Book Antiqua"/>
          <w:color w:val="000000" w:themeColor="text1"/>
        </w:rPr>
        <w:t xml:space="preserve">, Choi RC, Cheung AW, Chen VP, Xu SL, Dong TT, Chen JJ, Tsim KW. Baicalin, a flavone, induces the differentiation of cultured osteoblasts: an action via the Wnt/beta-catenin signaling pathway. </w:t>
      </w:r>
      <w:r w:rsidRPr="007B43A9">
        <w:rPr>
          <w:rFonts w:ascii="Book Antiqua" w:hAnsi="Book Antiqua"/>
          <w:i/>
          <w:color w:val="000000" w:themeColor="text1"/>
        </w:rPr>
        <w:t>J Biol Chem</w:t>
      </w:r>
      <w:r w:rsidRPr="007B43A9">
        <w:rPr>
          <w:rFonts w:ascii="Book Antiqua" w:hAnsi="Book Antiqua"/>
          <w:color w:val="000000" w:themeColor="text1"/>
        </w:rPr>
        <w:t xml:space="preserve"> 2011; </w:t>
      </w:r>
      <w:r w:rsidRPr="007B43A9">
        <w:rPr>
          <w:rFonts w:ascii="Book Antiqua" w:hAnsi="Book Antiqua"/>
          <w:b/>
          <w:color w:val="000000" w:themeColor="text1"/>
        </w:rPr>
        <w:t>286</w:t>
      </w:r>
      <w:r w:rsidRPr="007B43A9">
        <w:rPr>
          <w:rFonts w:ascii="Book Antiqua" w:hAnsi="Book Antiqua"/>
          <w:color w:val="000000" w:themeColor="text1"/>
        </w:rPr>
        <w:t>: 27882-27893 [PMID: 21652696 DOI: 10.1074/jbc.M111.236281]</w:t>
      </w:r>
    </w:p>
    <w:p w14:paraId="3D774F78"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40 </w:t>
      </w:r>
      <w:r w:rsidRPr="007B43A9">
        <w:rPr>
          <w:rFonts w:ascii="Book Antiqua" w:hAnsi="Book Antiqua"/>
          <w:b/>
          <w:color w:val="000000" w:themeColor="text1"/>
        </w:rPr>
        <w:t>Jeon WJ</w:t>
      </w:r>
      <w:r w:rsidRPr="007B43A9">
        <w:rPr>
          <w:rFonts w:ascii="Book Antiqua" w:hAnsi="Book Antiqua"/>
          <w:color w:val="000000" w:themeColor="text1"/>
        </w:rPr>
        <w:t xml:space="preserve">, Kim KM, Kim EJ, Jang WG. Costunolide increases osteoblast differentiation via ATF4-dependent HO-1 expression in C3H10T1/2 cells. </w:t>
      </w:r>
      <w:r w:rsidRPr="007B43A9">
        <w:rPr>
          <w:rFonts w:ascii="Book Antiqua" w:hAnsi="Book Antiqua"/>
          <w:i/>
          <w:color w:val="000000" w:themeColor="text1"/>
        </w:rPr>
        <w:t>Life Sci</w:t>
      </w:r>
      <w:r w:rsidRPr="007B43A9">
        <w:rPr>
          <w:rFonts w:ascii="Book Antiqua" w:hAnsi="Book Antiqua"/>
          <w:color w:val="000000" w:themeColor="text1"/>
        </w:rPr>
        <w:t xml:space="preserve"> 2017; </w:t>
      </w:r>
      <w:r w:rsidRPr="007B43A9">
        <w:rPr>
          <w:rFonts w:ascii="Book Antiqua" w:hAnsi="Book Antiqua"/>
          <w:b/>
          <w:color w:val="000000" w:themeColor="text1"/>
        </w:rPr>
        <w:t>178</w:t>
      </w:r>
      <w:r w:rsidRPr="007B43A9">
        <w:rPr>
          <w:rFonts w:ascii="Book Antiqua" w:hAnsi="Book Antiqua"/>
          <w:color w:val="000000" w:themeColor="text1"/>
        </w:rPr>
        <w:t>: 94-99 [PMID: 28435036 DOI: 10.1016/j.lfs.2017.04.012]</w:t>
      </w:r>
    </w:p>
    <w:p w14:paraId="25308849"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41 </w:t>
      </w:r>
      <w:r w:rsidRPr="007B43A9">
        <w:rPr>
          <w:rFonts w:ascii="Book Antiqua" w:hAnsi="Book Antiqua"/>
          <w:b/>
          <w:color w:val="000000" w:themeColor="text1"/>
        </w:rPr>
        <w:t>Choi YH</w:t>
      </w:r>
      <w:r w:rsidRPr="007B43A9">
        <w:rPr>
          <w:rFonts w:ascii="Book Antiqua" w:hAnsi="Book Antiqua"/>
          <w:color w:val="000000" w:themeColor="text1"/>
        </w:rPr>
        <w:t xml:space="preserve">, Kim GS, Choi JH, Jin SW, Kim HG, Han Y, Lee DY, Choi SI, Kim SY, Ahn YS, Lee KY, Jeong HG. Ethanol extract of Lithospermum erythrorhizon Sieb. et Zucc. promotes osteoblastogenesis through the regulation of Runx2 and Osterix. </w:t>
      </w:r>
      <w:r w:rsidRPr="007B43A9">
        <w:rPr>
          <w:rFonts w:ascii="Book Antiqua" w:hAnsi="Book Antiqua"/>
          <w:i/>
          <w:color w:val="000000" w:themeColor="text1"/>
        </w:rPr>
        <w:t>Int J Mol Med</w:t>
      </w:r>
      <w:r w:rsidRPr="007B43A9">
        <w:rPr>
          <w:rFonts w:ascii="Book Antiqua" w:hAnsi="Book Antiqua"/>
          <w:color w:val="000000" w:themeColor="text1"/>
        </w:rPr>
        <w:t xml:space="preserve"> 2016; </w:t>
      </w:r>
      <w:r w:rsidRPr="007B43A9">
        <w:rPr>
          <w:rFonts w:ascii="Book Antiqua" w:hAnsi="Book Antiqua"/>
          <w:b/>
          <w:color w:val="000000" w:themeColor="text1"/>
        </w:rPr>
        <w:t>38</w:t>
      </w:r>
      <w:r w:rsidRPr="007B43A9">
        <w:rPr>
          <w:rFonts w:ascii="Book Antiqua" w:hAnsi="Book Antiqua"/>
          <w:color w:val="000000" w:themeColor="text1"/>
        </w:rPr>
        <w:t>: 610-618 [PMID: 27353217 DOI: 10.3892/ijmm.2016.2655]</w:t>
      </w:r>
    </w:p>
    <w:p w14:paraId="51E91C41"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42 </w:t>
      </w:r>
      <w:r w:rsidRPr="007B43A9">
        <w:rPr>
          <w:rFonts w:ascii="Book Antiqua" w:hAnsi="Book Antiqua"/>
          <w:b/>
          <w:color w:val="000000" w:themeColor="text1"/>
        </w:rPr>
        <w:t>Choi YH</w:t>
      </w:r>
      <w:r w:rsidRPr="007B43A9">
        <w:rPr>
          <w:rFonts w:ascii="Book Antiqua" w:hAnsi="Book Antiqua"/>
          <w:color w:val="000000" w:themeColor="text1"/>
        </w:rPr>
        <w:t xml:space="preserve">, Han Y, Jin SW, Lee GH, Kim GS, Lee DY, Chung YC, Lee KY, Jeong HG. Pseudoshikonin I enhances osteoblast differentiation by stimulating Runx2 and Osterix. </w:t>
      </w:r>
      <w:r w:rsidRPr="007B43A9">
        <w:rPr>
          <w:rFonts w:ascii="Book Antiqua" w:hAnsi="Book Antiqua"/>
          <w:i/>
          <w:color w:val="000000" w:themeColor="text1"/>
        </w:rPr>
        <w:t>J Cell Biochem</w:t>
      </w:r>
      <w:r w:rsidRPr="007B43A9">
        <w:rPr>
          <w:rFonts w:ascii="Book Antiqua" w:hAnsi="Book Antiqua"/>
          <w:color w:val="000000" w:themeColor="text1"/>
        </w:rPr>
        <w:t xml:space="preserve"> 2018; </w:t>
      </w:r>
      <w:r w:rsidRPr="007B43A9">
        <w:rPr>
          <w:rFonts w:ascii="Book Antiqua" w:hAnsi="Book Antiqua"/>
          <w:b/>
          <w:color w:val="000000" w:themeColor="text1"/>
        </w:rPr>
        <w:t>119</w:t>
      </w:r>
      <w:r w:rsidRPr="007B43A9">
        <w:rPr>
          <w:rFonts w:ascii="Book Antiqua" w:hAnsi="Book Antiqua"/>
          <w:color w:val="000000" w:themeColor="text1"/>
        </w:rPr>
        <w:t>: 748-757 [PMID: 28657691 DOI: 10.1002/jcb.26238]</w:t>
      </w:r>
    </w:p>
    <w:p w14:paraId="76EDCB3E"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43 </w:t>
      </w:r>
      <w:r w:rsidRPr="007B43A9">
        <w:rPr>
          <w:rFonts w:ascii="Book Antiqua" w:hAnsi="Book Antiqua"/>
          <w:b/>
          <w:color w:val="000000" w:themeColor="text1"/>
        </w:rPr>
        <w:t>Wang L</w:t>
      </w:r>
      <w:r w:rsidRPr="007B43A9">
        <w:rPr>
          <w:rFonts w:ascii="Book Antiqua" w:hAnsi="Book Antiqua"/>
          <w:color w:val="000000" w:themeColor="text1"/>
        </w:rPr>
        <w:t xml:space="preserve">, Zhang YG, Wang XM, Ma LF, Zhang YM. Naringin protects human adipose-derived mesenchymal stem cells against hydrogen peroxide-induced inhibition of osteogenic differentiation. </w:t>
      </w:r>
      <w:r w:rsidRPr="007B43A9">
        <w:rPr>
          <w:rFonts w:ascii="Book Antiqua" w:hAnsi="Book Antiqua"/>
          <w:i/>
          <w:color w:val="000000" w:themeColor="text1"/>
        </w:rPr>
        <w:t>Chem Biol Interact</w:t>
      </w:r>
      <w:r w:rsidRPr="007B43A9">
        <w:rPr>
          <w:rFonts w:ascii="Book Antiqua" w:hAnsi="Book Antiqua"/>
          <w:color w:val="000000" w:themeColor="text1"/>
        </w:rPr>
        <w:t xml:space="preserve"> 2015; </w:t>
      </w:r>
      <w:r w:rsidRPr="007B43A9">
        <w:rPr>
          <w:rFonts w:ascii="Book Antiqua" w:hAnsi="Book Antiqua"/>
          <w:b/>
          <w:color w:val="000000" w:themeColor="text1"/>
        </w:rPr>
        <w:t>242</w:t>
      </w:r>
      <w:r w:rsidRPr="007B43A9">
        <w:rPr>
          <w:rFonts w:ascii="Book Antiqua" w:hAnsi="Book Antiqua"/>
          <w:color w:val="000000" w:themeColor="text1"/>
        </w:rPr>
        <w:t>: 255-261 [PMID: 26482937 DOI: 10.1016/j.cbi.2015.10.010]</w:t>
      </w:r>
    </w:p>
    <w:p w14:paraId="1B9AFD5D"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44 </w:t>
      </w:r>
      <w:r w:rsidRPr="007B43A9">
        <w:rPr>
          <w:rFonts w:ascii="Book Antiqua" w:hAnsi="Book Antiqua"/>
          <w:b/>
          <w:color w:val="000000" w:themeColor="text1"/>
        </w:rPr>
        <w:t>Wang N</w:t>
      </w:r>
      <w:r w:rsidRPr="007B43A9">
        <w:rPr>
          <w:rFonts w:ascii="Book Antiqua" w:hAnsi="Book Antiqua"/>
          <w:color w:val="000000" w:themeColor="text1"/>
        </w:rPr>
        <w:t xml:space="preserve">, Wang F, Gao Y, Yin P, Pan C, Liu W, Zhou Z, Wang J. Curcumin protects human adipose-derived mesenchymal stem cells against oxidative stress-induced inhibition of osteogenesis. </w:t>
      </w:r>
      <w:r w:rsidRPr="007B43A9">
        <w:rPr>
          <w:rFonts w:ascii="Book Antiqua" w:hAnsi="Book Antiqua"/>
          <w:i/>
          <w:color w:val="000000" w:themeColor="text1"/>
        </w:rPr>
        <w:t>J Pharmacol Sci</w:t>
      </w:r>
      <w:r w:rsidRPr="007B43A9">
        <w:rPr>
          <w:rFonts w:ascii="Book Antiqua" w:hAnsi="Book Antiqua"/>
          <w:color w:val="000000" w:themeColor="text1"/>
        </w:rPr>
        <w:t xml:space="preserve"> 2016; </w:t>
      </w:r>
      <w:r w:rsidRPr="007B43A9">
        <w:rPr>
          <w:rFonts w:ascii="Book Antiqua" w:hAnsi="Book Antiqua"/>
          <w:b/>
          <w:color w:val="000000" w:themeColor="text1"/>
        </w:rPr>
        <w:t>132</w:t>
      </w:r>
      <w:r w:rsidRPr="007B43A9">
        <w:rPr>
          <w:rFonts w:ascii="Book Antiqua" w:hAnsi="Book Antiqua"/>
          <w:color w:val="000000" w:themeColor="text1"/>
        </w:rPr>
        <w:t>: 192-200 [PMID: 27840063 DOI: 10.1016/j.jphs.2016.10.005]</w:t>
      </w:r>
    </w:p>
    <w:p w14:paraId="23F6ABBC"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45 </w:t>
      </w:r>
      <w:r w:rsidRPr="007B43A9">
        <w:rPr>
          <w:rFonts w:ascii="Book Antiqua" w:hAnsi="Book Antiqua"/>
          <w:b/>
          <w:color w:val="000000" w:themeColor="text1"/>
        </w:rPr>
        <w:t>Soundharrajan I</w:t>
      </w:r>
      <w:r w:rsidRPr="007B43A9">
        <w:rPr>
          <w:rFonts w:ascii="Book Antiqua" w:hAnsi="Book Antiqua"/>
          <w:color w:val="000000" w:themeColor="text1"/>
        </w:rPr>
        <w:t xml:space="preserve">, Kim DH, Srisesharam S, Kuppusamy P, Sivanesan R, Choi KC. Limonene promotes osteoblast differentiation and 2-deoxy-d-glucose uptake through p38MAPK and Akt signaling pathways in C2C12 skeletal muscle cells. </w:t>
      </w:r>
      <w:r w:rsidRPr="007B43A9">
        <w:rPr>
          <w:rFonts w:ascii="Book Antiqua" w:hAnsi="Book Antiqua"/>
          <w:i/>
          <w:color w:val="000000" w:themeColor="text1"/>
        </w:rPr>
        <w:t>Phytomedicine</w:t>
      </w:r>
      <w:r w:rsidRPr="007B43A9">
        <w:rPr>
          <w:rFonts w:ascii="Book Antiqua" w:hAnsi="Book Antiqua"/>
          <w:color w:val="000000" w:themeColor="text1"/>
        </w:rPr>
        <w:t xml:space="preserve"> 2018; </w:t>
      </w:r>
      <w:r w:rsidRPr="007B43A9">
        <w:rPr>
          <w:rFonts w:ascii="Book Antiqua" w:hAnsi="Book Antiqua"/>
          <w:b/>
          <w:color w:val="000000" w:themeColor="text1"/>
        </w:rPr>
        <w:t>45</w:t>
      </w:r>
      <w:r w:rsidRPr="007B43A9">
        <w:rPr>
          <w:rFonts w:ascii="Book Antiqua" w:hAnsi="Book Antiqua"/>
          <w:color w:val="000000" w:themeColor="text1"/>
        </w:rPr>
        <w:t>: 41-48 [PMID: 29573911 DOI: 10.1016/j.phymed.2018.03.019]</w:t>
      </w:r>
    </w:p>
    <w:p w14:paraId="492701B2"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46 </w:t>
      </w:r>
      <w:r w:rsidRPr="007B43A9">
        <w:rPr>
          <w:rFonts w:ascii="Book Antiqua" w:hAnsi="Book Antiqua"/>
          <w:b/>
          <w:color w:val="000000" w:themeColor="text1"/>
        </w:rPr>
        <w:t>Ngueguim FT</w:t>
      </w:r>
      <w:r w:rsidRPr="007B43A9">
        <w:rPr>
          <w:rFonts w:ascii="Book Antiqua" w:hAnsi="Book Antiqua"/>
          <w:color w:val="000000" w:themeColor="text1"/>
        </w:rPr>
        <w:t xml:space="preserve">, Khan MP, Donfack JH, Tewari D, Dimo T, Kamtchouing P, Maurya R, Chattopadhyay N. Ethanol extract of Peperomia pellucida (Piperaceae) promotes fracture healing by an anabolic effect on osteoblasts. </w:t>
      </w:r>
      <w:r w:rsidRPr="007B43A9">
        <w:rPr>
          <w:rFonts w:ascii="Book Antiqua" w:hAnsi="Book Antiqua"/>
          <w:i/>
          <w:color w:val="000000" w:themeColor="text1"/>
        </w:rPr>
        <w:t>J Ethnopharmacol</w:t>
      </w:r>
      <w:r w:rsidRPr="007B43A9">
        <w:rPr>
          <w:rFonts w:ascii="Book Antiqua" w:hAnsi="Book Antiqua"/>
          <w:color w:val="000000" w:themeColor="text1"/>
        </w:rPr>
        <w:t xml:space="preserve"> 2013; </w:t>
      </w:r>
      <w:r w:rsidRPr="007B43A9">
        <w:rPr>
          <w:rFonts w:ascii="Book Antiqua" w:hAnsi="Book Antiqua"/>
          <w:b/>
          <w:color w:val="000000" w:themeColor="text1"/>
        </w:rPr>
        <w:t>148</w:t>
      </w:r>
      <w:r w:rsidRPr="007B43A9">
        <w:rPr>
          <w:rFonts w:ascii="Book Antiqua" w:hAnsi="Book Antiqua"/>
          <w:color w:val="000000" w:themeColor="text1"/>
        </w:rPr>
        <w:t>: 62-68 [PMID: 23578859 DOI: 10.1016/j.jep.2013.03.063]</w:t>
      </w:r>
    </w:p>
    <w:p w14:paraId="7878DE8E"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47 </w:t>
      </w:r>
      <w:r w:rsidRPr="007B43A9">
        <w:rPr>
          <w:rFonts w:ascii="Book Antiqua" w:hAnsi="Book Antiqua"/>
          <w:b/>
          <w:color w:val="000000" w:themeColor="text1"/>
        </w:rPr>
        <w:t>Anpo M</w:t>
      </w:r>
      <w:r w:rsidRPr="007B43A9">
        <w:rPr>
          <w:rFonts w:ascii="Book Antiqua" w:hAnsi="Book Antiqua"/>
          <w:color w:val="000000" w:themeColor="text1"/>
        </w:rPr>
        <w:t xml:space="preserve">, Shirayama K, Tsutsui T. Cytotoxic effect of eugenol on the expression of molecular markers related to the osteogenic differentiation of human dental pulp cells. </w:t>
      </w:r>
      <w:r w:rsidRPr="007B43A9">
        <w:rPr>
          <w:rFonts w:ascii="Book Antiqua" w:hAnsi="Book Antiqua"/>
          <w:i/>
          <w:color w:val="000000" w:themeColor="text1"/>
        </w:rPr>
        <w:t>Odontology</w:t>
      </w:r>
      <w:r w:rsidRPr="007B43A9">
        <w:rPr>
          <w:rFonts w:ascii="Book Antiqua" w:hAnsi="Book Antiqua"/>
          <w:color w:val="000000" w:themeColor="text1"/>
        </w:rPr>
        <w:t xml:space="preserve"> 2011; </w:t>
      </w:r>
      <w:r w:rsidRPr="007B43A9">
        <w:rPr>
          <w:rFonts w:ascii="Book Antiqua" w:hAnsi="Book Antiqua"/>
          <w:b/>
          <w:color w:val="000000" w:themeColor="text1"/>
        </w:rPr>
        <w:t>99</w:t>
      </w:r>
      <w:r w:rsidRPr="007B43A9">
        <w:rPr>
          <w:rFonts w:ascii="Book Antiqua" w:hAnsi="Book Antiqua"/>
          <w:color w:val="000000" w:themeColor="text1"/>
        </w:rPr>
        <w:t>: 188-192 [PMID: 21706355 DOI: 10.1007/s10266-011-0009-2]</w:t>
      </w:r>
    </w:p>
    <w:p w14:paraId="4FFEE612"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48 </w:t>
      </w:r>
      <w:r w:rsidRPr="007B43A9">
        <w:rPr>
          <w:rFonts w:ascii="Book Antiqua" w:hAnsi="Book Antiqua"/>
          <w:b/>
          <w:color w:val="000000" w:themeColor="text1"/>
        </w:rPr>
        <w:t>Huang W</w:t>
      </w:r>
      <w:r w:rsidRPr="007B43A9">
        <w:rPr>
          <w:rFonts w:ascii="Book Antiqua" w:hAnsi="Book Antiqua"/>
          <w:color w:val="000000" w:themeColor="text1"/>
        </w:rPr>
        <w:t xml:space="preserve">, Zheng X, Yang X, Fan S. Stimulation of Osteogenic Differentiation by Saikosaponin-A in Bone Marrow Stromal Cells Via WNT/β-Catenin Pathway. </w:t>
      </w:r>
      <w:r w:rsidRPr="007B43A9">
        <w:rPr>
          <w:rFonts w:ascii="Book Antiqua" w:hAnsi="Book Antiqua"/>
          <w:i/>
          <w:color w:val="000000" w:themeColor="text1"/>
        </w:rPr>
        <w:t>Calcif Tissue Int</w:t>
      </w:r>
      <w:r w:rsidRPr="007B43A9">
        <w:rPr>
          <w:rFonts w:ascii="Book Antiqua" w:hAnsi="Book Antiqua"/>
          <w:color w:val="000000" w:themeColor="text1"/>
        </w:rPr>
        <w:t xml:space="preserve"> 2017; </w:t>
      </w:r>
      <w:r w:rsidRPr="007B43A9">
        <w:rPr>
          <w:rFonts w:ascii="Book Antiqua" w:hAnsi="Book Antiqua"/>
          <w:b/>
          <w:color w:val="000000" w:themeColor="text1"/>
        </w:rPr>
        <w:t>100</w:t>
      </w:r>
      <w:r w:rsidRPr="007B43A9">
        <w:rPr>
          <w:rFonts w:ascii="Book Antiqua" w:hAnsi="Book Antiqua"/>
          <w:color w:val="000000" w:themeColor="text1"/>
        </w:rPr>
        <w:t>: 392-401 [PMID: 28185033 DOI: 10.1007/s00223-017-0242-y]</w:t>
      </w:r>
    </w:p>
    <w:p w14:paraId="00CD1D61"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49 </w:t>
      </w:r>
      <w:r w:rsidRPr="007B43A9">
        <w:rPr>
          <w:rFonts w:ascii="Book Antiqua" w:hAnsi="Book Antiqua"/>
          <w:b/>
          <w:color w:val="000000" w:themeColor="text1"/>
        </w:rPr>
        <w:t>Kim SN</w:t>
      </w:r>
      <w:r w:rsidRPr="007B43A9">
        <w:rPr>
          <w:rFonts w:ascii="Book Antiqua" w:hAnsi="Book Antiqua"/>
          <w:color w:val="000000" w:themeColor="text1"/>
        </w:rPr>
        <w:t xml:space="preserve">, Bae SJ, Kwak HB, Min YK, Jung SH, Kim CH, Kim SH. In vitro and in vivo osteogenic activity of licochalcone A. </w:t>
      </w:r>
      <w:r w:rsidRPr="007B43A9">
        <w:rPr>
          <w:rFonts w:ascii="Book Antiqua" w:hAnsi="Book Antiqua"/>
          <w:i/>
          <w:color w:val="000000" w:themeColor="text1"/>
        </w:rPr>
        <w:t>Amino Acids</w:t>
      </w:r>
      <w:r w:rsidRPr="007B43A9">
        <w:rPr>
          <w:rFonts w:ascii="Book Antiqua" w:hAnsi="Book Antiqua"/>
          <w:color w:val="000000" w:themeColor="text1"/>
        </w:rPr>
        <w:t xml:space="preserve"> 2012; </w:t>
      </w:r>
      <w:r w:rsidRPr="007B43A9">
        <w:rPr>
          <w:rFonts w:ascii="Book Antiqua" w:hAnsi="Book Antiqua"/>
          <w:b/>
          <w:color w:val="000000" w:themeColor="text1"/>
        </w:rPr>
        <w:t>42</w:t>
      </w:r>
      <w:r w:rsidRPr="007B43A9">
        <w:rPr>
          <w:rFonts w:ascii="Book Antiqua" w:hAnsi="Book Antiqua"/>
          <w:color w:val="000000" w:themeColor="text1"/>
        </w:rPr>
        <w:t>: 1455-1465 [PMID: 21468757 DOI: 10.1007/s00726-011-0901-7]</w:t>
      </w:r>
    </w:p>
    <w:p w14:paraId="57ECC7BC"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50 </w:t>
      </w:r>
      <w:r w:rsidRPr="007B43A9">
        <w:rPr>
          <w:rFonts w:ascii="Book Antiqua" w:hAnsi="Book Antiqua"/>
          <w:b/>
          <w:color w:val="000000" w:themeColor="text1"/>
        </w:rPr>
        <w:t>Hu X</w:t>
      </w:r>
      <w:r w:rsidRPr="007B43A9">
        <w:rPr>
          <w:rFonts w:ascii="Book Antiqua" w:hAnsi="Book Antiqua"/>
          <w:color w:val="000000" w:themeColor="text1"/>
        </w:rPr>
        <w:t xml:space="preserve">, Zhang X, Dai L, Zhu J, Jia Z, Wang W, Zhou C, Ao Y. Histone deacetylase inhibitor trichostatin A promotes the osteogenic differentiation of rat adipose-derived stem cells by altering the epigenetic modifications on Runx2 promoter in a BMP signaling-dependent manner. </w:t>
      </w:r>
      <w:r w:rsidRPr="007B43A9">
        <w:rPr>
          <w:rFonts w:ascii="Book Antiqua" w:hAnsi="Book Antiqua"/>
          <w:i/>
          <w:color w:val="000000" w:themeColor="text1"/>
        </w:rPr>
        <w:t>Stem Cells Dev</w:t>
      </w:r>
      <w:r w:rsidRPr="007B43A9">
        <w:rPr>
          <w:rFonts w:ascii="Book Antiqua" w:hAnsi="Book Antiqua"/>
          <w:color w:val="000000" w:themeColor="text1"/>
        </w:rPr>
        <w:t xml:space="preserve"> 2013; </w:t>
      </w:r>
      <w:r w:rsidRPr="007B43A9">
        <w:rPr>
          <w:rFonts w:ascii="Book Antiqua" w:hAnsi="Book Antiqua"/>
          <w:b/>
          <w:color w:val="000000" w:themeColor="text1"/>
        </w:rPr>
        <w:t>22</w:t>
      </w:r>
      <w:r w:rsidRPr="007B43A9">
        <w:rPr>
          <w:rFonts w:ascii="Book Antiqua" w:hAnsi="Book Antiqua"/>
          <w:color w:val="000000" w:themeColor="text1"/>
        </w:rPr>
        <w:t>: 248-255 [PMID: 22873791 DOI: 10.1089/scd.2012.0105]</w:t>
      </w:r>
    </w:p>
    <w:p w14:paraId="31B76BAA"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51 </w:t>
      </w:r>
      <w:r w:rsidRPr="007B43A9">
        <w:rPr>
          <w:rFonts w:ascii="Book Antiqua" w:hAnsi="Book Antiqua"/>
          <w:b/>
          <w:color w:val="000000" w:themeColor="text1"/>
        </w:rPr>
        <w:t>Huynh NC</w:t>
      </w:r>
      <w:r w:rsidRPr="007B43A9">
        <w:rPr>
          <w:rFonts w:ascii="Book Antiqua" w:hAnsi="Book Antiqua"/>
          <w:color w:val="000000" w:themeColor="text1"/>
        </w:rPr>
        <w:t xml:space="preserve">, Everts V, Pavasant P, Ampornaramveth RS. Inhibition of Histone Deacetylases Enhances the Osteogenic Differentiation of Human Periodontal Ligament Cells. </w:t>
      </w:r>
      <w:r w:rsidRPr="007B43A9">
        <w:rPr>
          <w:rFonts w:ascii="Book Antiqua" w:hAnsi="Book Antiqua"/>
          <w:i/>
          <w:color w:val="000000" w:themeColor="text1"/>
        </w:rPr>
        <w:t>J Cell Biochem</w:t>
      </w:r>
      <w:r w:rsidRPr="007B43A9">
        <w:rPr>
          <w:rFonts w:ascii="Book Antiqua" w:hAnsi="Book Antiqua"/>
          <w:color w:val="000000" w:themeColor="text1"/>
        </w:rPr>
        <w:t xml:space="preserve"> 2016; </w:t>
      </w:r>
      <w:r w:rsidRPr="007B43A9">
        <w:rPr>
          <w:rFonts w:ascii="Book Antiqua" w:hAnsi="Book Antiqua"/>
          <w:b/>
          <w:color w:val="000000" w:themeColor="text1"/>
        </w:rPr>
        <w:t>117</w:t>
      </w:r>
      <w:r w:rsidRPr="007B43A9">
        <w:rPr>
          <w:rFonts w:ascii="Book Antiqua" w:hAnsi="Book Antiqua"/>
          <w:color w:val="000000" w:themeColor="text1"/>
        </w:rPr>
        <w:t>: 1384-1395 [PMID: 27043246 DOI: 10.1002/jcb.25429]</w:t>
      </w:r>
    </w:p>
    <w:p w14:paraId="64AA1B11"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52 </w:t>
      </w:r>
      <w:r w:rsidRPr="007B43A9">
        <w:rPr>
          <w:rFonts w:ascii="Book Antiqua" w:hAnsi="Book Antiqua"/>
          <w:b/>
          <w:color w:val="000000" w:themeColor="text1"/>
        </w:rPr>
        <w:t>Maroni P</w:t>
      </w:r>
      <w:r w:rsidRPr="007B43A9">
        <w:rPr>
          <w:rFonts w:ascii="Book Antiqua" w:hAnsi="Book Antiqua"/>
          <w:color w:val="000000" w:themeColor="text1"/>
        </w:rPr>
        <w:t xml:space="preserve">, Brini AT, Arrigoni E, de Girolamo L, Niada S, Matteucci E, Bendinelli P, Desiderio MA. Chemical and genetic blockade of HDACs enhances osteogenic differentiation of human adipose tissue-derived stem cells by oppositely affecting osteogenic and adipogenic transcription factors. </w:t>
      </w:r>
      <w:r w:rsidRPr="007B43A9">
        <w:rPr>
          <w:rFonts w:ascii="Book Antiqua" w:hAnsi="Book Antiqua"/>
          <w:i/>
          <w:color w:val="000000" w:themeColor="text1"/>
        </w:rPr>
        <w:t>Biochem Biophys Res Commun</w:t>
      </w:r>
      <w:r w:rsidRPr="007B43A9">
        <w:rPr>
          <w:rFonts w:ascii="Book Antiqua" w:hAnsi="Book Antiqua"/>
          <w:color w:val="000000" w:themeColor="text1"/>
        </w:rPr>
        <w:t xml:space="preserve"> 2012; </w:t>
      </w:r>
      <w:r w:rsidRPr="007B43A9">
        <w:rPr>
          <w:rFonts w:ascii="Book Antiqua" w:hAnsi="Book Antiqua"/>
          <w:b/>
          <w:color w:val="000000" w:themeColor="text1"/>
        </w:rPr>
        <w:t>428</w:t>
      </w:r>
      <w:r w:rsidRPr="007B43A9">
        <w:rPr>
          <w:rFonts w:ascii="Book Antiqua" w:hAnsi="Book Antiqua"/>
          <w:color w:val="000000" w:themeColor="text1"/>
        </w:rPr>
        <w:t>: 271-277 [PMID: 23085045 DOI: 10.1016/j.bbrc.2012.10.044]</w:t>
      </w:r>
    </w:p>
    <w:p w14:paraId="6CDD51DC"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53 </w:t>
      </w:r>
      <w:r w:rsidRPr="007B43A9">
        <w:rPr>
          <w:rFonts w:ascii="Book Antiqua" w:hAnsi="Book Antiqua"/>
          <w:b/>
          <w:color w:val="000000" w:themeColor="text1"/>
        </w:rPr>
        <w:t>Allen KC</w:t>
      </w:r>
      <w:r w:rsidRPr="007B43A9">
        <w:rPr>
          <w:rFonts w:ascii="Book Antiqua" w:hAnsi="Book Antiqua"/>
          <w:color w:val="000000" w:themeColor="text1"/>
        </w:rPr>
        <w:t xml:space="preserve">, Sanchez CJ Jr, Niece KL, Wenke JC, Akers KS. Voriconazole Enhances the Osteogenic Activity of Human Osteoblasts In Vitro through a Fluoride-Independent Mechanism. </w:t>
      </w:r>
      <w:r w:rsidRPr="007B43A9">
        <w:rPr>
          <w:rFonts w:ascii="Book Antiqua" w:hAnsi="Book Antiqua"/>
          <w:i/>
          <w:color w:val="000000" w:themeColor="text1"/>
        </w:rPr>
        <w:t>Antimicrob Agents Chemother</w:t>
      </w:r>
      <w:r w:rsidRPr="007B43A9">
        <w:rPr>
          <w:rFonts w:ascii="Book Antiqua" w:hAnsi="Book Antiqua"/>
          <w:color w:val="000000" w:themeColor="text1"/>
        </w:rPr>
        <w:t xml:space="preserve"> 2015; </w:t>
      </w:r>
      <w:r w:rsidRPr="007B43A9">
        <w:rPr>
          <w:rFonts w:ascii="Book Antiqua" w:hAnsi="Book Antiqua"/>
          <w:b/>
          <w:color w:val="000000" w:themeColor="text1"/>
        </w:rPr>
        <w:t>59</w:t>
      </w:r>
      <w:r w:rsidRPr="007B43A9">
        <w:rPr>
          <w:rFonts w:ascii="Book Antiqua" w:hAnsi="Book Antiqua"/>
          <w:color w:val="000000" w:themeColor="text1"/>
        </w:rPr>
        <w:t>: 7205-7213 [PMID: 26324277 DOI: 10.1128/AAC.00872-15]</w:t>
      </w:r>
    </w:p>
    <w:p w14:paraId="019A5A57"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54 </w:t>
      </w:r>
      <w:r w:rsidRPr="007B43A9">
        <w:rPr>
          <w:rFonts w:ascii="Book Antiqua" w:hAnsi="Book Antiqua"/>
          <w:b/>
          <w:color w:val="000000" w:themeColor="text1"/>
        </w:rPr>
        <w:t>Nasrabadi D</w:t>
      </w:r>
      <w:r w:rsidRPr="007B43A9">
        <w:rPr>
          <w:rFonts w:ascii="Book Antiqua" w:hAnsi="Book Antiqua"/>
          <w:color w:val="000000" w:themeColor="text1"/>
        </w:rPr>
        <w:t xml:space="preserve">, Rezaeiani S, Eslaminejad MB, Shabani A. Improved Protocol for Chondrogenic Differentiation of Bone Marrow Derived Mesenchymal Stem Cells -Effect of PTHrP and FGF-2 on TGFβ1/BMP2-Induced Chondrocytes Hypertrophy. </w:t>
      </w:r>
      <w:r w:rsidRPr="007B43A9">
        <w:rPr>
          <w:rFonts w:ascii="Book Antiqua" w:hAnsi="Book Antiqua"/>
          <w:i/>
          <w:color w:val="000000" w:themeColor="text1"/>
        </w:rPr>
        <w:t>Stem Cell Rev</w:t>
      </w:r>
      <w:r w:rsidRPr="007B43A9">
        <w:rPr>
          <w:rFonts w:ascii="Book Antiqua" w:hAnsi="Book Antiqua"/>
          <w:color w:val="000000" w:themeColor="text1"/>
        </w:rPr>
        <w:t xml:space="preserve"> 2018; </w:t>
      </w:r>
      <w:r w:rsidRPr="007B43A9">
        <w:rPr>
          <w:rFonts w:ascii="Book Antiqua" w:hAnsi="Book Antiqua"/>
          <w:b/>
          <w:color w:val="000000" w:themeColor="text1"/>
        </w:rPr>
        <w:t>14</w:t>
      </w:r>
      <w:r w:rsidRPr="007B43A9">
        <w:rPr>
          <w:rFonts w:ascii="Book Antiqua" w:hAnsi="Book Antiqua"/>
          <w:color w:val="000000" w:themeColor="text1"/>
        </w:rPr>
        <w:t>: 755-766 [PMID: 29691795 DOI: 10.1007/s12015-018-9816-y]</w:t>
      </w:r>
    </w:p>
    <w:p w14:paraId="198860FF" w14:textId="4438C405"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55 </w:t>
      </w:r>
      <w:r w:rsidRPr="007B43A9">
        <w:rPr>
          <w:rFonts w:ascii="Book Antiqua" w:hAnsi="Book Antiqua"/>
          <w:b/>
          <w:color w:val="000000" w:themeColor="text1"/>
        </w:rPr>
        <w:t>Buckwalter JA</w:t>
      </w:r>
      <w:r w:rsidRPr="007B43A9">
        <w:rPr>
          <w:rFonts w:ascii="Book Antiqua" w:hAnsi="Book Antiqua"/>
          <w:color w:val="000000" w:themeColor="text1"/>
        </w:rPr>
        <w:t xml:space="preserve">, Brown TD. Joint injury, repair, and remodeling: roles in post-traumatic osteoarthritis. </w:t>
      </w:r>
      <w:r w:rsidRPr="007B43A9">
        <w:rPr>
          <w:rFonts w:ascii="Book Antiqua" w:hAnsi="Book Antiqua"/>
          <w:i/>
          <w:color w:val="000000" w:themeColor="text1"/>
        </w:rPr>
        <w:t>Clin Orthop Relat Res</w:t>
      </w:r>
      <w:r w:rsidRPr="007B43A9">
        <w:rPr>
          <w:rFonts w:ascii="Book Antiqua" w:hAnsi="Book Antiqua"/>
          <w:color w:val="000000" w:themeColor="text1"/>
        </w:rPr>
        <w:t xml:space="preserve"> 2004; </w:t>
      </w:r>
      <w:r w:rsidR="00D17858" w:rsidRPr="007B43A9">
        <w:rPr>
          <w:rFonts w:ascii="Book Antiqua" w:hAnsi="Book Antiqua" w:hint="eastAsia"/>
          <w:b/>
          <w:color w:val="000000" w:themeColor="text1"/>
        </w:rPr>
        <w:t>(423)</w:t>
      </w:r>
      <w:r w:rsidRPr="007B43A9">
        <w:rPr>
          <w:rFonts w:ascii="Book Antiqua" w:hAnsi="Book Antiqua"/>
          <w:color w:val="000000" w:themeColor="text1"/>
        </w:rPr>
        <w:t>: 7-16 [PMID: 15232420 DOI: 10.1016/0024-3795(94)00233-4]</w:t>
      </w:r>
    </w:p>
    <w:p w14:paraId="1FFDE29E"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56 </w:t>
      </w:r>
      <w:r w:rsidRPr="007B43A9">
        <w:rPr>
          <w:rFonts w:ascii="Book Antiqua" w:hAnsi="Book Antiqua"/>
          <w:b/>
          <w:color w:val="000000" w:themeColor="text1"/>
        </w:rPr>
        <w:t>Nakajima H</w:t>
      </w:r>
      <w:r w:rsidRPr="007B43A9">
        <w:rPr>
          <w:rFonts w:ascii="Book Antiqua" w:hAnsi="Book Antiqua"/>
          <w:color w:val="000000" w:themeColor="text1"/>
        </w:rPr>
        <w:t xml:space="preserve">, Goto T, Horikawa O, Kikuchi T, Shinmei M. Characterization of the cells in the repair tissue of full-thickness articular cartilage defects. </w:t>
      </w:r>
      <w:r w:rsidRPr="007B43A9">
        <w:rPr>
          <w:rFonts w:ascii="Book Antiqua" w:hAnsi="Book Antiqua"/>
          <w:i/>
          <w:color w:val="000000" w:themeColor="text1"/>
        </w:rPr>
        <w:t>Histochem Cell Biol</w:t>
      </w:r>
      <w:r w:rsidRPr="007B43A9">
        <w:rPr>
          <w:rFonts w:ascii="Book Antiqua" w:hAnsi="Book Antiqua"/>
          <w:color w:val="000000" w:themeColor="text1"/>
        </w:rPr>
        <w:t xml:space="preserve"> 1998; </w:t>
      </w:r>
      <w:r w:rsidRPr="007B43A9">
        <w:rPr>
          <w:rFonts w:ascii="Book Antiqua" w:hAnsi="Book Antiqua"/>
          <w:b/>
          <w:color w:val="000000" w:themeColor="text1"/>
        </w:rPr>
        <w:t>109</w:t>
      </w:r>
      <w:r w:rsidRPr="007B43A9">
        <w:rPr>
          <w:rFonts w:ascii="Book Antiqua" w:hAnsi="Book Antiqua"/>
          <w:color w:val="000000" w:themeColor="text1"/>
        </w:rPr>
        <w:t>: 331-338 [PMID: 9562382 DOI: 10.1007/s004180050233]</w:t>
      </w:r>
    </w:p>
    <w:p w14:paraId="69EB8D6B"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57 </w:t>
      </w:r>
      <w:r w:rsidRPr="007B43A9">
        <w:rPr>
          <w:rFonts w:ascii="Book Antiqua" w:hAnsi="Book Antiqua"/>
          <w:b/>
          <w:color w:val="000000" w:themeColor="text1"/>
        </w:rPr>
        <w:t>Lee HH</w:t>
      </w:r>
      <w:r w:rsidRPr="007B43A9">
        <w:rPr>
          <w:rFonts w:ascii="Book Antiqua" w:hAnsi="Book Antiqua"/>
          <w:color w:val="000000" w:themeColor="text1"/>
        </w:rPr>
        <w:t xml:space="preserve">, O'Malley MJ, Friel NA, Chu CR. Effects of doxycycline on mesenchymal stem cell chondrogenesis and cartilage repair. </w:t>
      </w:r>
      <w:r w:rsidRPr="007B43A9">
        <w:rPr>
          <w:rFonts w:ascii="Book Antiqua" w:hAnsi="Book Antiqua"/>
          <w:i/>
          <w:color w:val="000000" w:themeColor="text1"/>
        </w:rPr>
        <w:t>Osteoarthritis Cartilage</w:t>
      </w:r>
      <w:r w:rsidRPr="007B43A9">
        <w:rPr>
          <w:rFonts w:ascii="Book Antiqua" w:hAnsi="Book Antiqua"/>
          <w:color w:val="000000" w:themeColor="text1"/>
        </w:rPr>
        <w:t xml:space="preserve"> 2013; </w:t>
      </w:r>
      <w:r w:rsidRPr="007B43A9">
        <w:rPr>
          <w:rFonts w:ascii="Book Antiqua" w:hAnsi="Book Antiqua"/>
          <w:b/>
          <w:color w:val="000000" w:themeColor="text1"/>
        </w:rPr>
        <w:t>21</w:t>
      </w:r>
      <w:r w:rsidRPr="007B43A9">
        <w:rPr>
          <w:rFonts w:ascii="Book Antiqua" w:hAnsi="Book Antiqua"/>
          <w:color w:val="000000" w:themeColor="text1"/>
        </w:rPr>
        <w:t>: 385-393 [PMID: 23186943 DOI: 10.1016/j.joca.2012.11.010]</w:t>
      </w:r>
    </w:p>
    <w:p w14:paraId="0C9D250B"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58 </w:t>
      </w:r>
      <w:r w:rsidRPr="007B43A9">
        <w:rPr>
          <w:rFonts w:ascii="Book Antiqua" w:hAnsi="Book Antiqua"/>
          <w:b/>
          <w:color w:val="000000" w:themeColor="text1"/>
        </w:rPr>
        <w:t>Hojo H</w:t>
      </w:r>
      <w:r w:rsidRPr="007B43A9">
        <w:rPr>
          <w:rFonts w:ascii="Book Antiqua" w:hAnsi="Book Antiqua"/>
          <w:color w:val="000000" w:themeColor="text1"/>
        </w:rPr>
        <w:t xml:space="preserve">, Yano F, Ohba S, Igawa K, Nakajima K, Komiyama Y, Kan A, Ikeda T, Yonezawa T, Woo JT, Takato T, Nakamura K, Kawaguchi H, Chung UI. Identification of oxytetracycline as a chondrogenic compound using a cell-based screening system. </w:t>
      </w:r>
      <w:r w:rsidRPr="007B43A9">
        <w:rPr>
          <w:rFonts w:ascii="Book Antiqua" w:hAnsi="Book Antiqua"/>
          <w:i/>
          <w:color w:val="000000" w:themeColor="text1"/>
        </w:rPr>
        <w:t>J Bone Miner Metab</w:t>
      </w:r>
      <w:r w:rsidRPr="007B43A9">
        <w:rPr>
          <w:rFonts w:ascii="Book Antiqua" w:hAnsi="Book Antiqua"/>
          <w:color w:val="000000" w:themeColor="text1"/>
        </w:rPr>
        <w:t xml:space="preserve"> 2010; </w:t>
      </w:r>
      <w:r w:rsidRPr="007B43A9">
        <w:rPr>
          <w:rFonts w:ascii="Book Antiqua" w:hAnsi="Book Antiqua"/>
          <w:b/>
          <w:color w:val="000000" w:themeColor="text1"/>
        </w:rPr>
        <w:t>28</w:t>
      </w:r>
      <w:r w:rsidRPr="007B43A9">
        <w:rPr>
          <w:rFonts w:ascii="Book Antiqua" w:hAnsi="Book Antiqua"/>
          <w:color w:val="000000" w:themeColor="text1"/>
        </w:rPr>
        <w:t>: 627-633 [PMID: 20376510 DOI: 10.1007/s00774-010-0179-y]</w:t>
      </w:r>
    </w:p>
    <w:p w14:paraId="03A2C6A8"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59 </w:t>
      </w:r>
      <w:r w:rsidRPr="007B43A9">
        <w:rPr>
          <w:rFonts w:ascii="Book Antiqua" w:hAnsi="Book Antiqua"/>
          <w:b/>
          <w:color w:val="000000" w:themeColor="text1"/>
        </w:rPr>
        <w:t>Cao Z</w:t>
      </w:r>
      <w:r w:rsidRPr="007B43A9">
        <w:rPr>
          <w:rFonts w:ascii="Book Antiqua" w:hAnsi="Book Antiqua"/>
          <w:color w:val="000000" w:themeColor="text1"/>
        </w:rPr>
        <w:t xml:space="preserve">, Dou C, Li J, Tang X, Xiang J, Zhao C, Zhu L, Bai Y, Xiang Q, Dong S. Cordycepin inhibits chondrocyte hypertrophy of mesenchymal stem cells through PI3K/Bapx1 and Notch signaling pathway. </w:t>
      </w:r>
      <w:r w:rsidRPr="007B43A9">
        <w:rPr>
          <w:rFonts w:ascii="Book Antiqua" w:hAnsi="Book Antiqua"/>
          <w:i/>
          <w:color w:val="000000" w:themeColor="text1"/>
        </w:rPr>
        <w:t>BMB Rep</w:t>
      </w:r>
      <w:r w:rsidRPr="007B43A9">
        <w:rPr>
          <w:rFonts w:ascii="Book Antiqua" w:hAnsi="Book Antiqua"/>
          <w:color w:val="000000" w:themeColor="text1"/>
        </w:rPr>
        <w:t xml:space="preserve"> 2016; </w:t>
      </w:r>
      <w:r w:rsidRPr="007B43A9">
        <w:rPr>
          <w:rFonts w:ascii="Book Antiqua" w:hAnsi="Book Antiqua"/>
          <w:b/>
          <w:color w:val="000000" w:themeColor="text1"/>
        </w:rPr>
        <w:t>49</w:t>
      </w:r>
      <w:r w:rsidRPr="007B43A9">
        <w:rPr>
          <w:rFonts w:ascii="Book Antiqua" w:hAnsi="Book Antiqua"/>
          <w:color w:val="000000" w:themeColor="text1"/>
        </w:rPr>
        <w:t>: 548-553 [PMID: 27439604 DOI: 10.5483/BMBRep.2016.49.10.071]</w:t>
      </w:r>
    </w:p>
    <w:p w14:paraId="16ABBC3A"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60 </w:t>
      </w:r>
      <w:r w:rsidRPr="007B43A9">
        <w:rPr>
          <w:rFonts w:ascii="Book Antiqua" w:hAnsi="Book Antiqua"/>
          <w:b/>
          <w:color w:val="000000" w:themeColor="text1"/>
        </w:rPr>
        <w:t>Takayama Y</w:t>
      </w:r>
      <w:r w:rsidRPr="007B43A9">
        <w:rPr>
          <w:rFonts w:ascii="Book Antiqua" w:hAnsi="Book Antiqua"/>
          <w:color w:val="000000" w:themeColor="text1"/>
        </w:rPr>
        <w:t xml:space="preserve">, Mizumachi K. Inhibitory effect of lactoferrin on hypertrophic differentiation of ATDC5 mouse chondroprogenitor cells. </w:t>
      </w:r>
      <w:r w:rsidRPr="007B43A9">
        <w:rPr>
          <w:rFonts w:ascii="Book Antiqua" w:hAnsi="Book Antiqua"/>
          <w:i/>
          <w:color w:val="000000" w:themeColor="text1"/>
        </w:rPr>
        <w:t>Biometals</w:t>
      </w:r>
      <w:r w:rsidRPr="007B43A9">
        <w:rPr>
          <w:rFonts w:ascii="Book Antiqua" w:hAnsi="Book Antiqua"/>
          <w:color w:val="000000" w:themeColor="text1"/>
        </w:rPr>
        <w:t xml:space="preserve"> 2010; </w:t>
      </w:r>
      <w:r w:rsidRPr="007B43A9">
        <w:rPr>
          <w:rFonts w:ascii="Book Antiqua" w:hAnsi="Book Antiqua"/>
          <w:b/>
          <w:color w:val="000000" w:themeColor="text1"/>
        </w:rPr>
        <w:t>23</w:t>
      </w:r>
      <w:r w:rsidRPr="007B43A9">
        <w:rPr>
          <w:rFonts w:ascii="Book Antiqua" w:hAnsi="Book Antiqua"/>
          <w:color w:val="000000" w:themeColor="text1"/>
        </w:rPr>
        <w:t>: 477-484 [PMID: 20094900 DOI: 10.1007/s10534-010-9291-7]</w:t>
      </w:r>
    </w:p>
    <w:p w14:paraId="5560C274"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61 </w:t>
      </w:r>
      <w:r w:rsidRPr="007B43A9">
        <w:rPr>
          <w:rFonts w:ascii="Book Antiqua" w:hAnsi="Book Antiqua"/>
          <w:b/>
          <w:color w:val="000000" w:themeColor="text1"/>
        </w:rPr>
        <w:t>Garrison JC</w:t>
      </w:r>
      <w:r w:rsidRPr="007B43A9">
        <w:rPr>
          <w:rFonts w:ascii="Book Antiqua" w:hAnsi="Book Antiqua"/>
          <w:color w:val="000000" w:themeColor="text1"/>
        </w:rPr>
        <w:t xml:space="preserve">, Pettit GR, Uyeki EM. Effect of phorbol and bryostatin I on chondrogenic expression of chick limb bud, in vitro. </w:t>
      </w:r>
      <w:r w:rsidRPr="007B43A9">
        <w:rPr>
          <w:rFonts w:ascii="Book Antiqua" w:hAnsi="Book Antiqua"/>
          <w:i/>
          <w:color w:val="000000" w:themeColor="text1"/>
        </w:rPr>
        <w:t>Life Sci</w:t>
      </w:r>
      <w:r w:rsidRPr="007B43A9">
        <w:rPr>
          <w:rFonts w:ascii="Book Antiqua" w:hAnsi="Book Antiqua"/>
          <w:color w:val="000000" w:themeColor="text1"/>
        </w:rPr>
        <w:t xml:space="preserve"> 1987; </w:t>
      </w:r>
      <w:r w:rsidRPr="007B43A9">
        <w:rPr>
          <w:rFonts w:ascii="Book Antiqua" w:hAnsi="Book Antiqua"/>
          <w:b/>
          <w:color w:val="000000" w:themeColor="text1"/>
        </w:rPr>
        <w:t>41</w:t>
      </w:r>
      <w:r w:rsidRPr="007B43A9">
        <w:rPr>
          <w:rFonts w:ascii="Book Antiqua" w:hAnsi="Book Antiqua"/>
          <w:color w:val="000000" w:themeColor="text1"/>
        </w:rPr>
        <w:t>: 2055-2061 [PMID: 3118121 DOI: 10.1016/0024-3205(87)90480-2]</w:t>
      </w:r>
    </w:p>
    <w:p w14:paraId="7C10BD9E"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62 </w:t>
      </w:r>
      <w:r w:rsidRPr="007B43A9">
        <w:rPr>
          <w:rFonts w:ascii="Book Antiqua" w:hAnsi="Book Antiqua"/>
          <w:b/>
          <w:color w:val="000000" w:themeColor="text1"/>
        </w:rPr>
        <w:t>Wang JP</w:t>
      </w:r>
      <w:r w:rsidRPr="007B43A9">
        <w:rPr>
          <w:rFonts w:ascii="Book Antiqua" w:hAnsi="Book Antiqua"/>
          <w:color w:val="000000" w:themeColor="text1"/>
        </w:rPr>
        <w:t xml:space="preserve">, Wen MH, Chen YT, Lee HH, Chiang ER, Lee YT, Liu CL, Chen TH, Hung SC. Trichostatin A inhibits TGF-β1 induced in vitro chondrogenesis of hMSCs through Sp1 suppression. </w:t>
      </w:r>
      <w:r w:rsidRPr="007B43A9">
        <w:rPr>
          <w:rFonts w:ascii="Book Antiqua" w:hAnsi="Book Antiqua"/>
          <w:i/>
          <w:color w:val="000000" w:themeColor="text1"/>
        </w:rPr>
        <w:t>Differentiation</w:t>
      </w:r>
      <w:r w:rsidRPr="007B43A9">
        <w:rPr>
          <w:rFonts w:ascii="Book Antiqua" w:hAnsi="Book Antiqua"/>
          <w:color w:val="000000" w:themeColor="text1"/>
        </w:rPr>
        <w:t xml:space="preserve"> 2011; </w:t>
      </w:r>
      <w:r w:rsidRPr="007B43A9">
        <w:rPr>
          <w:rFonts w:ascii="Book Antiqua" w:hAnsi="Book Antiqua"/>
          <w:b/>
          <w:color w:val="000000" w:themeColor="text1"/>
        </w:rPr>
        <w:t>81</w:t>
      </w:r>
      <w:r w:rsidRPr="007B43A9">
        <w:rPr>
          <w:rFonts w:ascii="Book Antiqua" w:hAnsi="Book Antiqua"/>
          <w:color w:val="000000" w:themeColor="text1"/>
        </w:rPr>
        <w:t>: 119-126 [PMID: 21074928 DOI: 10.1016/j.diff.2010.10.003]</w:t>
      </w:r>
    </w:p>
    <w:p w14:paraId="294762AA"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63 </w:t>
      </w:r>
      <w:r w:rsidRPr="007B43A9">
        <w:rPr>
          <w:rFonts w:ascii="Book Antiqua" w:hAnsi="Book Antiqua"/>
          <w:b/>
          <w:color w:val="000000" w:themeColor="text1"/>
        </w:rPr>
        <w:t>Gimble JM</w:t>
      </w:r>
      <w:r w:rsidRPr="007B43A9">
        <w:rPr>
          <w:rFonts w:ascii="Book Antiqua" w:hAnsi="Book Antiqua"/>
          <w:color w:val="000000" w:themeColor="text1"/>
        </w:rPr>
        <w:t xml:space="preserve">, Robinson CE, Wu X, Kelly KA. The function of adipocytes in the bone marrow stroma: an update. </w:t>
      </w:r>
      <w:r w:rsidRPr="007B43A9">
        <w:rPr>
          <w:rFonts w:ascii="Book Antiqua" w:hAnsi="Book Antiqua"/>
          <w:i/>
          <w:color w:val="000000" w:themeColor="text1"/>
        </w:rPr>
        <w:t>Bone</w:t>
      </w:r>
      <w:r w:rsidRPr="007B43A9">
        <w:rPr>
          <w:rFonts w:ascii="Book Antiqua" w:hAnsi="Book Antiqua"/>
          <w:color w:val="000000" w:themeColor="text1"/>
        </w:rPr>
        <w:t xml:space="preserve"> 1996; </w:t>
      </w:r>
      <w:r w:rsidRPr="007B43A9">
        <w:rPr>
          <w:rFonts w:ascii="Book Antiqua" w:hAnsi="Book Antiqua"/>
          <w:b/>
          <w:color w:val="000000" w:themeColor="text1"/>
        </w:rPr>
        <w:t>19</w:t>
      </w:r>
      <w:r w:rsidRPr="007B43A9">
        <w:rPr>
          <w:rFonts w:ascii="Book Antiqua" w:hAnsi="Book Antiqua"/>
          <w:color w:val="000000" w:themeColor="text1"/>
        </w:rPr>
        <w:t>: 421-428 [PMID: 8922639 DOI: 10.1016/S8756-3282(96)00258-X]</w:t>
      </w:r>
    </w:p>
    <w:p w14:paraId="32A0EECC" w14:textId="64840B1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64 </w:t>
      </w:r>
      <w:r w:rsidRPr="007B43A9">
        <w:rPr>
          <w:rFonts w:ascii="Book Antiqua" w:hAnsi="Book Antiqua"/>
          <w:b/>
          <w:color w:val="000000" w:themeColor="text1"/>
        </w:rPr>
        <w:t>Valenti MT</w:t>
      </w:r>
      <w:r w:rsidRPr="007B43A9">
        <w:rPr>
          <w:rFonts w:ascii="Book Antiqua" w:hAnsi="Book Antiqua"/>
          <w:color w:val="000000" w:themeColor="text1"/>
        </w:rPr>
        <w:t xml:space="preserve">, Dalle Carbonare L, Mottes M. Osteogenic Differentiation in Healthy and Pathological Conditions. </w:t>
      </w:r>
      <w:r w:rsidRPr="007B43A9">
        <w:rPr>
          <w:rFonts w:ascii="Book Antiqua" w:hAnsi="Book Antiqua"/>
          <w:i/>
          <w:color w:val="000000" w:themeColor="text1"/>
        </w:rPr>
        <w:t>Int J Mol Sci</w:t>
      </w:r>
      <w:r w:rsidRPr="007B43A9">
        <w:rPr>
          <w:rFonts w:ascii="Book Antiqua" w:hAnsi="Book Antiqua"/>
          <w:color w:val="000000" w:themeColor="text1"/>
        </w:rPr>
        <w:t xml:space="preserve"> 2016; </w:t>
      </w:r>
      <w:r w:rsidRPr="007B43A9">
        <w:rPr>
          <w:rFonts w:ascii="Book Antiqua" w:hAnsi="Book Antiqua"/>
          <w:b/>
          <w:color w:val="000000" w:themeColor="text1"/>
        </w:rPr>
        <w:t>18</w:t>
      </w:r>
      <w:r w:rsidRPr="007B43A9">
        <w:rPr>
          <w:rFonts w:ascii="Book Antiqua" w:hAnsi="Book Antiqua"/>
          <w:color w:val="000000" w:themeColor="text1"/>
        </w:rPr>
        <w:t xml:space="preserve">: </w:t>
      </w:r>
      <w:r w:rsidR="00DC2205" w:rsidRPr="007B43A9">
        <w:rPr>
          <w:rFonts w:ascii="Book Antiqua" w:hAnsi="Book Antiqua"/>
          <w:color w:val="000000" w:themeColor="text1"/>
        </w:rPr>
        <w:t>pii: E41</w:t>
      </w:r>
      <w:r w:rsidRPr="007B43A9">
        <w:rPr>
          <w:rFonts w:ascii="Book Antiqua" w:hAnsi="Book Antiqua"/>
          <w:color w:val="000000" w:themeColor="text1"/>
        </w:rPr>
        <w:t xml:space="preserve"> [PMID: 28035992 DOI: 10.3390/ijms18010041]</w:t>
      </w:r>
    </w:p>
    <w:p w14:paraId="62F5D62F"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65 </w:t>
      </w:r>
      <w:r w:rsidRPr="007B43A9">
        <w:rPr>
          <w:rFonts w:ascii="Book Antiqua" w:hAnsi="Book Antiqua"/>
          <w:b/>
          <w:color w:val="000000" w:themeColor="text1"/>
        </w:rPr>
        <w:t>Naveiras O</w:t>
      </w:r>
      <w:r w:rsidRPr="007B43A9">
        <w:rPr>
          <w:rFonts w:ascii="Book Antiqua" w:hAnsi="Book Antiqua"/>
          <w:color w:val="000000" w:themeColor="text1"/>
        </w:rPr>
        <w:t xml:space="preserve">, Nardi V, Wenzel PL, Hauschka PV, Fahey F, Daley GQ. Bone-marrow adipocytes as negative regulators of the haematopoietic microenvironment. </w:t>
      </w:r>
      <w:r w:rsidRPr="007B43A9">
        <w:rPr>
          <w:rFonts w:ascii="Book Antiqua" w:hAnsi="Book Antiqua"/>
          <w:i/>
          <w:color w:val="000000" w:themeColor="text1"/>
        </w:rPr>
        <w:t>Nature</w:t>
      </w:r>
      <w:r w:rsidRPr="007B43A9">
        <w:rPr>
          <w:rFonts w:ascii="Book Antiqua" w:hAnsi="Book Antiqua"/>
          <w:color w:val="000000" w:themeColor="text1"/>
        </w:rPr>
        <w:t xml:space="preserve"> 2009; </w:t>
      </w:r>
      <w:r w:rsidRPr="007B43A9">
        <w:rPr>
          <w:rFonts w:ascii="Book Antiqua" w:hAnsi="Book Antiqua"/>
          <w:b/>
          <w:color w:val="000000" w:themeColor="text1"/>
        </w:rPr>
        <w:t>460</w:t>
      </w:r>
      <w:r w:rsidRPr="007B43A9">
        <w:rPr>
          <w:rFonts w:ascii="Book Antiqua" w:hAnsi="Book Antiqua"/>
          <w:color w:val="000000" w:themeColor="text1"/>
        </w:rPr>
        <w:t>: 259-263 [PMID: 19516257 DOI: 10.1038/nature08099]</w:t>
      </w:r>
    </w:p>
    <w:p w14:paraId="0C26AD42"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66 </w:t>
      </w:r>
      <w:r w:rsidRPr="007B43A9">
        <w:rPr>
          <w:rFonts w:ascii="Book Antiqua" w:hAnsi="Book Antiqua"/>
          <w:b/>
          <w:color w:val="000000" w:themeColor="text1"/>
        </w:rPr>
        <w:t>Wang C</w:t>
      </w:r>
      <w:r w:rsidRPr="007B43A9">
        <w:rPr>
          <w:rFonts w:ascii="Book Antiqua" w:hAnsi="Book Antiqua"/>
          <w:color w:val="000000" w:themeColor="text1"/>
        </w:rPr>
        <w:t xml:space="preserve">, Meng H, Wang X, Zhao C, Peng J, Wang Y. Differentiation of Bone Marrow Mesenchymal Stem Cells in Osteoblasts and Adipocytes and its Role in Treatment of Osteoporosis. </w:t>
      </w:r>
      <w:r w:rsidRPr="007B43A9">
        <w:rPr>
          <w:rFonts w:ascii="Book Antiqua" w:hAnsi="Book Antiqua"/>
          <w:i/>
          <w:color w:val="000000" w:themeColor="text1"/>
        </w:rPr>
        <w:t>Med Sci Monit</w:t>
      </w:r>
      <w:r w:rsidRPr="007B43A9">
        <w:rPr>
          <w:rFonts w:ascii="Book Antiqua" w:hAnsi="Book Antiqua"/>
          <w:color w:val="000000" w:themeColor="text1"/>
        </w:rPr>
        <w:t xml:space="preserve"> 2016; </w:t>
      </w:r>
      <w:r w:rsidRPr="007B43A9">
        <w:rPr>
          <w:rFonts w:ascii="Book Antiqua" w:hAnsi="Book Antiqua"/>
          <w:b/>
          <w:color w:val="000000" w:themeColor="text1"/>
        </w:rPr>
        <w:t>22</w:t>
      </w:r>
      <w:r w:rsidRPr="007B43A9">
        <w:rPr>
          <w:rFonts w:ascii="Book Antiqua" w:hAnsi="Book Antiqua"/>
          <w:color w:val="000000" w:themeColor="text1"/>
        </w:rPr>
        <w:t>: 226-233 [PMID: 26795027 DOI: 10.12659/MSM.897044]</w:t>
      </w:r>
    </w:p>
    <w:p w14:paraId="42D16AD5"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67 </w:t>
      </w:r>
      <w:r w:rsidRPr="007B43A9">
        <w:rPr>
          <w:rFonts w:ascii="Book Antiqua" w:hAnsi="Book Antiqua"/>
          <w:b/>
          <w:color w:val="000000" w:themeColor="text1"/>
        </w:rPr>
        <w:t>Chen Y</w:t>
      </w:r>
      <w:r w:rsidRPr="007B43A9">
        <w:rPr>
          <w:rFonts w:ascii="Book Antiqua" w:hAnsi="Book Antiqua"/>
          <w:color w:val="000000" w:themeColor="text1"/>
        </w:rPr>
        <w:t xml:space="preserve">, Xue P, Hou Y, Zhang H, Zheng H, Zhou T, Qu W, Teng W, Zhang Q, Andersen ME, Pi J. Isoniazid suppresses antioxidant response element activities and impairs adipogenesis in mouse and human preadipocytes. </w:t>
      </w:r>
      <w:r w:rsidRPr="007B43A9">
        <w:rPr>
          <w:rFonts w:ascii="Book Antiqua" w:hAnsi="Book Antiqua"/>
          <w:i/>
          <w:color w:val="000000" w:themeColor="text1"/>
        </w:rPr>
        <w:t>Toxicol Appl Pharmacol</w:t>
      </w:r>
      <w:r w:rsidRPr="007B43A9">
        <w:rPr>
          <w:rFonts w:ascii="Book Antiqua" w:hAnsi="Book Antiqua"/>
          <w:color w:val="000000" w:themeColor="text1"/>
        </w:rPr>
        <w:t xml:space="preserve"> 2013; </w:t>
      </w:r>
      <w:r w:rsidRPr="007B43A9">
        <w:rPr>
          <w:rFonts w:ascii="Book Antiqua" w:hAnsi="Book Antiqua"/>
          <w:b/>
          <w:color w:val="000000" w:themeColor="text1"/>
        </w:rPr>
        <w:t>273</w:t>
      </w:r>
      <w:r w:rsidRPr="007B43A9">
        <w:rPr>
          <w:rFonts w:ascii="Book Antiqua" w:hAnsi="Book Antiqua"/>
          <w:color w:val="000000" w:themeColor="text1"/>
        </w:rPr>
        <w:t>: 435-441 [PMID: 24128855 DOI: 10.1016/j.taap.2013.10.005]</w:t>
      </w:r>
    </w:p>
    <w:p w14:paraId="76FC4D82"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68 </w:t>
      </w:r>
      <w:r w:rsidRPr="007B43A9">
        <w:rPr>
          <w:rFonts w:ascii="Book Antiqua" w:hAnsi="Book Antiqua"/>
          <w:b/>
          <w:color w:val="000000" w:themeColor="text1"/>
        </w:rPr>
        <w:t>Goralczyk A</w:t>
      </w:r>
      <w:r w:rsidRPr="007B43A9">
        <w:rPr>
          <w:rFonts w:ascii="Book Antiqua" w:hAnsi="Book Antiqua"/>
          <w:color w:val="000000" w:themeColor="text1"/>
        </w:rPr>
        <w:t xml:space="preserve">, van Vijven M, Koch M, Badowski C, Yassin MS, Toh SA, Shabbir A, Franco-Obregón A, Raghunath M. TRP channels in brown and white adipogenesis from human progenitors: new therapeutic targets and the caveats associated with the common antibiotic, streptomycin. </w:t>
      </w:r>
      <w:r w:rsidRPr="007B43A9">
        <w:rPr>
          <w:rFonts w:ascii="Book Antiqua" w:hAnsi="Book Antiqua"/>
          <w:i/>
          <w:color w:val="000000" w:themeColor="text1"/>
        </w:rPr>
        <w:t>FASEB J</w:t>
      </w:r>
      <w:r w:rsidRPr="007B43A9">
        <w:rPr>
          <w:rFonts w:ascii="Book Antiqua" w:hAnsi="Book Antiqua"/>
          <w:color w:val="000000" w:themeColor="text1"/>
        </w:rPr>
        <w:t xml:space="preserve"> 2017; </w:t>
      </w:r>
      <w:r w:rsidRPr="007B43A9">
        <w:rPr>
          <w:rFonts w:ascii="Book Antiqua" w:hAnsi="Book Antiqua"/>
          <w:b/>
          <w:color w:val="000000" w:themeColor="text1"/>
        </w:rPr>
        <w:t>31</w:t>
      </w:r>
      <w:r w:rsidRPr="007B43A9">
        <w:rPr>
          <w:rFonts w:ascii="Book Antiqua" w:hAnsi="Book Antiqua"/>
          <w:color w:val="000000" w:themeColor="text1"/>
        </w:rPr>
        <w:t>: 3251-3266 [PMID: 28416581 DOI: 10.1096/fj.201601081RR]</w:t>
      </w:r>
    </w:p>
    <w:p w14:paraId="48367627"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69 </w:t>
      </w:r>
      <w:r w:rsidRPr="007B43A9">
        <w:rPr>
          <w:rFonts w:ascii="Book Antiqua" w:hAnsi="Book Antiqua"/>
          <w:b/>
          <w:color w:val="000000" w:themeColor="text1"/>
        </w:rPr>
        <w:t>Kim MO</w:t>
      </w:r>
      <w:r w:rsidRPr="007B43A9">
        <w:rPr>
          <w:rFonts w:ascii="Book Antiqua" w:hAnsi="Book Antiqua"/>
          <w:color w:val="000000" w:themeColor="text1"/>
        </w:rPr>
        <w:t xml:space="preserve">, Ryu HW, Choi JH, Son TH, Oh SR, Lee HS, Yuk HJ, Cho S, Kang JS, Lee CW, Lee J, Lee CK, Hong ST, Lee SU. Anti-Obesity Effects of Spiramycin In Vitro and In Vivo. </w:t>
      </w:r>
      <w:r w:rsidRPr="007B43A9">
        <w:rPr>
          <w:rFonts w:ascii="Book Antiqua" w:hAnsi="Book Antiqua"/>
          <w:i/>
          <w:color w:val="000000" w:themeColor="text1"/>
        </w:rPr>
        <w:t>PLoS One</w:t>
      </w:r>
      <w:r w:rsidRPr="007B43A9">
        <w:rPr>
          <w:rFonts w:ascii="Book Antiqua" w:hAnsi="Book Antiqua"/>
          <w:color w:val="000000" w:themeColor="text1"/>
        </w:rPr>
        <w:t xml:space="preserve"> 2016; </w:t>
      </w:r>
      <w:r w:rsidRPr="007B43A9">
        <w:rPr>
          <w:rFonts w:ascii="Book Antiqua" w:hAnsi="Book Antiqua"/>
          <w:b/>
          <w:color w:val="000000" w:themeColor="text1"/>
        </w:rPr>
        <w:t>11</w:t>
      </w:r>
      <w:r w:rsidRPr="007B43A9">
        <w:rPr>
          <w:rFonts w:ascii="Book Antiqua" w:hAnsi="Book Antiqua"/>
          <w:color w:val="000000" w:themeColor="text1"/>
        </w:rPr>
        <w:t>: e0158632 [PMID: 27398599 DOI: 10.1371/journal.pone.0158632]</w:t>
      </w:r>
    </w:p>
    <w:p w14:paraId="6C5F8ECE"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70 </w:t>
      </w:r>
      <w:r w:rsidRPr="007B43A9">
        <w:rPr>
          <w:rFonts w:ascii="Book Antiqua" w:hAnsi="Book Antiqua"/>
          <w:b/>
          <w:color w:val="000000" w:themeColor="text1"/>
        </w:rPr>
        <w:t>Desarzens S</w:t>
      </w:r>
      <w:r w:rsidRPr="007B43A9">
        <w:rPr>
          <w:rFonts w:ascii="Book Antiqua" w:hAnsi="Book Antiqua"/>
          <w:color w:val="000000" w:themeColor="text1"/>
        </w:rPr>
        <w:t xml:space="preserve">, Liao WH, Mammi C, Caprio M, Faresse N. Hsp90 blockers inhibit adipocyte differentiation and fat mass accumulation. </w:t>
      </w:r>
      <w:r w:rsidRPr="007B43A9">
        <w:rPr>
          <w:rFonts w:ascii="Book Antiqua" w:hAnsi="Book Antiqua"/>
          <w:i/>
          <w:color w:val="000000" w:themeColor="text1"/>
        </w:rPr>
        <w:t>PLoS One</w:t>
      </w:r>
      <w:r w:rsidRPr="007B43A9">
        <w:rPr>
          <w:rFonts w:ascii="Book Antiqua" w:hAnsi="Book Antiqua"/>
          <w:color w:val="000000" w:themeColor="text1"/>
        </w:rPr>
        <w:t xml:space="preserve"> 2014; </w:t>
      </w:r>
      <w:r w:rsidRPr="007B43A9">
        <w:rPr>
          <w:rFonts w:ascii="Book Antiqua" w:hAnsi="Book Antiqua"/>
          <w:b/>
          <w:color w:val="000000" w:themeColor="text1"/>
        </w:rPr>
        <w:t>9</w:t>
      </w:r>
      <w:r w:rsidRPr="007B43A9">
        <w:rPr>
          <w:rFonts w:ascii="Book Antiqua" w:hAnsi="Book Antiqua"/>
          <w:color w:val="000000" w:themeColor="text1"/>
        </w:rPr>
        <w:t>: e94127 [PMID: 24705830 DOI: 10.1371/journal.pone.0094127]</w:t>
      </w:r>
    </w:p>
    <w:p w14:paraId="28F67078"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71 </w:t>
      </w:r>
      <w:r w:rsidRPr="007B43A9">
        <w:rPr>
          <w:rFonts w:ascii="Book Antiqua" w:hAnsi="Book Antiqua"/>
          <w:b/>
          <w:color w:val="000000" w:themeColor="text1"/>
        </w:rPr>
        <w:t>Yagi M</w:t>
      </w:r>
      <w:r w:rsidRPr="007B43A9">
        <w:rPr>
          <w:rFonts w:ascii="Book Antiqua" w:hAnsi="Book Antiqua"/>
          <w:color w:val="000000" w:themeColor="text1"/>
        </w:rPr>
        <w:t xml:space="preserve">, Suzuki N, Takayama T, Arisue M, Kodama T, Yoda Y, Numasaki H, Otsuka K, Ito K. Lactoferrin suppress the adipogenic differentiation of MC3T3-G2/PA6 cells. </w:t>
      </w:r>
      <w:r w:rsidRPr="007B43A9">
        <w:rPr>
          <w:rFonts w:ascii="Book Antiqua" w:hAnsi="Book Antiqua"/>
          <w:i/>
          <w:color w:val="000000" w:themeColor="text1"/>
        </w:rPr>
        <w:t>J Oral Sci</w:t>
      </w:r>
      <w:r w:rsidRPr="007B43A9">
        <w:rPr>
          <w:rFonts w:ascii="Book Antiqua" w:hAnsi="Book Antiqua"/>
          <w:color w:val="000000" w:themeColor="text1"/>
        </w:rPr>
        <w:t xml:space="preserve"> 2008; </w:t>
      </w:r>
      <w:r w:rsidRPr="007B43A9">
        <w:rPr>
          <w:rFonts w:ascii="Book Antiqua" w:hAnsi="Book Antiqua"/>
          <w:b/>
          <w:color w:val="000000" w:themeColor="text1"/>
        </w:rPr>
        <w:t>50</w:t>
      </w:r>
      <w:r w:rsidRPr="007B43A9">
        <w:rPr>
          <w:rFonts w:ascii="Book Antiqua" w:hAnsi="Book Antiqua"/>
          <w:color w:val="000000" w:themeColor="text1"/>
        </w:rPr>
        <w:t>: 419-425 [PMID: 19106469 DOI: 10.2334/josnusd.50.419]</w:t>
      </w:r>
    </w:p>
    <w:p w14:paraId="11457A59"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72 </w:t>
      </w:r>
      <w:r w:rsidRPr="007B43A9">
        <w:rPr>
          <w:rFonts w:ascii="Book Antiqua" w:hAnsi="Book Antiqua"/>
          <w:b/>
          <w:color w:val="000000" w:themeColor="text1"/>
        </w:rPr>
        <w:t>Yagi M</w:t>
      </w:r>
      <w:r w:rsidRPr="007B43A9">
        <w:rPr>
          <w:rFonts w:ascii="Book Antiqua" w:hAnsi="Book Antiqua"/>
          <w:color w:val="000000" w:themeColor="text1"/>
        </w:rPr>
        <w:t xml:space="preserve">, Suzuki N, Takayama T, Arisue M, Kodama T, Yoda Y, Otsuka K, Ito K. Effects of lactoferrin on the differentiation of pluripotent mesenchymal cells. </w:t>
      </w:r>
      <w:r w:rsidRPr="007B43A9">
        <w:rPr>
          <w:rFonts w:ascii="Book Antiqua" w:hAnsi="Book Antiqua"/>
          <w:i/>
          <w:color w:val="000000" w:themeColor="text1"/>
        </w:rPr>
        <w:t>Cell Biol Int</w:t>
      </w:r>
      <w:r w:rsidRPr="007B43A9">
        <w:rPr>
          <w:rFonts w:ascii="Book Antiqua" w:hAnsi="Book Antiqua"/>
          <w:color w:val="000000" w:themeColor="text1"/>
        </w:rPr>
        <w:t xml:space="preserve"> 2009; </w:t>
      </w:r>
      <w:r w:rsidRPr="007B43A9">
        <w:rPr>
          <w:rFonts w:ascii="Book Antiqua" w:hAnsi="Book Antiqua"/>
          <w:b/>
          <w:color w:val="000000" w:themeColor="text1"/>
        </w:rPr>
        <w:t>33</w:t>
      </w:r>
      <w:r w:rsidRPr="007B43A9">
        <w:rPr>
          <w:rFonts w:ascii="Book Antiqua" w:hAnsi="Book Antiqua"/>
          <w:color w:val="000000" w:themeColor="text1"/>
        </w:rPr>
        <w:t>: 283-289 [PMID: 19103298 DOI: 10.1016/j.cellbi.2008.11.013]</w:t>
      </w:r>
    </w:p>
    <w:p w14:paraId="31735823"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73 </w:t>
      </w:r>
      <w:r w:rsidRPr="007B43A9">
        <w:rPr>
          <w:rFonts w:ascii="Book Antiqua" w:hAnsi="Book Antiqua"/>
          <w:b/>
          <w:color w:val="000000" w:themeColor="text1"/>
        </w:rPr>
        <w:t>Moreno-Navarrete JM</w:t>
      </w:r>
      <w:r w:rsidRPr="007B43A9">
        <w:rPr>
          <w:rFonts w:ascii="Book Antiqua" w:hAnsi="Book Antiqua"/>
          <w:color w:val="000000" w:themeColor="text1"/>
        </w:rPr>
        <w:t xml:space="preserve">, Ortega F, Sabater M, Ricart W, Fernández-Real JM. Proadipogenic effects of lactoferrin in human subcutaneous and visceral preadipocytes. </w:t>
      </w:r>
      <w:r w:rsidRPr="007B43A9">
        <w:rPr>
          <w:rFonts w:ascii="Book Antiqua" w:hAnsi="Book Antiqua"/>
          <w:i/>
          <w:color w:val="000000" w:themeColor="text1"/>
        </w:rPr>
        <w:t>J Nutr Biochem</w:t>
      </w:r>
      <w:r w:rsidRPr="007B43A9">
        <w:rPr>
          <w:rFonts w:ascii="Book Antiqua" w:hAnsi="Book Antiqua"/>
          <w:color w:val="000000" w:themeColor="text1"/>
        </w:rPr>
        <w:t xml:space="preserve"> 2011; </w:t>
      </w:r>
      <w:r w:rsidRPr="007B43A9">
        <w:rPr>
          <w:rFonts w:ascii="Book Antiqua" w:hAnsi="Book Antiqua"/>
          <w:b/>
          <w:color w:val="000000" w:themeColor="text1"/>
        </w:rPr>
        <w:t>22</w:t>
      </w:r>
      <w:r w:rsidRPr="007B43A9">
        <w:rPr>
          <w:rFonts w:ascii="Book Antiqua" w:hAnsi="Book Antiqua"/>
          <w:color w:val="000000" w:themeColor="text1"/>
        </w:rPr>
        <w:t>: 1143-1149 [PMID: 21295959 DOI: 10.1016/j.jnutbio.2010.09.015]</w:t>
      </w:r>
    </w:p>
    <w:p w14:paraId="31090C36"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74 </w:t>
      </w:r>
      <w:r w:rsidRPr="007B43A9">
        <w:rPr>
          <w:rFonts w:ascii="Book Antiqua" w:hAnsi="Book Antiqua"/>
          <w:b/>
          <w:color w:val="000000" w:themeColor="text1"/>
        </w:rPr>
        <w:t>Takahashi S</w:t>
      </w:r>
      <w:r w:rsidRPr="007B43A9">
        <w:rPr>
          <w:rFonts w:ascii="Book Antiqua" w:hAnsi="Book Antiqua"/>
          <w:color w:val="000000" w:themeColor="text1"/>
        </w:rPr>
        <w:t xml:space="preserve">, Tamai M, Nakajima S, Kato H, Johno H, Nakamura T, Kitamura M. Blockade of adipocyte differentiation by cordycepin. </w:t>
      </w:r>
      <w:r w:rsidRPr="007B43A9">
        <w:rPr>
          <w:rFonts w:ascii="Book Antiqua" w:hAnsi="Book Antiqua"/>
          <w:i/>
          <w:color w:val="000000" w:themeColor="text1"/>
        </w:rPr>
        <w:t>Br J Pharmacol</w:t>
      </w:r>
      <w:r w:rsidRPr="007B43A9">
        <w:rPr>
          <w:rFonts w:ascii="Book Antiqua" w:hAnsi="Book Antiqua"/>
          <w:color w:val="000000" w:themeColor="text1"/>
        </w:rPr>
        <w:t xml:space="preserve"> 2012; </w:t>
      </w:r>
      <w:r w:rsidRPr="007B43A9">
        <w:rPr>
          <w:rFonts w:ascii="Book Antiqua" w:hAnsi="Book Antiqua"/>
          <w:b/>
          <w:color w:val="000000" w:themeColor="text1"/>
        </w:rPr>
        <w:t>167</w:t>
      </w:r>
      <w:r w:rsidRPr="007B43A9">
        <w:rPr>
          <w:rFonts w:ascii="Book Antiqua" w:hAnsi="Book Antiqua"/>
          <w:color w:val="000000" w:themeColor="text1"/>
        </w:rPr>
        <w:t>: 561-575 [PMID: 22537056 DOI: 10.1111/j.1476-5381.2012.02005.x]</w:t>
      </w:r>
    </w:p>
    <w:p w14:paraId="432630C2" w14:textId="59B51416"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75 </w:t>
      </w:r>
      <w:r w:rsidRPr="007B43A9">
        <w:rPr>
          <w:rFonts w:ascii="Book Antiqua" w:hAnsi="Book Antiqua"/>
          <w:b/>
          <w:color w:val="000000" w:themeColor="text1"/>
        </w:rPr>
        <w:t>Park YK</w:t>
      </w:r>
      <w:r w:rsidRPr="007B43A9">
        <w:rPr>
          <w:rFonts w:ascii="Book Antiqua" w:hAnsi="Book Antiqua"/>
          <w:color w:val="000000" w:themeColor="text1"/>
        </w:rPr>
        <w:t xml:space="preserve">, Obiang-Obounou BW, Lee J, Lee TY, Bae MA, Hwang KS, Lee KB, Choi JS, Jang BC. Anti-Adipogenic Effects on 3T3-L1 Cells and Zebrafish by Tanshinone IIA. </w:t>
      </w:r>
      <w:r w:rsidRPr="007B43A9">
        <w:rPr>
          <w:rFonts w:ascii="Book Antiqua" w:hAnsi="Book Antiqua"/>
          <w:i/>
          <w:color w:val="000000" w:themeColor="text1"/>
        </w:rPr>
        <w:t>Int J Mol Sci</w:t>
      </w:r>
      <w:r w:rsidRPr="007B43A9">
        <w:rPr>
          <w:rFonts w:ascii="Book Antiqua" w:hAnsi="Book Antiqua"/>
          <w:color w:val="000000" w:themeColor="text1"/>
        </w:rPr>
        <w:t xml:space="preserve"> 2017; </w:t>
      </w:r>
      <w:r w:rsidRPr="007B43A9">
        <w:rPr>
          <w:rFonts w:ascii="Book Antiqua" w:hAnsi="Book Antiqua"/>
          <w:b/>
          <w:color w:val="000000" w:themeColor="text1"/>
        </w:rPr>
        <w:t>18</w:t>
      </w:r>
      <w:r w:rsidRPr="007B43A9">
        <w:rPr>
          <w:rFonts w:ascii="Book Antiqua" w:hAnsi="Book Antiqua"/>
          <w:color w:val="000000" w:themeColor="text1"/>
        </w:rPr>
        <w:t xml:space="preserve">: </w:t>
      </w:r>
      <w:r w:rsidR="00D17858" w:rsidRPr="007B43A9">
        <w:rPr>
          <w:rFonts w:ascii="Book Antiqua" w:hAnsi="Book Antiqua"/>
          <w:color w:val="000000" w:themeColor="text1"/>
        </w:rPr>
        <w:t>pii: E2065</w:t>
      </w:r>
      <w:r w:rsidRPr="007B43A9">
        <w:rPr>
          <w:rFonts w:ascii="Book Antiqua" w:hAnsi="Book Antiqua"/>
          <w:color w:val="000000" w:themeColor="text1"/>
        </w:rPr>
        <w:t xml:space="preserve"> [PMID: 28953247 DOI: 10.3390/ijms18102065]</w:t>
      </w:r>
    </w:p>
    <w:p w14:paraId="2B2964B6"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76 </w:t>
      </w:r>
      <w:r w:rsidRPr="007B43A9">
        <w:rPr>
          <w:rFonts w:ascii="Book Antiqua" w:hAnsi="Book Antiqua"/>
          <w:b/>
          <w:color w:val="000000" w:themeColor="text1"/>
        </w:rPr>
        <w:t>Park SB</w:t>
      </w:r>
      <w:r w:rsidRPr="007B43A9">
        <w:rPr>
          <w:rFonts w:ascii="Book Antiqua" w:hAnsi="Book Antiqua"/>
          <w:color w:val="000000" w:themeColor="text1"/>
        </w:rPr>
        <w:t xml:space="preserve">, Park JS, Jung WH, Park A, Jo SR, Kim HY, Dal Rhee S, Ryu SY, Jeong HG, Park S, Lee H, Kim KY. Identification of a novel 11β-HSD1 inhibitor from a high-throughput screen of natural product extracts. </w:t>
      </w:r>
      <w:r w:rsidRPr="007B43A9">
        <w:rPr>
          <w:rFonts w:ascii="Book Antiqua" w:hAnsi="Book Antiqua"/>
          <w:i/>
          <w:color w:val="000000" w:themeColor="text1"/>
        </w:rPr>
        <w:t>Pharmacol Res</w:t>
      </w:r>
      <w:r w:rsidRPr="007B43A9">
        <w:rPr>
          <w:rFonts w:ascii="Book Antiqua" w:hAnsi="Book Antiqua"/>
          <w:color w:val="000000" w:themeColor="text1"/>
        </w:rPr>
        <w:t xml:space="preserve"> 2015; </w:t>
      </w:r>
      <w:r w:rsidRPr="007B43A9">
        <w:rPr>
          <w:rFonts w:ascii="Book Antiqua" w:hAnsi="Book Antiqua"/>
          <w:b/>
          <w:color w:val="000000" w:themeColor="text1"/>
        </w:rPr>
        <w:t>102</w:t>
      </w:r>
      <w:r w:rsidRPr="007B43A9">
        <w:rPr>
          <w:rFonts w:ascii="Book Antiqua" w:hAnsi="Book Antiqua"/>
          <w:color w:val="000000" w:themeColor="text1"/>
        </w:rPr>
        <w:t>: 245-253 [PMID: 26515507 DOI: 10.1016/j.phrs.2015.10.014]</w:t>
      </w:r>
    </w:p>
    <w:p w14:paraId="6E09529C"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77 </w:t>
      </w:r>
      <w:r w:rsidRPr="007B43A9">
        <w:rPr>
          <w:rFonts w:ascii="Book Antiqua" w:hAnsi="Book Antiqua"/>
          <w:b/>
          <w:color w:val="000000" w:themeColor="text1"/>
        </w:rPr>
        <w:t>Jin L</w:t>
      </w:r>
      <w:r w:rsidRPr="007B43A9">
        <w:rPr>
          <w:rFonts w:ascii="Book Antiqua" w:hAnsi="Book Antiqua"/>
          <w:color w:val="000000" w:themeColor="text1"/>
        </w:rPr>
        <w:t xml:space="preserve">, Fang W, Li B, Shi G, Li X, Yang Y, Yang J, Zhang Z, Ning G. Inhibitory effect of andrographolide in 3T3-L1 adipocytes differentiation through the PPARγ pathway. </w:t>
      </w:r>
      <w:r w:rsidRPr="007B43A9">
        <w:rPr>
          <w:rFonts w:ascii="Book Antiqua" w:hAnsi="Book Antiqua"/>
          <w:i/>
          <w:color w:val="000000" w:themeColor="text1"/>
        </w:rPr>
        <w:t>Mol Cell Endocrinol</w:t>
      </w:r>
      <w:r w:rsidRPr="007B43A9">
        <w:rPr>
          <w:rFonts w:ascii="Book Antiqua" w:hAnsi="Book Antiqua"/>
          <w:color w:val="000000" w:themeColor="text1"/>
        </w:rPr>
        <w:t xml:space="preserve"> 2012; </w:t>
      </w:r>
      <w:r w:rsidRPr="007B43A9">
        <w:rPr>
          <w:rFonts w:ascii="Book Antiqua" w:hAnsi="Book Antiqua"/>
          <w:b/>
          <w:color w:val="000000" w:themeColor="text1"/>
        </w:rPr>
        <w:t>358</w:t>
      </w:r>
      <w:r w:rsidRPr="007B43A9">
        <w:rPr>
          <w:rFonts w:ascii="Book Antiqua" w:hAnsi="Book Antiqua"/>
          <w:color w:val="000000" w:themeColor="text1"/>
        </w:rPr>
        <w:t>: 81-87 [PMID: 22449851 DOI: 10.1016/j.mce.2012.02.025]</w:t>
      </w:r>
    </w:p>
    <w:p w14:paraId="76B32939"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78 </w:t>
      </w:r>
      <w:r w:rsidRPr="007B43A9">
        <w:rPr>
          <w:rFonts w:ascii="Book Antiqua" w:hAnsi="Book Antiqua"/>
          <w:b/>
          <w:color w:val="000000" w:themeColor="text1"/>
        </w:rPr>
        <w:t>Wu Y</w:t>
      </w:r>
      <w:r w:rsidRPr="007B43A9">
        <w:rPr>
          <w:rFonts w:ascii="Book Antiqua" w:hAnsi="Book Antiqua"/>
          <w:color w:val="000000" w:themeColor="text1"/>
        </w:rPr>
        <w:t xml:space="preserve">, Wang F, Fan L, Zhang W, Wang T, Du Y, Bai X. Baicalin alleviates atherosclerosis by relieving oxidative stress and inflammatory responses via inactivating the NF-κB and p38 MAPK signaling pathways. </w:t>
      </w:r>
      <w:r w:rsidRPr="007B43A9">
        <w:rPr>
          <w:rFonts w:ascii="Book Antiqua" w:hAnsi="Book Antiqua"/>
          <w:i/>
          <w:color w:val="000000" w:themeColor="text1"/>
        </w:rPr>
        <w:t>Biomed Pharmacother</w:t>
      </w:r>
      <w:r w:rsidRPr="007B43A9">
        <w:rPr>
          <w:rFonts w:ascii="Book Antiqua" w:hAnsi="Book Antiqua"/>
          <w:color w:val="000000" w:themeColor="text1"/>
        </w:rPr>
        <w:t xml:space="preserve"> 2018; </w:t>
      </w:r>
      <w:r w:rsidRPr="007B43A9">
        <w:rPr>
          <w:rFonts w:ascii="Book Antiqua" w:hAnsi="Book Antiqua"/>
          <w:b/>
          <w:color w:val="000000" w:themeColor="text1"/>
        </w:rPr>
        <w:t>97</w:t>
      </w:r>
      <w:r w:rsidRPr="007B43A9">
        <w:rPr>
          <w:rFonts w:ascii="Book Antiqua" w:hAnsi="Book Antiqua"/>
          <w:color w:val="000000" w:themeColor="text1"/>
        </w:rPr>
        <w:t>: 1673-1679 [PMID: 29793330 DOI: 10.1016/j.biopha.2017.12.024]</w:t>
      </w:r>
    </w:p>
    <w:p w14:paraId="524167F7"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79 </w:t>
      </w:r>
      <w:r w:rsidRPr="007B43A9">
        <w:rPr>
          <w:rFonts w:ascii="Book Antiqua" w:hAnsi="Book Antiqua"/>
          <w:b/>
          <w:color w:val="000000" w:themeColor="text1"/>
        </w:rPr>
        <w:t>Lee H</w:t>
      </w:r>
      <w:r w:rsidRPr="007B43A9">
        <w:rPr>
          <w:rFonts w:ascii="Book Antiqua" w:hAnsi="Book Antiqua"/>
          <w:color w:val="000000" w:themeColor="text1"/>
        </w:rPr>
        <w:t xml:space="preserve">, Bae S, Kim K, Kim W, Chung SI, Yoon Y. Beta-Catenin mediates the anti-adipogenic effect of baicalin. </w:t>
      </w:r>
      <w:r w:rsidRPr="007B43A9">
        <w:rPr>
          <w:rFonts w:ascii="Book Antiqua" w:hAnsi="Book Antiqua"/>
          <w:i/>
          <w:color w:val="000000" w:themeColor="text1"/>
        </w:rPr>
        <w:t>Biochem Biophys Res Commun</w:t>
      </w:r>
      <w:r w:rsidRPr="007B43A9">
        <w:rPr>
          <w:rFonts w:ascii="Book Antiqua" w:hAnsi="Book Antiqua"/>
          <w:color w:val="000000" w:themeColor="text1"/>
        </w:rPr>
        <w:t xml:space="preserve"> 2010; </w:t>
      </w:r>
      <w:r w:rsidRPr="007B43A9">
        <w:rPr>
          <w:rFonts w:ascii="Book Antiqua" w:hAnsi="Book Antiqua"/>
          <w:b/>
          <w:color w:val="000000" w:themeColor="text1"/>
        </w:rPr>
        <w:t>398</w:t>
      </w:r>
      <w:r w:rsidRPr="007B43A9">
        <w:rPr>
          <w:rFonts w:ascii="Book Antiqua" w:hAnsi="Book Antiqua"/>
          <w:color w:val="000000" w:themeColor="text1"/>
        </w:rPr>
        <w:t>: 741-746 [PMID: 20627088 DOI: 10.1016/j.bbrc.2010.07.015]</w:t>
      </w:r>
    </w:p>
    <w:p w14:paraId="323E5D1A"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80 </w:t>
      </w:r>
      <w:r w:rsidRPr="007B43A9">
        <w:rPr>
          <w:rFonts w:ascii="Book Antiqua" w:hAnsi="Book Antiqua"/>
          <w:b/>
          <w:color w:val="000000" w:themeColor="text1"/>
        </w:rPr>
        <w:t>Casado-Díaz A</w:t>
      </w:r>
      <w:r w:rsidRPr="007B43A9">
        <w:rPr>
          <w:rFonts w:ascii="Book Antiqua" w:hAnsi="Book Antiqua"/>
          <w:color w:val="000000" w:themeColor="text1"/>
        </w:rPr>
        <w:t xml:space="preserve">, Anter J, Müller S, Winter P, Quesada-Gómez JM, Dorado G. Transcriptomic analyses of the anti-adipogenic effects of oleuropein in human mesenchymal stem cells. </w:t>
      </w:r>
      <w:r w:rsidRPr="007B43A9">
        <w:rPr>
          <w:rFonts w:ascii="Book Antiqua" w:hAnsi="Book Antiqua"/>
          <w:i/>
          <w:color w:val="000000" w:themeColor="text1"/>
        </w:rPr>
        <w:t>Food Funct</w:t>
      </w:r>
      <w:r w:rsidRPr="007B43A9">
        <w:rPr>
          <w:rFonts w:ascii="Book Antiqua" w:hAnsi="Book Antiqua"/>
          <w:color w:val="000000" w:themeColor="text1"/>
        </w:rPr>
        <w:t xml:space="preserve"> 2017; </w:t>
      </w:r>
      <w:r w:rsidRPr="007B43A9">
        <w:rPr>
          <w:rFonts w:ascii="Book Antiqua" w:hAnsi="Book Antiqua"/>
          <w:b/>
          <w:color w:val="000000" w:themeColor="text1"/>
        </w:rPr>
        <w:t>8</w:t>
      </w:r>
      <w:r w:rsidRPr="007B43A9">
        <w:rPr>
          <w:rFonts w:ascii="Book Antiqua" w:hAnsi="Book Antiqua"/>
          <w:color w:val="000000" w:themeColor="text1"/>
        </w:rPr>
        <w:t>: 1254-1270 [PMID: 28243663 DOI: 10.1039/c7fo00045f]</w:t>
      </w:r>
    </w:p>
    <w:p w14:paraId="1D867747"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81 </w:t>
      </w:r>
      <w:r w:rsidRPr="007B43A9">
        <w:rPr>
          <w:rFonts w:ascii="Book Antiqua" w:hAnsi="Book Antiqua"/>
          <w:b/>
          <w:color w:val="000000" w:themeColor="text1"/>
        </w:rPr>
        <w:t>Kuem N</w:t>
      </w:r>
      <w:r w:rsidRPr="007B43A9">
        <w:rPr>
          <w:rFonts w:ascii="Book Antiqua" w:hAnsi="Book Antiqua"/>
          <w:color w:val="000000" w:themeColor="text1"/>
        </w:rPr>
        <w:t xml:space="preserve">, Song SJ, Yu R, Yun JW, Park T. Oleuropein attenuates visceral adiposity in high-fat diet-induced obese mice through the modulation of WNT10b- and galanin-mediated signalings. </w:t>
      </w:r>
      <w:r w:rsidRPr="007B43A9">
        <w:rPr>
          <w:rFonts w:ascii="Book Antiqua" w:hAnsi="Book Antiqua"/>
          <w:i/>
          <w:color w:val="000000" w:themeColor="text1"/>
        </w:rPr>
        <w:t>Mol Nutr Food Res</w:t>
      </w:r>
      <w:r w:rsidRPr="007B43A9">
        <w:rPr>
          <w:rFonts w:ascii="Book Antiqua" w:hAnsi="Book Antiqua"/>
          <w:color w:val="000000" w:themeColor="text1"/>
        </w:rPr>
        <w:t xml:space="preserve"> 2014; </w:t>
      </w:r>
      <w:r w:rsidRPr="007B43A9">
        <w:rPr>
          <w:rFonts w:ascii="Book Antiqua" w:hAnsi="Book Antiqua"/>
          <w:b/>
          <w:color w:val="000000" w:themeColor="text1"/>
        </w:rPr>
        <w:t>58</w:t>
      </w:r>
      <w:r w:rsidRPr="007B43A9">
        <w:rPr>
          <w:rFonts w:ascii="Book Antiqua" w:hAnsi="Book Antiqua"/>
          <w:color w:val="000000" w:themeColor="text1"/>
        </w:rPr>
        <w:t>: 2166-2176 [PMID: 25104077 DOI: 10.1002/mnfr.201400159]</w:t>
      </w:r>
    </w:p>
    <w:p w14:paraId="4A9AA78C"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82 </w:t>
      </w:r>
      <w:r w:rsidRPr="007B43A9">
        <w:rPr>
          <w:rFonts w:ascii="Book Antiqua" w:hAnsi="Book Antiqua"/>
          <w:b/>
          <w:color w:val="000000" w:themeColor="text1"/>
        </w:rPr>
        <w:t>Yamaguchi I</w:t>
      </w:r>
      <w:r w:rsidRPr="007B43A9">
        <w:rPr>
          <w:rFonts w:ascii="Book Antiqua" w:hAnsi="Book Antiqua"/>
          <w:color w:val="000000" w:themeColor="text1"/>
        </w:rPr>
        <w:t xml:space="preserve">, Matsuda H, Zhang H, Hamao M, Yamashita C, Kogami Y, Kon'I H, Murata M, Nakamura S, Yoshikawa M. Adipogenic effects of piperlonguminine in 3T3-L1 cells and plasma concentrations of several amide constituents from Piper chaba extracts after treatment of mice. </w:t>
      </w:r>
      <w:r w:rsidRPr="007B43A9">
        <w:rPr>
          <w:rFonts w:ascii="Book Antiqua" w:hAnsi="Book Antiqua"/>
          <w:i/>
          <w:color w:val="000000" w:themeColor="text1"/>
        </w:rPr>
        <w:t>J Nat Med</w:t>
      </w:r>
      <w:r w:rsidRPr="007B43A9">
        <w:rPr>
          <w:rFonts w:ascii="Book Antiqua" w:hAnsi="Book Antiqua"/>
          <w:color w:val="000000" w:themeColor="text1"/>
        </w:rPr>
        <w:t xml:space="preserve"> 2014; </w:t>
      </w:r>
      <w:r w:rsidRPr="007B43A9">
        <w:rPr>
          <w:rFonts w:ascii="Book Antiqua" w:hAnsi="Book Antiqua"/>
          <w:b/>
          <w:color w:val="000000" w:themeColor="text1"/>
        </w:rPr>
        <w:t>68</w:t>
      </w:r>
      <w:r w:rsidRPr="007B43A9">
        <w:rPr>
          <w:rFonts w:ascii="Book Antiqua" w:hAnsi="Book Antiqua"/>
          <w:color w:val="000000" w:themeColor="text1"/>
        </w:rPr>
        <w:t>: 74-82 [PMID: 23584920 DOI: 10.1007/s11418-013-0770-3]</w:t>
      </w:r>
    </w:p>
    <w:p w14:paraId="2A1A8E03"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83 </w:t>
      </w:r>
      <w:r w:rsidRPr="007B43A9">
        <w:rPr>
          <w:rFonts w:ascii="Book Antiqua" w:hAnsi="Book Antiqua"/>
          <w:b/>
          <w:color w:val="000000" w:themeColor="text1"/>
        </w:rPr>
        <w:t>Anter J</w:t>
      </w:r>
      <w:r w:rsidRPr="007B43A9">
        <w:rPr>
          <w:rFonts w:ascii="Book Antiqua" w:hAnsi="Book Antiqua"/>
          <w:color w:val="000000" w:themeColor="text1"/>
        </w:rPr>
        <w:t xml:space="preserve">, Quesada-Gómez JM, Dorado G, Casado-Díaz A. Effect of Hydroxytyrosol on Human Mesenchymal Stromal/Stem Cell Differentiation into Adipocytes and Osteoblasts. </w:t>
      </w:r>
      <w:r w:rsidRPr="007B43A9">
        <w:rPr>
          <w:rFonts w:ascii="Book Antiqua" w:hAnsi="Book Antiqua"/>
          <w:i/>
          <w:color w:val="000000" w:themeColor="text1"/>
        </w:rPr>
        <w:t>Arch Med Res</w:t>
      </w:r>
      <w:r w:rsidRPr="007B43A9">
        <w:rPr>
          <w:rFonts w:ascii="Book Antiqua" w:hAnsi="Book Antiqua"/>
          <w:color w:val="000000" w:themeColor="text1"/>
        </w:rPr>
        <w:t xml:space="preserve"> 2016; </w:t>
      </w:r>
      <w:r w:rsidRPr="007B43A9">
        <w:rPr>
          <w:rFonts w:ascii="Book Antiqua" w:hAnsi="Book Antiqua"/>
          <w:b/>
          <w:color w:val="000000" w:themeColor="text1"/>
        </w:rPr>
        <w:t>47</w:t>
      </w:r>
      <w:r w:rsidRPr="007B43A9">
        <w:rPr>
          <w:rFonts w:ascii="Book Antiqua" w:hAnsi="Book Antiqua"/>
          <w:color w:val="000000" w:themeColor="text1"/>
        </w:rPr>
        <w:t>: 162-171 [PMID: 27393375 DOI: 10.1016/j.arcmed.2016.06.006]</w:t>
      </w:r>
    </w:p>
    <w:p w14:paraId="57C6CEFF"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84 </w:t>
      </w:r>
      <w:r w:rsidRPr="007B43A9">
        <w:rPr>
          <w:rFonts w:ascii="Book Antiqua" w:hAnsi="Book Antiqua"/>
          <w:b/>
          <w:color w:val="000000" w:themeColor="text1"/>
        </w:rPr>
        <w:t>Stefanon B</w:t>
      </w:r>
      <w:r w:rsidRPr="007B43A9">
        <w:rPr>
          <w:rFonts w:ascii="Book Antiqua" w:hAnsi="Book Antiqua"/>
          <w:color w:val="000000" w:themeColor="text1"/>
        </w:rPr>
        <w:t xml:space="preserve">, Colitti M. Original Research: Hydroxytyrosol, an ingredient of olive oil, reduces triglyceride accumulation and promotes lipolysis in human primary visceral adipocytes during differentiation. </w:t>
      </w:r>
      <w:r w:rsidRPr="007B43A9">
        <w:rPr>
          <w:rFonts w:ascii="Book Antiqua" w:hAnsi="Book Antiqua"/>
          <w:i/>
          <w:color w:val="000000" w:themeColor="text1"/>
        </w:rPr>
        <w:t>Exp Biol Med (Maywood)</w:t>
      </w:r>
      <w:r w:rsidRPr="007B43A9">
        <w:rPr>
          <w:rFonts w:ascii="Book Antiqua" w:hAnsi="Book Antiqua"/>
          <w:color w:val="000000" w:themeColor="text1"/>
        </w:rPr>
        <w:t xml:space="preserve"> 2016; </w:t>
      </w:r>
      <w:r w:rsidRPr="007B43A9">
        <w:rPr>
          <w:rFonts w:ascii="Book Antiqua" w:hAnsi="Book Antiqua"/>
          <w:b/>
          <w:color w:val="000000" w:themeColor="text1"/>
        </w:rPr>
        <w:t>241</w:t>
      </w:r>
      <w:r w:rsidRPr="007B43A9">
        <w:rPr>
          <w:rFonts w:ascii="Book Antiqua" w:hAnsi="Book Antiqua"/>
          <w:color w:val="000000" w:themeColor="text1"/>
        </w:rPr>
        <w:t>: 1796-1802 [PMID: 27287014 DOI: 10.1177/1535370216654226]</w:t>
      </w:r>
    </w:p>
    <w:p w14:paraId="00FFF88A"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85 </w:t>
      </w:r>
      <w:r w:rsidRPr="007B43A9">
        <w:rPr>
          <w:rFonts w:ascii="Book Antiqua" w:hAnsi="Book Antiqua"/>
          <w:b/>
          <w:color w:val="000000" w:themeColor="text1"/>
        </w:rPr>
        <w:t>Gwon SY</w:t>
      </w:r>
      <w:r w:rsidRPr="007B43A9">
        <w:rPr>
          <w:rFonts w:ascii="Book Antiqua" w:hAnsi="Book Antiqua"/>
          <w:color w:val="000000" w:themeColor="text1"/>
        </w:rPr>
        <w:t xml:space="preserve">, Ahn JY, Jung CH, Moon BK, Ha TY. Shikonin suppresses ERK 1/2 phosphorylation during the early stages of adipocyte differentiation in 3T3-L1 cells. </w:t>
      </w:r>
      <w:r w:rsidRPr="007B43A9">
        <w:rPr>
          <w:rFonts w:ascii="Book Antiqua" w:hAnsi="Book Antiqua"/>
          <w:i/>
          <w:color w:val="000000" w:themeColor="text1"/>
        </w:rPr>
        <w:t>BMC Complement Altern Med</w:t>
      </w:r>
      <w:r w:rsidRPr="007B43A9">
        <w:rPr>
          <w:rFonts w:ascii="Book Antiqua" w:hAnsi="Book Antiqua"/>
          <w:color w:val="000000" w:themeColor="text1"/>
        </w:rPr>
        <w:t xml:space="preserve"> 2013; </w:t>
      </w:r>
      <w:r w:rsidRPr="007B43A9">
        <w:rPr>
          <w:rFonts w:ascii="Book Antiqua" w:hAnsi="Book Antiqua"/>
          <w:b/>
          <w:color w:val="000000" w:themeColor="text1"/>
        </w:rPr>
        <w:t>13</w:t>
      </w:r>
      <w:r w:rsidRPr="007B43A9">
        <w:rPr>
          <w:rFonts w:ascii="Book Antiqua" w:hAnsi="Book Antiqua"/>
          <w:color w:val="000000" w:themeColor="text1"/>
        </w:rPr>
        <w:t>: 207 [PMID: 23919458 DOI: 10.1186/1472-6882-13-207]</w:t>
      </w:r>
    </w:p>
    <w:p w14:paraId="76EE68D2"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86 </w:t>
      </w:r>
      <w:r w:rsidRPr="007B43A9">
        <w:rPr>
          <w:rFonts w:ascii="Book Antiqua" w:hAnsi="Book Antiqua"/>
          <w:b/>
          <w:color w:val="000000" w:themeColor="text1"/>
        </w:rPr>
        <w:t>He Y</w:t>
      </w:r>
      <w:r w:rsidRPr="007B43A9">
        <w:rPr>
          <w:rFonts w:ascii="Book Antiqua" w:hAnsi="Book Antiqua"/>
          <w:color w:val="000000" w:themeColor="text1"/>
        </w:rPr>
        <w:t xml:space="preserve">, Li Y, Zhao T, Wang Y, Sun C. Ursolic acid inhibits adipogenesis in 3T3-L1 adipocytes through LKB1/AMPK pathway. </w:t>
      </w:r>
      <w:r w:rsidRPr="007B43A9">
        <w:rPr>
          <w:rFonts w:ascii="Book Antiqua" w:hAnsi="Book Antiqua"/>
          <w:i/>
          <w:color w:val="000000" w:themeColor="text1"/>
        </w:rPr>
        <w:t>PLoS One</w:t>
      </w:r>
      <w:r w:rsidRPr="007B43A9">
        <w:rPr>
          <w:rFonts w:ascii="Book Antiqua" w:hAnsi="Book Antiqua"/>
          <w:color w:val="000000" w:themeColor="text1"/>
        </w:rPr>
        <w:t xml:space="preserve"> 2013; </w:t>
      </w:r>
      <w:r w:rsidRPr="007B43A9">
        <w:rPr>
          <w:rFonts w:ascii="Book Antiqua" w:hAnsi="Book Antiqua"/>
          <w:b/>
          <w:color w:val="000000" w:themeColor="text1"/>
        </w:rPr>
        <w:t>8</w:t>
      </w:r>
      <w:r w:rsidRPr="007B43A9">
        <w:rPr>
          <w:rFonts w:ascii="Book Antiqua" w:hAnsi="Book Antiqua"/>
          <w:color w:val="000000" w:themeColor="text1"/>
        </w:rPr>
        <w:t>: e70135 [PMID: 23922935 DOI: 10.1371/journal.pone.0070135]</w:t>
      </w:r>
    </w:p>
    <w:p w14:paraId="33384451"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87 </w:t>
      </w:r>
      <w:r w:rsidRPr="007B43A9">
        <w:rPr>
          <w:rFonts w:ascii="Book Antiqua" w:hAnsi="Book Antiqua"/>
          <w:b/>
          <w:color w:val="000000" w:themeColor="text1"/>
        </w:rPr>
        <w:t>Jung CH</w:t>
      </w:r>
      <w:r w:rsidRPr="007B43A9">
        <w:rPr>
          <w:rFonts w:ascii="Book Antiqua" w:hAnsi="Book Antiqua"/>
          <w:color w:val="000000" w:themeColor="text1"/>
        </w:rPr>
        <w:t xml:space="preserve">, Jang SJ, Ahn J, Gwon SY, Jeon TI, Kim TW, Ha TY. Alpinia officinarum inhibits adipocyte differentiation and high-fat diet-induced obesity in mice through regulation of adipogenesis and lipogenesis. </w:t>
      </w:r>
      <w:r w:rsidRPr="007B43A9">
        <w:rPr>
          <w:rFonts w:ascii="Book Antiqua" w:hAnsi="Book Antiqua"/>
          <w:i/>
          <w:color w:val="000000" w:themeColor="text1"/>
        </w:rPr>
        <w:t>J Med Food</w:t>
      </w:r>
      <w:r w:rsidRPr="007B43A9">
        <w:rPr>
          <w:rFonts w:ascii="Book Antiqua" w:hAnsi="Book Antiqua"/>
          <w:color w:val="000000" w:themeColor="text1"/>
        </w:rPr>
        <w:t xml:space="preserve"> 2012; </w:t>
      </w:r>
      <w:r w:rsidRPr="007B43A9">
        <w:rPr>
          <w:rFonts w:ascii="Book Antiqua" w:hAnsi="Book Antiqua"/>
          <w:b/>
          <w:color w:val="000000" w:themeColor="text1"/>
        </w:rPr>
        <w:t>15</w:t>
      </w:r>
      <w:r w:rsidRPr="007B43A9">
        <w:rPr>
          <w:rFonts w:ascii="Book Antiqua" w:hAnsi="Book Antiqua"/>
          <w:color w:val="000000" w:themeColor="text1"/>
        </w:rPr>
        <w:t>: 959-967 [PMID: 23126661 DOI: 10.1089/jmf.2012.2286]</w:t>
      </w:r>
    </w:p>
    <w:p w14:paraId="10A19864"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88 </w:t>
      </w:r>
      <w:r w:rsidRPr="007B43A9">
        <w:rPr>
          <w:rFonts w:ascii="Book Antiqua" w:hAnsi="Book Antiqua"/>
          <w:b/>
          <w:color w:val="000000" w:themeColor="text1"/>
        </w:rPr>
        <w:t>Poudel B</w:t>
      </w:r>
      <w:r w:rsidRPr="007B43A9">
        <w:rPr>
          <w:rFonts w:ascii="Book Antiqua" w:hAnsi="Book Antiqua"/>
          <w:color w:val="000000" w:themeColor="text1"/>
        </w:rPr>
        <w:t xml:space="preserve">, Lim SW, Ki HH, Nepali S, Lee YM, Kim DK. Dioscin inhibits adipogenesis through the AMPK/MAPK pathway in 3T3-L1 cells and modulates fat accumulation in obese mice. </w:t>
      </w:r>
      <w:r w:rsidRPr="007B43A9">
        <w:rPr>
          <w:rFonts w:ascii="Book Antiqua" w:hAnsi="Book Antiqua"/>
          <w:i/>
          <w:color w:val="000000" w:themeColor="text1"/>
        </w:rPr>
        <w:t>Int J Mol Med</w:t>
      </w:r>
      <w:r w:rsidRPr="007B43A9">
        <w:rPr>
          <w:rFonts w:ascii="Book Antiqua" w:hAnsi="Book Antiqua"/>
          <w:color w:val="000000" w:themeColor="text1"/>
        </w:rPr>
        <w:t xml:space="preserve"> 2014; </w:t>
      </w:r>
      <w:r w:rsidRPr="007B43A9">
        <w:rPr>
          <w:rFonts w:ascii="Book Antiqua" w:hAnsi="Book Antiqua"/>
          <w:b/>
          <w:color w:val="000000" w:themeColor="text1"/>
        </w:rPr>
        <w:t>34</w:t>
      </w:r>
      <w:r w:rsidRPr="007B43A9">
        <w:rPr>
          <w:rFonts w:ascii="Book Antiqua" w:hAnsi="Book Antiqua"/>
          <w:color w:val="000000" w:themeColor="text1"/>
        </w:rPr>
        <w:t>: 1401-1408 [PMID: 25189808 DOI: 10.3892/ijmm.2014.1921]</w:t>
      </w:r>
    </w:p>
    <w:p w14:paraId="225FFA50"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89 </w:t>
      </w:r>
      <w:r w:rsidRPr="007B43A9">
        <w:rPr>
          <w:rFonts w:ascii="Book Antiqua" w:hAnsi="Book Antiqua"/>
          <w:b/>
          <w:color w:val="000000" w:themeColor="text1"/>
        </w:rPr>
        <w:t>Chen YY</w:t>
      </w:r>
      <w:r w:rsidRPr="007B43A9">
        <w:rPr>
          <w:rFonts w:ascii="Book Antiqua" w:hAnsi="Book Antiqua"/>
          <w:color w:val="000000" w:themeColor="text1"/>
        </w:rPr>
        <w:t xml:space="preserve">, Lee MH, Hsu CC, Wei CL, Tsai YC. Methyl cinnamate inhibits adipocyte differentiation via activation of the CaMKK2-AMPK pathway in 3T3-L1 preadipocytes. </w:t>
      </w:r>
      <w:r w:rsidRPr="007B43A9">
        <w:rPr>
          <w:rFonts w:ascii="Book Antiqua" w:hAnsi="Book Antiqua"/>
          <w:i/>
          <w:color w:val="000000" w:themeColor="text1"/>
        </w:rPr>
        <w:t>J Agric Food Chem</w:t>
      </w:r>
      <w:r w:rsidRPr="007B43A9">
        <w:rPr>
          <w:rFonts w:ascii="Book Antiqua" w:hAnsi="Book Antiqua"/>
          <w:color w:val="000000" w:themeColor="text1"/>
        </w:rPr>
        <w:t xml:space="preserve"> 2012; </w:t>
      </w:r>
      <w:r w:rsidRPr="007B43A9">
        <w:rPr>
          <w:rFonts w:ascii="Book Antiqua" w:hAnsi="Book Antiqua"/>
          <w:b/>
          <w:color w:val="000000" w:themeColor="text1"/>
        </w:rPr>
        <w:t>60</w:t>
      </w:r>
      <w:r w:rsidRPr="007B43A9">
        <w:rPr>
          <w:rFonts w:ascii="Book Antiqua" w:hAnsi="Book Antiqua"/>
          <w:color w:val="000000" w:themeColor="text1"/>
        </w:rPr>
        <w:t>: 955-963 [PMID: 22273148 DOI: 10.1021/jf203981x]</w:t>
      </w:r>
    </w:p>
    <w:p w14:paraId="57129B90"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90 </w:t>
      </w:r>
      <w:r w:rsidRPr="007B43A9">
        <w:rPr>
          <w:rFonts w:ascii="Book Antiqua" w:hAnsi="Book Antiqua"/>
          <w:b/>
          <w:color w:val="000000" w:themeColor="text1"/>
        </w:rPr>
        <w:t>Jang BC</w:t>
      </w:r>
      <w:r w:rsidRPr="007B43A9">
        <w:rPr>
          <w:rFonts w:ascii="Book Antiqua" w:hAnsi="Book Antiqua"/>
          <w:color w:val="000000" w:themeColor="text1"/>
        </w:rPr>
        <w:t xml:space="preserve">. Tetrandrine has anti-adipogenic effect on 3T3-L1 preadipocytes through the reduced expression and/or phosphorylation levels of C/EBP-α, PPAR-γ, FAS, perilipin A, and STAT-3. </w:t>
      </w:r>
      <w:r w:rsidRPr="007B43A9">
        <w:rPr>
          <w:rFonts w:ascii="Book Antiqua" w:hAnsi="Book Antiqua"/>
          <w:i/>
          <w:color w:val="000000" w:themeColor="text1"/>
        </w:rPr>
        <w:t>Biochem Biophys Res Commun</w:t>
      </w:r>
      <w:r w:rsidRPr="007B43A9">
        <w:rPr>
          <w:rFonts w:ascii="Book Antiqua" w:hAnsi="Book Antiqua"/>
          <w:color w:val="000000" w:themeColor="text1"/>
        </w:rPr>
        <w:t xml:space="preserve"> 2016; </w:t>
      </w:r>
      <w:r w:rsidRPr="007B43A9">
        <w:rPr>
          <w:rFonts w:ascii="Book Antiqua" w:hAnsi="Book Antiqua"/>
          <w:b/>
          <w:color w:val="000000" w:themeColor="text1"/>
        </w:rPr>
        <w:t>476</w:t>
      </w:r>
      <w:r w:rsidRPr="007B43A9">
        <w:rPr>
          <w:rFonts w:ascii="Book Antiqua" w:hAnsi="Book Antiqua"/>
          <w:color w:val="000000" w:themeColor="text1"/>
        </w:rPr>
        <w:t>: 481-486 [PMID: 27246736 DOI: 10.1016/j.bbrc.2016.05.150]</w:t>
      </w:r>
    </w:p>
    <w:p w14:paraId="7FE6CE9B"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91 </w:t>
      </w:r>
      <w:r w:rsidRPr="007B43A9">
        <w:rPr>
          <w:rFonts w:ascii="Book Antiqua" w:hAnsi="Book Antiqua"/>
          <w:b/>
          <w:color w:val="000000" w:themeColor="text1"/>
        </w:rPr>
        <w:t>Atanasov AG</w:t>
      </w:r>
      <w:r w:rsidRPr="007B43A9">
        <w:rPr>
          <w:rFonts w:ascii="Book Antiqua" w:hAnsi="Book Antiqua"/>
          <w:color w:val="000000" w:themeColor="text1"/>
        </w:rPr>
        <w:t xml:space="preserve">, Wang JN, Gu SP, Bu J, Kramer MP, Baumgartner L, Fakhrudin N, Ladurner A, Malainer C, Vuorinen A, Noha SM, Schwaiger S, Rollinger JM, Schuster D, Stuppner H, Dirsch VM, Heiss EH. Honokiol: a non-adipogenic PPARγ agonist from nature. </w:t>
      </w:r>
      <w:r w:rsidRPr="007B43A9">
        <w:rPr>
          <w:rFonts w:ascii="Book Antiqua" w:hAnsi="Book Antiqua"/>
          <w:i/>
          <w:color w:val="000000" w:themeColor="text1"/>
        </w:rPr>
        <w:t>Biochim Biophys Acta</w:t>
      </w:r>
      <w:r w:rsidRPr="007B43A9">
        <w:rPr>
          <w:rFonts w:ascii="Book Antiqua" w:hAnsi="Book Antiqua"/>
          <w:color w:val="000000" w:themeColor="text1"/>
        </w:rPr>
        <w:t xml:space="preserve"> 2013; </w:t>
      </w:r>
      <w:r w:rsidRPr="007B43A9">
        <w:rPr>
          <w:rFonts w:ascii="Book Antiqua" w:hAnsi="Book Antiqua"/>
          <w:b/>
          <w:color w:val="000000" w:themeColor="text1"/>
        </w:rPr>
        <w:t>1830</w:t>
      </w:r>
      <w:r w:rsidRPr="007B43A9">
        <w:rPr>
          <w:rFonts w:ascii="Book Antiqua" w:hAnsi="Book Antiqua"/>
          <w:color w:val="000000" w:themeColor="text1"/>
        </w:rPr>
        <w:t>: 4813-4819 [PMID: 23811337 DOI: 10.1016/j.bbagen.2013.06.021]</w:t>
      </w:r>
    </w:p>
    <w:p w14:paraId="549114B5"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92 </w:t>
      </w:r>
      <w:r w:rsidRPr="007B43A9">
        <w:rPr>
          <w:rFonts w:ascii="Book Antiqua" w:hAnsi="Book Antiqua"/>
          <w:b/>
          <w:color w:val="000000" w:themeColor="text1"/>
        </w:rPr>
        <w:t>Quan HY</w:t>
      </w:r>
      <w:r w:rsidRPr="007B43A9">
        <w:rPr>
          <w:rFonts w:ascii="Book Antiqua" w:hAnsi="Book Antiqua"/>
          <w:color w:val="000000" w:themeColor="text1"/>
        </w:rPr>
        <w:t xml:space="preserve">, Baek NI, Chung SH. Licochalcone A prevents adipocyte differentiation and lipogenesis via suppression of peroxisome proliferator-activated receptor γ and sterol regulatory element-binding protein pathways. </w:t>
      </w:r>
      <w:r w:rsidRPr="007B43A9">
        <w:rPr>
          <w:rFonts w:ascii="Book Antiqua" w:hAnsi="Book Antiqua"/>
          <w:i/>
          <w:color w:val="000000" w:themeColor="text1"/>
        </w:rPr>
        <w:t>J Agric Food Chem</w:t>
      </w:r>
      <w:r w:rsidRPr="007B43A9">
        <w:rPr>
          <w:rFonts w:ascii="Book Antiqua" w:hAnsi="Book Antiqua"/>
          <w:color w:val="000000" w:themeColor="text1"/>
        </w:rPr>
        <w:t xml:space="preserve"> 2012; </w:t>
      </w:r>
      <w:r w:rsidRPr="007B43A9">
        <w:rPr>
          <w:rFonts w:ascii="Book Antiqua" w:hAnsi="Book Antiqua"/>
          <w:b/>
          <w:color w:val="000000" w:themeColor="text1"/>
        </w:rPr>
        <w:t>60</w:t>
      </w:r>
      <w:r w:rsidRPr="007B43A9">
        <w:rPr>
          <w:rFonts w:ascii="Book Antiqua" w:hAnsi="Book Antiqua"/>
          <w:color w:val="000000" w:themeColor="text1"/>
        </w:rPr>
        <w:t>: 5112-5120 [PMID: 22563885 DOI: 10.1021/jf2050763]</w:t>
      </w:r>
    </w:p>
    <w:p w14:paraId="5CD43C18"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93 </w:t>
      </w:r>
      <w:r w:rsidRPr="007B43A9">
        <w:rPr>
          <w:rFonts w:ascii="Book Antiqua" w:hAnsi="Book Antiqua"/>
          <w:b/>
          <w:color w:val="000000" w:themeColor="text1"/>
        </w:rPr>
        <w:t>Kim SN</w:t>
      </w:r>
      <w:r w:rsidRPr="007B43A9">
        <w:rPr>
          <w:rFonts w:ascii="Book Antiqua" w:hAnsi="Book Antiqua"/>
          <w:color w:val="000000" w:themeColor="text1"/>
        </w:rPr>
        <w:t xml:space="preserve">, Choi HY, Kim YK. Regulation of adipocyte differentiation by histone deacetylase inhibitors. </w:t>
      </w:r>
      <w:r w:rsidRPr="007B43A9">
        <w:rPr>
          <w:rFonts w:ascii="Book Antiqua" w:hAnsi="Book Antiqua"/>
          <w:i/>
          <w:color w:val="000000" w:themeColor="text1"/>
        </w:rPr>
        <w:t>Arch Pharm Res</w:t>
      </w:r>
      <w:r w:rsidRPr="007B43A9">
        <w:rPr>
          <w:rFonts w:ascii="Book Antiqua" w:hAnsi="Book Antiqua"/>
          <w:color w:val="000000" w:themeColor="text1"/>
        </w:rPr>
        <w:t xml:space="preserve"> 2009; </w:t>
      </w:r>
      <w:r w:rsidRPr="007B43A9">
        <w:rPr>
          <w:rFonts w:ascii="Book Antiqua" w:hAnsi="Book Antiqua"/>
          <w:b/>
          <w:color w:val="000000" w:themeColor="text1"/>
        </w:rPr>
        <w:t>32</w:t>
      </w:r>
      <w:r w:rsidRPr="007B43A9">
        <w:rPr>
          <w:rFonts w:ascii="Book Antiqua" w:hAnsi="Book Antiqua"/>
          <w:color w:val="000000" w:themeColor="text1"/>
        </w:rPr>
        <w:t>: 535-541 [PMID: 19407971 DOI: 10.1007/s12272-009-1409-5]</w:t>
      </w:r>
    </w:p>
    <w:p w14:paraId="5512447A"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94 </w:t>
      </w:r>
      <w:r w:rsidRPr="007B43A9">
        <w:rPr>
          <w:rFonts w:ascii="Book Antiqua" w:hAnsi="Book Antiqua"/>
          <w:b/>
          <w:color w:val="000000" w:themeColor="text1"/>
        </w:rPr>
        <w:t>Gallego-Escuredo JM</w:t>
      </w:r>
      <w:r w:rsidRPr="007B43A9">
        <w:rPr>
          <w:rFonts w:ascii="Book Antiqua" w:hAnsi="Book Antiqua"/>
          <w:color w:val="000000" w:themeColor="text1"/>
        </w:rPr>
        <w:t xml:space="preserve">, Del Mar Gutierrez M, Diaz-Delfin J, Domingo JC, Mateo MG, Domingo P, Giralt M, Villarroya F. Differential effects of efavirenz and lopinavir/ritonavir on human adipocyte differentiation, gene expression and release of adipokines and pro-inflammatory cytokines. </w:t>
      </w:r>
      <w:r w:rsidRPr="007B43A9">
        <w:rPr>
          <w:rFonts w:ascii="Book Antiqua" w:hAnsi="Book Antiqua"/>
          <w:i/>
          <w:color w:val="000000" w:themeColor="text1"/>
        </w:rPr>
        <w:t>Curr HIV Res</w:t>
      </w:r>
      <w:r w:rsidRPr="007B43A9">
        <w:rPr>
          <w:rFonts w:ascii="Book Antiqua" w:hAnsi="Book Antiqua"/>
          <w:color w:val="000000" w:themeColor="text1"/>
        </w:rPr>
        <w:t xml:space="preserve"> 2010; </w:t>
      </w:r>
      <w:r w:rsidRPr="007B43A9">
        <w:rPr>
          <w:rFonts w:ascii="Book Antiqua" w:hAnsi="Book Antiqua"/>
          <w:b/>
          <w:color w:val="000000" w:themeColor="text1"/>
        </w:rPr>
        <w:t>8</w:t>
      </w:r>
      <w:r w:rsidRPr="007B43A9">
        <w:rPr>
          <w:rFonts w:ascii="Book Antiqua" w:hAnsi="Book Antiqua"/>
          <w:color w:val="000000" w:themeColor="text1"/>
        </w:rPr>
        <w:t>: 545-553 [PMID: 21073442 DOI: 10.2174/157016210793499222]</w:t>
      </w:r>
    </w:p>
    <w:p w14:paraId="38D9DB68"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95 </w:t>
      </w:r>
      <w:r w:rsidRPr="007B43A9">
        <w:rPr>
          <w:rFonts w:ascii="Book Antiqua" w:hAnsi="Book Antiqua"/>
          <w:b/>
          <w:color w:val="000000" w:themeColor="text1"/>
        </w:rPr>
        <w:t>Stankov MV</w:t>
      </w:r>
      <w:r w:rsidRPr="007B43A9">
        <w:rPr>
          <w:rFonts w:ascii="Book Antiqua" w:hAnsi="Book Antiqua"/>
          <w:color w:val="000000" w:themeColor="text1"/>
        </w:rPr>
        <w:t xml:space="preserve">, Panayotova-Dimitrova D, Leverkus M, Schmidt RE, Behrens GM. Thymidine analogues suppress autophagy and adipogenesis in cultured adipocytes. </w:t>
      </w:r>
      <w:r w:rsidRPr="007B43A9">
        <w:rPr>
          <w:rFonts w:ascii="Book Antiqua" w:hAnsi="Book Antiqua"/>
          <w:i/>
          <w:color w:val="000000" w:themeColor="text1"/>
        </w:rPr>
        <w:t>Antimicrob Agents Chemother</w:t>
      </w:r>
      <w:r w:rsidRPr="007B43A9">
        <w:rPr>
          <w:rFonts w:ascii="Book Antiqua" w:hAnsi="Book Antiqua"/>
          <w:color w:val="000000" w:themeColor="text1"/>
        </w:rPr>
        <w:t xml:space="preserve"> 2013; </w:t>
      </w:r>
      <w:r w:rsidRPr="007B43A9">
        <w:rPr>
          <w:rFonts w:ascii="Book Antiqua" w:hAnsi="Book Antiqua"/>
          <w:b/>
          <w:color w:val="000000" w:themeColor="text1"/>
        </w:rPr>
        <w:t>57</w:t>
      </w:r>
      <w:r w:rsidRPr="007B43A9">
        <w:rPr>
          <w:rFonts w:ascii="Book Antiqua" w:hAnsi="Book Antiqua"/>
          <w:color w:val="000000" w:themeColor="text1"/>
        </w:rPr>
        <w:t>: 543-551 [PMID: 23147731 DOI: 10.1128/AAC.01560-12]</w:t>
      </w:r>
    </w:p>
    <w:p w14:paraId="18C2EB84"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96 </w:t>
      </w:r>
      <w:r w:rsidRPr="007B43A9">
        <w:rPr>
          <w:rFonts w:ascii="Book Antiqua" w:hAnsi="Book Antiqua"/>
          <w:b/>
          <w:color w:val="000000" w:themeColor="text1"/>
        </w:rPr>
        <w:t>Díaz-Delfín J</w:t>
      </w:r>
      <w:r w:rsidRPr="007B43A9">
        <w:rPr>
          <w:rFonts w:ascii="Book Antiqua" w:hAnsi="Book Antiqua"/>
          <w:color w:val="000000" w:themeColor="text1"/>
        </w:rPr>
        <w:t xml:space="preserve">, Domingo P, Giralt M, Villarroya F. Maraviroc reduces cytokine expression and secretion in human adipose cells without altering adipogenic differentiation. </w:t>
      </w:r>
      <w:r w:rsidRPr="007B43A9">
        <w:rPr>
          <w:rFonts w:ascii="Book Antiqua" w:hAnsi="Book Antiqua"/>
          <w:i/>
          <w:color w:val="000000" w:themeColor="text1"/>
        </w:rPr>
        <w:t>Cytokine</w:t>
      </w:r>
      <w:r w:rsidRPr="007B43A9">
        <w:rPr>
          <w:rFonts w:ascii="Book Antiqua" w:hAnsi="Book Antiqua"/>
          <w:color w:val="000000" w:themeColor="text1"/>
        </w:rPr>
        <w:t xml:space="preserve"> 2013; </w:t>
      </w:r>
      <w:r w:rsidRPr="007B43A9">
        <w:rPr>
          <w:rFonts w:ascii="Book Antiqua" w:hAnsi="Book Antiqua"/>
          <w:b/>
          <w:color w:val="000000" w:themeColor="text1"/>
        </w:rPr>
        <w:t>61</w:t>
      </w:r>
      <w:r w:rsidRPr="007B43A9">
        <w:rPr>
          <w:rFonts w:ascii="Book Antiqua" w:hAnsi="Book Antiqua"/>
          <w:color w:val="000000" w:themeColor="text1"/>
        </w:rPr>
        <w:t>: 808-815 [PMID: 23357304 DOI: 10.1016/j.cyto.2012.12.013]</w:t>
      </w:r>
    </w:p>
    <w:p w14:paraId="08D1EC6A"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97 </w:t>
      </w:r>
      <w:r w:rsidRPr="007B43A9">
        <w:rPr>
          <w:rFonts w:ascii="Book Antiqua" w:hAnsi="Book Antiqua"/>
          <w:b/>
          <w:color w:val="000000" w:themeColor="text1"/>
        </w:rPr>
        <w:t>Díaz-Delfín J</w:t>
      </w:r>
      <w:r w:rsidRPr="007B43A9">
        <w:rPr>
          <w:rFonts w:ascii="Book Antiqua" w:hAnsi="Book Antiqua"/>
          <w:color w:val="000000" w:themeColor="text1"/>
        </w:rPr>
        <w:t xml:space="preserve">, del Mar Gutiérrez M, Gallego-Escuredo JM, Domingo JC, Gracia Mateo M, Villarroya F, Domingo P, Giralt M. Effects of nevirapine and efavirenz on human adipocyte differentiation, gene expression, and release of adipokines and cytokines. </w:t>
      </w:r>
      <w:r w:rsidRPr="007B43A9">
        <w:rPr>
          <w:rFonts w:ascii="Book Antiqua" w:hAnsi="Book Antiqua"/>
          <w:i/>
          <w:color w:val="000000" w:themeColor="text1"/>
        </w:rPr>
        <w:t>Antiviral Res</w:t>
      </w:r>
      <w:r w:rsidRPr="007B43A9">
        <w:rPr>
          <w:rFonts w:ascii="Book Antiqua" w:hAnsi="Book Antiqua"/>
          <w:color w:val="000000" w:themeColor="text1"/>
        </w:rPr>
        <w:t xml:space="preserve"> 2011; </w:t>
      </w:r>
      <w:r w:rsidRPr="007B43A9">
        <w:rPr>
          <w:rFonts w:ascii="Book Antiqua" w:hAnsi="Book Antiqua"/>
          <w:b/>
          <w:color w:val="000000" w:themeColor="text1"/>
        </w:rPr>
        <w:t>91</w:t>
      </w:r>
      <w:r w:rsidRPr="007B43A9">
        <w:rPr>
          <w:rFonts w:ascii="Book Antiqua" w:hAnsi="Book Antiqua"/>
          <w:color w:val="000000" w:themeColor="text1"/>
        </w:rPr>
        <w:t>: 112-119 [PMID: 21619898 DOI: 10.1016/j.antiviral.2011.04.018]</w:t>
      </w:r>
    </w:p>
    <w:p w14:paraId="78676097"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98 </w:t>
      </w:r>
      <w:r w:rsidRPr="007B43A9">
        <w:rPr>
          <w:rFonts w:ascii="Book Antiqua" w:hAnsi="Book Antiqua"/>
          <w:b/>
          <w:color w:val="000000" w:themeColor="text1"/>
        </w:rPr>
        <w:t>Dowell P</w:t>
      </w:r>
      <w:r w:rsidRPr="007B43A9">
        <w:rPr>
          <w:rFonts w:ascii="Book Antiqua" w:hAnsi="Book Antiqua"/>
          <w:color w:val="000000" w:themeColor="text1"/>
        </w:rPr>
        <w:t xml:space="preserve">, Flexner C, Kwiterovich PO, Lane MD. Suppression of preadipocyte differentiation and promotion of adipocyte death by HIV protease inhibitors. </w:t>
      </w:r>
      <w:r w:rsidRPr="007B43A9">
        <w:rPr>
          <w:rFonts w:ascii="Book Antiqua" w:hAnsi="Book Antiqua"/>
          <w:i/>
          <w:color w:val="000000" w:themeColor="text1"/>
        </w:rPr>
        <w:t>J Biol Chem</w:t>
      </w:r>
      <w:r w:rsidRPr="007B43A9">
        <w:rPr>
          <w:rFonts w:ascii="Book Antiqua" w:hAnsi="Book Antiqua"/>
          <w:color w:val="000000" w:themeColor="text1"/>
        </w:rPr>
        <w:t xml:space="preserve"> 2000; </w:t>
      </w:r>
      <w:r w:rsidRPr="007B43A9">
        <w:rPr>
          <w:rFonts w:ascii="Book Antiqua" w:hAnsi="Book Antiqua"/>
          <w:b/>
          <w:color w:val="000000" w:themeColor="text1"/>
        </w:rPr>
        <w:t>275</w:t>
      </w:r>
      <w:r w:rsidRPr="007B43A9">
        <w:rPr>
          <w:rFonts w:ascii="Book Antiqua" w:hAnsi="Book Antiqua"/>
          <w:color w:val="000000" w:themeColor="text1"/>
        </w:rPr>
        <w:t>: 41325-41332 [PMID: 11018036 DOI: 10.1074/jbc.M006474200]</w:t>
      </w:r>
    </w:p>
    <w:p w14:paraId="30F18900"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99 </w:t>
      </w:r>
      <w:r w:rsidRPr="007B43A9">
        <w:rPr>
          <w:rFonts w:ascii="Book Antiqua" w:hAnsi="Book Antiqua"/>
          <w:b/>
          <w:color w:val="000000" w:themeColor="text1"/>
        </w:rPr>
        <w:t>Stankov MV</w:t>
      </w:r>
      <w:r w:rsidRPr="007B43A9">
        <w:rPr>
          <w:rFonts w:ascii="Book Antiqua" w:hAnsi="Book Antiqua"/>
          <w:color w:val="000000" w:themeColor="text1"/>
        </w:rPr>
        <w:t xml:space="preserve">, Schmidt RE, Behrens GM; German Competence Network HIV/AIDS. Zidovudine impairs adipogenic differentiation through inhibition of clonal expansion. </w:t>
      </w:r>
      <w:r w:rsidRPr="007B43A9">
        <w:rPr>
          <w:rFonts w:ascii="Book Antiqua" w:hAnsi="Book Antiqua"/>
          <w:i/>
          <w:color w:val="000000" w:themeColor="text1"/>
        </w:rPr>
        <w:t>Antimicrob Agents Chemother</w:t>
      </w:r>
      <w:r w:rsidRPr="007B43A9">
        <w:rPr>
          <w:rFonts w:ascii="Book Antiqua" w:hAnsi="Book Antiqua"/>
          <w:color w:val="000000" w:themeColor="text1"/>
        </w:rPr>
        <w:t xml:space="preserve"> 2008; </w:t>
      </w:r>
      <w:r w:rsidRPr="007B43A9">
        <w:rPr>
          <w:rFonts w:ascii="Book Antiqua" w:hAnsi="Book Antiqua"/>
          <w:b/>
          <w:color w:val="000000" w:themeColor="text1"/>
        </w:rPr>
        <w:t>52</w:t>
      </w:r>
      <w:r w:rsidRPr="007B43A9">
        <w:rPr>
          <w:rFonts w:ascii="Book Antiqua" w:hAnsi="Book Antiqua"/>
          <w:color w:val="000000" w:themeColor="text1"/>
        </w:rPr>
        <w:t>: 2882-2889 [PMID: 18474584 DOI: 10.1128/AAC.01505-07]</w:t>
      </w:r>
    </w:p>
    <w:p w14:paraId="3D21A07D"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100 </w:t>
      </w:r>
      <w:r w:rsidRPr="007B43A9">
        <w:rPr>
          <w:rFonts w:ascii="Book Antiqua" w:hAnsi="Book Antiqua"/>
          <w:b/>
          <w:color w:val="000000" w:themeColor="text1"/>
        </w:rPr>
        <w:t>Pérez-Matute P</w:t>
      </w:r>
      <w:r w:rsidRPr="007B43A9">
        <w:rPr>
          <w:rFonts w:ascii="Book Antiqua" w:hAnsi="Book Antiqua"/>
          <w:color w:val="000000" w:themeColor="text1"/>
        </w:rPr>
        <w:t xml:space="preserve">, Pérez-Martínez L, Blanco JR, Oteo JA. Minimal effects of Darunavir on adipocyte differentiation and metabolism in 3T3-L1 cells. </w:t>
      </w:r>
      <w:r w:rsidRPr="007B43A9">
        <w:rPr>
          <w:rFonts w:ascii="Book Antiqua" w:hAnsi="Book Antiqua"/>
          <w:i/>
          <w:color w:val="000000" w:themeColor="text1"/>
        </w:rPr>
        <w:t>J Infect Chemother</w:t>
      </w:r>
      <w:r w:rsidRPr="007B43A9">
        <w:rPr>
          <w:rFonts w:ascii="Book Antiqua" w:hAnsi="Book Antiqua"/>
          <w:color w:val="000000" w:themeColor="text1"/>
        </w:rPr>
        <w:t xml:space="preserve"> 2012; </w:t>
      </w:r>
      <w:r w:rsidRPr="007B43A9">
        <w:rPr>
          <w:rFonts w:ascii="Book Antiqua" w:hAnsi="Book Antiqua"/>
          <w:b/>
          <w:color w:val="000000" w:themeColor="text1"/>
        </w:rPr>
        <w:t>18</w:t>
      </w:r>
      <w:r w:rsidRPr="007B43A9">
        <w:rPr>
          <w:rFonts w:ascii="Book Antiqua" w:hAnsi="Book Antiqua"/>
          <w:color w:val="000000" w:themeColor="text1"/>
        </w:rPr>
        <w:t>: 485-493 [PMID: 22245882 DOI: 10.1007/s10156-011-0361-8]</w:t>
      </w:r>
    </w:p>
    <w:p w14:paraId="4E16ACEE"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101 </w:t>
      </w:r>
      <w:r w:rsidRPr="007B43A9">
        <w:rPr>
          <w:rFonts w:ascii="Book Antiqua" w:hAnsi="Book Antiqua"/>
          <w:b/>
          <w:color w:val="000000" w:themeColor="text1"/>
        </w:rPr>
        <w:t>Pérez-Matute P</w:t>
      </w:r>
      <w:r w:rsidRPr="007B43A9">
        <w:rPr>
          <w:rFonts w:ascii="Book Antiqua" w:hAnsi="Book Antiqua"/>
          <w:color w:val="000000" w:themeColor="text1"/>
        </w:rPr>
        <w:t xml:space="preserve">, Pérez-Martínez L, Blanco JR, Oteo JA. Neutral actions of Raltegravir on adipogenesis, glucose metabolism and lipolysis in 3T3-L1 adipocytes. </w:t>
      </w:r>
      <w:r w:rsidRPr="007B43A9">
        <w:rPr>
          <w:rFonts w:ascii="Book Antiqua" w:hAnsi="Book Antiqua"/>
          <w:i/>
          <w:color w:val="000000" w:themeColor="text1"/>
        </w:rPr>
        <w:t>Curr HIV Res</w:t>
      </w:r>
      <w:r w:rsidRPr="007B43A9">
        <w:rPr>
          <w:rFonts w:ascii="Book Antiqua" w:hAnsi="Book Antiqua"/>
          <w:color w:val="000000" w:themeColor="text1"/>
        </w:rPr>
        <w:t xml:space="preserve"> 2011; </w:t>
      </w:r>
      <w:r w:rsidRPr="007B43A9">
        <w:rPr>
          <w:rFonts w:ascii="Book Antiqua" w:hAnsi="Book Antiqua"/>
          <w:b/>
          <w:color w:val="000000" w:themeColor="text1"/>
        </w:rPr>
        <w:t>9</w:t>
      </w:r>
      <w:r w:rsidRPr="007B43A9">
        <w:rPr>
          <w:rFonts w:ascii="Book Antiqua" w:hAnsi="Book Antiqua"/>
          <w:color w:val="000000" w:themeColor="text1"/>
        </w:rPr>
        <w:t>: 174-179 [PMID: 21585335 DOI: 10.2174/157016211795945278]</w:t>
      </w:r>
    </w:p>
    <w:p w14:paraId="56F51847"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102 </w:t>
      </w:r>
      <w:r w:rsidRPr="007B43A9">
        <w:rPr>
          <w:rFonts w:ascii="Book Antiqua" w:hAnsi="Book Antiqua"/>
          <w:b/>
          <w:color w:val="000000" w:themeColor="text1"/>
        </w:rPr>
        <w:t>Stankov MV</w:t>
      </w:r>
      <w:r w:rsidRPr="007B43A9">
        <w:rPr>
          <w:rFonts w:ascii="Book Antiqua" w:hAnsi="Book Antiqua"/>
          <w:color w:val="000000" w:themeColor="text1"/>
        </w:rPr>
        <w:t xml:space="preserve">, Schmidt RE, Behrens GM. Impact of stimulatory pathways on adipogenesis and HIV-therapy associated lipoatrophy. </w:t>
      </w:r>
      <w:r w:rsidRPr="007B43A9">
        <w:rPr>
          <w:rFonts w:ascii="Book Antiqua" w:hAnsi="Book Antiqua"/>
          <w:i/>
          <w:color w:val="000000" w:themeColor="text1"/>
        </w:rPr>
        <w:t>Exp Biol Med (Maywood)</w:t>
      </w:r>
      <w:r w:rsidRPr="007B43A9">
        <w:rPr>
          <w:rFonts w:ascii="Book Antiqua" w:hAnsi="Book Antiqua"/>
          <w:color w:val="000000" w:themeColor="text1"/>
        </w:rPr>
        <w:t xml:space="preserve"> 2009; </w:t>
      </w:r>
      <w:r w:rsidRPr="007B43A9">
        <w:rPr>
          <w:rFonts w:ascii="Book Antiqua" w:hAnsi="Book Antiqua"/>
          <w:b/>
          <w:color w:val="000000" w:themeColor="text1"/>
        </w:rPr>
        <w:t>234</w:t>
      </w:r>
      <w:r w:rsidRPr="007B43A9">
        <w:rPr>
          <w:rFonts w:ascii="Book Antiqua" w:hAnsi="Book Antiqua"/>
          <w:color w:val="000000" w:themeColor="text1"/>
        </w:rPr>
        <w:t>: 1484-1492 [PMID: 19934369 DOI: 10.3181/0907-RM-205]</w:t>
      </w:r>
    </w:p>
    <w:p w14:paraId="13B13243"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103 </w:t>
      </w:r>
      <w:r w:rsidRPr="007B43A9">
        <w:rPr>
          <w:rFonts w:ascii="Book Antiqua" w:hAnsi="Book Antiqua"/>
          <w:b/>
          <w:color w:val="000000" w:themeColor="text1"/>
        </w:rPr>
        <w:t>Caron M</w:t>
      </w:r>
      <w:r w:rsidRPr="007B43A9">
        <w:rPr>
          <w:rFonts w:ascii="Book Antiqua" w:hAnsi="Book Antiqua"/>
          <w:color w:val="000000" w:themeColor="text1"/>
        </w:rPr>
        <w:t xml:space="preserve">, Auclair M, Vigouroux C, Glorian M, Forest C, Capeau J. The HIV protease inhibitor indinavir impairs sterol regulatory element-binding protein-1 intranuclear localization, inhibits preadipocyte differentiation, and induces insulin resistance. </w:t>
      </w:r>
      <w:r w:rsidRPr="007B43A9">
        <w:rPr>
          <w:rFonts w:ascii="Book Antiqua" w:hAnsi="Book Antiqua"/>
          <w:i/>
          <w:color w:val="000000" w:themeColor="text1"/>
        </w:rPr>
        <w:t>Diabetes</w:t>
      </w:r>
      <w:r w:rsidRPr="007B43A9">
        <w:rPr>
          <w:rFonts w:ascii="Book Antiqua" w:hAnsi="Book Antiqua"/>
          <w:color w:val="000000" w:themeColor="text1"/>
        </w:rPr>
        <w:t xml:space="preserve"> 2001; </w:t>
      </w:r>
      <w:r w:rsidRPr="007B43A9">
        <w:rPr>
          <w:rFonts w:ascii="Book Antiqua" w:hAnsi="Book Antiqua"/>
          <w:b/>
          <w:color w:val="000000" w:themeColor="text1"/>
        </w:rPr>
        <w:t>50</w:t>
      </w:r>
      <w:r w:rsidRPr="007B43A9">
        <w:rPr>
          <w:rFonts w:ascii="Book Antiqua" w:hAnsi="Book Antiqua"/>
          <w:color w:val="000000" w:themeColor="text1"/>
        </w:rPr>
        <w:t>: 1378-1388 [PMID: 11375339 DOI: 10.2337/diabetes.50.6.1378]</w:t>
      </w:r>
    </w:p>
    <w:p w14:paraId="0FE1FF59"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104 </w:t>
      </w:r>
      <w:r w:rsidRPr="007B43A9">
        <w:rPr>
          <w:rFonts w:ascii="Book Antiqua" w:hAnsi="Book Antiqua"/>
          <w:b/>
          <w:color w:val="000000" w:themeColor="text1"/>
        </w:rPr>
        <w:t>Moure R</w:t>
      </w:r>
      <w:r w:rsidRPr="007B43A9">
        <w:rPr>
          <w:rFonts w:ascii="Book Antiqua" w:hAnsi="Book Antiqua"/>
          <w:color w:val="000000" w:themeColor="text1"/>
        </w:rPr>
        <w:t xml:space="preserve">, Domingo P, Gallego-Escuredo JM, Villarroya J, Gutierrez Mdel M, Mateo MG, Domingo JC, Giralt M, Villarroya F. Impact of elvitegravir on human adipocytes: Alterations in differentiation, gene expression and release of adipokines and cytokines. </w:t>
      </w:r>
      <w:r w:rsidRPr="007B43A9">
        <w:rPr>
          <w:rFonts w:ascii="Book Antiqua" w:hAnsi="Book Antiqua"/>
          <w:i/>
          <w:color w:val="000000" w:themeColor="text1"/>
        </w:rPr>
        <w:t>Antiviral Res</w:t>
      </w:r>
      <w:r w:rsidRPr="007B43A9">
        <w:rPr>
          <w:rFonts w:ascii="Book Antiqua" w:hAnsi="Book Antiqua"/>
          <w:color w:val="000000" w:themeColor="text1"/>
        </w:rPr>
        <w:t xml:space="preserve"> 2016; </w:t>
      </w:r>
      <w:r w:rsidRPr="007B43A9">
        <w:rPr>
          <w:rFonts w:ascii="Book Antiqua" w:hAnsi="Book Antiqua"/>
          <w:b/>
          <w:color w:val="000000" w:themeColor="text1"/>
        </w:rPr>
        <w:t>132</w:t>
      </w:r>
      <w:r w:rsidRPr="007B43A9">
        <w:rPr>
          <w:rFonts w:ascii="Book Antiqua" w:hAnsi="Book Antiqua"/>
          <w:color w:val="000000" w:themeColor="text1"/>
        </w:rPr>
        <w:t>: 59-65 [PMID: 27216995 DOI: 10.1016/j.antiviral.2016.05.013]</w:t>
      </w:r>
    </w:p>
    <w:p w14:paraId="6C0DA5FD"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105 </w:t>
      </w:r>
      <w:r w:rsidRPr="007B43A9">
        <w:rPr>
          <w:rFonts w:ascii="Book Antiqua" w:hAnsi="Book Antiqua"/>
          <w:b/>
          <w:color w:val="000000" w:themeColor="text1"/>
        </w:rPr>
        <w:t>Kim TH</w:t>
      </w:r>
      <w:r w:rsidRPr="007B43A9">
        <w:rPr>
          <w:rFonts w:ascii="Book Antiqua" w:hAnsi="Book Antiqua"/>
          <w:color w:val="000000" w:themeColor="text1"/>
        </w:rPr>
        <w:t xml:space="preserve">, Kim HK, Hwang ES. Novel anti-adipogenic activity of anti-malarial amodiaquine through suppression of PPARγ activity. </w:t>
      </w:r>
      <w:r w:rsidRPr="007B43A9">
        <w:rPr>
          <w:rFonts w:ascii="Book Antiqua" w:hAnsi="Book Antiqua"/>
          <w:i/>
          <w:color w:val="000000" w:themeColor="text1"/>
        </w:rPr>
        <w:t>Arch Pharm Res</w:t>
      </w:r>
      <w:r w:rsidRPr="007B43A9">
        <w:rPr>
          <w:rFonts w:ascii="Book Antiqua" w:hAnsi="Book Antiqua"/>
          <w:color w:val="000000" w:themeColor="text1"/>
        </w:rPr>
        <w:t xml:space="preserve"> 2017; </w:t>
      </w:r>
      <w:r w:rsidRPr="007B43A9">
        <w:rPr>
          <w:rFonts w:ascii="Book Antiqua" w:hAnsi="Book Antiqua"/>
          <w:b/>
          <w:color w:val="000000" w:themeColor="text1"/>
        </w:rPr>
        <w:t>40</w:t>
      </w:r>
      <w:r w:rsidRPr="007B43A9">
        <w:rPr>
          <w:rFonts w:ascii="Book Antiqua" w:hAnsi="Book Antiqua"/>
          <w:color w:val="000000" w:themeColor="text1"/>
        </w:rPr>
        <w:t>: 1336-1343 [PMID: 29071567 DOI: 10.1007/s12272-017-0965-3]</w:t>
      </w:r>
    </w:p>
    <w:p w14:paraId="62A5BEA3"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106 </w:t>
      </w:r>
      <w:r w:rsidRPr="007B43A9">
        <w:rPr>
          <w:rFonts w:ascii="Book Antiqua" w:hAnsi="Book Antiqua"/>
          <w:b/>
          <w:color w:val="000000" w:themeColor="text1"/>
        </w:rPr>
        <w:t>Ning X</w:t>
      </w:r>
      <w:r w:rsidRPr="007B43A9">
        <w:rPr>
          <w:rFonts w:ascii="Book Antiqua" w:hAnsi="Book Antiqua"/>
          <w:color w:val="000000" w:themeColor="text1"/>
        </w:rPr>
        <w:t xml:space="preserve">, He J, Shi X, Yang G. Regulation of Adipogenesis by Quinine through the ERK/S6 Pathway. </w:t>
      </w:r>
      <w:r w:rsidRPr="007B43A9">
        <w:rPr>
          <w:rFonts w:ascii="Book Antiqua" w:hAnsi="Book Antiqua"/>
          <w:i/>
          <w:color w:val="000000" w:themeColor="text1"/>
        </w:rPr>
        <w:t>Int J Mol Sci</w:t>
      </w:r>
      <w:r w:rsidRPr="007B43A9">
        <w:rPr>
          <w:rFonts w:ascii="Book Antiqua" w:hAnsi="Book Antiqua"/>
          <w:color w:val="000000" w:themeColor="text1"/>
        </w:rPr>
        <w:t xml:space="preserve"> 2016; </w:t>
      </w:r>
      <w:r w:rsidRPr="007B43A9">
        <w:rPr>
          <w:rFonts w:ascii="Book Antiqua" w:hAnsi="Book Antiqua"/>
          <w:b/>
          <w:color w:val="000000" w:themeColor="text1"/>
        </w:rPr>
        <w:t>17</w:t>
      </w:r>
      <w:r w:rsidRPr="007B43A9">
        <w:rPr>
          <w:rFonts w:ascii="Book Antiqua" w:hAnsi="Book Antiqua"/>
          <w:color w:val="000000" w:themeColor="text1"/>
        </w:rPr>
        <w:t>: 504 [PMID: 27089323 DOI: 10.3390/ijms17040504]</w:t>
      </w:r>
    </w:p>
    <w:p w14:paraId="0B8F6A6E" w14:textId="77777777" w:rsidR="00D04536" w:rsidRPr="007B43A9" w:rsidRDefault="00D04536" w:rsidP="00B66378">
      <w:pPr>
        <w:spacing w:line="360" w:lineRule="auto"/>
        <w:rPr>
          <w:rFonts w:ascii="Book Antiqua" w:hAnsi="Book Antiqua"/>
          <w:color w:val="000000" w:themeColor="text1"/>
        </w:rPr>
      </w:pPr>
      <w:r w:rsidRPr="007B43A9">
        <w:rPr>
          <w:rFonts w:ascii="Book Antiqua" w:hAnsi="Book Antiqua"/>
          <w:color w:val="000000" w:themeColor="text1"/>
        </w:rPr>
        <w:t xml:space="preserve">107 </w:t>
      </w:r>
      <w:r w:rsidRPr="007B43A9">
        <w:rPr>
          <w:rFonts w:ascii="Book Antiqua" w:hAnsi="Book Antiqua"/>
          <w:b/>
          <w:color w:val="000000" w:themeColor="text1"/>
        </w:rPr>
        <w:t>Lee J</w:t>
      </w:r>
      <w:r w:rsidRPr="007B43A9">
        <w:rPr>
          <w:rFonts w:ascii="Book Antiqua" w:hAnsi="Book Antiqua"/>
          <w:color w:val="000000" w:themeColor="text1"/>
        </w:rPr>
        <w:t xml:space="preserve">, Kim MH, Lee JH, Jung E, Yoo ES, Park D. Artemisinic acid is a regulator of adipocyte differentiation and C/EBP δ expression. </w:t>
      </w:r>
      <w:r w:rsidRPr="007B43A9">
        <w:rPr>
          <w:rFonts w:ascii="Book Antiqua" w:hAnsi="Book Antiqua"/>
          <w:i/>
          <w:color w:val="000000" w:themeColor="text1"/>
        </w:rPr>
        <w:t>J Cell Biochem</w:t>
      </w:r>
      <w:r w:rsidRPr="007B43A9">
        <w:rPr>
          <w:rFonts w:ascii="Book Antiqua" w:hAnsi="Book Antiqua"/>
          <w:color w:val="000000" w:themeColor="text1"/>
        </w:rPr>
        <w:t xml:space="preserve"> 2012; </w:t>
      </w:r>
      <w:r w:rsidRPr="007B43A9">
        <w:rPr>
          <w:rFonts w:ascii="Book Antiqua" w:hAnsi="Book Antiqua"/>
          <w:b/>
          <w:color w:val="000000" w:themeColor="text1"/>
        </w:rPr>
        <w:t>113</w:t>
      </w:r>
      <w:r w:rsidRPr="007B43A9">
        <w:rPr>
          <w:rFonts w:ascii="Book Antiqua" w:hAnsi="Book Antiqua"/>
          <w:color w:val="000000" w:themeColor="text1"/>
        </w:rPr>
        <w:t>: 2488-2499 [PMID: 22396222 DOI: 10.1002/jcb.24124]</w:t>
      </w:r>
    </w:p>
    <w:p w14:paraId="35C43EE0" w14:textId="77777777" w:rsidR="008843DA" w:rsidRPr="007B43A9" w:rsidRDefault="008843DA" w:rsidP="00B66378">
      <w:pPr>
        <w:pStyle w:val="EndNoteBibliography"/>
        <w:spacing w:line="360" w:lineRule="auto"/>
        <w:rPr>
          <w:rFonts w:ascii="Book Antiqua" w:hAnsi="Book Antiqua" w:cs="Times New Roman"/>
          <w:noProof/>
          <w:color w:val="000000" w:themeColor="text1"/>
        </w:rPr>
      </w:pPr>
    </w:p>
    <w:p w14:paraId="0804A645" w14:textId="1781A466" w:rsidR="004C12B5" w:rsidRPr="007B43A9" w:rsidRDefault="004C12B5" w:rsidP="00DC2205">
      <w:pPr>
        <w:pStyle w:val="ad"/>
        <w:spacing w:line="360" w:lineRule="auto"/>
        <w:jc w:val="right"/>
        <w:rPr>
          <w:rFonts w:ascii="Book Antiqua" w:hAnsi="Book Antiqua"/>
          <w:bCs/>
          <w:color w:val="000000" w:themeColor="text1"/>
          <w:sz w:val="24"/>
          <w:szCs w:val="24"/>
        </w:rPr>
      </w:pPr>
      <w:r w:rsidRPr="007B43A9">
        <w:rPr>
          <w:rFonts w:ascii="Book Antiqua" w:hAnsi="Book Antiqua"/>
          <w:b/>
          <w:color w:val="000000" w:themeColor="text1"/>
          <w:sz w:val="24"/>
          <w:szCs w:val="24"/>
        </w:rPr>
        <w:t xml:space="preserve">P-Reviewer: </w:t>
      </w:r>
      <w:r w:rsidR="00CE027B" w:rsidRPr="007B43A9">
        <w:rPr>
          <w:rFonts w:ascii="Book Antiqua" w:hAnsi="Book Antiqua"/>
          <w:color w:val="000000" w:themeColor="text1"/>
          <w:sz w:val="24"/>
          <w:szCs w:val="24"/>
        </w:rPr>
        <w:t xml:space="preserve">Andrukhov O, Garg M, Hara M, Kim YB, Oltra E, Ventura C </w:t>
      </w:r>
      <w:r w:rsidRPr="007B43A9">
        <w:rPr>
          <w:rFonts w:ascii="Book Antiqua" w:hAnsi="Book Antiqua"/>
          <w:b/>
          <w:color w:val="000000" w:themeColor="text1"/>
          <w:sz w:val="24"/>
          <w:szCs w:val="24"/>
        </w:rPr>
        <w:t xml:space="preserve">S-Editor: </w:t>
      </w:r>
      <w:r w:rsidRPr="007B43A9">
        <w:rPr>
          <w:rFonts w:ascii="Book Antiqua" w:hAnsi="Book Antiqua"/>
          <w:color w:val="000000" w:themeColor="text1"/>
          <w:sz w:val="24"/>
          <w:szCs w:val="24"/>
        </w:rPr>
        <w:t>Ji FF</w:t>
      </w:r>
      <w:r w:rsidRPr="007B43A9">
        <w:rPr>
          <w:rFonts w:ascii="Book Antiqua" w:hAnsi="Book Antiqua"/>
          <w:b/>
          <w:color w:val="000000" w:themeColor="text1"/>
          <w:sz w:val="24"/>
          <w:szCs w:val="24"/>
        </w:rPr>
        <w:t xml:space="preserve"> L-Editor: </w:t>
      </w:r>
      <w:r w:rsidR="00CB1E9C" w:rsidRPr="007B43A9">
        <w:rPr>
          <w:rFonts w:ascii="Book Antiqua" w:hAnsi="Book Antiqua"/>
          <w:color w:val="000000" w:themeColor="text1"/>
          <w:sz w:val="24"/>
          <w:szCs w:val="24"/>
        </w:rPr>
        <w:t>Wang TQ</w:t>
      </w:r>
      <w:r w:rsidR="00CB1E9C" w:rsidRPr="007B43A9">
        <w:rPr>
          <w:rFonts w:ascii="Book Antiqua" w:hAnsi="Book Antiqua"/>
          <w:b/>
          <w:color w:val="000000" w:themeColor="text1"/>
          <w:sz w:val="24"/>
          <w:szCs w:val="24"/>
        </w:rPr>
        <w:t xml:space="preserve"> </w:t>
      </w:r>
      <w:r w:rsidRPr="007B43A9">
        <w:rPr>
          <w:rFonts w:ascii="Book Antiqua" w:hAnsi="Book Antiqua"/>
          <w:b/>
          <w:color w:val="000000" w:themeColor="text1"/>
          <w:sz w:val="24"/>
          <w:szCs w:val="24"/>
        </w:rPr>
        <w:t xml:space="preserve">E-Editor: </w:t>
      </w:r>
      <w:r w:rsidR="007B43A9">
        <w:rPr>
          <w:rFonts w:ascii="Book Antiqua" w:hAnsi="Book Antiqua"/>
          <w:bCs/>
          <w:color w:val="000000" w:themeColor="text1"/>
          <w:sz w:val="24"/>
          <w:szCs w:val="24"/>
        </w:rPr>
        <w:t>Wu YXJ</w:t>
      </w:r>
      <w:bookmarkStart w:id="105" w:name="_GoBack"/>
      <w:bookmarkEnd w:id="105"/>
    </w:p>
    <w:p w14:paraId="356B6CB3" w14:textId="77777777" w:rsidR="004C12B5" w:rsidRPr="007B43A9" w:rsidRDefault="004C12B5" w:rsidP="00B66378">
      <w:pPr>
        <w:pStyle w:val="ad"/>
        <w:spacing w:line="360" w:lineRule="auto"/>
        <w:rPr>
          <w:rFonts w:ascii="Book Antiqua" w:hAnsi="Book Antiqua"/>
          <w:b/>
          <w:color w:val="000000" w:themeColor="text1"/>
          <w:sz w:val="24"/>
          <w:szCs w:val="24"/>
        </w:rPr>
      </w:pPr>
      <w:r w:rsidRPr="007B43A9">
        <w:rPr>
          <w:rFonts w:ascii="Book Antiqua" w:hAnsi="Book Antiqua"/>
          <w:b/>
          <w:color w:val="000000" w:themeColor="text1"/>
          <w:sz w:val="24"/>
          <w:szCs w:val="24"/>
        </w:rPr>
        <w:t xml:space="preserve"> </w:t>
      </w:r>
    </w:p>
    <w:p w14:paraId="7535DB60" w14:textId="38C341DA" w:rsidR="004C12B5" w:rsidRPr="007B43A9" w:rsidRDefault="004C12B5" w:rsidP="00B66378">
      <w:pPr>
        <w:widowControl/>
        <w:snapToGrid w:val="0"/>
        <w:spacing w:line="360" w:lineRule="auto"/>
        <w:rPr>
          <w:rFonts w:ascii="Book Antiqua" w:eastAsia="宋体" w:hAnsi="Book Antiqua" w:cs="Helvetica"/>
          <w:b/>
          <w:color w:val="000000" w:themeColor="text1"/>
          <w:kern w:val="0"/>
        </w:rPr>
      </w:pPr>
      <w:r w:rsidRPr="007B43A9">
        <w:rPr>
          <w:rFonts w:ascii="Book Antiqua" w:eastAsia="宋体" w:hAnsi="Book Antiqua" w:cs="Helvetica"/>
          <w:b/>
          <w:color w:val="000000" w:themeColor="text1"/>
          <w:kern w:val="0"/>
        </w:rPr>
        <w:t xml:space="preserve">Specialty type: </w:t>
      </w:r>
      <w:r w:rsidR="003F1D48" w:rsidRPr="007B43A9">
        <w:rPr>
          <w:rFonts w:ascii="Book Antiqua" w:eastAsia="微软雅黑" w:hAnsi="Book Antiqua" w:cs="宋体"/>
          <w:color w:val="000000" w:themeColor="text1"/>
          <w:kern w:val="0"/>
        </w:rPr>
        <w:t>Cell and tissue engineering</w:t>
      </w:r>
    </w:p>
    <w:p w14:paraId="2E2DF59A" w14:textId="484ADD78" w:rsidR="004C12B5" w:rsidRPr="007B43A9" w:rsidRDefault="004C12B5" w:rsidP="00B66378">
      <w:pPr>
        <w:widowControl/>
        <w:snapToGrid w:val="0"/>
        <w:spacing w:line="360" w:lineRule="auto"/>
        <w:rPr>
          <w:rFonts w:ascii="Book Antiqua" w:eastAsia="宋体" w:hAnsi="Book Antiqua" w:cs="Helvetica"/>
          <w:b/>
          <w:color w:val="000000" w:themeColor="text1"/>
          <w:kern w:val="0"/>
        </w:rPr>
      </w:pPr>
      <w:r w:rsidRPr="007B43A9">
        <w:rPr>
          <w:rFonts w:ascii="Book Antiqua" w:eastAsia="宋体" w:hAnsi="Book Antiqua" w:cs="Helvetica"/>
          <w:b/>
          <w:color w:val="000000" w:themeColor="text1"/>
          <w:kern w:val="0"/>
        </w:rPr>
        <w:t xml:space="preserve">Country of origin: </w:t>
      </w:r>
      <w:r w:rsidR="003F1D48" w:rsidRPr="007B43A9">
        <w:rPr>
          <w:rFonts w:ascii="Book Antiqua" w:eastAsia="宋体" w:hAnsi="Book Antiqua"/>
          <w:color w:val="000000" w:themeColor="text1"/>
          <w:kern w:val="0"/>
        </w:rPr>
        <w:t>China</w:t>
      </w:r>
    </w:p>
    <w:p w14:paraId="3433D503" w14:textId="77777777" w:rsidR="004C12B5" w:rsidRPr="007B43A9" w:rsidRDefault="004C12B5" w:rsidP="00B66378">
      <w:pPr>
        <w:widowControl/>
        <w:snapToGrid w:val="0"/>
        <w:spacing w:line="360" w:lineRule="auto"/>
        <w:rPr>
          <w:rFonts w:ascii="Book Antiqua" w:eastAsia="宋体" w:hAnsi="Book Antiqua" w:cs="Helvetica"/>
          <w:b/>
          <w:color w:val="000000" w:themeColor="text1"/>
          <w:kern w:val="0"/>
        </w:rPr>
      </w:pPr>
      <w:r w:rsidRPr="007B43A9">
        <w:rPr>
          <w:rFonts w:ascii="Book Antiqua" w:eastAsia="宋体" w:hAnsi="Book Antiqua" w:cs="Helvetica"/>
          <w:b/>
          <w:color w:val="000000" w:themeColor="text1"/>
          <w:kern w:val="0"/>
        </w:rPr>
        <w:t>Peer-review report classification</w:t>
      </w:r>
    </w:p>
    <w:p w14:paraId="437F932E" w14:textId="50E83E8C" w:rsidR="004C12B5" w:rsidRPr="007B43A9" w:rsidRDefault="004C12B5" w:rsidP="00B66378">
      <w:pPr>
        <w:widowControl/>
        <w:snapToGrid w:val="0"/>
        <w:spacing w:line="360" w:lineRule="auto"/>
        <w:rPr>
          <w:rFonts w:ascii="Book Antiqua" w:eastAsia="宋体" w:hAnsi="Book Antiqua" w:cs="Helvetica"/>
          <w:color w:val="000000" w:themeColor="text1"/>
          <w:kern w:val="0"/>
        </w:rPr>
      </w:pPr>
      <w:r w:rsidRPr="007B43A9">
        <w:rPr>
          <w:rFonts w:ascii="Book Antiqua" w:eastAsia="宋体" w:hAnsi="Book Antiqua" w:cs="Helvetica"/>
          <w:color w:val="000000" w:themeColor="text1"/>
          <w:kern w:val="0"/>
        </w:rPr>
        <w:t xml:space="preserve">Grade A (Excellent): </w:t>
      </w:r>
      <w:r w:rsidR="003F1D48" w:rsidRPr="007B43A9">
        <w:rPr>
          <w:rFonts w:ascii="Book Antiqua" w:eastAsia="宋体" w:hAnsi="Book Antiqua" w:cs="Helvetica"/>
          <w:color w:val="000000" w:themeColor="text1"/>
          <w:kern w:val="0"/>
        </w:rPr>
        <w:t>0</w:t>
      </w:r>
    </w:p>
    <w:p w14:paraId="103E234E" w14:textId="221E7655" w:rsidR="004C12B5" w:rsidRPr="007B43A9" w:rsidRDefault="004C12B5" w:rsidP="00B66378">
      <w:pPr>
        <w:widowControl/>
        <w:snapToGrid w:val="0"/>
        <w:spacing w:line="360" w:lineRule="auto"/>
        <w:rPr>
          <w:rFonts w:ascii="Book Antiqua" w:eastAsia="宋体" w:hAnsi="Book Antiqua" w:cs="Helvetica"/>
          <w:color w:val="000000" w:themeColor="text1"/>
          <w:kern w:val="0"/>
        </w:rPr>
      </w:pPr>
      <w:r w:rsidRPr="007B43A9">
        <w:rPr>
          <w:rFonts w:ascii="Book Antiqua" w:eastAsia="宋体" w:hAnsi="Book Antiqua" w:cs="Helvetica"/>
          <w:color w:val="000000" w:themeColor="text1"/>
          <w:kern w:val="0"/>
        </w:rPr>
        <w:t>Grade B (Very good): B</w:t>
      </w:r>
      <w:r w:rsidR="003F1D48" w:rsidRPr="007B43A9">
        <w:rPr>
          <w:rFonts w:ascii="Book Antiqua" w:eastAsia="宋体" w:hAnsi="Book Antiqua" w:cs="Helvetica"/>
          <w:color w:val="000000" w:themeColor="text1"/>
          <w:kern w:val="0"/>
        </w:rPr>
        <w:t>, B, B, B</w:t>
      </w:r>
    </w:p>
    <w:p w14:paraId="3ADD27C6" w14:textId="77777777" w:rsidR="004C12B5" w:rsidRPr="007B43A9" w:rsidRDefault="004C12B5" w:rsidP="00B66378">
      <w:pPr>
        <w:widowControl/>
        <w:snapToGrid w:val="0"/>
        <w:spacing w:line="360" w:lineRule="auto"/>
        <w:rPr>
          <w:rFonts w:ascii="Book Antiqua" w:eastAsia="宋体" w:hAnsi="Book Antiqua" w:cs="Helvetica"/>
          <w:color w:val="000000" w:themeColor="text1"/>
          <w:kern w:val="0"/>
        </w:rPr>
      </w:pPr>
      <w:r w:rsidRPr="007B43A9">
        <w:rPr>
          <w:rFonts w:ascii="Book Antiqua" w:eastAsia="宋体" w:hAnsi="Book Antiqua" w:cs="Helvetica"/>
          <w:color w:val="000000" w:themeColor="text1"/>
          <w:kern w:val="0"/>
        </w:rPr>
        <w:t>Grade C (Good): C</w:t>
      </w:r>
    </w:p>
    <w:p w14:paraId="514BB8DC" w14:textId="103C4E78" w:rsidR="004C12B5" w:rsidRPr="007B43A9" w:rsidRDefault="004C12B5" w:rsidP="00B66378">
      <w:pPr>
        <w:widowControl/>
        <w:snapToGrid w:val="0"/>
        <w:spacing w:line="360" w:lineRule="auto"/>
        <w:rPr>
          <w:rFonts w:ascii="Book Antiqua" w:eastAsia="宋体" w:hAnsi="Book Antiqua" w:cs="Helvetica"/>
          <w:color w:val="000000" w:themeColor="text1"/>
          <w:kern w:val="0"/>
        </w:rPr>
      </w:pPr>
      <w:r w:rsidRPr="007B43A9">
        <w:rPr>
          <w:rFonts w:ascii="Book Antiqua" w:eastAsia="宋体" w:hAnsi="Book Antiqua" w:cs="Helvetica"/>
          <w:color w:val="000000" w:themeColor="text1"/>
          <w:kern w:val="0"/>
        </w:rPr>
        <w:t xml:space="preserve">Grade D (Fair): </w:t>
      </w:r>
      <w:r w:rsidR="003F1D48" w:rsidRPr="007B43A9">
        <w:rPr>
          <w:rFonts w:ascii="Book Antiqua" w:eastAsia="宋体" w:hAnsi="Book Antiqua" w:cs="Helvetica"/>
          <w:color w:val="000000" w:themeColor="text1"/>
          <w:kern w:val="0"/>
        </w:rPr>
        <w:t>D</w:t>
      </w:r>
    </w:p>
    <w:p w14:paraId="235B7E2F" w14:textId="60FFB945" w:rsidR="004C12B5" w:rsidRPr="007B43A9" w:rsidRDefault="004C12B5" w:rsidP="00B66378">
      <w:pPr>
        <w:pStyle w:val="EndNoteBibliography"/>
        <w:spacing w:line="360" w:lineRule="auto"/>
        <w:rPr>
          <w:rFonts w:ascii="Book Antiqua" w:hAnsi="Book Antiqua" w:cs="Times New Roman"/>
          <w:noProof/>
          <w:color w:val="000000" w:themeColor="text1"/>
        </w:rPr>
      </w:pPr>
      <w:r w:rsidRPr="007B43A9">
        <w:rPr>
          <w:rFonts w:ascii="Book Antiqua" w:eastAsia="宋体" w:hAnsi="Book Antiqua" w:cs="Helvetica"/>
          <w:color w:val="000000" w:themeColor="text1"/>
          <w:kern w:val="0"/>
        </w:rPr>
        <w:t>Grade E (Poor): 0</w:t>
      </w:r>
    </w:p>
    <w:p w14:paraId="73A9248D" w14:textId="77777777" w:rsidR="003F1D48" w:rsidRPr="007B43A9" w:rsidRDefault="003F1D48">
      <w:pPr>
        <w:widowControl/>
        <w:jc w:val="left"/>
        <w:rPr>
          <w:rFonts w:ascii="Book Antiqua" w:eastAsia="宋体" w:hAnsi="Book Antiqua" w:cs="Times New Roman"/>
          <w:b/>
          <w:color w:val="000000" w:themeColor="text1"/>
        </w:rPr>
      </w:pPr>
      <w:r w:rsidRPr="007B43A9">
        <w:rPr>
          <w:rFonts w:ascii="Book Antiqua" w:eastAsia="宋体" w:hAnsi="Book Antiqua" w:cs="Times New Roman"/>
          <w:b/>
          <w:color w:val="000000" w:themeColor="text1"/>
        </w:rPr>
        <w:br w:type="page"/>
      </w:r>
    </w:p>
    <w:p w14:paraId="1D0DEA75" w14:textId="35C22243" w:rsidR="00EC5318" w:rsidRPr="007B43A9" w:rsidRDefault="00EC5318" w:rsidP="005142C8">
      <w:pPr>
        <w:spacing w:line="360" w:lineRule="auto"/>
        <w:rPr>
          <w:rFonts w:ascii="Book Antiqua" w:eastAsia="宋体" w:hAnsi="Book Antiqua" w:cs="Times New Roman"/>
          <w:b/>
          <w:color w:val="000000" w:themeColor="text1"/>
        </w:rPr>
      </w:pPr>
      <w:r w:rsidRPr="007B43A9">
        <w:rPr>
          <w:rFonts w:ascii="Book Antiqua" w:eastAsia="宋体" w:hAnsi="Book Antiqua" w:cs="Times New Roman"/>
          <w:b/>
          <w:color w:val="000000" w:themeColor="text1"/>
        </w:rPr>
        <w:t xml:space="preserve">Table 1 </w:t>
      </w:r>
      <w:r w:rsidRPr="007B43A9">
        <w:rPr>
          <w:rFonts w:ascii="Book Antiqua" w:eastAsia="Times New Roman" w:hAnsi="Book Antiqua" w:cs="Times New Roman"/>
          <w:b/>
          <w:color w:val="000000" w:themeColor="text1"/>
          <w:kern w:val="0"/>
        </w:rPr>
        <w:t>Effects of various antimicrobial agents on osteogenic differentiation</w:t>
      </w:r>
    </w:p>
    <w:tbl>
      <w:tblPr>
        <w:tblStyle w:val="a9"/>
        <w:tblW w:w="9948" w:type="dxa"/>
        <w:tblInd w:w="-147" w:type="dxa"/>
        <w:tblLook w:val="04A0" w:firstRow="1" w:lastRow="0" w:firstColumn="1" w:lastColumn="0" w:noHBand="0" w:noVBand="1"/>
      </w:tblPr>
      <w:tblGrid>
        <w:gridCol w:w="2065"/>
        <w:gridCol w:w="2080"/>
        <w:gridCol w:w="663"/>
        <w:gridCol w:w="2015"/>
        <w:gridCol w:w="1349"/>
        <w:gridCol w:w="1776"/>
      </w:tblGrid>
      <w:tr w:rsidR="003703A6" w:rsidRPr="007B43A9" w14:paraId="624F4C6F" w14:textId="77777777" w:rsidTr="00A83227">
        <w:tc>
          <w:tcPr>
            <w:tcW w:w="4145" w:type="dxa"/>
            <w:gridSpan w:val="2"/>
          </w:tcPr>
          <w:p w14:paraId="39E855F5" w14:textId="77777777" w:rsidR="00EC5318" w:rsidRPr="007B43A9" w:rsidRDefault="00EC5318" w:rsidP="005142C8">
            <w:pPr>
              <w:spacing w:line="360" w:lineRule="auto"/>
              <w:rPr>
                <w:rFonts w:ascii="Book Antiqua" w:eastAsia="宋体" w:hAnsi="Book Antiqua" w:cs="Times New Roman"/>
                <w:b/>
                <w:color w:val="000000" w:themeColor="text1"/>
              </w:rPr>
            </w:pPr>
            <w:r w:rsidRPr="007B43A9">
              <w:rPr>
                <w:rFonts w:ascii="Book Antiqua" w:eastAsia="宋体" w:hAnsi="Book Antiqua" w:cs="Times New Roman"/>
                <w:b/>
                <w:color w:val="000000" w:themeColor="text1"/>
              </w:rPr>
              <w:t>Agent</w:t>
            </w:r>
          </w:p>
        </w:tc>
        <w:tc>
          <w:tcPr>
            <w:tcW w:w="663" w:type="dxa"/>
          </w:tcPr>
          <w:p w14:paraId="21366E79" w14:textId="020CC5EB" w:rsidR="00EC5318" w:rsidRPr="007B43A9" w:rsidRDefault="00EC5318" w:rsidP="003F1D48">
            <w:pPr>
              <w:spacing w:line="360" w:lineRule="auto"/>
              <w:rPr>
                <w:rFonts w:ascii="Book Antiqua" w:eastAsia="宋体" w:hAnsi="Book Antiqua" w:cs="Times New Roman"/>
                <w:b/>
                <w:color w:val="000000" w:themeColor="text1"/>
              </w:rPr>
            </w:pPr>
            <w:r w:rsidRPr="007B43A9">
              <w:rPr>
                <w:rFonts w:ascii="Book Antiqua" w:eastAsia="宋体" w:hAnsi="Book Antiqua" w:cs="Times New Roman"/>
                <w:b/>
                <w:color w:val="000000" w:themeColor="text1"/>
              </w:rPr>
              <w:t>Ref</w:t>
            </w:r>
            <w:r w:rsidR="003F1D48" w:rsidRPr="007B43A9">
              <w:rPr>
                <w:rFonts w:ascii="Book Antiqua" w:eastAsia="宋体" w:hAnsi="Book Antiqua" w:cs="Times New Roman" w:hint="eastAsia"/>
                <w:b/>
                <w:color w:val="000000" w:themeColor="text1"/>
              </w:rPr>
              <w:t>.</w:t>
            </w:r>
          </w:p>
        </w:tc>
        <w:tc>
          <w:tcPr>
            <w:tcW w:w="2015" w:type="dxa"/>
          </w:tcPr>
          <w:p w14:paraId="4038E2F6" w14:textId="7764DC0E" w:rsidR="00EC5318" w:rsidRPr="007B43A9" w:rsidRDefault="00EC5318" w:rsidP="005142C8">
            <w:pPr>
              <w:spacing w:line="360" w:lineRule="auto"/>
              <w:rPr>
                <w:rFonts w:ascii="Book Antiqua" w:eastAsia="宋体" w:hAnsi="Book Antiqua" w:cs="Times New Roman"/>
                <w:b/>
                <w:color w:val="000000" w:themeColor="text1"/>
              </w:rPr>
            </w:pPr>
            <w:r w:rsidRPr="007B43A9">
              <w:rPr>
                <w:rFonts w:ascii="Book Antiqua" w:eastAsia="宋体" w:hAnsi="Book Antiqua" w:cs="Times New Roman"/>
                <w:b/>
                <w:color w:val="000000" w:themeColor="text1"/>
              </w:rPr>
              <w:t>Cell/</w:t>
            </w:r>
            <w:r w:rsidR="003F1D48" w:rsidRPr="007B43A9">
              <w:rPr>
                <w:rFonts w:ascii="Book Antiqua" w:eastAsia="宋体" w:hAnsi="Book Antiqua" w:cs="Times New Roman"/>
                <w:b/>
                <w:color w:val="000000" w:themeColor="text1"/>
              </w:rPr>
              <w:t>a</w:t>
            </w:r>
            <w:r w:rsidRPr="007B43A9">
              <w:rPr>
                <w:rFonts w:ascii="Book Antiqua" w:eastAsia="宋体" w:hAnsi="Book Antiqua" w:cs="Times New Roman"/>
                <w:b/>
                <w:color w:val="000000" w:themeColor="text1"/>
              </w:rPr>
              <w:t>nimal</w:t>
            </w:r>
          </w:p>
        </w:tc>
        <w:tc>
          <w:tcPr>
            <w:tcW w:w="1349" w:type="dxa"/>
          </w:tcPr>
          <w:p w14:paraId="6167CA63" w14:textId="77777777" w:rsidR="00EC5318" w:rsidRPr="007B43A9" w:rsidRDefault="00EC5318" w:rsidP="005142C8">
            <w:pPr>
              <w:spacing w:line="360" w:lineRule="auto"/>
              <w:rPr>
                <w:rFonts w:ascii="Book Antiqua" w:eastAsia="宋体" w:hAnsi="Book Antiqua" w:cs="Times New Roman"/>
                <w:b/>
                <w:color w:val="000000" w:themeColor="text1"/>
              </w:rPr>
            </w:pPr>
            <w:r w:rsidRPr="007B43A9">
              <w:rPr>
                <w:rFonts w:ascii="Book Antiqua" w:eastAsia="宋体" w:hAnsi="Book Antiqua" w:cs="Times New Roman"/>
                <w:b/>
                <w:color w:val="000000" w:themeColor="text1"/>
              </w:rPr>
              <w:t>Effect</w:t>
            </w:r>
          </w:p>
        </w:tc>
        <w:tc>
          <w:tcPr>
            <w:tcW w:w="1776" w:type="dxa"/>
          </w:tcPr>
          <w:p w14:paraId="65CC1BB1" w14:textId="10DEDE63" w:rsidR="00EC5318" w:rsidRPr="007B43A9" w:rsidRDefault="003F1D48" w:rsidP="005142C8">
            <w:pPr>
              <w:spacing w:line="360" w:lineRule="auto"/>
              <w:rPr>
                <w:rFonts w:ascii="Book Antiqua" w:eastAsia="宋体" w:hAnsi="Book Antiqua" w:cs="Times New Roman"/>
                <w:b/>
                <w:color w:val="000000" w:themeColor="text1"/>
              </w:rPr>
            </w:pPr>
            <w:r w:rsidRPr="007B43A9">
              <w:rPr>
                <w:rFonts w:ascii="Book Antiqua" w:eastAsia="宋体" w:hAnsi="Book Antiqua" w:cs="Times New Roman"/>
                <w:b/>
                <w:color w:val="000000" w:themeColor="text1"/>
              </w:rPr>
              <w:t>Concentration</w:t>
            </w:r>
          </w:p>
        </w:tc>
      </w:tr>
      <w:tr w:rsidR="003703A6" w:rsidRPr="007B43A9" w14:paraId="54EC444B" w14:textId="77777777" w:rsidTr="00A83227">
        <w:tc>
          <w:tcPr>
            <w:tcW w:w="2065" w:type="dxa"/>
            <w:vMerge w:val="restart"/>
          </w:tcPr>
          <w:p w14:paraId="17343730"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Antituberculosis drugs</w:t>
            </w:r>
          </w:p>
        </w:tc>
        <w:tc>
          <w:tcPr>
            <w:tcW w:w="2080" w:type="dxa"/>
            <w:vMerge w:val="restart"/>
          </w:tcPr>
          <w:p w14:paraId="4935DF63"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Rifampicin</w:t>
            </w:r>
          </w:p>
        </w:tc>
        <w:tc>
          <w:tcPr>
            <w:tcW w:w="663" w:type="dxa"/>
          </w:tcPr>
          <w:p w14:paraId="32C7C696" w14:textId="06496BC4"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351A385E"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49F139C0" w14:textId="298E2F57"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46415F27" w14:textId="69AC0C4C"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≥100 μg/m</w:t>
            </w:r>
            <w:r w:rsidR="00B810F3" w:rsidRPr="007B43A9">
              <w:rPr>
                <w:rFonts w:ascii="Book Antiqua" w:eastAsia="宋体" w:hAnsi="Book Antiqua" w:cs="Times New Roman"/>
                <w:color w:val="000000" w:themeColor="text1"/>
              </w:rPr>
              <w:t>L</w:t>
            </w:r>
          </w:p>
        </w:tc>
      </w:tr>
      <w:tr w:rsidR="003703A6" w:rsidRPr="007B43A9" w14:paraId="47705AC6" w14:textId="77777777" w:rsidTr="00A83227">
        <w:tc>
          <w:tcPr>
            <w:tcW w:w="2065" w:type="dxa"/>
            <w:vMerge/>
          </w:tcPr>
          <w:p w14:paraId="0704C505"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5D070723"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71A9BE00" w14:textId="313DEC32"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15</w:t>
            </w:r>
            <w:r w:rsidRPr="007B43A9">
              <w:rPr>
                <w:rFonts w:ascii="Book Antiqua" w:eastAsia="宋体" w:hAnsi="Book Antiqua" w:cs="Times New Roman" w:hint="eastAsia"/>
                <w:color w:val="000000" w:themeColor="text1"/>
              </w:rPr>
              <w:t>]</w:t>
            </w:r>
          </w:p>
        </w:tc>
        <w:tc>
          <w:tcPr>
            <w:tcW w:w="2015" w:type="dxa"/>
          </w:tcPr>
          <w:p w14:paraId="17EB029C"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2DCFD0D9" w14:textId="745C92CB"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188BD4D3" w14:textId="5C6548A0"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4-128 μg/m</w:t>
            </w:r>
            <w:r w:rsidR="00B810F3" w:rsidRPr="007B43A9">
              <w:rPr>
                <w:rFonts w:ascii="Book Antiqua" w:eastAsia="宋体" w:hAnsi="Book Antiqua" w:cs="Times New Roman"/>
                <w:color w:val="000000" w:themeColor="text1"/>
              </w:rPr>
              <w:t>L</w:t>
            </w:r>
          </w:p>
        </w:tc>
      </w:tr>
      <w:tr w:rsidR="003703A6" w:rsidRPr="007B43A9" w14:paraId="6E9FEED3" w14:textId="77777777" w:rsidTr="00A83227">
        <w:tc>
          <w:tcPr>
            <w:tcW w:w="2065" w:type="dxa"/>
            <w:vMerge w:val="restart"/>
          </w:tcPr>
          <w:p w14:paraId="3C5739A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β-lactams</w:t>
            </w:r>
          </w:p>
        </w:tc>
        <w:tc>
          <w:tcPr>
            <w:tcW w:w="2080" w:type="dxa"/>
            <w:vMerge w:val="restart"/>
          </w:tcPr>
          <w:p w14:paraId="794B2F00"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Penicillin</w:t>
            </w:r>
          </w:p>
        </w:tc>
        <w:tc>
          <w:tcPr>
            <w:tcW w:w="663" w:type="dxa"/>
          </w:tcPr>
          <w:p w14:paraId="54571ED1" w14:textId="671CACEB"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16</w:t>
            </w:r>
            <w:r w:rsidRPr="007B43A9">
              <w:rPr>
                <w:rFonts w:ascii="Book Antiqua" w:eastAsia="宋体" w:hAnsi="Book Antiqua" w:cs="Times New Roman" w:hint="eastAsia"/>
                <w:color w:val="000000" w:themeColor="text1"/>
              </w:rPr>
              <w:t>]</w:t>
            </w:r>
          </w:p>
        </w:tc>
        <w:tc>
          <w:tcPr>
            <w:tcW w:w="2015" w:type="dxa"/>
          </w:tcPr>
          <w:p w14:paraId="2D460FAB"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73D3E17E" w14:textId="5E1A6D63"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227E9ED4" w14:textId="7B6943AE"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30 μg/m</w:t>
            </w:r>
            <w:r w:rsidR="00B810F3" w:rsidRPr="007B43A9">
              <w:rPr>
                <w:rFonts w:ascii="Book Antiqua" w:eastAsia="宋体" w:hAnsi="Book Antiqua" w:cs="Times New Roman"/>
                <w:color w:val="000000" w:themeColor="text1"/>
              </w:rPr>
              <w:t>L</w:t>
            </w:r>
          </w:p>
        </w:tc>
      </w:tr>
      <w:tr w:rsidR="003703A6" w:rsidRPr="007B43A9" w14:paraId="0955FADF" w14:textId="77777777" w:rsidTr="00A83227">
        <w:tc>
          <w:tcPr>
            <w:tcW w:w="2065" w:type="dxa"/>
            <w:vMerge/>
          </w:tcPr>
          <w:p w14:paraId="0899FD42"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16956FF9"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7DF55043" w14:textId="15F9FAFA"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47150C02"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0D7A7156" w14:textId="0AB9E669"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2D5AA418" w14:textId="0860A058"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≥500 μg/m</w:t>
            </w:r>
            <w:r w:rsidR="00B810F3" w:rsidRPr="007B43A9">
              <w:rPr>
                <w:rFonts w:ascii="Book Antiqua" w:eastAsia="宋体" w:hAnsi="Book Antiqua" w:cs="Times New Roman"/>
                <w:color w:val="000000" w:themeColor="text1"/>
              </w:rPr>
              <w:t>L</w:t>
            </w:r>
          </w:p>
        </w:tc>
      </w:tr>
      <w:tr w:rsidR="003703A6" w:rsidRPr="007B43A9" w14:paraId="1AF77823" w14:textId="77777777" w:rsidTr="00A83227">
        <w:tc>
          <w:tcPr>
            <w:tcW w:w="2065" w:type="dxa"/>
            <w:vMerge/>
          </w:tcPr>
          <w:p w14:paraId="428601CC"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29FFBF36"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Flucloxacillin</w:t>
            </w:r>
          </w:p>
        </w:tc>
        <w:tc>
          <w:tcPr>
            <w:tcW w:w="663" w:type="dxa"/>
          </w:tcPr>
          <w:p w14:paraId="535734C3" w14:textId="454D6B4C"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16</w:t>
            </w:r>
            <w:r w:rsidRPr="007B43A9">
              <w:rPr>
                <w:rFonts w:ascii="Book Antiqua" w:eastAsia="宋体" w:hAnsi="Book Antiqua" w:cs="Times New Roman" w:hint="eastAsia"/>
                <w:color w:val="000000" w:themeColor="text1"/>
              </w:rPr>
              <w:t>]</w:t>
            </w:r>
          </w:p>
        </w:tc>
        <w:tc>
          <w:tcPr>
            <w:tcW w:w="2015" w:type="dxa"/>
          </w:tcPr>
          <w:p w14:paraId="538FF4E1"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54B245FC" w14:textId="4A0517DE"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5633C41D" w14:textId="24ABFC73"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200 μg/m</w:t>
            </w:r>
            <w:r w:rsidR="00B810F3" w:rsidRPr="007B43A9">
              <w:rPr>
                <w:rFonts w:ascii="Book Antiqua" w:eastAsia="宋体" w:hAnsi="Book Antiqua" w:cs="Times New Roman"/>
                <w:color w:val="000000" w:themeColor="text1"/>
              </w:rPr>
              <w:t>L</w:t>
            </w:r>
          </w:p>
        </w:tc>
      </w:tr>
      <w:tr w:rsidR="003703A6" w:rsidRPr="007B43A9" w14:paraId="1590385C" w14:textId="77777777" w:rsidTr="00A83227">
        <w:tc>
          <w:tcPr>
            <w:tcW w:w="2065" w:type="dxa"/>
            <w:vMerge/>
          </w:tcPr>
          <w:p w14:paraId="22C883E6" w14:textId="77777777" w:rsidR="00A83227" w:rsidRPr="007B43A9" w:rsidRDefault="00A83227" w:rsidP="005142C8">
            <w:pPr>
              <w:spacing w:line="360" w:lineRule="auto"/>
              <w:rPr>
                <w:rFonts w:ascii="Book Antiqua" w:eastAsia="宋体" w:hAnsi="Book Antiqua" w:cs="Times New Roman"/>
                <w:color w:val="000000" w:themeColor="text1"/>
              </w:rPr>
            </w:pPr>
          </w:p>
        </w:tc>
        <w:tc>
          <w:tcPr>
            <w:tcW w:w="2080" w:type="dxa"/>
          </w:tcPr>
          <w:p w14:paraId="0178D657"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Nafcillin</w:t>
            </w:r>
          </w:p>
        </w:tc>
        <w:tc>
          <w:tcPr>
            <w:tcW w:w="663" w:type="dxa"/>
          </w:tcPr>
          <w:p w14:paraId="13C37B89" w14:textId="57F23DAC"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4D66E587"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7F803834" w14:textId="7E81B74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74F92869" w14:textId="7DF4168C"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≥100 μg/mL</w:t>
            </w:r>
          </w:p>
        </w:tc>
      </w:tr>
      <w:tr w:rsidR="003703A6" w:rsidRPr="007B43A9" w14:paraId="22A5EC2B" w14:textId="77777777" w:rsidTr="00A83227">
        <w:tc>
          <w:tcPr>
            <w:tcW w:w="2065" w:type="dxa"/>
            <w:vMerge/>
          </w:tcPr>
          <w:p w14:paraId="58CEF0C5" w14:textId="77777777" w:rsidR="00A83227" w:rsidRPr="007B43A9" w:rsidRDefault="00A83227" w:rsidP="005142C8">
            <w:pPr>
              <w:spacing w:line="360" w:lineRule="auto"/>
              <w:rPr>
                <w:rFonts w:ascii="Book Antiqua" w:eastAsia="宋体" w:hAnsi="Book Antiqua" w:cs="Times New Roman"/>
                <w:color w:val="000000" w:themeColor="text1"/>
              </w:rPr>
            </w:pPr>
          </w:p>
        </w:tc>
        <w:tc>
          <w:tcPr>
            <w:tcW w:w="2080" w:type="dxa"/>
          </w:tcPr>
          <w:p w14:paraId="15F79D1F"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Cefazolin</w:t>
            </w:r>
          </w:p>
        </w:tc>
        <w:tc>
          <w:tcPr>
            <w:tcW w:w="663" w:type="dxa"/>
          </w:tcPr>
          <w:p w14:paraId="575362C9" w14:textId="1F29F824"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35019F86"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1A519DBE" w14:textId="14E0BA8B"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481D2F21" w14:textId="1811FD1C"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≥200 μg/mL</w:t>
            </w:r>
          </w:p>
        </w:tc>
      </w:tr>
      <w:tr w:rsidR="003703A6" w:rsidRPr="007B43A9" w14:paraId="5E7B86FF" w14:textId="77777777" w:rsidTr="00A83227">
        <w:tc>
          <w:tcPr>
            <w:tcW w:w="2065" w:type="dxa"/>
            <w:vMerge/>
          </w:tcPr>
          <w:p w14:paraId="5261E5AB"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10B4A5DE"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Cefuroxime</w:t>
            </w:r>
          </w:p>
        </w:tc>
        <w:tc>
          <w:tcPr>
            <w:tcW w:w="663" w:type="dxa"/>
          </w:tcPr>
          <w:p w14:paraId="7D4BF9D4" w14:textId="1D84326D"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16</w:t>
            </w:r>
            <w:r w:rsidRPr="007B43A9">
              <w:rPr>
                <w:rFonts w:ascii="Book Antiqua" w:eastAsia="宋体" w:hAnsi="Book Antiqua" w:cs="Times New Roman" w:hint="eastAsia"/>
                <w:color w:val="000000" w:themeColor="text1"/>
              </w:rPr>
              <w:t>]</w:t>
            </w:r>
          </w:p>
        </w:tc>
        <w:tc>
          <w:tcPr>
            <w:tcW w:w="2015" w:type="dxa"/>
          </w:tcPr>
          <w:p w14:paraId="66BC4575"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5FC174B1" w14:textId="3D5EEA8A"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1BA68651" w14:textId="569C5991"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50 μg/m</w:t>
            </w:r>
            <w:r w:rsidR="00B810F3" w:rsidRPr="007B43A9">
              <w:rPr>
                <w:rFonts w:ascii="Book Antiqua" w:eastAsia="宋体" w:hAnsi="Book Antiqua" w:cs="Times New Roman"/>
                <w:color w:val="000000" w:themeColor="text1"/>
              </w:rPr>
              <w:t>L</w:t>
            </w:r>
          </w:p>
        </w:tc>
      </w:tr>
      <w:tr w:rsidR="003703A6" w:rsidRPr="007B43A9" w14:paraId="604C4746" w14:textId="77777777" w:rsidTr="00A83227">
        <w:tc>
          <w:tcPr>
            <w:tcW w:w="2065" w:type="dxa"/>
            <w:vMerge/>
          </w:tcPr>
          <w:p w14:paraId="43F6DFF8" w14:textId="77777777" w:rsidR="00A83227" w:rsidRPr="007B43A9" w:rsidRDefault="00A83227" w:rsidP="005142C8">
            <w:pPr>
              <w:spacing w:line="360" w:lineRule="auto"/>
              <w:rPr>
                <w:rFonts w:ascii="Book Antiqua" w:eastAsia="宋体" w:hAnsi="Book Antiqua" w:cs="Times New Roman"/>
                <w:color w:val="000000" w:themeColor="text1"/>
              </w:rPr>
            </w:pPr>
          </w:p>
        </w:tc>
        <w:tc>
          <w:tcPr>
            <w:tcW w:w="2080" w:type="dxa"/>
          </w:tcPr>
          <w:p w14:paraId="70FB062E"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Cefotaxime</w:t>
            </w:r>
          </w:p>
        </w:tc>
        <w:tc>
          <w:tcPr>
            <w:tcW w:w="663" w:type="dxa"/>
          </w:tcPr>
          <w:p w14:paraId="692911CA" w14:textId="0E7D954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679C4E9E"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7280F43D" w14:textId="318096EC"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826B721" w14:textId="0527E594"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≥500 μg/mL</w:t>
            </w:r>
          </w:p>
        </w:tc>
      </w:tr>
      <w:tr w:rsidR="003703A6" w:rsidRPr="007B43A9" w14:paraId="6A6B7655" w14:textId="77777777" w:rsidTr="00A83227">
        <w:tc>
          <w:tcPr>
            <w:tcW w:w="2065" w:type="dxa"/>
            <w:vMerge/>
          </w:tcPr>
          <w:p w14:paraId="695743E9" w14:textId="77777777" w:rsidR="00A83227" w:rsidRPr="007B43A9" w:rsidRDefault="00A83227" w:rsidP="005142C8">
            <w:pPr>
              <w:spacing w:line="360" w:lineRule="auto"/>
              <w:rPr>
                <w:rFonts w:ascii="Book Antiqua" w:eastAsia="宋体" w:hAnsi="Book Antiqua" w:cs="Times New Roman"/>
                <w:color w:val="000000" w:themeColor="text1"/>
              </w:rPr>
            </w:pPr>
          </w:p>
        </w:tc>
        <w:tc>
          <w:tcPr>
            <w:tcW w:w="2080" w:type="dxa"/>
          </w:tcPr>
          <w:p w14:paraId="53D528AC"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Cefepime</w:t>
            </w:r>
          </w:p>
        </w:tc>
        <w:tc>
          <w:tcPr>
            <w:tcW w:w="663" w:type="dxa"/>
          </w:tcPr>
          <w:p w14:paraId="33861EF5" w14:textId="2B368AD4"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3B5E79FE"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327AC8B6" w14:textId="5A8D39AF"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2B72B3E1" w14:textId="669F206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≥200 μg/mL</w:t>
            </w:r>
          </w:p>
        </w:tc>
      </w:tr>
      <w:tr w:rsidR="003703A6" w:rsidRPr="007B43A9" w14:paraId="47DDABB0" w14:textId="77777777" w:rsidTr="00A83227">
        <w:tc>
          <w:tcPr>
            <w:tcW w:w="2065" w:type="dxa"/>
            <w:vMerge/>
          </w:tcPr>
          <w:p w14:paraId="37A7928A" w14:textId="77777777" w:rsidR="00A83227" w:rsidRPr="007B43A9" w:rsidRDefault="00A83227" w:rsidP="005142C8">
            <w:pPr>
              <w:spacing w:line="360" w:lineRule="auto"/>
              <w:rPr>
                <w:rFonts w:ascii="Book Antiqua" w:eastAsia="宋体" w:hAnsi="Book Antiqua" w:cs="Times New Roman"/>
                <w:color w:val="000000" w:themeColor="text1"/>
              </w:rPr>
            </w:pPr>
          </w:p>
        </w:tc>
        <w:tc>
          <w:tcPr>
            <w:tcW w:w="2080" w:type="dxa"/>
          </w:tcPr>
          <w:p w14:paraId="32AD950C"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Imipenem</w:t>
            </w:r>
          </w:p>
        </w:tc>
        <w:tc>
          <w:tcPr>
            <w:tcW w:w="663" w:type="dxa"/>
          </w:tcPr>
          <w:p w14:paraId="483BA9D4" w14:textId="3DE82423"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33EEF3E5"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710F75C6" w14:textId="11C94AFB"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No effect</w:t>
            </w:r>
          </w:p>
        </w:tc>
        <w:tc>
          <w:tcPr>
            <w:tcW w:w="1776" w:type="dxa"/>
          </w:tcPr>
          <w:p w14:paraId="7926281C" w14:textId="630C8E29"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0-1000 μg/mL</w:t>
            </w:r>
          </w:p>
        </w:tc>
      </w:tr>
      <w:tr w:rsidR="003703A6" w:rsidRPr="007B43A9" w14:paraId="304E0C79" w14:textId="77777777" w:rsidTr="00A83227">
        <w:tc>
          <w:tcPr>
            <w:tcW w:w="2065" w:type="dxa"/>
            <w:vMerge/>
          </w:tcPr>
          <w:p w14:paraId="1E105FF9" w14:textId="77777777" w:rsidR="00A83227" w:rsidRPr="007B43A9" w:rsidRDefault="00A83227" w:rsidP="005142C8">
            <w:pPr>
              <w:spacing w:line="360" w:lineRule="auto"/>
              <w:rPr>
                <w:rFonts w:ascii="Book Antiqua" w:eastAsia="宋体" w:hAnsi="Book Antiqua" w:cs="Times New Roman"/>
                <w:color w:val="000000" w:themeColor="text1"/>
              </w:rPr>
            </w:pPr>
          </w:p>
        </w:tc>
        <w:tc>
          <w:tcPr>
            <w:tcW w:w="2080" w:type="dxa"/>
          </w:tcPr>
          <w:p w14:paraId="753E8F8C"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Meropenem</w:t>
            </w:r>
          </w:p>
        </w:tc>
        <w:tc>
          <w:tcPr>
            <w:tcW w:w="663" w:type="dxa"/>
          </w:tcPr>
          <w:p w14:paraId="7C15E19F" w14:textId="7790929D"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6E7D8306"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60187D88" w14:textId="42C060F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2694AA17" w14:textId="01AAEDC2"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≥500 μg/mL</w:t>
            </w:r>
          </w:p>
        </w:tc>
      </w:tr>
      <w:tr w:rsidR="003703A6" w:rsidRPr="007B43A9" w14:paraId="46C2B493" w14:textId="77777777" w:rsidTr="00A83227">
        <w:tc>
          <w:tcPr>
            <w:tcW w:w="2065" w:type="dxa"/>
          </w:tcPr>
          <w:p w14:paraId="3D4148D0"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Macrolides</w:t>
            </w:r>
          </w:p>
        </w:tc>
        <w:tc>
          <w:tcPr>
            <w:tcW w:w="2080" w:type="dxa"/>
          </w:tcPr>
          <w:p w14:paraId="0C9318A6"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Azithromycin</w:t>
            </w:r>
          </w:p>
        </w:tc>
        <w:tc>
          <w:tcPr>
            <w:tcW w:w="663" w:type="dxa"/>
          </w:tcPr>
          <w:p w14:paraId="02255DEB" w14:textId="6A16EC7E"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6E90AA07"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3ED7CE73" w14:textId="73FEEFF0"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7817DE93" w14:textId="156FD2E4"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≥100 μg/mL</w:t>
            </w:r>
          </w:p>
        </w:tc>
      </w:tr>
      <w:tr w:rsidR="003703A6" w:rsidRPr="007B43A9" w14:paraId="20AD121F" w14:textId="77777777" w:rsidTr="00A83227">
        <w:tc>
          <w:tcPr>
            <w:tcW w:w="2065" w:type="dxa"/>
            <w:vMerge w:val="restart"/>
          </w:tcPr>
          <w:p w14:paraId="369638F4"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Aminoglycosides</w:t>
            </w:r>
          </w:p>
        </w:tc>
        <w:tc>
          <w:tcPr>
            <w:tcW w:w="2080" w:type="dxa"/>
            <w:vMerge w:val="restart"/>
          </w:tcPr>
          <w:p w14:paraId="3C13C268"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Gentamicin</w:t>
            </w:r>
          </w:p>
        </w:tc>
        <w:tc>
          <w:tcPr>
            <w:tcW w:w="663" w:type="dxa"/>
          </w:tcPr>
          <w:p w14:paraId="5D15DA7C" w14:textId="7C740ADE"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2A6BA48F"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7E94CFCC" w14:textId="5C6581E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2DF4BAC0" w14:textId="7DFA3D22"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≥100 μg/mL</w:t>
            </w:r>
          </w:p>
        </w:tc>
      </w:tr>
      <w:tr w:rsidR="003703A6" w:rsidRPr="007B43A9" w14:paraId="4F3B2417" w14:textId="77777777" w:rsidTr="00A83227">
        <w:tc>
          <w:tcPr>
            <w:tcW w:w="2065" w:type="dxa"/>
            <w:vMerge/>
          </w:tcPr>
          <w:p w14:paraId="2A9CF5D9" w14:textId="77777777" w:rsidR="00C21ADF" w:rsidRPr="007B43A9" w:rsidRDefault="00C21ADF" w:rsidP="005142C8">
            <w:pPr>
              <w:spacing w:line="360" w:lineRule="auto"/>
              <w:rPr>
                <w:rFonts w:ascii="Book Antiqua" w:eastAsia="宋体" w:hAnsi="Book Antiqua" w:cs="Times New Roman"/>
                <w:color w:val="000000" w:themeColor="text1"/>
              </w:rPr>
            </w:pPr>
          </w:p>
        </w:tc>
        <w:tc>
          <w:tcPr>
            <w:tcW w:w="2080" w:type="dxa"/>
            <w:vMerge/>
          </w:tcPr>
          <w:p w14:paraId="62903D5A" w14:textId="77777777" w:rsidR="00C21ADF" w:rsidRPr="007B43A9" w:rsidRDefault="00C21ADF" w:rsidP="005142C8">
            <w:pPr>
              <w:spacing w:line="360" w:lineRule="auto"/>
              <w:rPr>
                <w:rFonts w:ascii="Book Antiqua" w:eastAsia="宋体" w:hAnsi="Book Antiqua" w:cs="Times New Roman"/>
                <w:color w:val="000000" w:themeColor="text1"/>
              </w:rPr>
            </w:pPr>
          </w:p>
        </w:tc>
        <w:tc>
          <w:tcPr>
            <w:tcW w:w="663" w:type="dxa"/>
          </w:tcPr>
          <w:p w14:paraId="528E9663" w14:textId="31896B42" w:rsidR="00C21ADF"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C21ADF" w:rsidRPr="007B43A9">
              <w:rPr>
                <w:rFonts w:ascii="Book Antiqua" w:eastAsia="宋体" w:hAnsi="Book Antiqua" w:cs="Times New Roman"/>
                <w:color w:val="000000" w:themeColor="text1"/>
              </w:rPr>
              <w:t>16</w:t>
            </w:r>
            <w:r w:rsidRPr="007B43A9">
              <w:rPr>
                <w:rFonts w:ascii="Book Antiqua" w:eastAsia="宋体" w:hAnsi="Book Antiqua" w:cs="Times New Roman" w:hint="eastAsia"/>
                <w:color w:val="000000" w:themeColor="text1"/>
              </w:rPr>
              <w:t>]</w:t>
            </w:r>
          </w:p>
        </w:tc>
        <w:tc>
          <w:tcPr>
            <w:tcW w:w="2015" w:type="dxa"/>
          </w:tcPr>
          <w:p w14:paraId="432C34FF" w14:textId="77777777"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11F9FD18" w14:textId="439C75A8"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3E6F4F1F" w14:textId="04083D10"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≥75 μg/mL</w:t>
            </w:r>
          </w:p>
        </w:tc>
      </w:tr>
      <w:tr w:rsidR="003703A6" w:rsidRPr="007B43A9" w14:paraId="00CDFF13" w14:textId="77777777" w:rsidTr="00A83227">
        <w:tc>
          <w:tcPr>
            <w:tcW w:w="2065" w:type="dxa"/>
            <w:vMerge/>
          </w:tcPr>
          <w:p w14:paraId="2AE4594D" w14:textId="77777777" w:rsidR="00C21ADF" w:rsidRPr="007B43A9" w:rsidRDefault="00C21ADF" w:rsidP="005142C8">
            <w:pPr>
              <w:spacing w:line="360" w:lineRule="auto"/>
              <w:rPr>
                <w:rFonts w:ascii="Book Antiqua" w:eastAsia="宋体" w:hAnsi="Book Antiqua" w:cs="Times New Roman"/>
                <w:color w:val="000000" w:themeColor="text1"/>
              </w:rPr>
            </w:pPr>
          </w:p>
        </w:tc>
        <w:tc>
          <w:tcPr>
            <w:tcW w:w="2080" w:type="dxa"/>
            <w:vMerge/>
          </w:tcPr>
          <w:p w14:paraId="1542BBBD" w14:textId="77777777" w:rsidR="00C21ADF" w:rsidRPr="007B43A9" w:rsidRDefault="00C21ADF" w:rsidP="005142C8">
            <w:pPr>
              <w:spacing w:line="360" w:lineRule="auto"/>
              <w:rPr>
                <w:rFonts w:ascii="Book Antiqua" w:eastAsia="宋体" w:hAnsi="Book Antiqua" w:cs="Times New Roman"/>
                <w:color w:val="000000" w:themeColor="text1"/>
              </w:rPr>
            </w:pPr>
          </w:p>
        </w:tc>
        <w:tc>
          <w:tcPr>
            <w:tcW w:w="663" w:type="dxa"/>
          </w:tcPr>
          <w:p w14:paraId="3C28F031" w14:textId="7C6A1D3F" w:rsidR="00C21ADF"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C21ADF" w:rsidRPr="007B43A9">
              <w:rPr>
                <w:rFonts w:ascii="Book Antiqua" w:eastAsia="宋体" w:hAnsi="Book Antiqua" w:cs="Times New Roman"/>
                <w:color w:val="000000" w:themeColor="text1"/>
              </w:rPr>
              <w:t>17</w:t>
            </w:r>
            <w:r w:rsidRPr="007B43A9">
              <w:rPr>
                <w:rFonts w:ascii="Book Antiqua" w:eastAsia="宋体" w:hAnsi="Book Antiqua" w:cs="Times New Roman" w:hint="eastAsia"/>
                <w:color w:val="000000" w:themeColor="text1"/>
              </w:rPr>
              <w:t>]</w:t>
            </w:r>
          </w:p>
        </w:tc>
        <w:tc>
          <w:tcPr>
            <w:tcW w:w="2015" w:type="dxa"/>
          </w:tcPr>
          <w:p w14:paraId="099359ED" w14:textId="77777777"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74ED8F91" w14:textId="7DF64062"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8A9AFE6" w14:textId="34A399D7"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50-200 μg/mL</w:t>
            </w:r>
          </w:p>
        </w:tc>
      </w:tr>
      <w:tr w:rsidR="003703A6" w:rsidRPr="007B43A9" w14:paraId="38FDF383" w14:textId="77777777" w:rsidTr="00A83227">
        <w:tc>
          <w:tcPr>
            <w:tcW w:w="2065" w:type="dxa"/>
            <w:vMerge/>
          </w:tcPr>
          <w:p w14:paraId="79BF1A52" w14:textId="77777777" w:rsidR="00C21ADF" w:rsidRPr="007B43A9" w:rsidRDefault="00C21ADF" w:rsidP="005142C8">
            <w:pPr>
              <w:spacing w:line="360" w:lineRule="auto"/>
              <w:rPr>
                <w:rFonts w:ascii="Book Antiqua" w:eastAsia="宋体" w:hAnsi="Book Antiqua" w:cs="Times New Roman"/>
                <w:color w:val="000000" w:themeColor="text1"/>
              </w:rPr>
            </w:pPr>
          </w:p>
        </w:tc>
        <w:tc>
          <w:tcPr>
            <w:tcW w:w="2080" w:type="dxa"/>
            <w:vMerge/>
          </w:tcPr>
          <w:p w14:paraId="3361B241" w14:textId="77777777" w:rsidR="00C21ADF" w:rsidRPr="007B43A9" w:rsidRDefault="00C21ADF" w:rsidP="005142C8">
            <w:pPr>
              <w:spacing w:line="360" w:lineRule="auto"/>
              <w:rPr>
                <w:rFonts w:ascii="Book Antiqua" w:eastAsia="宋体" w:hAnsi="Book Antiqua" w:cs="Times New Roman"/>
                <w:color w:val="000000" w:themeColor="text1"/>
              </w:rPr>
            </w:pPr>
          </w:p>
        </w:tc>
        <w:tc>
          <w:tcPr>
            <w:tcW w:w="663" w:type="dxa"/>
          </w:tcPr>
          <w:p w14:paraId="46002D5F" w14:textId="7032DC0C" w:rsidR="00C21ADF"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C21ADF" w:rsidRPr="007B43A9">
              <w:rPr>
                <w:rFonts w:ascii="Book Antiqua" w:eastAsia="宋体" w:hAnsi="Book Antiqua" w:cs="Times New Roman"/>
                <w:color w:val="000000" w:themeColor="text1"/>
              </w:rPr>
              <w:t>18</w:t>
            </w:r>
            <w:r w:rsidRPr="007B43A9">
              <w:rPr>
                <w:rFonts w:ascii="Book Antiqua" w:eastAsia="宋体" w:hAnsi="Book Antiqua" w:cs="Times New Roman" w:hint="eastAsia"/>
                <w:color w:val="000000" w:themeColor="text1"/>
              </w:rPr>
              <w:t>]</w:t>
            </w:r>
          </w:p>
        </w:tc>
        <w:tc>
          <w:tcPr>
            <w:tcW w:w="2015" w:type="dxa"/>
          </w:tcPr>
          <w:p w14:paraId="0FD9737A" w14:textId="77777777"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C2C12</w:t>
            </w:r>
          </w:p>
        </w:tc>
        <w:tc>
          <w:tcPr>
            <w:tcW w:w="1349" w:type="dxa"/>
          </w:tcPr>
          <w:p w14:paraId="242FBA42" w14:textId="00F54462"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6092C86" w14:textId="752D9AE0"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12.5-800 μg/mL</w:t>
            </w:r>
          </w:p>
        </w:tc>
      </w:tr>
      <w:tr w:rsidR="003703A6" w:rsidRPr="007B43A9" w14:paraId="199B52FC" w14:textId="77777777" w:rsidTr="00A83227">
        <w:tc>
          <w:tcPr>
            <w:tcW w:w="2065" w:type="dxa"/>
            <w:vMerge/>
          </w:tcPr>
          <w:p w14:paraId="0173B279"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4E92832E"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Amikacin</w:t>
            </w:r>
          </w:p>
        </w:tc>
        <w:tc>
          <w:tcPr>
            <w:tcW w:w="663" w:type="dxa"/>
          </w:tcPr>
          <w:p w14:paraId="65BF5087" w14:textId="6AC9169C"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77814805"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35B4E71F" w14:textId="60A791E0"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78135B1D" w14:textId="76A62FFD"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0-1000 μg/m</w:t>
            </w:r>
            <w:r w:rsidR="00B810F3" w:rsidRPr="007B43A9">
              <w:rPr>
                <w:rFonts w:ascii="Book Antiqua" w:eastAsia="宋体" w:hAnsi="Book Antiqua" w:cs="Times New Roman"/>
                <w:color w:val="000000" w:themeColor="text1"/>
              </w:rPr>
              <w:t>L</w:t>
            </w:r>
          </w:p>
        </w:tc>
      </w:tr>
      <w:tr w:rsidR="003703A6" w:rsidRPr="007B43A9" w14:paraId="5AFA2633" w14:textId="77777777" w:rsidTr="00A83227">
        <w:tc>
          <w:tcPr>
            <w:tcW w:w="2065" w:type="dxa"/>
            <w:vMerge/>
          </w:tcPr>
          <w:p w14:paraId="76CB534D" w14:textId="77777777" w:rsidR="00C21ADF" w:rsidRPr="007B43A9" w:rsidRDefault="00C21ADF" w:rsidP="005142C8">
            <w:pPr>
              <w:spacing w:line="360" w:lineRule="auto"/>
              <w:rPr>
                <w:rFonts w:ascii="Book Antiqua" w:eastAsia="宋体" w:hAnsi="Book Antiqua" w:cs="Times New Roman"/>
                <w:color w:val="000000" w:themeColor="text1"/>
              </w:rPr>
            </w:pPr>
          </w:p>
        </w:tc>
        <w:tc>
          <w:tcPr>
            <w:tcW w:w="2080" w:type="dxa"/>
            <w:vMerge w:val="restart"/>
          </w:tcPr>
          <w:p w14:paraId="7147B54B" w14:textId="77777777"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Tobramycin</w:t>
            </w:r>
          </w:p>
        </w:tc>
        <w:tc>
          <w:tcPr>
            <w:tcW w:w="663" w:type="dxa"/>
          </w:tcPr>
          <w:p w14:paraId="6702F60E" w14:textId="13FF3220" w:rsidR="00C21ADF"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C21ADF" w:rsidRPr="007B43A9">
              <w:rPr>
                <w:rFonts w:ascii="Book Antiqua" w:eastAsia="宋体" w:hAnsi="Book Antiqua" w:cs="Times New Roman"/>
                <w:color w:val="000000" w:themeColor="text1"/>
              </w:rPr>
              <w:t>20</w:t>
            </w:r>
            <w:r w:rsidRPr="007B43A9">
              <w:rPr>
                <w:rFonts w:ascii="Book Antiqua" w:eastAsia="宋体" w:hAnsi="Book Antiqua" w:cs="Times New Roman" w:hint="eastAsia"/>
                <w:color w:val="000000" w:themeColor="text1"/>
              </w:rPr>
              <w:t>]</w:t>
            </w:r>
          </w:p>
        </w:tc>
        <w:tc>
          <w:tcPr>
            <w:tcW w:w="2015" w:type="dxa"/>
          </w:tcPr>
          <w:p w14:paraId="77A66201" w14:textId="77777777"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450AC849" w14:textId="24B82081"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49B25F2D" w14:textId="74C21B8E"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300-1000 μg/mL</w:t>
            </w:r>
          </w:p>
        </w:tc>
      </w:tr>
      <w:tr w:rsidR="003703A6" w:rsidRPr="007B43A9" w14:paraId="6424D43E" w14:textId="77777777" w:rsidTr="00A83227">
        <w:tc>
          <w:tcPr>
            <w:tcW w:w="2065" w:type="dxa"/>
            <w:vMerge/>
          </w:tcPr>
          <w:p w14:paraId="49985F19" w14:textId="77777777" w:rsidR="00C21ADF" w:rsidRPr="007B43A9" w:rsidRDefault="00C21ADF" w:rsidP="005142C8">
            <w:pPr>
              <w:spacing w:line="360" w:lineRule="auto"/>
              <w:rPr>
                <w:rFonts w:ascii="Book Antiqua" w:eastAsia="宋体" w:hAnsi="Book Antiqua" w:cs="Times New Roman"/>
                <w:color w:val="000000" w:themeColor="text1"/>
              </w:rPr>
            </w:pPr>
          </w:p>
        </w:tc>
        <w:tc>
          <w:tcPr>
            <w:tcW w:w="2080" w:type="dxa"/>
            <w:vMerge/>
          </w:tcPr>
          <w:p w14:paraId="7585237C" w14:textId="77777777" w:rsidR="00C21ADF" w:rsidRPr="007B43A9" w:rsidRDefault="00C21ADF" w:rsidP="005142C8">
            <w:pPr>
              <w:spacing w:line="360" w:lineRule="auto"/>
              <w:rPr>
                <w:rFonts w:ascii="Book Antiqua" w:eastAsia="宋体" w:hAnsi="Book Antiqua" w:cs="Times New Roman"/>
                <w:color w:val="000000" w:themeColor="text1"/>
              </w:rPr>
            </w:pPr>
          </w:p>
        </w:tc>
        <w:tc>
          <w:tcPr>
            <w:tcW w:w="663" w:type="dxa"/>
          </w:tcPr>
          <w:p w14:paraId="0FAF5159" w14:textId="71324BC3" w:rsidR="00C21ADF"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53D07C34" w14:textId="77777777"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0039AB90" w14:textId="5B0F83EC"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3F777087" w14:textId="4B1B3E18"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≥500 μg/mL</w:t>
            </w:r>
          </w:p>
        </w:tc>
      </w:tr>
      <w:tr w:rsidR="003703A6" w:rsidRPr="007B43A9" w14:paraId="05155794" w14:textId="77777777" w:rsidTr="00A83227">
        <w:tc>
          <w:tcPr>
            <w:tcW w:w="2065" w:type="dxa"/>
            <w:vMerge w:val="restart"/>
          </w:tcPr>
          <w:p w14:paraId="73EF37A5" w14:textId="77777777"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Tetracyclines</w:t>
            </w:r>
          </w:p>
        </w:tc>
        <w:tc>
          <w:tcPr>
            <w:tcW w:w="2080" w:type="dxa"/>
          </w:tcPr>
          <w:p w14:paraId="3B36AF13" w14:textId="77777777"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Tetracycline</w:t>
            </w:r>
          </w:p>
        </w:tc>
        <w:tc>
          <w:tcPr>
            <w:tcW w:w="663" w:type="dxa"/>
          </w:tcPr>
          <w:p w14:paraId="3BE748BD" w14:textId="34A2F093" w:rsidR="00C21ADF"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C21ADF" w:rsidRPr="007B43A9">
              <w:rPr>
                <w:rFonts w:ascii="Book Antiqua" w:eastAsia="宋体" w:hAnsi="Book Antiqua" w:cs="Times New Roman"/>
                <w:color w:val="000000" w:themeColor="text1"/>
              </w:rPr>
              <w:t>22</w:t>
            </w:r>
            <w:r w:rsidRPr="007B43A9">
              <w:rPr>
                <w:rFonts w:ascii="Book Antiqua" w:eastAsia="宋体" w:hAnsi="Book Antiqua" w:cs="Times New Roman" w:hint="eastAsia"/>
                <w:color w:val="000000" w:themeColor="text1"/>
              </w:rPr>
              <w:t>]</w:t>
            </w:r>
          </w:p>
        </w:tc>
        <w:tc>
          <w:tcPr>
            <w:tcW w:w="2015" w:type="dxa"/>
          </w:tcPr>
          <w:p w14:paraId="32DE5686" w14:textId="77777777"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16AA20AF" w14:textId="56BAEC49"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17B4906D" w14:textId="7D062980" w:rsidR="00C21ADF"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 μg/mL</w:t>
            </w:r>
          </w:p>
        </w:tc>
      </w:tr>
      <w:tr w:rsidR="003703A6" w:rsidRPr="007B43A9" w14:paraId="1273D695" w14:textId="77777777" w:rsidTr="00A83227">
        <w:tc>
          <w:tcPr>
            <w:tcW w:w="2065" w:type="dxa"/>
            <w:vMerge/>
          </w:tcPr>
          <w:p w14:paraId="1ECD822A" w14:textId="77777777" w:rsidR="00A83227" w:rsidRPr="007B43A9" w:rsidRDefault="00A83227" w:rsidP="005142C8">
            <w:pPr>
              <w:spacing w:line="360" w:lineRule="auto"/>
              <w:rPr>
                <w:rFonts w:ascii="Book Antiqua" w:eastAsia="宋体" w:hAnsi="Book Antiqua" w:cs="Times New Roman"/>
                <w:color w:val="000000" w:themeColor="text1"/>
              </w:rPr>
            </w:pPr>
          </w:p>
        </w:tc>
        <w:tc>
          <w:tcPr>
            <w:tcW w:w="2080" w:type="dxa"/>
          </w:tcPr>
          <w:p w14:paraId="4D073DFA"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Doxycycline</w:t>
            </w:r>
          </w:p>
        </w:tc>
        <w:tc>
          <w:tcPr>
            <w:tcW w:w="663" w:type="dxa"/>
          </w:tcPr>
          <w:p w14:paraId="29E18CEB" w14:textId="55D00D3D"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4CE7D8D4"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75762576" w14:textId="284442E3"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0882803" w14:textId="6F29E9CB"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≥100 μg/mL</w:t>
            </w:r>
          </w:p>
        </w:tc>
      </w:tr>
      <w:tr w:rsidR="003703A6" w:rsidRPr="007B43A9" w14:paraId="1D1AE243" w14:textId="77777777" w:rsidTr="00A83227">
        <w:tc>
          <w:tcPr>
            <w:tcW w:w="2065" w:type="dxa"/>
            <w:vMerge/>
          </w:tcPr>
          <w:p w14:paraId="00FBBD4B" w14:textId="77777777" w:rsidR="00A83227" w:rsidRPr="007B43A9" w:rsidRDefault="00A83227" w:rsidP="005142C8">
            <w:pPr>
              <w:spacing w:line="360" w:lineRule="auto"/>
              <w:rPr>
                <w:rFonts w:ascii="Book Antiqua" w:eastAsia="宋体" w:hAnsi="Book Antiqua" w:cs="Times New Roman"/>
                <w:color w:val="000000" w:themeColor="text1"/>
              </w:rPr>
            </w:pPr>
          </w:p>
        </w:tc>
        <w:tc>
          <w:tcPr>
            <w:tcW w:w="2080" w:type="dxa"/>
          </w:tcPr>
          <w:p w14:paraId="54998B56"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Minocycline</w:t>
            </w:r>
          </w:p>
        </w:tc>
        <w:tc>
          <w:tcPr>
            <w:tcW w:w="663" w:type="dxa"/>
          </w:tcPr>
          <w:p w14:paraId="218338B6" w14:textId="6277CF42"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42237496"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653C697E" w14:textId="2F6DC522"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9A80028" w14:textId="35FB1119"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≥100 μg/mL</w:t>
            </w:r>
          </w:p>
        </w:tc>
      </w:tr>
      <w:tr w:rsidR="003703A6" w:rsidRPr="007B43A9" w14:paraId="207E680D" w14:textId="77777777" w:rsidTr="00A83227">
        <w:tc>
          <w:tcPr>
            <w:tcW w:w="2065" w:type="dxa"/>
            <w:vMerge w:val="restart"/>
          </w:tcPr>
          <w:p w14:paraId="2B66F51D"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Quinolones</w:t>
            </w:r>
          </w:p>
        </w:tc>
        <w:tc>
          <w:tcPr>
            <w:tcW w:w="2080" w:type="dxa"/>
          </w:tcPr>
          <w:p w14:paraId="27D62C08"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Levofloxacin</w:t>
            </w:r>
          </w:p>
        </w:tc>
        <w:tc>
          <w:tcPr>
            <w:tcW w:w="663" w:type="dxa"/>
          </w:tcPr>
          <w:p w14:paraId="5E640838" w14:textId="082A8A8C"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3E9C39F7"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0A68889C" w14:textId="58B373AF"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674D6DE9" w14:textId="7BCBCBC3"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≥200 μg/mL</w:t>
            </w:r>
          </w:p>
        </w:tc>
      </w:tr>
      <w:tr w:rsidR="003703A6" w:rsidRPr="007B43A9" w14:paraId="74C95ABB" w14:textId="77777777" w:rsidTr="00A83227">
        <w:tc>
          <w:tcPr>
            <w:tcW w:w="2065" w:type="dxa"/>
            <w:vMerge/>
          </w:tcPr>
          <w:p w14:paraId="2C6A7D7C" w14:textId="77777777" w:rsidR="00A83227" w:rsidRPr="007B43A9" w:rsidRDefault="00A83227" w:rsidP="005142C8">
            <w:pPr>
              <w:spacing w:line="360" w:lineRule="auto"/>
              <w:rPr>
                <w:rFonts w:ascii="Book Antiqua" w:eastAsia="宋体" w:hAnsi="Book Antiqua" w:cs="Times New Roman"/>
                <w:color w:val="000000" w:themeColor="text1"/>
              </w:rPr>
            </w:pPr>
          </w:p>
        </w:tc>
        <w:tc>
          <w:tcPr>
            <w:tcW w:w="2080" w:type="dxa"/>
          </w:tcPr>
          <w:p w14:paraId="0C5CD1D2"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Ciprofloxacin</w:t>
            </w:r>
          </w:p>
        </w:tc>
        <w:tc>
          <w:tcPr>
            <w:tcW w:w="663" w:type="dxa"/>
          </w:tcPr>
          <w:p w14:paraId="5FEA1B9C" w14:textId="402425E0"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333223F6"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259A6A9D" w14:textId="35F50343"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2FF8BF22" w14:textId="5454F651"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≥100 μg/mL</w:t>
            </w:r>
          </w:p>
        </w:tc>
      </w:tr>
      <w:tr w:rsidR="003703A6" w:rsidRPr="007B43A9" w14:paraId="3A671D1B" w14:textId="77777777" w:rsidTr="00A83227">
        <w:tc>
          <w:tcPr>
            <w:tcW w:w="2065" w:type="dxa"/>
            <w:vMerge w:val="restart"/>
          </w:tcPr>
          <w:p w14:paraId="6BAAC0E6"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Polypeptide antibiotics</w:t>
            </w:r>
          </w:p>
        </w:tc>
        <w:tc>
          <w:tcPr>
            <w:tcW w:w="2080" w:type="dxa"/>
          </w:tcPr>
          <w:p w14:paraId="10B73942"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Colistin</w:t>
            </w:r>
          </w:p>
        </w:tc>
        <w:tc>
          <w:tcPr>
            <w:tcW w:w="663" w:type="dxa"/>
          </w:tcPr>
          <w:p w14:paraId="601C5CA3" w14:textId="06B6ADF3"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3B1AB3E1"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0A739057" w14:textId="55BBE66B"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0E7505AB" w14:textId="5A7A72A4"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≥100 μg/mL</w:t>
            </w:r>
          </w:p>
        </w:tc>
      </w:tr>
      <w:tr w:rsidR="003703A6" w:rsidRPr="007B43A9" w14:paraId="74179863" w14:textId="77777777" w:rsidTr="00A83227">
        <w:tc>
          <w:tcPr>
            <w:tcW w:w="2065" w:type="dxa"/>
            <w:vMerge/>
          </w:tcPr>
          <w:p w14:paraId="20D46030"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0E7AE0F1"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Bacitracin</w:t>
            </w:r>
          </w:p>
        </w:tc>
        <w:tc>
          <w:tcPr>
            <w:tcW w:w="663" w:type="dxa"/>
          </w:tcPr>
          <w:p w14:paraId="1B142650" w14:textId="7A2BB62A"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23</w:t>
            </w:r>
            <w:r w:rsidRPr="007B43A9">
              <w:rPr>
                <w:rFonts w:ascii="Book Antiqua" w:eastAsia="宋体" w:hAnsi="Book Antiqua" w:cs="Times New Roman" w:hint="eastAsia"/>
                <w:color w:val="000000" w:themeColor="text1"/>
              </w:rPr>
              <w:t>]</w:t>
            </w:r>
          </w:p>
        </w:tc>
        <w:tc>
          <w:tcPr>
            <w:tcW w:w="2015" w:type="dxa"/>
          </w:tcPr>
          <w:p w14:paraId="6F0E9DB5"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1EC51002" w14:textId="397F93DC"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0903DBE5" w14:textId="2313711D" w:rsidR="00EC5318" w:rsidRPr="007B43A9" w:rsidRDefault="00EC5318" w:rsidP="00B810F3">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0.1-10 μ</w:t>
            </w:r>
            <w:r w:rsidR="00B810F3" w:rsidRPr="007B43A9">
              <w:rPr>
                <w:rFonts w:ascii="Book Antiqua" w:eastAsia="宋体" w:hAnsi="Book Antiqua" w:cs="Times New Roman" w:hint="eastAsia"/>
                <w:color w:val="000000" w:themeColor="text1"/>
              </w:rPr>
              <w:t>mol/</w:t>
            </w:r>
            <w:r w:rsidR="00B810F3" w:rsidRPr="007B43A9">
              <w:rPr>
                <w:rFonts w:ascii="Book Antiqua" w:eastAsia="宋体" w:hAnsi="Book Antiqua" w:cs="Times New Roman"/>
                <w:color w:val="000000" w:themeColor="text1"/>
              </w:rPr>
              <w:t>L</w:t>
            </w:r>
          </w:p>
        </w:tc>
      </w:tr>
      <w:tr w:rsidR="003703A6" w:rsidRPr="007B43A9" w14:paraId="2032E07F" w14:textId="77777777" w:rsidTr="00A83227">
        <w:tc>
          <w:tcPr>
            <w:tcW w:w="2065" w:type="dxa"/>
            <w:vMerge/>
          </w:tcPr>
          <w:p w14:paraId="483DF0A5"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val="restart"/>
          </w:tcPr>
          <w:p w14:paraId="0B45CC53"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Vancomycin</w:t>
            </w:r>
          </w:p>
        </w:tc>
        <w:tc>
          <w:tcPr>
            <w:tcW w:w="663" w:type="dxa"/>
          </w:tcPr>
          <w:p w14:paraId="0FBC5297" w14:textId="4962EC14"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24</w:t>
            </w:r>
            <w:r w:rsidRPr="007B43A9">
              <w:rPr>
                <w:rFonts w:ascii="Book Antiqua" w:eastAsia="宋体" w:hAnsi="Book Antiqua" w:cs="Times New Roman" w:hint="eastAsia"/>
                <w:color w:val="000000" w:themeColor="text1"/>
              </w:rPr>
              <w:t>]</w:t>
            </w:r>
          </w:p>
        </w:tc>
        <w:tc>
          <w:tcPr>
            <w:tcW w:w="2015" w:type="dxa"/>
          </w:tcPr>
          <w:p w14:paraId="46B91471"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4552059F" w14:textId="2D9EAC46"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76AE850B" w14:textId="12FD4953"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0-500 μg/m</w:t>
            </w:r>
            <w:r w:rsidR="00B810F3" w:rsidRPr="007B43A9">
              <w:rPr>
                <w:rFonts w:ascii="Book Antiqua" w:eastAsia="宋体" w:hAnsi="Book Antiqua" w:cs="Times New Roman"/>
                <w:color w:val="000000" w:themeColor="text1"/>
              </w:rPr>
              <w:t>L</w:t>
            </w:r>
          </w:p>
        </w:tc>
      </w:tr>
      <w:tr w:rsidR="003703A6" w:rsidRPr="007B43A9" w14:paraId="255985E4" w14:textId="77777777" w:rsidTr="00A83227">
        <w:tc>
          <w:tcPr>
            <w:tcW w:w="2065" w:type="dxa"/>
            <w:vMerge/>
          </w:tcPr>
          <w:p w14:paraId="5ADB3862"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270EF60C"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0401FA29" w14:textId="3F555680"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24</w:t>
            </w:r>
            <w:r w:rsidRPr="007B43A9">
              <w:rPr>
                <w:rFonts w:ascii="Book Antiqua" w:eastAsia="宋体" w:hAnsi="Book Antiqua" w:cs="Times New Roman" w:hint="eastAsia"/>
                <w:color w:val="000000" w:themeColor="text1"/>
              </w:rPr>
              <w:t>]</w:t>
            </w:r>
          </w:p>
        </w:tc>
        <w:tc>
          <w:tcPr>
            <w:tcW w:w="2015" w:type="dxa"/>
          </w:tcPr>
          <w:p w14:paraId="5AE6BB87"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60B51291" w14:textId="2425DEF0"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1D962D6E" w14:textId="10CB312B"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5000 μg/m</w:t>
            </w:r>
            <w:r w:rsidR="00B810F3" w:rsidRPr="007B43A9">
              <w:rPr>
                <w:rFonts w:ascii="Book Antiqua" w:eastAsia="宋体" w:hAnsi="Book Antiqua" w:cs="Times New Roman"/>
                <w:color w:val="000000" w:themeColor="text1"/>
              </w:rPr>
              <w:t>L</w:t>
            </w:r>
          </w:p>
        </w:tc>
      </w:tr>
      <w:tr w:rsidR="003703A6" w:rsidRPr="007B43A9" w14:paraId="41EECE94" w14:textId="77777777" w:rsidTr="00A83227">
        <w:trPr>
          <w:trHeight w:val="437"/>
        </w:trPr>
        <w:tc>
          <w:tcPr>
            <w:tcW w:w="2065" w:type="dxa"/>
            <w:vMerge/>
          </w:tcPr>
          <w:p w14:paraId="767246C1"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19114C88"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47B1BEF8" w14:textId="1896E9DF"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08F80777"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2E430BC4" w14:textId="00A9D9C9"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5D272622" w14:textId="2DDF40EF"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0-2000 μg/m</w:t>
            </w:r>
            <w:r w:rsidR="00B810F3" w:rsidRPr="007B43A9">
              <w:rPr>
                <w:rFonts w:ascii="Book Antiqua" w:eastAsia="宋体" w:hAnsi="Book Antiqua" w:cs="Times New Roman"/>
                <w:color w:val="000000" w:themeColor="text1"/>
              </w:rPr>
              <w:t>L</w:t>
            </w:r>
          </w:p>
        </w:tc>
      </w:tr>
      <w:tr w:rsidR="003703A6" w:rsidRPr="007B43A9" w14:paraId="28FF00E4" w14:textId="77777777" w:rsidTr="00A83227">
        <w:tc>
          <w:tcPr>
            <w:tcW w:w="2065" w:type="dxa"/>
            <w:vMerge/>
          </w:tcPr>
          <w:p w14:paraId="0177D0A5"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6C8C0B5A"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539C6B7D" w14:textId="632CA033"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25</w:t>
            </w:r>
            <w:r w:rsidRPr="007B43A9">
              <w:rPr>
                <w:rFonts w:ascii="Book Antiqua" w:eastAsia="宋体" w:hAnsi="Book Antiqua" w:cs="Times New Roman" w:hint="eastAsia"/>
                <w:color w:val="000000" w:themeColor="text1"/>
              </w:rPr>
              <w:t>]</w:t>
            </w:r>
          </w:p>
        </w:tc>
        <w:tc>
          <w:tcPr>
            <w:tcW w:w="2015" w:type="dxa"/>
          </w:tcPr>
          <w:p w14:paraId="32D48017"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1D42B87E" w14:textId="0F0040F4"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23AC6DDA"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0–20 μg/mL</w:t>
            </w:r>
          </w:p>
        </w:tc>
      </w:tr>
      <w:tr w:rsidR="003703A6" w:rsidRPr="007B43A9" w14:paraId="57D0A80E" w14:textId="77777777" w:rsidTr="00A83227">
        <w:tc>
          <w:tcPr>
            <w:tcW w:w="2065" w:type="dxa"/>
            <w:vMerge/>
          </w:tcPr>
          <w:p w14:paraId="59D1E33F"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6407DF78"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1D14FAE7" w14:textId="30D11B20"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16</w:t>
            </w:r>
            <w:r w:rsidRPr="007B43A9">
              <w:rPr>
                <w:rFonts w:ascii="Book Antiqua" w:eastAsia="宋体" w:hAnsi="Book Antiqua" w:cs="Times New Roman" w:hint="eastAsia"/>
                <w:color w:val="000000" w:themeColor="text1"/>
              </w:rPr>
              <w:t>]</w:t>
            </w:r>
          </w:p>
        </w:tc>
        <w:tc>
          <w:tcPr>
            <w:tcW w:w="2015" w:type="dxa"/>
          </w:tcPr>
          <w:p w14:paraId="48EA3082"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5B53B4BB" w14:textId="52508CE6"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35494B0B" w14:textId="47F0379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200 μg/m</w:t>
            </w:r>
            <w:r w:rsidR="00B810F3" w:rsidRPr="007B43A9">
              <w:rPr>
                <w:rFonts w:ascii="Book Antiqua" w:eastAsia="宋体" w:hAnsi="Book Antiqua" w:cs="Times New Roman"/>
                <w:color w:val="000000" w:themeColor="text1"/>
              </w:rPr>
              <w:t>L</w:t>
            </w:r>
          </w:p>
        </w:tc>
      </w:tr>
      <w:tr w:rsidR="003703A6" w:rsidRPr="007B43A9" w14:paraId="3E9E7907" w14:textId="77777777" w:rsidTr="00A83227">
        <w:tc>
          <w:tcPr>
            <w:tcW w:w="2065" w:type="dxa"/>
            <w:vMerge w:val="restart"/>
          </w:tcPr>
          <w:p w14:paraId="7ACC10BA"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Other types of antibiotics</w:t>
            </w:r>
          </w:p>
        </w:tc>
        <w:tc>
          <w:tcPr>
            <w:tcW w:w="2080" w:type="dxa"/>
          </w:tcPr>
          <w:p w14:paraId="01AAA22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Metronidazole</w:t>
            </w:r>
          </w:p>
        </w:tc>
        <w:tc>
          <w:tcPr>
            <w:tcW w:w="663" w:type="dxa"/>
          </w:tcPr>
          <w:p w14:paraId="0A1AE838" w14:textId="687092EB"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16</w:t>
            </w:r>
            <w:r w:rsidRPr="007B43A9">
              <w:rPr>
                <w:rFonts w:ascii="Book Antiqua" w:eastAsia="宋体" w:hAnsi="Book Antiqua" w:cs="Times New Roman" w:hint="eastAsia"/>
                <w:color w:val="000000" w:themeColor="text1"/>
              </w:rPr>
              <w:t>]</w:t>
            </w:r>
          </w:p>
        </w:tc>
        <w:tc>
          <w:tcPr>
            <w:tcW w:w="2015" w:type="dxa"/>
          </w:tcPr>
          <w:p w14:paraId="454B551B"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760CD672" w14:textId="3AD93DC3"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658BC8AD" w14:textId="18687ED2"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20 μg/m</w:t>
            </w:r>
            <w:r w:rsidR="00B810F3" w:rsidRPr="007B43A9">
              <w:rPr>
                <w:rFonts w:ascii="Book Antiqua" w:eastAsia="宋体" w:hAnsi="Book Antiqua" w:cs="Times New Roman"/>
                <w:color w:val="000000" w:themeColor="text1"/>
              </w:rPr>
              <w:t>L</w:t>
            </w:r>
          </w:p>
        </w:tc>
      </w:tr>
      <w:tr w:rsidR="003703A6" w:rsidRPr="007B43A9" w14:paraId="662369A3" w14:textId="77777777" w:rsidTr="00A83227">
        <w:tc>
          <w:tcPr>
            <w:tcW w:w="2065" w:type="dxa"/>
            <w:vMerge/>
          </w:tcPr>
          <w:p w14:paraId="6095D5C3" w14:textId="77777777" w:rsidR="00A83227" w:rsidRPr="007B43A9" w:rsidRDefault="00A83227" w:rsidP="005142C8">
            <w:pPr>
              <w:spacing w:line="360" w:lineRule="auto"/>
              <w:rPr>
                <w:rFonts w:ascii="Book Antiqua" w:eastAsia="宋体" w:hAnsi="Book Antiqua" w:cs="Times New Roman"/>
                <w:color w:val="000000" w:themeColor="text1"/>
              </w:rPr>
            </w:pPr>
          </w:p>
        </w:tc>
        <w:tc>
          <w:tcPr>
            <w:tcW w:w="2080" w:type="dxa"/>
          </w:tcPr>
          <w:p w14:paraId="6F3679F8"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Trimethoprim</w:t>
            </w:r>
          </w:p>
        </w:tc>
        <w:tc>
          <w:tcPr>
            <w:tcW w:w="663" w:type="dxa"/>
          </w:tcPr>
          <w:p w14:paraId="17F22106" w14:textId="73B3B2FD"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3EE99575"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22177EC6" w14:textId="679D5CD2"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7A674087" w14:textId="268CE90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≥500 μg/mL</w:t>
            </w:r>
          </w:p>
        </w:tc>
      </w:tr>
      <w:tr w:rsidR="003703A6" w:rsidRPr="007B43A9" w14:paraId="0A3FAC63" w14:textId="77777777" w:rsidTr="00A83227">
        <w:tc>
          <w:tcPr>
            <w:tcW w:w="2065" w:type="dxa"/>
            <w:vMerge/>
          </w:tcPr>
          <w:p w14:paraId="77986FF2" w14:textId="77777777" w:rsidR="00A83227" w:rsidRPr="007B43A9" w:rsidRDefault="00A83227" w:rsidP="005142C8">
            <w:pPr>
              <w:spacing w:line="360" w:lineRule="auto"/>
              <w:rPr>
                <w:rFonts w:ascii="Book Antiqua" w:eastAsia="宋体" w:hAnsi="Book Antiqua" w:cs="Times New Roman"/>
                <w:color w:val="000000" w:themeColor="text1"/>
              </w:rPr>
            </w:pPr>
          </w:p>
        </w:tc>
        <w:tc>
          <w:tcPr>
            <w:tcW w:w="2080" w:type="dxa"/>
          </w:tcPr>
          <w:p w14:paraId="2E0BA009"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Linezolidone</w:t>
            </w:r>
          </w:p>
        </w:tc>
        <w:tc>
          <w:tcPr>
            <w:tcW w:w="663" w:type="dxa"/>
          </w:tcPr>
          <w:p w14:paraId="0F073C55" w14:textId="5882B440"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14</w:t>
            </w:r>
            <w:r w:rsidRPr="007B43A9">
              <w:rPr>
                <w:rFonts w:ascii="Book Antiqua" w:eastAsia="宋体" w:hAnsi="Book Antiqua" w:cs="Times New Roman" w:hint="eastAsia"/>
                <w:color w:val="000000" w:themeColor="text1"/>
              </w:rPr>
              <w:t>]</w:t>
            </w:r>
          </w:p>
        </w:tc>
        <w:tc>
          <w:tcPr>
            <w:tcW w:w="2015" w:type="dxa"/>
          </w:tcPr>
          <w:p w14:paraId="23A25229" w14:textId="77777777"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2536BB19" w14:textId="33DB5100"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3FB47D82" w14:textId="06D47728" w:rsidR="00A83227"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≥100 μg/mL</w:t>
            </w:r>
          </w:p>
        </w:tc>
      </w:tr>
      <w:tr w:rsidR="003703A6" w:rsidRPr="007B43A9" w14:paraId="6BDE9A05" w14:textId="77777777" w:rsidTr="00A83227">
        <w:tc>
          <w:tcPr>
            <w:tcW w:w="2065" w:type="dxa"/>
            <w:vMerge/>
          </w:tcPr>
          <w:p w14:paraId="47C5025E"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6BF8B706"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Salinomycin</w:t>
            </w:r>
          </w:p>
        </w:tc>
        <w:tc>
          <w:tcPr>
            <w:tcW w:w="663" w:type="dxa"/>
          </w:tcPr>
          <w:p w14:paraId="3F924A14" w14:textId="0F80D08A"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26</w:t>
            </w:r>
            <w:r w:rsidRPr="007B43A9">
              <w:rPr>
                <w:rFonts w:ascii="Book Antiqua" w:eastAsia="宋体" w:hAnsi="Book Antiqua" w:cs="Times New Roman" w:hint="eastAsia"/>
                <w:color w:val="000000" w:themeColor="text1"/>
              </w:rPr>
              <w:t>]</w:t>
            </w:r>
          </w:p>
        </w:tc>
        <w:tc>
          <w:tcPr>
            <w:tcW w:w="2015" w:type="dxa"/>
          </w:tcPr>
          <w:p w14:paraId="6A30C67E"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6C3BB8D2" w14:textId="065C4CB4"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4A2E4374" w14:textId="6F2BC343" w:rsidR="00EC5318" w:rsidRPr="007B43A9" w:rsidRDefault="00EC5318" w:rsidP="00B810F3">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 μ</w:t>
            </w:r>
            <w:r w:rsidR="00B810F3" w:rsidRPr="007B43A9">
              <w:rPr>
                <w:rFonts w:ascii="Book Antiqua" w:eastAsia="宋体" w:hAnsi="Book Antiqua" w:cs="Times New Roman" w:hint="eastAsia"/>
                <w:color w:val="000000" w:themeColor="text1"/>
              </w:rPr>
              <w:t>mol/</w:t>
            </w:r>
            <w:r w:rsidR="00B810F3" w:rsidRPr="007B43A9">
              <w:rPr>
                <w:rFonts w:ascii="Book Antiqua" w:eastAsia="宋体" w:hAnsi="Book Antiqua" w:cs="Times New Roman"/>
                <w:color w:val="000000" w:themeColor="text1"/>
              </w:rPr>
              <w:t>L</w:t>
            </w:r>
          </w:p>
        </w:tc>
      </w:tr>
      <w:tr w:rsidR="003703A6" w:rsidRPr="007B43A9" w14:paraId="111599A9" w14:textId="77777777" w:rsidTr="00A83227">
        <w:tc>
          <w:tcPr>
            <w:tcW w:w="2065" w:type="dxa"/>
            <w:vMerge w:val="restart"/>
          </w:tcPr>
          <w:p w14:paraId="55C7ACB3"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Natural peptides</w:t>
            </w:r>
          </w:p>
        </w:tc>
        <w:tc>
          <w:tcPr>
            <w:tcW w:w="2080" w:type="dxa"/>
            <w:vMerge w:val="restart"/>
          </w:tcPr>
          <w:p w14:paraId="683924AB"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Lactoferrin</w:t>
            </w:r>
          </w:p>
        </w:tc>
        <w:tc>
          <w:tcPr>
            <w:tcW w:w="663" w:type="dxa"/>
          </w:tcPr>
          <w:p w14:paraId="7340A58F" w14:textId="63857B00"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27</w:t>
            </w:r>
            <w:r w:rsidRPr="007B43A9">
              <w:rPr>
                <w:rFonts w:ascii="Book Antiqua" w:eastAsia="宋体" w:hAnsi="Book Antiqua" w:cs="Times New Roman" w:hint="eastAsia"/>
                <w:color w:val="000000" w:themeColor="text1"/>
              </w:rPr>
              <w:t>]</w:t>
            </w:r>
          </w:p>
        </w:tc>
        <w:tc>
          <w:tcPr>
            <w:tcW w:w="2015" w:type="dxa"/>
          </w:tcPr>
          <w:p w14:paraId="121C5F4E" w14:textId="6B810AC1"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Adipose</w:t>
            </w:r>
            <w:r w:rsidR="00EC5318" w:rsidRPr="007B43A9">
              <w:rPr>
                <w:rFonts w:ascii="Book Antiqua" w:eastAsia="Times New Roman" w:hAnsi="Book Antiqua" w:cs="Times New Roman"/>
                <w:color w:val="000000" w:themeColor="text1"/>
                <w:kern w:val="0"/>
              </w:rPr>
              <w:t>-derived stem cells</w:t>
            </w:r>
          </w:p>
        </w:tc>
        <w:tc>
          <w:tcPr>
            <w:tcW w:w="1349" w:type="dxa"/>
          </w:tcPr>
          <w:p w14:paraId="6580ECA7" w14:textId="46C06275"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1E03C126" w14:textId="709202CC"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10-100 μg/m</w:t>
            </w:r>
            <w:r w:rsidR="00B810F3" w:rsidRPr="007B43A9">
              <w:rPr>
                <w:rFonts w:ascii="Book Antiqua" w:eastAsia="宋体" w:hAnsi="Book Antiqua" w:cs="Times New Roman"/>
                <w:color w:val="000000" w:themeColor="text1"/>
              </w:rPr>
              <w:t>L</w:t>
            </w:r>
          </w:p>
        </w:tc>
      </w:tr>
      <w:tr w:rsidR="003703A6" w:rsidRPr="007B43A9" w14:paraId="0B089511" w14:textId="77777777" w:rsidTr="00A83227">
        <w:tc>
          <w:tcPr>
            <w:tcW w:w="2065" w:type="dxa"/>
            <w:vMerge/>
          </w:tcPr>
          <w:p w14:paraId="04B4AD7B"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22700D4B"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3FBAC645" w14:textId="5047DCA0"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29</w:t>
            </w:r>
            <w:r w:rsidRPr="007B43A9">
              <w:rPr>
                <w:rFonts w:ascii="Book Antiqua" w:eastAsia="宋体" w:hAnsi="Book Antiqua" w:cs="Times New Roman" w:hint="eastAsia"/>
                <w:color w:val="000000" w:themeColor="text1"/>
              </w:rPr>
              <w:t>]</w:t>
            </w:r>
          </w:p>
        </w:tc>
        <w:tc>
          <w:tcPr>
            <w:tcW w:w="2015" w:type="dxa"/>
          </w:tcPr>
          <w:p w14:paraId="7B551E9A"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MC3T3-E1</w:t>
            </w:r>
          </w:p>
        </w:tc>
        <w:tc>
          <w:tcPr>
            <w:tcW w:w="1349" w:type="dxa"/>
          </w:tcPr>
          <w:p w14:paraId="0B83FC79" w14:textId="28592D33"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6179719E" w14:textId="1A2A13AE"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1-1000 μg/m</w:t>
            </w:r>
            <w:r w:rsidR="00B810F3" w:rsidRPr="007B43A9">
              <w:rPr>
                <w:rFonts w:ascii="Book Antiqua" w:eastAsia="宋体" w:hAnsi="Book Antiqua" w:cs="Times New Roman"/>
                <w:color w:val="000000" w:themeColor="text1"/>
              </w:rPr>
              <w:t>L</w:t>
            </w:r>
          </w:p>
        </w:tc>
      </w:tr>
      <w:tr w:rsidR="003703A6" w:rsidRPr="007B43A9" w14:paraId="611C6B58" w14:textId="77777777" w:rsidTr="00A83227">
        <w:tc>
          <w:tcPr>
            <w:tcW w:w="2065" w:type="dxa"/>
            <w:vMerge/>
          </w:tcPr>
          <w:p w14:paraId="634B5868"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5C8B8690"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Hepcidin</w:t>
            </w:r>
          </w:p>
        </w:tc>
        <w:tc>
          <w:tcPr>
            <w:tcW w:w="663" w:type="dxa"/>
          </w:tcPr>
          <w:p w14:paraId="6FB63B05" w14:textId="27CDA323"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30</w:t>
            </w:r>
            <w:r w:rsidRPr="007B43A9">
              <w:rPr>
                <w:rFonts w:ascii="Book Antiqua" w:eastAsia="宋体" w:hAnsi="Book Antiqua" w:cs="Times New Roman" w:hint="eastAsia"/>
                <w:color w:val="000000" w:themeColor="text1"/>
              </w:rPr>
              <w:t>]</w:t>
            </w:r>
          </w:p>
        </w:tc>
        <w:tc>
          <w:tcPr>
            <w:tcW w:w="2015" w:type="dxa"/>
          </w:tcPr>
          <w:p w14:paraId="3D03208F"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3C04DD99" w14:textId="0EE377D9"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21B613A5" w14:textId="025AA2FC"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0.2 mmol/</w:t>
            </w:r>
            <w:r w:rsidR="00B810F3" w:rsidRPr="007B43A9">
              <w:rPr>
                <w:rFonts w:ascii="Book Antiqua" w:eastAsia="宋体" w:hAnsi="Book Antiqua" w:cs="Times New Roman"/>
                <w:color w:val="000000" w:themeColor="text1"/>
              </w:rPr>
              <w:t>L</w:t>
            </w:r>
          </w:p>
        </w:tc>
      </w:tr>
      <w:tr w:rsidR="003703A6" w:rsidRPr="007B43A9" w14:paraId="208CD1A8" w14:textId="77777777" w:rsidTr="00A83227">
        <w:tc>
          <w:tcPr>
            <w:tcW w:w="2065" w:type="dxa"/>
            <w:vMerge/>
          </w:tcPr>
          <w:p w14:paraId="1A4EF6F9"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6265666D"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LL-37</w:t>
            </w:r>
          </w:p>
        </w:tc>
        <w:tc>
          <w:tcPr>
            <w:tcW w:w="663" w:type="dxa"/>
          </w:tcPr>
          <w:p w14:paraId="671757BC" w14:textId="4E86D277"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31</w:t>
            </w:r>
            <w:r w:rsidRPr="007B43A9">
              <w:rPr>
                <w:rFonts w:ascii="Book Antiqua" w:eastAsia="宋体" w:hAnsi="Book Antiqua" w:cs="Times New Roman" w:hint="eastAsia"/>
                <w:color w:val="000000" w:themeColor="text1"/>
              </w:rPr>
              <w:t>]</w:t>
            </w:r>
          </w:p>
        </w:tc>
        <w:tc>
          <w:tcPr>
            <w:tcW w:w="2015" w:type="dxa"/>
          </w:tcPr>
          <w:p w14:paraId="058DB5F8"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288AA970" w14:textId="19777BAC"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6A92E5F5" w14:textId="18CD9C02"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5-20 μg/m</w:t>
            </w:r>
            <w:r w:rsidR="00B810F3" w:rsidRPr="007B43A9">
              <w:rPr>
                <w:rFonts w:ascii="Book Antiqua" w:eastAsia="宋体" w:hAnsi="Book Antiqua" w:cs="Times New Roman"/>
                <w:color w:val="000000" w:themeColor="text1"/>
              </w:rPr>
              <w:t>L</w:t>
            </w:r>
          </w:p>
        </w:tc>
      </w:tr>
      <w:tr w:rsidR="003703A6" w:rsidRPr="007B43A9" w14:paraId="573942E6" w14:textId="77777777" w:rsidTr="00A83227">
        <w:tc>
          <w:tcPr>
            <w:tcW w:w="2065" w:type="dxa"/>
            <w:vMerge/>
          </w:tcPr>
          <w:p w14:paraId="5553D1DA"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0BA67E67"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KR-12</w:t>
            </w:r>
          </w:p>
        </w:tc>
        <w:tc>
          <w:tcPr>
            <w:tcW w:w="663" w:type="dxa"/>
          </w:tcPr>
          <w:p w14:paraId="0D4BDF9B" w14:textId="62E8AFA4"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32</w:t>
            </w:r>
            <w:r w:rsidRPr="007B43A9">
              <w:rPr>
                <w:rFonts w:ascii="Book Antiqua" w:eastAsia="宋体" w:hAnsi="Book Antiqua" w:cs="Times New Roman" w:hint="eastAsia"/>
                <w:color w:val="000000" w:themeColor="text1"/>
              </w:rPr>
              <w:t>]</w:t>
            </w:r>
          </w:p>
        </w:tc>
        <w:tc>
          <w:tcPr>
            <w:tcW w:w="2015" w:type="dxa"/>
          </w:tcPr>
          <w:p w14:paraId="32CDFAE7"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231F2F3C" w14:textId="29C2BFE4"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7E63D6ED" w14:textId="055AE4B9"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1-1000 μg/m</w:t>
            </w:r>
            <w:r w:rsidR="00B810F3" w:rsidRPr="007B43A9">
              <w:rPr>
                <w:rFonts w:ascii="Book Antiqua" w:eastAsia="宋体" w:hAnsi="Book Antiqua" w:cs="Times New Roman"/>
                <w:color w:val="000000" w:themeColor="text1"/>
              </w:rPr>
              <w:t>L</w:t>
            </w:r>
          </w:p>
        </w:tc>
      </w:tr>
      <w:tr w:rsidR="003703A6" w:rsidRPr="007B43A9" w14:paraId="3A9B84B2" w14:textId="77777777" w:rsidTr="00A83227">
        <w:tc>
          <w:tcPr>
            <w:tcW w:w="2065" w:type="dxa"/>
            <w:vMerge w:val="restart"/>
          </w:tcPr>
          <w:p w14:paraId="4AC854AF"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Chinese traditional drug extracts</w:t>
            </w:r>
          </w:p>
        </w:tc>
        <w:tc>
          <w:tcPr>
            <w:tcW w:w="2080" w:type="dxa"/>
            <w:vMerge w:val="restart"/>
          </w:tcPr>
          <w:p w14:paraId="0265A355"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Cordycepin</w:t>
            </w:r>
          </w:p>
        </w:tc>
        <w:tc>
          <w:tcPr>
            <w:tcW w:w="663" w:type="dxa"/>
          </w:tcPr>
          <w:p w14:paraId="10379A9F" w14:textId="090157F6"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33</w:t>
            </w:r>
            <w:r w:rsidRPr="007B43A9">
              <w:rPr>
                <w:rFonts w:ascii="Book Antiqua" w:eastAsia="宋体" w:hAnsi="Book Antiqua" w:cs="Times New Roman" w:hint="eastAsia"/>
                <w:color w:val="000000" w:themeColor="text1"/>
              </w:rPr>
              <w:t>]</w:t>
            </w:r>
          </w:p>
        </w:tc>
        <w:tc>
          <w:tcPr>
            <w:tcW w:w="2015" w:type="dxa"/>
          </w:tcPr>
          <w:p w14:paraId="403375B8" w14:textId="4D07637C"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Adipose</w:t>
            </w:r>
            <w:r w:rsidR="00EC5318" w:rsidRPr="007B43A9">
              <w:rPr>
                <w:rFonts w:ascii="Book Antiqua" w:eastAsia="Times New Roman" w:hAnsi="Book Antiqua" w:cs="Times New Roman"/>
                <w:color w:val="000000" w:themeColor="text1"/>
                <w:kern w:val="0"/>
              </w:rPr>
              <w:t>-derived stem cells</w:t>
            </w:r>
          </w:p>
        </w:tc>
        <w:tc>
          <w:tcPr>
            <w:tcW w:w="1349" w:type="dxa"/>
          </w:tcPr>
          <w:p w14:paraId="1137E7EB" w14:textId="08A96633"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28C8CE35" w14:textId="640DC58E"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10 μg/m</w:t>
            </w:r>
            <w:r w:rsidR="00B810F3" w:rsidRPr="007B43A9">
              <w:rPr>
                <w:rFonts w:ascii="Book Antiqua" w:eastAsia="宋体" w:hAnsi="Book Antiqua" w:cs="Times New Roman"/>
                <w:color w:val="000000" w:themeColor="text1"/>
              </w:rPr>
              <w:t>L</w:t>
            </w:r>
          </w:p>
        </w:tc>
      </w:tr>
      <w:tr w:rsidR="003703A6" w:rsidRPr="007B43A9" w14:paraId="00777943" w14:textId="77777777" w:rsidTr="00A83227">
        <w:tc>
          <w:tcPr>
            <w:tcW w:w="2065" w:type="dxa"/>
            <w:vMerge/>
          </w:tcPr>
          <w:p w14:paraId="7B3E7867"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269DFC28"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15DF6460" w14:textId="4EEB19BF"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34</w:t>
            </w:r>
            <w:r w:rsidRPr="007B43A9">
              <w:rPr>
                <w:rFonts w:ascii="Book Antiqua" w:eastAsia="宋体" w:hAnsi="Book Antiqua" w:cs="Times New Roman" w:hint="eastAsia"/>
                <w:color w:val="000000" w:themeColor="text1"/>
              </w:rPr>
              <w:t>]</w:t>
            </w:r>
          </w:p>
        </w:tc>
        <w:tc>
          <w:tcPr>
            <w:tcW w:w="2015" w:type="dxa"/>
          </w:tcPr>
          <w:p w14:paraId="361A622F"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2D357E77" w14:textId="162991F2"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78416974" w14:textId="3D2AFFF1"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10 μg/m</w:t>
            </w:r>
            <w:r w:rsidR="00B810F3" w:rsidRPr="007B43A9">
              <w:rPr>
                <w:rFonts w:ascii="Book Antiqua" w:eastAsia="宋体" w:hAnsi="Book Antiqua" w:cs="Times New Roman"/>
                <w:color w:val="000000" w:themeColor="text1"/>
              </w:rPr>
              <w:t>L</w:t>
            </w:r>
          </w:p>
        </w:tc>
      </w:tr>
      <w:tr w:rsidR="003703A6" w:rsidRPr="007B43A9" w14:paraId="22245C13" w14:textId="77777777" w:rsidTr="00A83227">
        <w:trPr>
          <w:trHeight w:val="856"/>
        </w:trPr>
        <w:tc>
          <w:tcPr>
            <w:tcW w:w="2065" w:type="dxa"/>
            <w:vMerge/>
          </w:tcPr>
          <w:p w14:paraId="0273A508"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val="restart"/>
          </w:tcPr>
          <w:p w14:paraId="298EE565"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Tanshinone IIA</w:t>
            </w:r>
          </w:p>
        </w:tc>
        <w:tc>
          <w:tcPr>
            <w:tcW w:w="663" w:type="dxa"/>
          </w:tcPr>
          <w:p w14:paraId="6A032F96" w14:textId="4EFD2631"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35</w:t>
            </w:r>
            <w:r w:rsidRPr="007B43A9">
              <w:rPr>
                <w:rFonts w:ascii="Book Antiqua" w:eastAsia="宋体" w:hAnsi="Book Antiqua" w:cs="Times New Roman" w:hint="eastAsia"/>
                <w:color w:val="000000" w:themeColor="text1"/>
              </w:rPr>
              <w:t>]</w:t>
            </w:r>
          </w:p>
        </w:tc>
        <w:tc>
          <w:tcPr>
            <w:tcW w:w="2015" w:type="dxa"/>
          </w:tcPr>
          <w:p w14:paraId="17458185"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60869C63" w14:textId="437785EC"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272A7056" w14:textId="3A609022" w:rsidR="00EC5318" w:rsidRPr="007B43A9" w:rsidRDefault="00EC5318" w:rsidP="00B810F3">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1-5 μ</w:t>
            </w:r>
            <w:r w:rsidR="00B810F3" w:rsidRPr="007B43A9">
              <w:rPr>
                <w:rFonts w:ascii="Book Antiqua" w:eastAsia="宋体" w:hAnsi="Book Antiqua" w:cs="Times New Roman" w:hint="eastAsia"/>
                <w:color w:val="000000" w:themeColor="text1"/>
              </w:rPr>
              <w:t>mol/</w:t>
            </w:r>
            <w:r w:rsidR="00B810F3" w:rsidRPr="007B43A9">
              <w:rPr>
                <w:rFonts w:ascii="Book Antiqua" w:eastAsia="宋体" w:hAnsi="Book Antiqua" w:cs="Times New Roman"/>
                <w:color w:val="000000" w:themeColor="text1"/>
              </w:rPr>
              <w:t>L</w:t>
            </w:r>
          </w:p>
        </w:tc>
      </w:tr>
      <w:tr w:rsidR="003703A6" w:rsidRPr="007B43A9" w14:paraId="3D332588" w14:textId="77777777" w:rsidTr="00A83227">
        <w:tc>
          <w:tcPr>
            <w:tcW w:w="2065" w:type="dxa"/>
            <w:vMerge/>
          </w:tcPr>
          <w:p w14:paraId="67ED0DA8"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0C31CE2F"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6DBFA6FB" w14:textId="357DBDA5"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36</w:t>
            </w:r>
            <w:r w:rsidRPr="007B43A9">
              <w:rPr>
                <w:rFonts w:ascii="Book Antiqua" w:eastAsia="宋体" w:hAnsi="Book Antiqua" w:cs="Times New Roman" w:hint="eastAsia"/>
                <w:color w:val="000000" w:themeColor="text1"/>
              </w:rPr>
              <w:t>]</w:t>
            </w:r>
          </w:p>
        </w:tc>
        <w:tc>
          <w:tcPr>
            <w:tcW w:w="2015" w:type="dxa"/>
          </w:tcPr>
          <w:p w14:paraId="6C75D71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C2C12</w:t>
            </w:r>
          </w:p>
        </w:tc>
        <w:tc>
          <w:tcPr>
            <w:tcW w:w="1349" w:type="dxa"/>
          </w:tcPr>
          <w:p w14:paraId="7FC909AE" w14:textId="7573235C"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5E855C4F" w14:textId="19A2F70C" w:rsidR="00EC5318" w:rsidRPr="007B43A9" w:rsidRDefault="00EC5318" w:rsidP="00B810F3">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2.5-10 μ</w:t>
            </w:r>
            <w:r w:rsidR="00B810F3" w:rsidRPr="007B43A9">
              <w:rPr>
                <w:rFonts w:ascii="Book Antiqua" w:eastAsia="宋体" w:hAnsi="Book Antiqua" w:cs="Times New Roman" w:hint="eastAsia"/>
                <w:color w:val="000000" w:themeColor="text1"/>
              </w:rPr>
              <w:t>mol/</w:t>
            </w:r>
            <w:r w:rsidR="00B810F3" w:rsidRPr="007B43A9">
              <w:rPr>
                <w:rFonts w:ascii="Book Antiqua" w:eastAsia="宋体" w:hAnsi="Book Antiqua" w:cs="Times New Roman"/>
                <w:color w:val="000000" w:themeColor="text1"/>
              </w:rPr>
              <w:t>L</w:t>
            </w:r>
          </w:p>
        </w:tc>
      </w:tr>
      <w:tr w:rsidR="003703A6" w:rsidRPr="007B43A9" w14:paraId="39EA00DE" w14:textId="77777777" w:rsidTr="00A83227">
        <w:tc>
          <w:tcPr>
            <w:tcW w:w="2065" w:type="dxa"/>
            <w:vMerge/>
          </w:tcPr>
          <w:p w14:paraId="6E339C48"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4CFF7A1B"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Andrographolide</w:t>
            </w:r>
          </w:p>
        </w:tc>
        <w:tc>
          <w:tcPr>
            <w:tcW w:w="663" w:type="dxa"/>
          </w:tcPr>
          <w:p w14:paraId="7FFC32B3" w14:textId="63EE0A6E"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37</w:t>
            </w:r>
            <w:r w:rsidRPr="007B43A9">
              <w:rPr>
                <w:rFonts w:ascii="Book Antiqua" w:eastAsia="宋体" w:hAnsi="Book Antiqua" w:cs="Times New Roman" w:hint="eastAsia"/>
                <w:color w:val="000000" w:themeColor="text1"/>
              </w:rPr>
              <w:t>]</w:t>
            </w:r>
          </w:p>
        </w:tc>
        <w:tc>
          <w:tcPr>
            <w:tcW w:w="2015" w:type="dxa"/>
          </w:tcPr>
          <w:p w14:paraId="0931F58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5CA47F6D" w14:textId="3E8C6EEA"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2DB95476" w14:textId="4542875E" w:rsidR="00EC5318" w:rsidRPr="007B43A9" w:rsidRDefault="00EC5318" w:rsidP="00B810F3">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4.46 or 8.92 μ</w:t>
            </w:r>
            <w:r w:rsidR="00B810F3" w:rsidRPr="007B43A9">
              <w:rPr>
                <w:rFonts w:ascii="Book Antiqua" w:eastAsia="宋体" w:hAnsi="Book Antiqua" w:cs="Times New Roman" w:hint="eastAsia"/>
                <w:color w:val="000000" w:themeColor="text1"/>
              </w:rPr>
              <w:t>mol/</w:t>
            </w:r>
            <w:r w:rsidR="00B810F3" w:rsidRPr="007B43A9">
              <w:rPr>
                <w:rFonts w:ascii="Book Antiqua" w:eastAsia="宋体" w:hAnsi="Book Antiqua" w:cs="Times New Roman"/>
                <w:color w:val="000000" w:themeColor="text1"/>
              </w:rPr>
              <w:t>L</w:t>
            </w:r>
          </w:p>
        </w:tc>
      </w:tr>
      <w:tr w:rsidR="003703A6" w:rsidRPr="007B43A9" w14:paraId="57E25967" w14:textId="77777777" w:rsidTr="00A83227">
        <w:tc>
          <w:tcPr>
            <w:tcW w:w="2065" w:type="dxa"/>
            <w:vMerge/>
          </w:tcPr>
          <w:p w14:paraId="613021DC"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val="restart"/>
          </w:tcPr>
          <w:p w14:paraId="0E8FCD4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Baicalin</w:t>
            </w:r>
          </w:p>
        </w:tc>
        <w:tc>
          <w:tcPr>
            <w:tcW w:w="663" w:type="dxa"/>
          </w:tcPr>
          <w:p w14:paraId="3DC26319" w14:textId="79547E28"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38</w:t>
            </w:r>
            <w:r w:rsidRPr="007B43A9">
              <w:rPr>
                <w:rFonts w:ascii="Book Antiqua" w:eastAsia="宋体" w:hAnsi="Book Antiqua" w:cs="Times New Roman" w:hint="eastAsia"/>
                <w:color w:val="000000" w:themeColor="text1"/>
              </w:rPr>
              <w:t>]</w:t>
            </w:r>
          </w:p>
        </w:tc>
        <w:tc>
          <w:tcPr>
            <w:tcW w:w="2015" w:type="dxa"/>
          </w:tcPr>
          <w:p w14:paraId="6560952A" w14:textId="5508CB6E"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Sprague-Dawley </w:t>
            </w:r>
            <w:r w:rsidR="00C21ADF" w:rsidRPr="007B43A9">
              <w:rPr>
                <w:rFonts w:ascii="Book Antiqua" w:eastAsia="宋体" w:hAnsi="Book Antiqua" w:cs="Times New Roman"/>
                <w:color w:val="000000" w:themeColor="text1"/>
              </w:rPr>
              <w:t>r</w:t>
            </w:r>
            <w:r w:rsidRPr="007B43A9">
              <w:rPr>
                <w:rFonts w:ascii="Book Antiqua" w:eastAsia="宋体" w:hAnsi="Book Antiqua" w:cs="Times New Roman"/>
                <w:color w:val="000000" w:themeColor="text1"/>
              </w:rPr>
              <w:t>ats</w:t>
            </w:r>
          </w:p>
        </w:tc>
        <w:tc>
          <w:tcPr>
            <w:tcW w:w="1349" w:type="dxa"/>
          </w:tcPr>
          <w:p w14:paraId="4547595A" w14:textId="03BFF036"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5D3BBD8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50 mg/kg</w:t>
            </w:r>
          </w:p>
        </w:tc>
      </w:tr>
      <w:tr w:rsidR="003703A6" w:rsidRPr="007B43A9" w14:paraId="7A05AD0F" w14:textId="77777777" w:rsidTr="00A83227">
        <w:tc>
          <w:tcPr>
            <w:tcW w:w="2065" w:type="dxa"/>
            <w:vMerge/>
          </w:tcPr>
          <w:p w14:paraId="218CA634"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2BD0CDF1"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0479611C" w14:textId="6A3425A0"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39</w:t>
            </w:r>
            <w:r w:rsidRPr="007B43A9">
              <w:rPr>
                <w:rFonts w:ascii="Book Antiqua" w:eastAsia="宋体" w:hAnsi="Book Antiqua" w:cs="Times New Roman" w:hint="eastAsia"/>
                <w:color w:val="000000" w:themeColor="text1"/>
              </w:rPr>
              <w:t>]</w:t>
            </w:r>
          </w:p>
        </w:tc>
        <w:tc>
          <w:tcPr>
            <w:tcW w:w="2015" w:type="dxa"/>
          </w:tcPr>
          <w:p w14:paraId="3F8F1862"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6FA73DB1" w14:textId="593CB82C"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7DF6A42F" w14:textId="7B4F3DCF" w:rsidR="00EC5318" w:rsidRPr="007B43A9" w:rsidRDefault="00EC5318" w:rsidP="00B810F3">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50 μ</w:t>
            </w:r>
            <w:r w:rsidR="00B810F3" w:rsidRPr="007B43A9">
              <w:rPr>
                <w:rFonts w:ascii="Book Antiqua" w:eastAsia="宋体" w:hAnsi="Book Antiqua" w:cs="Times New Roman" w:hint="eastAsia"/>
                <w:color w:val="000000" w:themeColor="text1"/>
              </w:rPr>
              <w:t>mol/</w:t>
            </w:r>
            <w:r w:rsidR="00B810F3" w:rsidRPr="007B43A9">
              <w:rPr>
                <w:rFonts w:ascii="Book Antiqua" w:eastAsia="宋体" w:hAnsi="Book Antiqua" w:cs="Times New Roman"/>
                <w:color w:val="000000" w:themeColor="text1"/>
              </w:rPr>
              <w:t>L</w:t>
            </w:r>
          </w:p>
        </w:tc>
      </w:tr>
      <w:tr w:rsidR="003703A6" w:rsidRPr="007B43A9" w14:paraId="51CC7424" w14:textId="77777777" w:rsidTr="00A83227">
        <w:tc>
          <w:tcPr>
            <w:tcW w:w="2065" w:type="dxa"/>
            <w:vMerge/>
          </w:tcPr>
          <w:p w14:paraId="46CD20BE"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466E0273"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Costunolide</w:t>
            </w:r>
          </w:p>
        </w:tc>
        <w:tc>
          <w:tcPr>
            <w:tcW w:w="663" w:type="dxa"/>
          </w:tcPr>
          <w:p w14:paraId="0560BF10" w14:textId="711470A0"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40</w:t>
            </w:r>
            <w:r w:rsidRPr="007B43A9">
              <w:rPr>
                <w:rFonts w:ascii="Book Antiqua" w:eastAsia="宋体" w:hAnsi="Book Antiqua" w:cs="Times New Roman" w:hint="eastAsia"/>
                <w:color w:val="000000" w:themeColor="text1"/>
              </w:rPr>
              <w:t>]</w:t>
            </w:r>
          </w:p>
        </w:tc>
        <w:tc>
          <w:tcPr>
            <w:tcW w:w="2015" w:type="dxa"/>
          </w:tcPr>
          <w:p w14:paraId="6B8E6EA6"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C3H10T1/2</w:t>
            </w:r>
          </w:p>
        </w:tc>
        <w:tc>
          <w:tcPr>
            <w:tcW w:w="1349" w:type="dxa"/>
          </w:tcPr>
          <w:p w14:paraId="5237CC17" w14:textId="3459463D"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419D7CE0" w14:textId="56547FF5"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 ng/m</w:t>
            </w:r>
            <w:r w:rsidR="00B810F3" w:rsidRPr="007B43A9">
              <w:rPr>
                <w:rFonts w:ascii="Book Antiqua" w:eastAsia="宋体" w:hAnsi="Book Antiqua" w:cs="Times New Roman"/>
                <w:color w:val="000000" w:themeColor="text1"/>
              </w:rPr>
              <w:t>L</w:t>
            </w:r>
          </w:p>
        </w:tc>
      </w:tr>
      <w:tr w:rsidR="003703A6" w:rsidRPr="007B43A9" w14:paraId="6A0A0FD9" w14:textId="77777777" w:rsidTr="00A83227">
        <w:tc>
          <w:tcPr>
            <w:tcW w:w="2065" w:type="dxa"/>
            <w:vMerge/>
          </w:tcPr>
          <w:p w14:paraId="2B906FF5"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val="restart"/>
          </w:tcPr>
          <w:p w14:paraId="5F23CC8A"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extract of Lithospermum</w:t>
            </w:r>
          </w:p>
        </w:tc>
        <w:tc>
          <w:tcPr>
            <w:tcW w:w="663" w:type="dxa"/>
          </w:tcPr>
          <w:p w14:paraId="7B6AAF5C" w14:textId="6368F562"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41</w:t>
            </w:r>
            <w:r w:rsidRPr="007B43A9">
              <w:rPr>
                <w:rFonts w:ascii="Book Antiqua" w:eastAsia="宋体" w:hAnsi="Book Antiqua" w:cs="Times New Roman" w:hint="eastAsia"/>
                <w:color w:val="000000" w:themeColor="text1"/>
              </w:rPr>
              <w:t>]</w:t>
            </w:r>
          </w:p>
        </w:tc>
        <w:tc>
          <w:tcPr>
            <w:tcW w:w="2015" w:type="dxa"/>
          </w:tcPr>
          <w:p w14:paraId="46D64579"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C2C12</w:t>
            </w:r>
          </w:p>
        </w:tc>
        <w:tc>
          <w:tcPr>
            <w:tcW w:w="1349" w:type="dxa"/>
          </w:tcPr>
          <w:p w14:paraId="2533FFE9" w14:textId="736CE332"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56ED5606" w14:textId="4563B7B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30 or 60 μg/m</w:t>
            </w:r>
            <w:r w:rsidR="00B810F3" w:rsidRPr="007B43A9">
              <w:rPr>
                <w:rFonts w:ascii="Book Antiqua" w:eastAsia="宋体" w:hAnsi="Book Antiqua" w:cs="Times New Roman"/>
                <w:color w:val="000000" w:themeColor="text1"/>
              </w:rPr>
              <w:t>L</w:t>
            </w:r>
          </w:p>
        </w:tc>
      </w:tr>
      <w:tr w:rsidR="003703A6" w:rsidRPr="007B43A9" w14:paraId="3A385284" w14:textId="77777777" w:rsidTr="00A83227">
        <w:tc>
          <w:tcPr>
            <w:tcW w:w="2065" w:type="dxa"/>
            <w:vMerge/>
          </w:tcPr>
          <w:p w14:paraId="1F0EF8B6"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1C6821C8"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61E4A9F4" w14:textId="6216A7B1"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42</w:t>
            </w:r>
            <w:r w:rsidRPr="007B43A9">
              <w:rPr>
                <w:rFonts w:ascii="Book Antiqua" w:eastAsia="宋体" w:hAnsi="Book Antiqua" w:cs="Times New Roman" w:hint="eastAsia"/>
                <w:color w:val="000000" w:themeColor="text1"/>
              </w:rPr>
              <w:t>]</w:t>
            </w:r>
          </w:p>
        </w:tc>
        <w:tc>
          <w:tcPr>
            <w:tcW w:w="2015" w:type="dxa"/>
          </w:tcPr>
          <w:p w14:paraId="1C58ED9A"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C2C12</w:t>
            </w:r>
          </w:p>
        </w:tc>
        <w:tc>
          <w:tcPr>
            <w:tcW w:w="1349" w:type="dxa"/>
          </w:tcPr>
          <w:p w14:paraId="1A9FFF5E" w14:textId="29DB5BD5"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07148B80"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2 or 4 μg/mL</w:t>
            </w:r>
          </w:p>
        </w:tc>
      </w:tr>
      <w:tr w:rsidR="003703A6" w:rsidRPr="007B43A9" w14:paraId="76ABE9C0" w14:textId="77777777" w:rsidTr="00A83227">
        <w:tc>
          <w:tcPr>
            <w:tcW w:w="2065" w:type="dxa"/>
            <w:vMerge/>
          </w:tcPr>
          <w:p w14:paraId="1DC26174"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45216E4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Naringin</w:t>
            </w:r>
          </w:p>
        </w:tc>
        <w:tc>
          <w:tcPr>
            <w:tcW w:w="663" w:type="dxa"/>
          </w:tcPr>
          <w:p w14:paraId="2E8FF95A" w14:textId="29CAB230"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43</w:t>
            </w:r>
            <w:r w:rsidRPr="007B43A9">
              <w:rPr>
                <w:rFonts w:ascii="Book Antiqua" w:eastAsia="宋体" w:hAnsi="Book Antiqua" w:cs="Times New Roman" w:hint="eastAsia"/>
                <w:color w:val="000000" w:themeColor="text1"/>
              </w:rPr>
              <w:t>]</w:t>
            </w:r>
          </w:p>
        </w:tc>
        <w:tc>
          <w:tcPr>
            <w:tcW w:w="2015" w:type="dxa"/>
          </w:tcPr>
          <w:p w14:paraId="645DB295" w14:textId="086E14AC"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Adipose</w:t>
            </w:r>
            <w:r w:rsidR="00EC5318" w:rsidRPr="007B43A9">
              <w:rPr>
                <w:rFonts w:ascii="Book Antiqua" w:eastAsia="Times New Roman" w:hAnsi="Book Antiqua" w:cs="Times New Roman"/>
                <w:color w:val="000000" w:themeColor="text1"/>
                <w:kern w:val="0"/>
              </w:rPr>
              <w:t>-derived stem cells</w:t>
            </w:r>
          </w:p>
        </w:tc>
        <w:tc>
          <w:tcPr>
            <w:tcW w:w="1349" w:type="dxa"/>
          </w:tcPr>
          <w:p w14:paraId="7998E381" w14:textId="509F00F1"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795CC2D9" w14:textId="25AEF102" w:rsidR="00EC5318" w:rsidRPr="007B43A9" w:rsidRDefault="00EC5318" w:rsidP="00B810F3">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0.1 μ</w:t>
            </w:r>
            <w:r w:rsidR="00B810F3" w:rsidRPr="007B43A9">
              <w:rPr>
                <w:rFonts w:ascii="Book Antiqua" w:eastAsia="宋体" w:hAnsi="Book Antiqua" w:cs="Times New Roman" w:hint="eastAsia"/>
                <w:color w:val="000000" w:themeColor="text1"/>
              </w:rPr>
              <w:t>mol/</w:t>
            </w:r>
            <w:r w:rsidR="00B810F3" w:rsidRPr="007B43A9">
              <w:rPr>
                <w:rFonts w:ascii="Book Antiqua" w:eastAsia="宋体" w:hAnsi="Book Antiqua" w:cs="Times New Roman"/>
                <w:color w:val="000000" w:themeColor="text1"/>
              </w:rPr>
              <w:t>L</w:t>
            </w:r>
          </w:p>
        </w:tc>
      </w:tr>
      <w:tr w:rsidR="003703A6" w:rsidRPr="007B43A9" w14:paraId="0B9D76F0" w14:textId="77777777" w:rsidTr="00A83227">
        <w:tc>
          <w:tcPr>
            <w:tcW w:w="2065" w:type="dxa"/>
            <w:vMerge/>
          </w:tcPr>
          <w:p w14:paraId="3C3372BF"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1CC5D6F1"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Curcumin</w:t>
            </w:r>
          </w:p>
        </w:tc>
        <w:tc>
          <w:tcPr>
            <w:tcW w:w="663" w:type="dxa"/>
          </w:tcPr>
          <w:p w14:paraId="6CD38EF3" w14:textId="5CCFA55D"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44</w:t>
            </w:r>
            <w:r w:rsidRPr="007B43A9">
              <w:rPr>
                <w:rFonts w:ascii="Book Antiqua" w:eastAsia="宋体" w:hAnsi="Book Antiqua" w:cs="Times New Roman" w:hint="eastAsia"/>
                <w:color w:val="000000" w:themeColor="text1"/>
              </w:rPr>
              <w:t>]</w:t>
            </w:r>
          </w:p>
        </w:tc>
        <w:tc>
          <w:tcPr>
            <w:tcW w:w="2015" w:type="dxa"/>
          </w:tcPr>
          <w:p w14:paraId="0B1FF159" w14:textId="7C53838C"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Adipose</w:t>
            </w:r>
            <w:r w:rsidR="00EC5318" w:rsidRPr="007B43A9">
              <w:rPr>
                <w:rFonts w:ascii="Book Antiqua" w:eastAsia="Times New Roman" w:hAnsi="Book Antiqua" w:cs="Times New Roman"/>
                <w:color w:val="000000" w:themeColor="text1"/>
                <w:kern w:val="0"/>
              </w:rPr>
              <w:t>-derived stem cells</w:t>
            </w:r>
          </w:p>
        </w:tc>
        <w:tc>
          <w:tcPr>
            <w:tcW w:w="1349" w:type="dxa"/>
          </w:tcPr>
          <w:p w14:paraId="637A9A8D" w14:textId="7240D3A9"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71880E67" w14:textId="54C300B8" w:rsidR="00EC5318" w:rsidRPr="007B43A9" w:rsidRDefault="00EC5318" w:rsidP="00B810F3">
            <w:pPr>
              <w:spacing w:line="360" w:lineRule="auto"/>
              <w:rPr>
                <w:rFonts w:ascii="Book Antiqua" w:eastAsia="宋体" w:hAnsi="Book Antiqua" w:cs="Times New Roman"/>
                <w:color w:val="000000" w:themeColor="text1"/>
              </w:rPr>
            </w:pPr>
            <w:bookmarkStart w:id="106" w:name="OLE_LINK9"/>
            <w:bookmarkStart w:id="107" w:name="OLE_LINK10"/>
            <w:r w:rsidRPr="007B43A9">
              <w:rPr>
                <w:rFonts w:ascii="Book Antiqua" w:eastAsia="宋体" w:hAnsi="Book Antiqua" w:cs="Times New Roman"/>
                <w:color w:val="000000" w:themeColor="text1"/>
              </w:rPr>
              <w:t>5-20 μ</w:t>
            </w:r>
            <w:bookmarkEnd w:id="106"/>
            <w:bookmarkEnd w:id="107"/>
            <w:r w:rsidR="00B810F3" w:rsidRPr="007B43A9">
              <w:rPr>
                <w:rFonts w:ascii="Book Antiqua" w:eastAsia="宋体" w:hAnsi="Book Antiqua" w:cs="Times New Roman" w:hint="eastAsia"/>
                <w:color w:val="000000" w:themeColor="text1"/>
              </w:rPr>
              <w:t>mol/</w:t>
            </w:r>
            <w:r w:rsidR="00B810F3" w:rsidRPr="007B43A9">
              <w:rPr>
                <w:rFonts w:ascii="Book Antiqua" w:eastAsia="宋体" w:hAnsi="Book Antiqua" w:cs="Times New Roman"/>
                <w:color w:val="000000" w:themeColor="text1"/>
              </w:rPr>
              <w:t>L</w:t>
            </w:r>
          </w:p>
        </w:tc>
      </w:tr>
      <w:tr w:rsidR="003703A6" w:rsidRPr="007B43A9" w14:paraId="33AC8FAD" w14:textId="77777777" w:rsidTr="00A83227">
        <w:tc>
          <w:tcPr>
            <w:tcW w:w="2065" w:type="dxa"/>
            <w:vMerge/>
          </w:tcPr>
          <w:p w14:paraId="32E88FDC"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1EE3A70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Limonene</w:t>
            </w:r>
          </w:p>
        </w:tc>
        <w:tc>
          <w:tcPr>
            <w:tcW w:w="663" w:type="dxa"/>
          </w:tcPr>
          <w:p w14:paraId="1E8B11DB" w14:textId="389FEEFB"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45</w:t>
            </w:r>
            <w:r w:rsidRPr="007B43A9">
              <w:rPr>
                <w:rFonts w:ascii="Book Antiqua" w:eastAsia="宋体" w:hAnsi="Book Antiqua" w:cs="Times New Roman" w:hint="eastAsia"/>
                <w:color w:val="000000" w:themeColor="text1"/>
              </w:rPr>
              <w:t>]</w:t>
            </w:r>
          </w:p>
        </w:tc>
        <w:tc>
          <w:tcPr>
            <w:tcW w:w="2015" w:type="dxa"/>
          </w:tcPr>
          <w:p w14:paraId="5838CA63"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C2C12</w:t>
            </w:r>
          </w:p>
        </w:tc>
        <w:tc>
          <w:tcPr>
            <w:tcW w:w="1349" w:type="dxa"/>
          </w:tcPr>
          <w:p w14:paraId="15B90AEA" w14:textId="21D5C1F5"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76E46967" w14:textId="0F2BACAC" w:rsidR="00EC5318" w:rsidRPr="007B43A9" w:rsidRDefault="00EC5318" w:rsidP="00B810F3">
            <w:pPr>
              <w:spacing w:line="360" w:lineRule="auto"/>
              <w:rPr>
                <w:rFonts w:ascii="Book Antiqua" w:eastAsia="宋体" w:hAnsi="Book Antiqua" w:cs="Times New Roman"/>
                <w:color w:val="000000" w:themeColor="text1"/>
              </w:rPr>
            </w:pPr>
            <w:bookmarkStart w:id="108" w:name="OLE_LINK11"/>
            <w:bookmarkStart w:id="109" w:name="OLE_LINK12"/>
            <w:bookmarkStart w:id="110" w:name="OLE_LINK13"/>
            <w:bookmarkStart w:id="111" w:name="OLE_LINK14"/>
            <w:r w:rsidRPr="007B43A9">
              <w:rPr>
                <w:rFonts w:ascii="Book Antiqua" w:eastAsia="宋体" w:hAnsi="Book Antiqua" w:cs="Times New Roman"/>
                <w:color w:val="000000" w:themeColor="text1"/>
              </w:rPr>
              <w:t>2.5-10 μ</w:t>
            </w:r>
            <w:bookmarkEnd w:id="108"/>
            <w:bookmarkEnd w:id="109"/>
            <w:bookmarkEnd w:id="110"/>
            <w:bookmarkEnd w:id="111"/>
            <w:r w:rsidR="00B810F3" w:rsidRPr="007B43A9">
              <w:rPr>
                <w:rFonts w:ascii="Book Antiqua" w:eastAsia="宋体" w:hAnsi="Book Antiqua" w:cs="Times New Roman"/>
                <w:color w:val="000000" w:themeColor="text1"/>
              </w:rPr>
              <w:t>L</w:t>
            </w:r>
          </w:p>
        </w:tc>
      </w:tr>
      <w:tr w:rsidR="003703A6" w:rsidRPr="007B43A9" w14:paraId="407F9AAE" w14:textId="77777777" w:rsidTr="00A83227">
        <w:tc>
          <w:tcPr>
            <w:tcW w:w="2065" w:type="dxa"/>
            <w:vMerge/>
          </w:tcPr>
          <w:p w14:paraId="7E10B20A"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618B33CD"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extract of Piperaceae</w:t>
            </w:r>
          </w:p>
        </w:tc>
        <w:tc>
          <w:tcPr>
            <w:tcW w:w="663" w:type="dxa"/>
          </w:tcPr>
          <w:p w14:paraId="344F1737" w14:textId="14EA4A21"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46</w:t>
            </w:r>
            <w:r w:rsidRPr="007B43A9">
              <w:rPr>
                <w:rFonts w:ascii="Book Antiqua" w:eastAsia="宋体" w:hAnsi="Book Antiqua" w:cs="Times New Roman" w:hint="eastAsia"/>
                <w:color w:val="000000" w:themeColor="text1"/>
              </w:rPr>
              <w:t>]</w:t>
            </w:r>
          </w:p>
        </w:tc>
        <w:tc>
          <w:tcPr>
            <w:tcW w:w="2015" w:type="dxa"/>
          </w:tcPr>
          <w:p w14:paraId="593A675B" w14:textId="015A5671"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Sprague-Dawley </w:t>
            </w:r>
            <w:r w:rsidR="00C21ADF" w:rsidRPr="007B43A9">
              <w:rPr>
                <w:rFonts w:ascii="Book Antiqua" w:eastAsia="宋体" w:hAnsi="Book Antiqua" w:cs="Times New Roman"/>
                <w:color w:val="000000" w:themeColor="text1"/>
              </w:rPr>
              <w:t>r</w:t>
            </w:r>
            <w:r w:rsidRPr="007B43A9">
              <w:rPr>
                <w:rFonts w:ascii="Book Antiqua" w:eastAsia="宋体" w:hAnsi="Book Antiqua" w:cs="Times New Roman"/>
                <w:color w:val="000000" w:themeColor="text1"/>
              </w:rPr>
              <w:t>ats</w:t>
            </w:r>
          </w:p>
        </w:tc>
        <w:tc>
          <w:tcPr>
            <w:tcW w:w="1349" w:type="dxa"/>
          </w:tcPr>
          <w:p w14:paraId="309BE7C0" w14:textId="1FEBE332" w:rsidR="00EC5318" w:rsidRPr="007B43A9" w:rsidRDefault="00CB1E9C"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w:t>
            </w:r>
            <w:r w:rsidR="00C21ADF" w:rsidRPr="007B43A9">
              <w:rPr>
                <w:rFonts w:ascii="Book Antiqua" w:eastAsia="宋体" w:hAnsi="Book Antiqua" w:cs="Times New Roman"/>
                <w:color w:val="000000" w:themeColor="text1"/>
              </w:rPr>
              <w:t>romotion</w:t>
            </w:r>
          </w:p>
        </w:tc>
        <w:tc>
          <w:tcPr>
            <w:tcW w:w="1776" w:type="dxa"/>
          </w:tcPr>
          <w:p w14:paraId="6816747C" w14:textId="3D6E8D2B" w:rsidR="00EC5318" w:rsidRPr="007B43A9" w:rsidRDefault="00EC5318" w:rsidP="005142C8">
            <w:pPr>
              <w:spacing w:line="360" w:lineRule="auto"/>
              <w:rPr>
                <w:rFonts w:ascii="Book Antiqua" w:eastAsia="宋体" w:hAnsi="Book Antiqua" w:cs="Times New Roman"/>
                <w:color w:val="000000" w:themeColor="text1"/>
              </w:rPr>
            </w:pPr>
            <w:bookmarkStart w:id="112" w:name="OLE_LINK196"/>
            <w:bookmarkStart w:id="113" w:name="OLE_LINK197"/>
            <w:r w:rsidRPr="007B43A9">
              <w:rPr>
                <w:rFonts w:ascii="Book Antiqua" w:eastAsia="宋体" w:hAnsi="Book Antiqua" w:cs="Times New Roman"/>
                <w:color w:val="000000" w:themeColor="text1"/>
              </w:rPr>
              <w:t>100 or 200 mg/kg</w:t>
            </w:r>
            <w:bookmarkEnd w:id="112"/>
            <w:bookmarkEnd w:id="113"/>
          </w:p>
        </w:tc>
      </w:tr>
      <w:tr w:rsidR="003703A6" w:rsidRPr="007B43A9" w14:paraId="5786AE9A" w14:textId="77777777" w:rsidTr="00A83227">
        <w:tc>
          <w:tcPr>
            <w:tcW w:w="2065" w:type="dxa"/>
            <w:vMerge/>
          </w:tcPr>
          <w:p w14:paraId="7A5DD2AF"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7C687CBB"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Eugenol</w:t>
            </w:r>
          </w:p>
        </w:tc>
        <w:tc>
          <w:tcPr>
            <w:tcW w:w="663" w:type="dxa"/>
          </w:tcPr>
          <w:p w14:paraId="4F860732" w14:textId="2BEBD743"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47</w:t>
            </w:r>
            <w:r w:rsidRPr="007B43A9">
              <w:rPr>
                <w:rFonts w:ascii="Book Antiqua" w:eastAsia="宋体" w:hAnsi="Book Antiqua" w:cs="Times New Roman" w:hint="eastAsia"/>
                <w:color w:val="000000" w:themeColor="text1"/>
              </w:rPr>
              <w:t>]</w:t>
            </w:r>
          </w:p>
        </w:tc>
        <w:tc>
          <w:tcPr>
            <w:tcW w:w="2015" w:type="dxa"/>
          </w:tcPr>
          <w:p w14:paraId="63CEED57" w14:textId="44E99D66"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Dental </w:t>
            </w:r>
            <w:r w:rsidR="00EC5318" w:rsidRPr="007B43A9">
              <w:rPr>
                <w:rFonts w:ascii="Book Antiqua" w:eastAsia="宋体" w:hAnsi="Book Antiqua" w:cs="Times New Roman"/>
                <w:color w:val="000000" w:themeColor="text1"/>
              </w:rPr>
              <w:t>pulp cells</w:t>
            </w:r>
          </w:p>
        </w:tc>
        <w:tc>
          <w:tcPr>
            <w:tcW w:w="1349" w:type="dxa"/>
          </w:tcPr>
          <w:p w14:paraId="14741D31" w14:textId="3777A857" w:rsidR="00EC5318" w:rsidRPr="007B43A9" w:rsidRDefault="00CB1E9C"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45909A92" w14:textId="27794649"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0.1-1 m</w:t>
            </w:r>
            <w:r w:rsidR="00B810F3" w:rsidRPr="007B43A9">
              <w:rPr>
                <w:rFonts w:ascii="Book Antiqua" w:eastAsia="宋体" w:hAnsi="Book Antiqua" w:cs="Times New Roman"/>
                <w:color w:val="000000" w:themeColor="text1"/>
              </w:rPr>
              <w:t>L</w:t>
            </w:r>
          </w:p>
        </w:tc>
      </w:tr>
      <w:tr w:rsidR="003703A6" w:rsidRPr="007B43A9" w14:paraId="4F3E6B2C" w14:textId="77777777" w:rsidTr="00A83227">
        <w:tc>
          <w:tcPr>
            <w:tcW w:w="2065" w:type="dxa"/>
            <w:vMerge/>
          </w:tcPr>
          <w:p w14:paraId="64E5226F"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4566EA05"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Saikosaponin-A</w:t>
            </w:r>
          </w:p>
        </w:tc>
        <w:tc>
          <w:tcPr>
            <w:tcW w:w="663" w:type="dxa"/>
          </w:tcPr>
          <w:p w14:paraId="182C98A9" w14:textId="5A5462B1"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48</w:t>
            </w:r>
            <w:r w:rsidRPr="007B43A9">
              <w:rPr>
                <w:rFonts w:ascii="Book Antiqua" w:eastAsia="宋体" w:hAnsi="Book Antiqua" w:cs="Times New Roman" w:hint="eastAsia"/>
                <w:color w:val="000000" w:themeColor="text1"/>
              </w:rPr>
              <w:t>]</w:t>
            </w:r>
          </w:p>
        </w:tc>
        <w:tc>
          <w:tcPr>
            <w:tcW w:w="2015" w:type="dxa"/>
          </w:tcPr>
          <w:p w14:paraId="01E952E1" w14:textId="30C22659" w:rsidR="00EC5318" w:rsidRPr="007B43A9" w:rsidRDefault="00EC5318" w:rsidP="005142C8">
            <w:pPr>
              <w:spacing w:line="360" w:lineRule="auto"/>
              <w:rPr>
                <w:rFonts w:ascii="Book Antiqua" w:eastAsia="宋体" w:hAnsi="Book Antiqua" w:cs="Times New Roman"/>
                <w:color w:val="000000" w:themeColor="text1"/>
              </w:rPr>
            </w:pPr>
            <w:bookmarkStart w:id="114" w:name="OLE_LINK27"/>
            <w:bookmarkStart w:id="115" w:name="OLE_LINK28"/>
            <w:r w:rsidRPr="007B43A9">
              <w:rPr>
                <w:rFonts w:ascii="Book Antiqua" w:eastAsia="宋体" w:hAnsi="Book Antiqua" w:cs="Times New Roman"/>
                <w:color w:val="000000" w:themeColor="text1"/>
              </w:rPr>
              <w:t>BMSCs</w:t>
            </w:r>
            <w:bookmarkEnd w:id="114"/>
            <w:bookmarkEnd w:id="115"/>
          </w:p>
        </w:tc>
        <w:tc>
          <w:tcPr>
            <w:tcW w:w="1349" w:type="dxa"/>
          </w:tcPr>
          <w:p w14:paraId="6F1D4027" w14:textId="700A0BB7"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5032FDC6" w14:textId="388D5688"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10-40 μ</w:t>
            </w:r>
            <w:r w:rsidR="00B810F3" w:rsidRPr="007B43A9">
              <w:rPr>
                <w:rFonts w:ascii="Book Antiqua" w:eastAsia="宋体" w:hAnsi="Book Antiqua" w:cs="Times New Roman"/>
                <w:color w:val="000000" w:themeColor="text1"/>
              </w:rPr>
              <w:t>L</w:t>
            </w:r>
          </w:p>
        </w:tc>
      </w:tr>
      <w:tr w:rsidR="003703A6" w:rsidRPr="007B43A9" w14:paraId="7ACDA241" w14:textId="77777777" w:rsidTr="00A83227">
        <w:tc>
          <w:tcPr>
            <w:tcW w:w="2065" w:type="dxa"/>
            <w:vMerge/>
          </w:tcPr>
          <w:p w14:paraId="28A25373"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76681BCB"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Licochalcone A</w:t>
            </w:r>
          </w:p>
        </w:tc>
        <w:tc>
          <w:tcPr>
            <w:tcW w:w="663" w:type="dxa"/>
          </w:tcPr>
          <w:p w14:paraId="12FF43B8" w14:textId="2B6298E7"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49</w:t>
            </w:r>
            <w:r w:rsidRPr="007B43A9">
              <w:rPr>
                <w:rFonts w:ascii="Book Antiqua" w:eastAsia="宋体" w:hAnsi="Book Antiqua" w:cs="Times New Roman" w:hint="eastAsia"/>
                <w:color w:val="000000" w:themeColor="text1"/>
              </w:rPr>
              <w:t>]</w:t>
            </w:r>
          </w:p>
        </w:tc>
        <w:tc>
          <w:tcPr>
            <w:tcW w:w="2015" w:type="dxa"/>
          </w:tcPr>
          <w:p w14:paraId="65D59ED1"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MC3T3-E1</w:t>
            </w:r>
          </w:p>
        </w:tc>
        <w:tc>
          <w:tcPr>
            <w:tcW w:w="1349" w:type="dxa"/>
          </w:tcPr>
          <w:p w14:paraId="4F3AA1E0" w14:textId="5FCFF478" w:rsidR="00EC5318" w:rsidRPr="007B43A9" w:rsidRDefault="00C21ADF" w:rsidP="005142C8">
            <w:pPr>
              <w:spacing w:line="360" w:lineRule="auto"/>
              <w:rPr>
                <w:rFonts w:ascii="Book Antiqua" w:eastAsia="宋体" w:hAnsi="Book Antiqua" w:cs="Times New Roman"/>
                <w:color w:val="000000" w:themeColor="text1"/>
              </w:rPr>
            </w:pPr>
            <w:bookmarkStart w:id="116" w:name="OLE_LINK15"/>
            <w:bookmarkStart w:id="117" w:name="OLE_LINK16"/>
            <w:r w:rsidRPr="007B43A9">
              <w:rPr>
                <w:rFonts w:ascii="Book Antiqua" w:eastAsia="宋体" w:hAnsi="Book Antiqua" w:cs="Times New Roman"/>
                <w:color w:val="000000" w:themeColor="text1"/>
              </w:rPr>
              <w:t>Promotion</w:t>
            </w:r>
            <w:bookmarkEnd w:id="116"/>
            <w:bookmarkEnd w:id="117"/>
          </w:p>
        </w:tc>
        <w:tc>
          <w:tcPr>
            <w:tcW w:w="1776" w:type="dxa"/>
          </w:tcPr>
          <w:p w14:paraId="1760E213" w14:textId="4B0E5DD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2.5-5 μ</w:t>
            </w:r>
            <w:r w:rsidR="00B810F3" w:rsidRPr="007B43A9">
              <w:rPr>
                <w:rFonts w:ascii="Book Antiqua" w:eastAsia="宋体" w:hAnsi="Book Antiqua" w:cs="Times New Roman"/>
                <w:color w:val="000000" w:themeColor="text1"/>
              </w:rPr>
              <w:t>L</w:t>
            </w:r>
          </w:p>
        </w:tc>
      </w:tr>
      <w:tr w:rsidR="003703A6" w:rsidRPr="007B43A9" w14:paraId="4B477EE7" w14:textId="77777777" w:rsidTr="00A83227">
        <w:tc>
          <w:tcPr>
            <w:tcW w:w="2065" w:type="dxa"/>
            <w:vMerge w:val="restart"/>
          </w:tcPr>
          <w:p w14:paraId="3DD69006"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Antifungal drugs</w:t>
            </w:r>
          </w:p>
        </w:tc>
        <w:tc>
          <w:tcPr>
            <w:tcW w:w="2080" w:type="dxa"/>
            <w:vMerge w:val="restart"/>
          </w:tcPr>
          <w:p w14:paraId="6B600C1F"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Trichostatin A</w:t>
            </w:r>
          </w:p>
        </w:tc>
        <w:tc>
          <w:tcPr>
            <w:tcW w:w="663" w:type="dxa"/>
          </w:tcPr>
          <w:p w14:paraId="5EBDE836" w14:textId="45582954"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50</w:t>
            </w:r>
            <w:r w:rsidRPr="007B43A9">
              <w:rPr>
                <w:rFonts w:ascii="Book Antiqua" w:eastAsia="宋体" w:hAnsi="Book Antiqua" w:cs="Times New Roman" w:hint="eastAsia"/>
                <w:color w:val="000000" w:themeColor="text1"/>
              </w:rPr>
              <w:t>]</w:t>
            </w:r>
          </w:p>
        </w:tc>
        <w:tc>
          <w:tcPr>
            <w:tcW w:w="2015" w:type="dxa"/>
          </w:tcPr>
          <w:p w14:paraId="36824FA3" w14:textId="42304F86" w:rsidR="00EC5318" w:rsidRPr="007B43A9" w:rsidRDefault="00C21ADF" w:rsidP="005142C8">
            <w:pPr>
              <w:spacing w:line="360" w:lineRule="auto"/>
              <w:rPr>
                <w:rFonts w:ascii="Book Antiqua" w:eastAsia="宋体" w:hAnsi="Book Antiqua" w:cs="Times New Roman"/>
                <w:color w:val="000000" w:themeColor="text1"/>
              </w:rPr>
            </w:pPr>
            <w:bookmarkStart w:id="118" w:name="OLE_LINK17"/>
            <w:bookmarkStart w:id="119" w:name="OLE_LINK18"/>
            <w:r w:rsidRPr="007B43A9">
              <w:rPr>
                <w:rFonts w:ascii="Book Antiqua" w:eastAsia="Times New Roman" w:hAnsi="Book Antiqua" w:cs="Times New Roman"/>
                <w:color w:val="000000" w:themeColor="text1"/>
                <w:kern w:val="0"/>
              </w:rPr>
              <w:t>Adipose</w:t>
            </w:r>
            <w:r w:rsidR="00EC5318" w:rsidRPr="007B43A9">
              <w:rPr>
                <w:rFonts w:ascii="Book Antiqua" w:eastAsia="Times New Roman" w:hAnsi="Book Antiqua" w:cs="Times New Roman"/>
                <w:color w:val="000000" w:themeColor="text1"/>
                <w:kern w:val="0"/>
              </w:rPr>
              <w:t>-derived stem cells</w:t>
            </w:r>
            <w:bookmarkEnd w:id="118"/>
            <w:bookmarkEnd w:id="119"/>
          </w:p>
        </w:tc>
        <w:tc>
          <w:tcPr>
            <w:tcW w:w="1349" w:type="dxa"/>
          </w:tcPr>
          <w:p w14:paraId="4035E8E5" w14:textId="4DB5E8CF"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6F347A5F" w14:textId="04B39EEA"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75</w:t>
            </w:r>
            <w:r w:rsidR="00B810F3" w:rsidRPr="007B43A9">
              <w:rPr>
                <w:rFonts w:ascii="Book Antiqua" w:hAnsi="Book Antiqua" w:cs="Times New Roman" w:hint="eastAsia"/>
                <w:color w:val="000000" w:themeColor="text1"/>
                <w:kern w:val="0"/>
              </w:rPr>
              <w:t xml:space="preserve"> </w:t>
            </w:r>
            <w:r w:rsidRPr="007B43A9">
              <w:rPr>
                <w:rFonts w:ascii="Book Antiqua" w:eastAsia="Times New Roman" w:hAnsi="Book Antiqua" w:cs="Times New Roman"/>
                <w:color w:val="000000" w:themeColor="text1"/>
                <w:kern w:val="0"/>
              </w:rPr>
              <w:t>n</w:t>
            </w:r>
            <w:r w:rsidR="00B810F3" w:rsidRPr="007B43A9">
              <w:rPr>
                <w:rFonts w:ascii="Book Antiqua" w:eastAsia="宋体" w:hAnsi="Book Antiqua" w:cs="Times New Roman"/>
                <w:color w:val="000000" w:themeColor="text1"/>
              </w:rPr>
              <w:t>L</w:t>
            </w:r>
          </w:p>
        </w:tc>
      </w:tr>
      <w:tr w:rsidR="003703A6" w:rsidRPr="007B43A9" w14:paraId="6BBA24D8" w14:textId="77777777" w:rsidTr="00A83227">
        <w:tc>
          <w:tcPr>
            <w:tcW w:w="2065" w:type="dxa"/>
            <w:vMerge/>
          </w:tcPr>
          <w:p w14:paraId="10DC4F71"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6EE06EA0"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3300E264" w14:textId="578CB72E"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51</w:t>
            </w:r>
            <w:r w:rsidRPr="007B43A9">
              <w:rPr>
                <w:rFonts w:ascii="Book Antiqua" w:eastAsia="宋体" w:hAnsi="Book Antiqua" w:cs="Times New Roman" w:hint="eastAsia"/>
                <w:color w:val="000000" w:themeColor="text1"/>
              </w:rPr>
              <w:t>]</w:t>
            </w:r>
          </w:p>
        </w:tc>
        <w:tc>
          <w:tcPr>
            <w:tcW w:w="2015" w:type="dxa"/>
          </w:tcPr>
          <w:p w14:paraId="43F9F051" w14:textId="67078EB0"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 xml:space="preserve">Periodontal </w:t>
            </w:r>
            <w:r w:rsidR="00EC5318" w:rsidRPr="007B43A9">
              <w:rPr>
                <w:rFonts w:ascii="Book Antiqua" w:eastAsia="Times New Roman" w:hAnsi="Book Antiqua" w:cs="Times New Roman"/>
                <w:color w:val="000000" w:themeColor="text1"/>
                <w:kern w:val="0"/>
              </w:rPr>
              <w:t>ligament cells</w:t>
            </w:r>
          </w:p>
        </w:tc>
        <w:tc>
          <w:tcPr>
            <w:tcW w:w="1349" w:type="dxa"/>
          </w:tcPr>
          <w:p w14:paraId="66853308" w14:textId="027CEB15"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1F03B16B" w14:textId="40CD1DD4"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100-400 n</w:t>
            </w:r>
            <w:r w:rsidR="00B810F3" w:rsidRPr="007B43A9">
              <w:rPr>
                <w:rFonts w:ascii="Book Antiqua" w:eastAsia="宋体" w:hAnsi="Book Antiqua" w:cs="Times New Roman"/>
                <w:color w:val="000000" w:themeColor="text1"/>
              </w:rPr>
              <w:t>L</w:t>
            </w:r>
          </w:p>
        </w:tc>
      </w:tr>
      <w:tr w:rsidR="003703A6" w:rsidRPr="007B43A9" w14:paraId="6A749277" w14:textId="77777777" w:rsidTr="00A83227">
        <w:tc>
          <w:tcPr>
            <w:tcW w:w="2065" w:type="dxa"/>
            <w:vMerge/>
          </w:tcPr>
          <w:p w14:paraId="5F245D8A"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vMerge/>
          </w:tcPr>
          <w:p w14:paraId="112566B4"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663" w:type="dxa"/>
          </w:tcPr>
          <w:p w14:paraId="62E1CC9F" w14:textId="0955052F"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52</w:t>
            </w:r>
            <w:r w:rsidRPr="007B43A9">
              <w:rPr>
                <w:rFonts w:ascii="Book Antiqua" w:eastAsia="宋体" w:hAnsi="Book Antiqua" w:cs="Times New Roman" w:hint="eastAsia"/>
                <w:color w:val="000000" w:themeColor="text1"/>
              </w:rPr>
              <w:t>]</w:t>
            </w:r>
          </w:p>
        </w:tc>
        <w:tc>
          <w:tcPr>
            <w:tcW w:w="2015" w:type="dxa"/>
          </w:tcPr>
          <w:p w14:paraId="0B73E9AC" w14:textId="3A3F61F1"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Adipose</w:t>
            </w:r>
            <w:r w:rsidR="00EC5318" w:rsidRPr="007B43A9">
              <w:rPr>
                <w:rFonts w:ascii="Book Antiqua" w:eastAsia="Times New Roman" w:hAnsi="Book Antiqua" w:cs="Times New Roman"/>
                <w:color w:val="000000" w:themeColor="text1"/>
                <w:kern w:val="0"/>
              </w:rPr>
              <w:t>-derived stem cells</w:t>
            </w:r>
          </w:p>
        </w:tc>
        <w:tc>
          <w:tcPr>
            <w:tcW w:w="1349" w:type="dxa"/>
          </w:tcPr>
          <w:p w14:paraId="78D83343" w14:textId="6A17446D"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193391FF" w14:textId="0AC4DFD3"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1 μ</w:t>
            </w:r>
            <w:r w:rsidR="00B810F3" w:rsidRPr="007B43A9">
              <w:rPr>
                <w:rFonts w:ascii="Book Antiqua" w:eastAsia="宋体" w:hAnsi="Book Antiqua" w:cs="Times New Roman"/>
                <w:color w:val="000000" w:themeColor="text1"/>
              </w:rPr>
              <w:t>L</w:t>
            </w:r>
          </w:p>
        </w:tc>
      </w:tr>
      <w:tr w:rsidR="003703A6" w:rsidRPr="007B43A9" w14:paraId="15D6B00F" w14:textId="77777777" w:rsidTr="00A83227">
        <w:tc>
          <w:tcPr>
            <w:tcW w:w="2065" w:type="dxa"/>
            <w:vMerge/>
          </w:tcPr>
          <w:p w14:paraId="1523CD3A"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1984F66D"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Voriconazole</w:t>
            </w:r>
          </w:p>
        </w:tc>
        <w:tc>
          <w:tcPr>
            <w:tcW w:w="663" w:type="dxa"/>
          </w:tcPr>
          <w:p w14:paraId="1CEE6A99" w14:textId="316A179D"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53</w:t>
            </w:r>
            <w:r w:rsidRPr="007B43A9">
              <w:rPr>
                <w:rFonts w:ascii="Book Antiqua" w:eastAsia="宋体" w:hAnsi="Book Antiqua" w:cs="Times New Roman" w:hint="eastAsia"/>
                <w:color w:val="000000" w:themeColor="text1"/>
              </w:rPr>
              <w:t>]</w:t>
            </w:r>
          </w:p>
        </w:tc>
        <w:tc>
          <w:tcPr>
            <w:tcW w:w="2015" w:type="dxa"/>
          </w:tcPr>
          <w:p w14:paraId="017C2F80"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1436F2A8" w14:textId="539AB43F"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1B07D081" w14:textId="74722379"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15 or 200 μg/m</w:t>
            </w:r>
            <w:r w:rsidR="00B810F3" w:rsidRPr="007B43A9">
              <w:rPr>
                <w:rFonts w:ascii="Book Antiqua" w:eastAsia="Times New Roman" w:hAnsi="Book Antiqua" w:cs="Times New Roman"/>
                <w:color w:val="000000" w:themeColor="text1"/>
                <w:kern w:val="0"/>
              </w:rPr>
              <w:t>L</w:t>
            </w:r>
          </w:p>
        </w:tc>
      </w:tr>
      <w:tr w:rsidR="003703A6" w:rsidRPr="007B43A9" w14:paraId="019E6406" w14:textId="77777777" w:rsidTr="00A83227">
        <w:tc>
          <w:tcPr>
            <w:tcW w:w="2065" w:type="dxa"/>
            <w:vMerge/>
          </w:tcPr>
          <w:p w14:paraId="682CDA58"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080" w:type="dxa"/>
          </w:tcPr>
          <w:p w14:paraId="1BC14E9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Fluconazole</w:t>
            </w:r>
          </w:p>
        </w:tc>
        <w:tc>
          <w:tcPr>
            <w:tcW w:w="663" w:type="dxa"/>
          </w:tcPr>
          <w:p w14:paraId="61F05570" w14:textId="243A4594" w:rsidR="00EC5318" w:rsidRPr="007B43A9" w:rsidRDefault="00A83227"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53</w:t>
            </w:r>
            <w:r w:rsidRPr="007B43A9">
              <w:rPr>
                <w:rFonts w:ascii="Book Antiqua" w:eastAsia="宋体" w:hAnsi="Book Antiqua" w:cs="Times New Roman" w:hint="eastAsia"/>
                <w:color w:val="000000" w:themeColor="text1"/>
              </w:rPr>
              <w:t>]</w:t>
            </w:r>
          </w:p>
        </w:tc>
        <w:tc>
          <w:tcPr>
            <w:tcW w:w="2015" w:type="dxa"/>
          </w:tcPr>
          <w:p w14:paraId="5C0A8313"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Osteoblasts</w:t>
            </w:r>
          </w:p>
        </w:tc>
        <w:tc>
          <w:tcPr>
            <w:tcW w:w="1349" w:type="dxa"/>
          </w:tcPr>
          <w:p w14:paraId="1A53647E" w14:textId="679954EA" w:rsidR="00EC5318" w:rsidRPr="007B43A9" w:rsidRDefault="00C21ADF"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0C430188" w14:textId="3A3D7F4D"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15 or 200 μg/m</w:t>
            </w:r>
            <w:r w:rsidR="00B810F3" w:rsidRPr="007B43A9">
              <w:rPr>
                <w:rFonts w:ascii="Book Antiqua" w:eastAsia="Times New Roman" w:hAnsi="Book Antiqua" w:cs="Times New Roman"/>
                <w:color w:val="000000" w:themeColor="text1"/>
                <w:kern w:val="0"/>
              </w:rPr>
              <w:t>L</w:t>
            </w:r>
          </w:p>
        </w:tc>
      </w:tr>
    </w:tbl>
    <w:p w14:paraId="5E871DF6" w14:textId="77777777" w:rsidR="00056DB1" w:rsidRPr="007B43A9" w:rsidRDefault="00056DB1" w:rsidP="00056DB1">
      <w:pPr>
        <w:spacing w:line="360" w:lineRule="auto"/>
        <w:rPr>
          <w:rFonts w:ascii="Book Antiqua" w:eastAsia="Times New Roman" w:hAnsi="Book Antiqua" w:cs="Times New Roman"/>
          <w:b/>
          <w:color w:val="000000" w:themeColor="text1"/>
          <w:kern w:val="0"/>
        </w:rPr>
      </w:pPr>
    </w:p>
    <w:p w14:paraId="7D2570E0" w14:textId="77777777" w:rsidR="00056DB1" w:rsidRPr="007B43A9" w:rsidRDefault="00056DB1">
      <w:pPr>
        <w:widowControl/>
        <w:jc w:val="left"/>
        <w:rPr>
          <w:rFonts w:ascii="Book Antiqua" w:eastAsia="Times New Roman" w:hAnsi="Book Antiqua" w:cs="Times New Roman"/>
          <w:b/>
          <w:color w:val="000000" w:themeColor="text1"/>
          <w:kern w:val="0"/>
        </w:rPr>
      </w:pPr>
      <w:r w:rsidRPr="007B43A9">
        <w:rPr>
          <w:rFonts w:ascii="Book Antiqua" w:eastAsia="Times New Roman" w:hAnsi="Book Antiqua" w:cs="Times New Roman"/>
          <w:b/>
          <w:color w:val="000000" w:themeColor="text1"/>
          <w:kern w:val="0"/>
        </w:rPr>
        <w:br w:type="page"/>
      </w:r>
    </w:p>
    <w:p w14:paraId="6CD479DB" w14:textId="0481EDC5" w:rsidR="00056DB1" w:rsidRPr="007B43A9" w:rsidRDefault="00056DB1" w:rsidP="00056DB1">
      <w:pPr>
        <w:spacing w:line="360" w:lineRule="auto"/>
        <w:rPr>
          <w:rFonts w:ascii="Book Antiqua" w:hAnsi="Book Antiqua"/>
          <w:b/>
          <w:color w:val="000000" w:themeColor="text1"/>
        </w:rPr>
      </w:pPr>
      <w:r w:rsidRPr="007B43A9">
        <w:rPr>
          <w:rFonts w:ascii="Book Antiqua" w:eastAsia="Times New Roman" w:hAnsi="Book Antiqua" w:cs="Times New Roman"/>
          <w:b/>
          <w:color w:val="000000" w:themeColor="text1"/>
          <w:kern w:val="0"/>
        </w:rPr>
        <w:t xml:space="preserve">Table 2 Effects of various antimicrobial agents on </w:t>
      </w:r>
      <w:r w:rsidR="00B8017F" w:rsidRPr="007B43A9">
        <w:rPr>
          <w:rFonts w:ascii="Book Antiqua" w:eastAsia="Times New Roman" w:hAnsi="Book Antiqua" w:cs="Times New Roman"/>
          <w:b/>
          <w:color w:val="000000" w:themeColor="text1"/>
          <w:kern w:val="0"/>
        </w:rPr>
        <w:t xml:space="preserve">chondrogenic </w:t>
      </w:r>
      <w:r w:rsidRPr="007B43A9">
        <w:rPr>
          <w:rFonts w:ascii="Book Antiqua" w:eastAsia="Times New Roman" w:hAnsi="Book Antiqua" w:cs="Times New Roman"/>
          <w:b/>
          <w:color w:val="000000" w:themeColor="text1"/>
          <w:kern w:val="0"/>
        </w:rPr>
        <w:t>differentiation</w:t>
      </w:r>
    </w:p>
    <w:tbl>
      <w:tblPr>
        <w:tblStyle w:val="a9"/>
        <w:tblpPr w:leftFromText="180" w:rightFromText="180" w:vertAnchor="text" w:horzAnchor="margin" w:tblpY="593"/>
        <w:tblW w:w="8989" w:type="dxa"/>
        <w:tblLook w:val="04A0" w:firstRow="1" w:lastRow="0" w:firstColumn="1" w:lastColumn="0" w:noHBand="0" w:noVBand="1"/>
      </w:tblPr>
      <w:tblGrid>
        <w:gridCol w:w="1381"/>
        <w:gridCol w:w="1890"/>
        <w:gridCol w:w="1210"/>
        <w:gridCol w:w="1383"/>
        <w:gridCol w:w="1349"/>
        <w:gridCol w:w="1776"/>
      </w:tblGrid>
      <w:tr w:rsidR="003703A6" w:rsidRPr="007B43A9" w14:paraId="3082C8A7" w14:textId="77777777" w:rsidTr="00056DB1">
        <w:tc>
          <w:tcPr>
            <w:tcW w:w="3271" w:type="dxa"/>
            <w:gridSpan w:val="2"/>
          </w:tcPr>
          <w:p w14:paraId="6A6CA831"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b/>
                <w:color w:val="000000" w:themeColor="text1"/>
              </w:rPr>
              <w:t>Agent</w:t>
            </w:r>
          </w:p>
        </w:tc>
        <w:tc>
          <w:tcPr>
            <w:tcW w:w="1310" w:type="dxa"/>
          </w:tcPr>
          <w:p w14:paraId="657D5091" w14:textId="46AEAD5E"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b/>
                <w:color w:val="000000" w:themeColor="text1"/>
              </w:rPr>
              <w:t>Ref</w:t>
            </w:r>
            <w:r w:rsidRPr="007B43A9">
              <w:rPr>
                <w:rFonts w:ascii="Book Antiqua" w:eastAsia="宋体" w:hAnsi="Book Antiqua" w:cs="Times New Roman" w:hint="eastAsia"/>
                <w:b/>
                <w:color w:val="000000" w:themeColor="text1"/>
              </w:rPr>
              <w:t>.</w:t>
            </w:r>
          </w:p>
        </w:tc>
        <w:tc>
          <w:tcPr>
            <w:tcW w:w="1351" w:type="dxa"/>
          </w:tcPr>
          <w:p w14:paraId="1388B2AE"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b/>
                <w:color w:val="000000" w:themeColor="text1"/>
              </w:rPr>
              <w:t>Cell</w:t>
            </w:r>
          </w:p>
        </w:tc>
        <w:tc>
          <w:tcPr>
            <w:tcW w:w="1348" w:type="dxa"/>
          </w:tcPr>
          <w:p w14:paraId="7E3B752E"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b/>
                <w:color w:val="000000" w:themeColor="text1"/>
              </w:rPr>
              <w:t>Effect</w:t>
            </w:r>
          </w:p>
        </w:tc>
        <w:tc>
          <w:tcPr>
            <w:tcW w:w="1709" w:type="dxa"/>
          </w:tcPr>
          <w:p w14:paraId="4A0B59D9" w14:textId="7C59F7CF"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b/>
                <w:color w:val="000000" w:themeColor="text1"/>
              </w:rPr>
              <w:t>Concentration</w:t>
            </w:r>
          </w:p>
        </w:tc>
      </w:tr>
      <w:tr w:rsidR="003703A6" w:rsidRPr="007B43A9" w14:paraId="2545E0BA" w14:textId="77777777" w:rsidTr="00056DB1">
        <w:tc>
          <w:tcPr>
            <w:tcW w:w="1381" w:type="dxa"/>
            <w:vMerge w:val="restart"/>
          </w:tcPr>
          <w:p w14:paraId="24587AF2"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Antibiotics</w:t>
            </w:r>
          </w:p>
        </w:tc>
        <w:tc>
          <w:tcPr>
            <w:tcW w:w="1890" w:type="dxa"/>
          </w:tcPr>
          <w:p w14:paraId="71716C4E"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Doxycycline</w:t>
            </w:r>
          </w:p>
        </w:tc>
        <w:tc>
          <w:tcPr>
            <w:tcW w:w="1310" w:type="dxa"/>
          </w:tcPr>
          <w:p w14:paraId="2754D6BC" w14:textId="0BA29EB5"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57</w:t>
            </w:r>
            <w:r w:rsidRPr="007B43A9">
              <w:rPr>
                <w:rFonts w:ascii="Book Antiqua" w:eastAsia="宋体" w:hAnsi="Book Antiqua" w:cs="Times New Roman" w:hint="eastAsia"/>
                <w:color w:val="000000" w:themeColor="text1"/>
              </w:rPr>
              <w:t>]</w:t>
            </w:r>
          </w:p>
        </w:tc>
        <w:tc>
          <w:tcPr>
            <w:tcW w:w="1351" w:type="dxa"/>
          </w:tcPr>
          <w:p w14:paraId="7CBEC16F"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color w:val="000000" w:themeColor="text1"/>
              </w:rPr>
              <w:t>MSCs</w:t>
            </w:r>
          </w:p>
        </w:tc>
        <w:tc>
          <w:tcPr>
            <w:tcW w:w="1348" w:type="dxa"/>
          </w:tcPr>
          <w:p w14:paraId="3D0FC90B" w14:textId="57CF99AB"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color w:val="000000" w:themeColor="text1"/>
              </w:rPr>
              <w:t>Promotion</w:t>
            </w:r>
          </w:p>
        </w:tc>
        <w:tc>
          <w:tcPr>
            <w:tcW w:w="1709" w:type="dxa"/>
          </w:tcPr>
          <w:p w14:paraId="21A07F71" w14:textId="5B0F52FE"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2 μg/mL</w:t>
            </w:r>
          </w:p>
        </w:tc>
      </w:tr>
      <w:tr w:rsidR="003703A6" w:rsidRPr="007B43A9" w14:paraId="45A48DC5" w14:textId="77777777" w:rsidTr="00056DB1">
        <w:tc>
          <w:tcPr>
            <w:tcW w:w="1381" w:type="dxa"/>
            <w:vMerge/>
          </w:tcPr>
          <w:p w14:paraId="04CB0EC6" w14:textId="77777777" w:rsidR="00056DB1" w:rsidRPr="007B43A9" w:rsidRDefault="00056DB1" w:rsidP="00056DB1">
            <w:pPr>
              <w:spacing w:line="360" w:lineRule="auto"/>
              <w:rPr>
                <w:rFonts w:ascii="Book Antiqua" w:hAnsi="Book Antiqua"/>
                <w:color w:val="000000" w:themeColor="text1"/>
              </w:rPr>
            </w:pPr>
          </w:p>
        </w:tc>
        <w:tc>
          <w:tcPr>
            <w:tcW w:w="1890" w:type="dxa"/>
          </w:tcPr>
          <w:p w14:paraId="7D02752D"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Oxytetracycline</w:t>
            </w:r>
          </w:p>
        </w:tc>
        <w:tc>
          <w:tcPr>
            <w:tcW w:w="1310" w:type="dxa"/>
          </w:tcPr>
          <w:p w14:paraId="625648D7" w14:textId="739E1056"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58</w:t>
            </w:r>
            <w:r w:rsidRPr="007B43A9">
              <w:rPr>
                <w:rFonts w:ascii="Book Antiqua" w:eastAsia="宋体" w:hAnsi="Book Antiqua" w:cs="Times New Roman" w:hint="eastAsia"/>
                <w:color w:val="000000" w:themeColor="text1"/>
              </w:rPr>
              <w:t>]</w:t>
            </w:r>
          </w:p>
        </w:tc>
        <w:tc>
          <w:tcPr>
            <w:tcW w:w="1351" w:type="dxa"/>
          </w:tcPr>
          <w:p w14:paraId="233545EF"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ATDC5</w:t>
            </w:r>
          </w:p>
        </w:tc>
        <w:tc>
          <w:tcPr>
            <w:tcW w:w="1348" w:type="dxa"/>
          </w:tcPr>
          <w:p w14:paraId="4DC8B5E5" w14:textId="1C352371"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color w:val="000000" w:themeColor="text1"/>
              </w:rPr>
              <w:t>Promotion</w:t>
            </w:r>
          </w:p>
        </w:tc>
        <w:tc>
          <w:tcPr>
            <w:tcW w:w="1709" w:type="dxa"/>
          </w:tcPr>
          <w:p w14:paraId="27F6E464" w14:textId="09789BB8"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color w:val="000000" w:themeColor="text1"/>
              </w:rPr>
              <w:t>0.01-10 μ</w:t>
            </w:r>
            <w:r w:rsidRPr="007B43A9">
              <w:rPr>
                <w:rFonts w:ascii="Book Antiqua" w:eastAsia="宋体" w:hAnsi="Book Antiqua" w:cs="Times New Roman" w:hint="eastAsia"/>
                <w:color w:val="000000" w:themeColor="text1"/>
              </w:rPr>
              <w:t>mol/L</w:t>
            </w:r>
          </w:p>
        </w:tc>
      </w:tr>
      <w:tr w:rsidR="003703A6" w:rsidRPr="007B43A9" w14:paraId="39406614" w14:textId="77777777" w:rsidTr="00056DB1">
        <w:tc>
          <w:tcPr>
            <w:tcW w:w="1381" w:type="dxa"/>
            <w:vMerge/>
          </w:tcPr>
          <w:p w14:paraId="54DF964E" w14:textId="77777777" w:rsidR="00056DB1" w:rsidRPr="007B43A9" w:rsidRDefault="00056DB1" w:rsidP="00056DB1">
            <w:pPr>
              <w:spacing w:line="360" w:lineRule="auto"/>
              <w:rPr>
                <w:rFonts w:ascii="Book Antiqua" w:hAnsi="Book Antiqua"/>
                <w:color w:val="000000" w:themeColor="text1"/>
              </w:rPr>
            </w:pPr>
          </w:p>
        </w:tc>
        <w:tc>
          <w:tcPr>
            <w:tcW w:w="1890" w:type="dxa"/>
          </w:tcPr>
          <w:p w14:paraId="20962314"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PMA</w:t>
            </w:r>
          </w:p>
        </w:tc>
        <w:tc>
          <w:tcPr>
            <w:tcW w:w="1310" w:type="dxa"/>
          </w:tcPr>
          <w:p w14:paraId="3ACC6998" w14:textId="34EB251C"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61</w:t>
            </w:r>
            <w:r w:rsidRPr="007B43A9">
              <w:rPr>
                <w:rFonts w:ascii="Book Antiqua" w:eastAsia="宋体" w:hAnsi="Book Antiqua" w:cs="Times New Roman" w:hint="eastAsia"/>
                <w:color w:val="000000" w:themeColor="text1"/>
              </w:rPr>
              <w:t>]</w:t>
            </w:r>
          </w:p>
        </w:tc>
        <w:tc>
          <w:tcPr>
            <w:tcW w:w="1351" w:type="dxa"/>
          </w:tcPr>
          <w:p w14:paraId="4EFBAFF4" w14:textId="078B6215" w:rsidR="00056DB1" w:rsidRPr="007B43A9" w:rsidRDefault="00CB1E9C" w:rsidP="00056DB1">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 xml:space="preserve">Embryonic </w:t>
            </w:r>
            <w:r w:rsidR="00056DB1" w:rsidRPr="007B43A9">
              <w:rPr>
                <w:rFonts w:ascii="Book Antiqua" w:eastAsia="Times New Roman" w:hAnsi="Book Antiqua" w:cs="Times New Roman"/>
                <w:color w:val="000000" w:themeColor="text1"/>
                <w:kern w:val="0"/>
              </w:rPr>
              <w:t>stem cells</w:t>
            </w:r>
          </w:p>
        </w:tc>
        <w:tc>
          <w:tcPr>
            <w:tcW w:w="1348" w:type="dxa"/>
          </w:tcPr>
          <w:p w14:paraId="289A0546" w14:textId="1BCA1D74"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color w:val="000000" w:themeColor="text1"/>
              </w:rPr>
              <w:t>Inhibition</w:t>
            </w:r>
          </w:p>
        </w:tc>
        <w:tc>
          <w:tcPr>
            <w:tcW w:w="1709" w:type="dxa"/>
          </w:tcPr>
          <w:p w14:paraId="37C91BE8" w14:textId="46BCBD08"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0.1 μ</w:t>
            </w:r>
            <w:r w:rsidRPr="007B43A9">
              <w:rPr>
                <w:rFonts w:ascii="Book Antiqua" w:eastAsia="宋体" w:hAnsi="Book Antiqua" w:cs="Times New Roman" w:hint="eastAsia"/>
                <w:color w:val="000000" w:themeColor="text1"/>
              </w:rPr>
              <w:t>mol/L</w:t>
            </w:r>
          </w:p>
        </w:tc>
      </w:tr>
      <w:tr w:rsidR="003703A6" w:rsidRPr="007B43A9" w14:paraId="47D4BE33" w14:textId="77777777" w:rsidTr="00056DB1">
        <w:tc>
          <w:tcPr>
            <w:tcW w:w="1381" w:type="dxa"/>
          </w:tcPr>
          <w:p w14:paraId="7698DC16"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Natural peptides</w:t>
            </w:r>
          </w:p>
        </w:tc>
        <w:tc>
          <w:tcPr>
            <w:tcW w:w="1890" w:type="dxa"/>
          </w:tcPr>
          <w:p w14:paraId="61403B7D"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Lactoferrin</w:t>
            </w:r>
          </w:p>
        </w:tc>
        <w:tc>
          <w:tcPr>
            <w:tcW w:w="1310" w:type="dxa"/>
          </w:tcPr>
          <w:p w14:paraId="78372238" w14:textId="37F524E9"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60</w:t>
            </w:r>
            <w:r w:rsidRPr="007B43A9">
              <w:rPr>
                <w:rFonts w:ascii="Book Antiqua" w:eastAsia="宋体" w:hAnsi="Book Antiqua" w:cs="Times New Roman" w:hint="eastAsia"/>
                <w:color w:val="000000" w:themeColor="text1"/>
              </w:rPr>
              <w:t>]</w:t>
            </w:r>
          </w:p>
        </w:tc>
        <w:tc>
          <w:tcPr>
            <w:tcW w:w="1351" w:type="dxa"/>
          </w:tcPr>
          <w:p w14:paraId="7628A930"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ATDC5</w:t>
            </w:r>
          </w:p>
        </w:tc>
        <w:tc>
          <w:tcPr>
            <w:tcW w:w="1348" w:type="dxa"/>
          </w:tcPr>
          <w:p w14:paraId="10EF978B" w14:textId="6845C86D"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color w:val="000000" w:themeColor="text1"/>
              </w:rPr>
              <w:t>Promotion</w:t>
            </w:r>
          </w:p>
        </w:tc>
        <w:tc>
          <w:tcPr>
            <w:tcW w:w="1709" w:type="dxa"/>
          </w:tcPr>
          <w:p w14:paraId="529561C6" w14:textId="68DC5C88"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1 μ</w:t>
            </w:r>
            <w:r w:rsidRPr="007B43A9">
              <w:rPr>
                <w:rFonts w:ascii="Book Antiqua" w:eastAsia="宋体" w:hAnsi="Book Antiqua" w:cs="Times New Roman" w:hint="eastAsia"/>
                <w:color w:val="000000" w:themeColor="text1"/>
              </w:rPr>
              <w:t>mol/L</w:t>
            </w:r>
          </w:p>
        </w:tc>
      </w:tr>
      <w:tr w:rsidR="003703A6" w:rsidRPr="007B43A9" w14:paraId="4FD271E8" w14:textId="77777777" w:rsidTr="00056DB1">
        <w:tc>
          <w:tcPr>
            <w:tcW w:w="1381" w:type="dxa"/>
          </w:tcPr>
          <w:p w14:paraId="47917921"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color w:val="000000" w:themeColor="text1"/>
              </w:rPr>
              <w:t>Chinese traditional drug extracts</w:t>
            </w:r>
          </w:p>
        </w:tc>
        <w:tc>
          <w:tcPr>
            <w:tcW w:w="1890" w:type="dxa"/>
          </w:tcPr>
          <w:p w14:paraId="32E0AF38"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Cordycepin</w:t>
            </w:r>
          </w:p>
        </w:tc>
        <w:tc>
          <w:tcPr>
            <w:tcW w:w="1310" w:type="dxa"/>
          </w:tcPr>
          <w:p w14:paraId="70AED514" w14:textId="5ADDF05D"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59</w:t>
            </w:r>
            <w:r w:rsidRPr="007B43A9">
              <w:rPr>
                <w:rFonts w:ascii="Book Antiqua" w:eastAsia="宋体" w:hAnsi="Book Antiqua" w:cs="Times New Roman" w:hint="eastAsia"/>
                <w:color w:val="000000" w:themeColor="text1"/>
              </w:rPr>
              <w:t>]</w:t>
            </w:r>
          </w:p>
        </w:tc>
        <w:tc>
          <w:tcPr>
            <w:tcW w:w="1351" w:type="dxa"/>
          </w:tcPr>
          <w:p w14:paraId="7E314305"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color w:val="000000" w:themeColor="text1"/>
              </w:rPr>
              <w:t>MSCs</w:t>
            </w:r>
          </w:p>
        </w:tc>
        <w:tc>
          <w:tcPr>
            <w:tcW w:w="1348" w:type="dxa"/>
          </w:tcPr>
          <w:p w14:paraId="42E5003E" w14:textId="6A455A41"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color w:val="000000" w:themeColor="text1"/>
              </w:rPr>
              <w:t>Promotion</w:t>
            </w:r>
          </w:p>
        </w:tc>
        <w:tc>
          <w:tcPr>
            <w:tcW w:w="1709" w:type="dxa"/>
          </w:tcPr>
          <w:p w14:paraId="664713E0" w14:textId="11D19FE9"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1 μg/mL</w:t>
            </w:r>
          </w:p>
        </w:tc>
      </w:tr>
      <w:tr w:rsidR="003703A6" w:rsidRPr="007B43A9" w14:paraId="1B83732D" w14:textId="77777777" w:rsidTr="00056DB1">
        <w:tc>
          <w:tcPr>
            <w:tcW w:w="1381" w:type="dxa"/>
          </w:tcPr>
          <w:p w14:paraId="5768C2F2"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Antifungal drugs</w:t>
            </w:r>
          </w:p>
        </w:tc>
        <w:tc>
          <w:tcPr>
            <w:tcW w:w="1890" w:type="dxa"/>
          </w:tcPr>
          <w:p w14:paraId="690BACCE"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Trichostatin A</w:t>
            </w:r>
          </w:p>
        </w:tc>
        <w:tc>
          <w:tcPr>
            <w:tcW w:w="1310" w:type="dxa"/>
          </w:tcPr>
          <w:p w14:paraId="7FF15471" w14:textId="30861C88"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62</w:t>
            </w:r>
            <w:r w:rsidRPr="007B43A9">
              <w:rPr>
                <w:rFonts w:ascii="Book Antiqua" w:eastAsia="宋体" w:hAnsi="Book Antiqua" w:cs="Times New Roman" w:hint="eastAsia"/>
                <w:color w:val="000000" w:themeColor="text1"/>
              </w:rPr>
              <w:t>]</w:t>
            </w:r>
          </w:p>
        </w:tc>
        <w:tc>
          <w:tcPr>
            <w:tcW w:w="1351" w:type="dxa"/>
          </w:tcPr>
          <w:p w14:paraId="68416BAF" w14:textId="77777777"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color w:val="000000" w:themeColor="text1"/>
              </w:rPr>
              <w:t>BMSCs</w:t>
            </w:r>
          </w:p>
        </w:tc>
        <w:tc>
          <w:tcPr>
            <w:tcW w:w="1348" w:type="dxa"/>
          </w:tcPr>
          <w:p w14:paraId="30CD0380" w14:textId="0FBB504E" w:rsidR="00056DB1" w:rsidRPr="007B43A9" w:rsidRDefault="00056DB1" w:rsidP="00056DB1">
            <w:pPr>
              <w:spacing w:line="360" w:lineRule="auto"/>
              <w:rPr>
                <w:rFonts w:ascii="Book Antiqua" w:hAnsi="Book Antiqua"/>
                <w:color w:val="000000" w:themeColor="text1"/>
              </w:rPr>
            </w:pPr>
            <w:r w:rsidRPr="007B43A9">
              <w:rPr>
                <w:rFonts w:ascii="Book Antiqua" w:eastAsia="宋体" w:hAnsi="Book Antiqua" w:cs="Times New Roman"/>
                <w:color w:val="000000" w:themeColor="text1"/>
              </w:rPr>
              <w:t>Inhibition</w:t>
            </w:r>
          </w:p>
        </w:tc>
        <w:tc>
          <w:tcPr>
            <w:tcW w:w="1709" w:type="dxa"/>
          </w:tcPr>
          <w:p w14:paraId="440C00B2" w14:textId="6E2F4F68" w:rsidR="00056DB1" w:rsidRPr="007B43A9" w:rsidRDefault="00056DB1" w:rsidP="00056DB1">
            <w:pPr>
              <w:spacing w:line="360" w:lineRule="auto"/>
              <w:rPr>
                <w:rFonts w:ascii="Book Antiqua" w:hAnsi="Book Antiqua"/>
                <w:color w:val="000000" w:themeColor="text1"/>
              </w:rPr>
            </w:pPr>
            <w:r w:rsidRPr="007B43A9">
              <w:rPr>
                <w:rFonts w:ascii="Book Antiqua" w:eastAsia="Times New Roman" w:hAnsi="Book Antiqua" w:cs="Times New Roman"/>
                <w:color w:val="000000" w:themeColor="text1"/>
                <w:kern w:val="0"/>
              </w:rPr>
              <w:t>100 n</w:t>
            </w:r>
            <w:r w:rsidRPr="007B43A9">
              <w:rPr>
                <w:rFonts w:ascii="Book Antiqua" w:eastAsia="宋体" w:hAnsi="Book Antiqua" w:cs="Times New Roman" w:hint="eastAsia"/>
                <w:color w:val="000000" w:themeColor="text1"/>
              </w:rPr>
              <w:t>mol/L</w:t>
            </w:r>
          </w:p>
        </w:tc>
      </w:tr>
    </w:tbl>
    <w:p w14:paraId="346FF4B3" w14:textId="77777777" w:rsidR="00EC5318" w:rsidRPr="007B43A9" w:rsidRDefault="00EC5318" w:rsidP="005142C8">
      <w:pPr>
        <w:spacing w:line="360" w:lineRule="auto"/>
        <w:rPr>
          <w:rFonts w:ascii="Book Antiqua" w:hAnsi="Book Antiqua"/>
          <w:color w:val="000000" w:themeColor="text1"/>
        </w:rPr>
      </w:pPr>
    </w:p>
    <w:p w14:paraId="26BF5B54" w14:textId="77777777" w:rsidR="00EC5318" w:rsidRPr="007B43A9" w:rsidRDefault="00EC5318" w:rsidP="005142C8">
      <w:pPr>
        <w:spacing w:line="360" w:lineRule="auto"/>
        <w:rPr>
          <w:rFonts w:ascii="Book Antiqua" w:hAnsi="Book Antiqua"/>
          <w:color w:val="000000" w:themeColor="text1"/>
        </w:rPr>
      </w:pPr>
    </w:p>
    <w:p w14:paraId="61AF726A" w14:textId="77777777" w:rsidR="00056DB1" w:rsidRPr="007B43A9" w:rsidRDefault="00056DB1">
      <w:pPr>
        <w:widowControl/>
        <w:jc w:val="left"/>
        <w:rPr>
          <w:rFonts w:ascii="Book Antiqua" w:eastAsia="Times New Roman" w:hAnsi="Book Antiqua" w:cs="Times New Roman"/>
          <w:b/>
          <w:color w:val="000000" w:themeColor="text1"/>
          <w:kern w:val="0"/>
        </w:rPr>
      </w:pPr>
      <w:r w:rsidRPr="007B43A9">
        <w:rPr>
          <w:rFonts w:ascii="Book Antiqua" w:eastAsia="Times New Roman" w:hAnsi="Book Antiqua" w:cs="Times New Roman"/>
          <w:b/>
          <w:color w:val="000000" w:themeColor="text1"/>
          <w:kern w:val="0"/>
        </w:rPr>
        <w:br w:type="page"/>
      </w:r>
    </w:p>
    <w:p w14:paraId="161F5E2A" w14:textId="093E65FF" w:rsidR="00EC5318" w:rsidRPr="007B43A9" w:rsidRDefault="00EC5318" w:rsidP="005142C8">
      <w:pPr>
        <w:spacing w:line="360" w:lineRule="auto"/>
        <w:rPr>
          <w:rFonts w:ascii="Book Antiqua" w:hAnsi="Book Antiqua" w:cs="Times New Roman"/>
          <w:b/>
          <w:color w:val="000000" w:themeColor="text1"/>
          <w:kern w:val="0"/>
        </w:rPr>
      </w:pPr>
      <w:r w:rsidRPr="007B43A9">
        <w:rPr>
          <w:rFonts w:ascii="Book Antiqua" w:eastAsia="Times New Roman" w:hAnsi="Book Antiqua" w:cs="Times New Roman"/>
          <w:b/>
          <w:color w:val="000000" w:themeColor="text1"/>
          <w:kern w:val="0"/>
        </w:rPr>
        <w:t>Table 3 Effects of various antimicrobial agents on</w:t>
      </w:r>
      <w:r w:rsidR="00B8017F" w:rsidRPr="007B43A9">
        <w:rPr>
          <w:rFonts w:ascii="Book Antiqua" w:eastAsia="Times New Roman" w:hAnsi="Book Antiqua" w:cs="Times New Roman"/>
          <w:b/>
          <w:color w:val="000000" w:themeColor="text1"/>
          <w:kern w:val="0"/>
        </w:rPr>
        <w:t xml:space="preserve"> adipogenic </w:t>
      </w:r>
      <w:r w:rsidRPr="007B43A9">
        <w:rPr>
          <w:rFonts w:ascii="Book Antiqua" w:eastAsia="Times New Roman" w:hAnsi="Book Antiqua" w:cs="Times New Roman"/>
          <w:b/>
          <w:color w:val="000000" w:themeColor="text1"/>
          <w:kern w:val="0"/>
        </w:rPr>
        <w:t>differentiation</w:t>
      </w:r>
    </w:p>
    <w:p w14:paraId="22C53D80" w14:textId="77777777" w:rsidR="00056DB1" w:rsidRPr="007B43A9" w:rsidRDefault="00056DB1" w:rsidP="005142C8">
      <w:pPr>
        <w:spacing w:line="360" w:lineRule="auto"/>
        <w:rPr>
          <w:rFonts w:ascii="Book Antiqua" w:hAnsi="Book Antiqua"/>
          <w:b/>
          <w:color w:val="000000" w:themeColor="text1"/>
        </w:rPr>
      </w:pPr>
    </w:p>
    <w:tbl>
      <w:tblPr>
        <w:tblStyle w:val="a9"/>
        <w:tblW w:w="9622" w:type="dxa"/>
        <w:tblInd w:w="-147" w:type="dxa"/>
        <w:tblLook w:val="04A0" w:firstRow="1" w:lastRow="0" w:firstColumn="1" w:lastColumn="0" w:noHBand="0" w:noVBand="1"/>
      </w:tblPr>
      <w:tblGrid>
        <w:gridCol w:w="1669"/>
        <w:gridCol w:w="2150"/>
        <w:gridCol w:w="736"/>
        <w:gridCol w:w="1942"/>
        <w:gridCol w:w="1349"/>
        <w:gridCol w:w="1776"/>
      </w:tblGrid>
      <w:tr w:rsidR="003703A6" w:rsidRPr="007B43A9" w14:paraId="0C054D9A" w14:textId="77777777" w:rsidTr="00056DB1">
        <w:tc>
          <w:tcPr>
            <w:tcW w:w="3819" w:type="dxa"/>
            <w:gridSpan w:val="2"/>
          </w:tcPr>
          <w:p w14:paraId="4C6C3105" w14:textId="77777777" w:rsidR="00EC5318" w:rsidRPr="007B43A9" w:rsidRDefault="00EC5318" w:rsidP="005142C8">
            <w:pPr>
              <w:spacing w:line="360" w:lineRule="auto"/>
              <w:rPr>
                <w:rFonts w:ascii="Book Antiqua" w:eastAsia="Times New Roman" w:hAnsi="Book Antiqua" w:cs="Times New Roman"/>
                <w:b/>
                <w:color w:val="000000" w:themeColor="text1"/>
                <w:kern w:val="0"/>
              </w:rPr>
            </w:pPr>
            <w:r w:rsidRPr="007B43A9">
              <w:rPr>
                <w:rFonts w:ascii="Book Antiqua" w:eastAsia="宋体" w:hAnsi="Book Antiqua" w:cs="Times New Roman"/>
                <w:b/>
                <w:color w:val="000000" w:themeColor="text1"/>
              </w:rPr>
              <w:t>Agent</w:t>
            </w:r>
          </w:p>
        </w:tc>
        <w:tc>
          <w:tcPr>
            <w:tcW w:w="663" w:type="dxa"/>
          </w:tcPr>
          <w:p w14:paraId="6DA17CC2" w14:textId="257A6161" w:rsidR="00EC5318" w:rsidRPr="007B43A9" w:rsidRDefault="00EC5318" w:rsidP="00056DB1">
            <w:pPr>
              <w:spacing w:line="360" w:lineRule="auto"/>
              <w:rPr>
                <w:rFonts w:ascii="Book Antiqua" w:eastAsia="宋体" w:hAnsi="Book Antiqua" w:cs="Times New Roman"/>
                <w:b/>
                <w:color w:val="000000" w:themeColor="text1"/>
              </w:rPr>
            </w:pPr>
            <w:r w:rsidRPr="007B43A9">
              <w:rPr>
                <w:rFonts w:ascii="Book Antiqua" w:eastAsia="宋体" w:hAnsi="Book Antiqua" w:cs="Times New Roman"/>
                <w:b/>
                <w:color w:val="000000" w:themeColor="text1"/>
              </w:rPr>
              <w:t>Ref</w:t>
            </w:r>
            <w:r w:rsidR="00056DB1" w:rsidRPr="007B43A9">
              <w:rPr>
                <w:rFonts w:ascii="Book Antiqua" w:eastAsia="宋体" w:hAnsi="Book Antiqua" w:cs="Times New Roman" w:hint="eastAsia"/>
                <w:b/>
                <w:color w:val="000000" w:themeColor="text1"/>
              </w:rPr>
              <w:t>.</w:t>
            </w:r>
          </w:p>
        </w:tc>
        <w:tc>
          <w:tcPr>
            <w:tcW w:w="2015" w:type="dxa"/>
          </w:tcPr>
          <w:p w14:paraId="673C068D" w14:textId="24542DF8" w:rsidR="00EC5318" w:rsidRPr="007B43A9" w:rsidRDefault="00EC5318" w:rsidP="005142C8">
            <w:pPr>
              <w:spacing w:line="360" w:lineRule="auto"/>
              <w:rPr>
                <w:rFonts w:ascii="Book Antiqua" w:eastAsia="宋体" w:hAnsi="Book Antiqua" w:cs="Times New Roman"/>
                <w:b/>
                <w:color w:val="000000" w:themeColor="text1"/>
              </w:rPr>
            </w:pPr>
            <w:r w:rsidRPr="007B43A9">
              <w:rPr>
                <w:rFonts w:ascii="Book Antiqua" w:eastAsia="宋体" w:hAnsi="Book Antiqua" w:cs="Times New Roman"/>
                <w:b/>
                <w:color w:val="000000" w:themeColor="text1"/>
              </w:rPr>
              <w:t>Cell /</w:t>
            </w:r>
            <w:r w:rsidR="00056DB1" w:rsidRPr="007B43A9">
              <w:rPr>
                <w:rFonts w:ascii="Book Antiqua" w:eastAsia="宋体" w:hAnsi="Book Antiqua" w:cs="Times New Roman"/>
                <w:b/>
                <w:color w:val="000000" w:themeColor="text1"/>
              </w:rPr>
              <w:t>a</w:t>
            </w:r>
            <w:r w:rsidRPr="007B43A9">
              <w:rPr>
                <w:rFonts w:ascii="Book Antiqua" w:eastAsia="宋体" w:hAnsi="Book Antiqua" w:cs="Times New Roman"/>
                <w:b/>
                <w:color w:val="000000" w:themeColor="text1"/>
              </w:rPr>
              <w:t>nimal</w:t>
            </w:r>
          </w:p>
        </w:tc>
        <w:tc>
          <w:tcPr>
            <w:tcW w:w="1349" w:type="dxa"/>
          </w:tcPr>
          <w:p w14:paraId="04D4349B" w14:textId="77777777" w:rsidR="00EC5318" w:rsidRPr="007B43A9" w:rsidRDefault="00EC5318" w:rsidP="005142C8">
            <w:pPr>
              <w:spacing w:line="360" w:lineRule="auto"/>
              <w:rPr>
                <w:rFonts w:ascii="Book Antiqua" w:eastAsia="宋体" w:hAnsi="Book Antiqua" w:cs="Times New Roman"/>
                <w:b/>
                <w:color w:val="000000" w:themeColor="text1"/>
              </w:rPr>
            </w:pPr>
            <w:r w:rsidRPr="007B43A9">
              <w:rPr>
                <w:rFonts w:ascii="Book Antiqua" w:eastAsia="宋体" w:hAnsi="Book Antiqua" w:cs="Times New Roman"/>
                <w:b/>
                <w:color w:val="000000" w:themeColor="text1"/>
              </w:rPr>
              <w:t>Effect</w:t>
            </w:r>
          </w:p>
        </w:tc>
        <w:tc>
          <w:tcPr>
            <w:tcW w:w="1776" w:type="dxa"/>
          </w:tcPr>
          <w:p w14:paraId="5BF2C891" w14:textId="288506AA" w:rsidR="00EC5318" w:rsidRPr="007B43A9" w:rsidRDefault="00056DB1" w:rsidP="005142C8">
            <w:pPr>
              <w:spacing w:line="360" w:lineRule="auto"/>
              <w:rPr>
                <w:rFonts w:ascii="Book Antiqua" w:eastAsia="Times New Roman" w:hAnsi="Book Antiqua" w:cs="Times New Roman"/>
                <w:b/>
                <w:color w:val="000000" w:themeColor="text1"/>
                <w:kern w:val="0"/>
              </w:rPr>
            </w:pPr>
            <w:r w:rsidRPr="007B43A9">
              <w:rPr>
                <w:rFonts w:ascii="Book Antiqua" w:eastAsia="宋体" w:hAnsi="Book Antiqua" w:cs="Times New Roman"/>
                <w:b/>
                <w:color w:val="000000" w:themeColor="text1"/>
              </w:rPr>
              <w:t>Concentration</w:t>
            </w:r>
          </w:p>
        </w:tc>
      </w:tr>
      <w:tr w:rsidR="003703A6" w:rsidRPr="007B43A9" w14:paraId="3400E2C7" w14:textId="77777777" w:rsidTr="00056DB1">
        <w:trPr>
          <w:trHeight w:val="437"/>
        </w:trPr>
        <w:tc>
          <w:tcPr>
            <w:tcW w:w="1669" w:type="dxa"/>
            <w:vMerge w:val="restart"/>
          </w:tcPr>
          <w:p w14:paraId="427EC82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Antibiotics</w:t>
            </w:r>
          </w:p>
        </w:tc>
        <w:tc>
          <w:tcPr>
            <w:tcW w:w="2150" w:type="dxa"/>
            <w:vMerge w:val="restart"/>
          </w:tcPr>
          <w:p w14:paraId="14D0D397"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Isoniazid</w:t>
            </w:r>
          </w:p>
        </w:tc>
        <w:tc>
          <w:tcPr>
            <w:tcW w:w="663" w:type="dxa"/>
          </w:tcPr>
          <w:p w14:paraId="2A51F869" w14:textId="5366A4FB"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67</w:t>
            </w:r>
            <w:r w:rsidRPr="007B43A9">
              <w:rPr>
                <w:rFonts w:ascii="Book Antiqua" w:eastAsia="宋体" w:hAnsi="Book Antiqua" w:cs="Times New Roman" w:hint="eastAsia"/>
                <w:color w:val="000000" w:themeColor="text1"/>
              </w:rPr>
              <w:t>]</w:t>
            </w:r>
          </w:p>
        </w:tc>
        <w:tc>
          <w:tcPr>
            <w:tcW w:w="2015" w:type="dxa"/>
          </w:tcPr>
          <w:p w14:paraId="25B3A299"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777181E0" w14:textId="0F48000B"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890545A" w14:textId="287559EE"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0.5-10 m</w:t>
            </w:r>
            <w:r w:rsidR="00056DB1" w:rsidRPr="007B43A9">
              <w:rPr>
                <w:rFonts w:ascii="Book Antiqua" w:eastAsia="宋体" w:hAnsi="Book Antiqua" w:cs="Times New Roman" w:hint="eastAsia"/>
                <w:color w:val="000000" w:themeColor="text1"/>
              </w:rPr>
              <w:t>mol/L</w:t>
            </w:r>
          </w:p>
        </w:tc>
      </w:tr>
      <w:tr w:rsidR="003703A6" w:rsidRPr="007B43A9" w14:paraId="45F51913" w14:textId="77777777" w:rsidTr="00056DB1">
        <w:tc>
          <w:tcPr>
            <w:tcW w:w="1669" w:type="dxa"/>
            <w:vMerge/>
          </w:tcPr>
          <w:p w14:paraId="2108BD38"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vMerge/>
          </w:tcPr>
          <w:p w14:paraId="674FC769" w14:textId="77777777" w:rsidR="00EC5318" w:rsidRPr="007B43A9" w:rsidRDefault="00EC5318" w:rsidP="005142C8">
            <w:pPr>
              <w:spacing w:line="360" w:lineRule="auto"/>
              <w:rPr>
                <w:rFonts w:ascii="Book Antiqua" w:eastAsia="Times New Roman" w:hAnsi="Book Antiqua" w:cs="Times New Roman"/>
                <w:color w:val="000000" w:themeColor="text1"/>
                <w:kern w:val="0"/>
              </w:rPr>
            </w:pPr>
          </w:p>
        </w:tc>
        <w:tc>
          <w:tcPr>
            <w:tcW w:w="663" w:type="dxa"/>
          </w:tcPr>
          <w:p w14:paraId="7AA1FE94" w14:textId="0475F78B"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67</w:t>
            </w:r>
            <w:r w:rsidRPr="007B43A9">
              <w:rPr>
                <w:rFonts w:ascii="Book Antiqua" w:eastAsia="宋体" w:hAnsi="Book Antiqua" w:cs="Times New Roman" w:hint="eastAsia"/>
                <w:color w:val="000000" w:themeColor="text1"/>
              </w:rPr>
              <w:t>]</w:t>
            </w:r>
          </w:p>
        </w:tc>
        <w:tc>
          <w:tcPr>
            <w:tcW w:w="2015" w:type="dxa"/>
          </w:tcPr>
          <w:p w14:paraId="33B06223" w14:textId="0C21AC50"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 xml:space="preserve">Adipose </w:t>
            </w:r>
            <w:r w:rsidR="00EC5318" w:rsidRPr="007B43A9">
              <w:rPr>
                <w:rFonts w:ascii="Book Antiqua" w:eastAsia="Times New Roman" w:hAnsi="Book Antiqua" w:cs="Times New Roman"/>
                <w:color w:val="000000" w:themeColor="text1"/>
                <w:kern w:val="0"/>
              </w:rPr>
              <w:t>stem cells</w:t>
            </w:r>
          </w:p>
        </w:tc>
        <w:tc>
          <w:tcPr>
            <w:tcW w:w="1349" w:type="dxa"/>
          </w:tcPr>
          <w:p w14:paraId="10B1A1A0" w14:textId="397A9877"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0992207D" w14:textId="77B8EF3C"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2 or 10 m</w:t>
            </w:r>
            <w:r w:rsidR="00056DB1" w:rsidRPr="007B43A9">
              <w:rPr>
                <w:rFonts w:ascii="Book Antiqua" w:eastAsia="宋体" w:hAnsi="Book Antiqua" w:cs="Times New Roman" w:hint="eastAsia"/>
                <w:color w:val="000000" w:themeColor="text1"/>
              </w:rPr>
              <w:t>mol/L</w:t>
            </w:r>
          </w:p>
        </w:tc>
      </w:tr>
      <w:tr w:rsidR="003703A6" w:rsidRPr="007B43A9" w14:paraId="637C104F" w14:textId="77777777" w:rsidTr="00056DB1">
        <w:tc>
          <w:tcPr>
            <w:tcW w:w="1669" w:type="dxa"/>
            <w:vMerge/>
          </w:tcPr>
          <w:p w14:paraId="66CFDA8C"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4F00153C"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Streptomycin</w:t>
            </w:r>
          </w:p>
        </w:tc>
        <w:tc>
          <w:tcPr>
            <w:tcW w:w="663" w:type="dxa"/>
          </w:tcPr>
          <w:p w14:paraId="513B799C" w14:textId="25C6B29D"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68</w:t>
            </w:r>
            <w:r w:rsidRPr="007B43A9">
              <w:rPr>
                <w:rFonts w:ascii="Book Antiqua" w:eastAsia="宋体" w:hAnsi="Book Antiqua" w:cs="Times New Roman" w:hint="eastAsia"/>
                <w:color w:val="000000" w:themeColor="text1"/>
              </w:rPr>
              <w:t>]</w:t>
            </w:r>
          </w:p>
        </w:tc>
        <w:tc>
          <w:tcPr>
            <w:tcW w:w="2015" w:type="dxa"/>
          </w:tcPr>
          <w:p w14:paraId="71B5353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4FC6FC6F" w14:textId="548E5154"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1FCF0192" w14:textId="5286C664"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100 μg/m</w:t>
            </w:r>
            <w:r w:rsidR="00056DB1" w:rsidRPr="007B43A9">
              <w:rPr>
                <w:rFonts w:ascii="Book Antiqua" w:eastAsia="Times New Roman" w:hAnsi="Book Antiqua" w:cs="Times New Roman"/>
                <w:color w:val="000000" w:themeColor="text1"/>
                <w:kern w:val="0"/>
              </w:rPr>
              <w:t>L</w:t>
            </w:r>
          </w:p>
        </w:tc>
      </w:tr>
      <w:tr w:rsidR="003703A6" w:rsidRPr="007B43A9" w14:paraId="2ACD58A2" w14:textId="77777777" w:rsidTr="00056DB1">
        <w:tc>
          <w:tcPr>
            <w:tcW w:w="1669" w:type="dxa"/>
            <w:vMerge/>
          </w:tcPr>
          <w:p w14:paraId="298A9179"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43FBA294"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Spiramycin</w:t>
            </w:r>
          </w:p>
        </w:tc>
        <w:tc>
          <w:tcPr>
            <w:tcW w:w="663" w:type="dxa"/>
          </w:tcPr>
          <w:p w14:paraId="2798D684" w14:textId="691AB3DF"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69</w:t>
            </w:r>
            <w:r w:rsidRPr="007B43A9">
              <w:rPr>
                <w:rFonts w:ascii="Book Antiqua" w:eastAsia="宋体" w:hAnsi="Book Antiqua" w:cs="Times New Roman" w:hint="eastAsia"/>
                <w:color w:val="000000" w:themeColor="text1"/>
              </w:rPr>
              <w:t>]</w:t>
            </w:r>
          </w:p>
        </w:tc>
        <w:tc>
          <w:tcPr>
            <w:tcW w:w="2015" w:type="dxa"/>
          </w:tcPr>
          <w:p w14:paraId="2D6A5C1F"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645CE6C1" w14:textId="202961BA"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B0D5D9E" w14:textId="199C2786"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2.5-20 μ</w:t>
            </w:r>
            <w:r w:rsidR="00056DB1" w:rsidRPr="007B43A9">
              <w:rPr>
                <w:rFonts w:ascii="Book Antiqua" w:eastAsia="宋体" w:hAnsi="Book Antiqua" w:cs="Times New Roman" w:hint="eastAsia"/>
                <w:color w:val="000000" w:themeColor="text1"/>
              </w:rPr>
              <w:t>mol/L</w:t>
            </w:r>
          </w:p>
        </w:tc>
      </w:tr>
      <w:tr w:rsidR="003703A6" w:rsidRPr="007B43A9" w14:paraId="765B9509" w14:textId="77777777" w:rsidTr="00056DB1">
        <w:tc>
          <w:tcPr>
            <w:tcW w:w="1669" w:type="dxa"/>
            <w:vMerge/>
          </w:tcPr>
          <w:p w14:paraId="22CDF759"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5296E986"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Salinomycin</w:t>
            </w:r>
          </w:p>
        </w:tc>
        <w:tc>
          <w:tcPr>
            <w:tcW w:w="663" w:type="dxa"/>
          </w:tcPr>
          <w:p w14:paraId="02898B81" w14:textId="1F556F73"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26</w:t>
            </w:r>
            <w:r w:rsidRPr="007B43A9">
              <w:rPr>
                <w:rFonts w:ascii="Book Antiqua" w:eastAsia="宋体" w:hAnsi="Book Antiqua" w:cs="Times New Roman" w:hint="eastAsia"/>
                <w:color w:val="000000" w:themeColor="text1"/>
              </w:rPr>
              <w:t>]</w:t>
            </w:r>
          </w:p>
        </w:tc>
        <w:tc>
          <w:tcPr>
            <w:tcW w:w="2015" w:type="dxa"/>
          </w:tcPr>
          <w:p w14:paraId="71B994D3"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778F4EFF" w14:textId="2A7EB09F"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4FD69694" w14:textId="708295D0" w:rsidR="00EC5318" w:rsidRPr="007B43A9" w:rsidRDefault="00EC5318" w:rsidP="005142C8">
            <w:pPr>
              <w:spacing w:line="360" w:lineRule="auto"/>
              <w:rPr>
                <w:rFonts w:ascii="Book Antiqua" w:eastAsia="Times New Roman" w:hAnsi="Book Antiqua" w:cs="Times New Roman"/>
                <w:color w:val="000000" w:themeColor="text1"/>
                <w:kern w:val="0"/>
              </w:rPr>
            </w:pPr>
            <w:bookmarkStart w:id="120" w:name="OLE_LINK198"/>
            <w:bookmarkStart w:id="121" w:name="OLE_LINK199"/>
            <w:r w:rsidRPr="007B43A9">
              <w:rPr>
                <w:rFonts w:ascii="Book Antiqua" w:eastAsia="Times New Roman" w:hAnsi="Book Antiqua" w:cs="Times New Roman"/>
                <w:color w:val="000000" w:themeColor="text1"/>
                <w:kern w:val="0"/>
              </w:rPr>
              <w:t>10 μ</w:t>
            </w:r>
            <w:r w:rsidR="00056DB1" w:rsidRPr="007B43A9">
              <w:rPr>
                <w:rFonts w:ascii="Book Antiqua" w:eastAsia="宋体" w:hAnsi="Book Antiqua" w:cs="Times New Roman" w:hint="eastAsia"/>
                <w:color w:val="000000" w:themeColor="text1"/>
              </w:rPr>
              <w:t>mol/L</w:t>
            </w:r>
            <w:bookmarkEnd w:id="120"/>
            <w:bookmarkEnd w:id="121"/>
          </w:p>
        </w:tc>
      </w:tr>
      <w:tr w:rsidR="003703A6" w:rsidRPr="007B43A9" w14:paraId="54CA1E47" w14:textId="77777777" w:rsidTr="00056DB1">
        <w:tc>
          <w:tcPr>
            <w:tcW w:w="1669" w:type="dxa"/>
            <w:vMerge/>
          </w:tcPr>
          <w:p w14:paraId="32718257"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47A2180D"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Geldanamycin</w:t>
            </w:r>
          </w:p>
        </w:tc>
        <w:tc>
          <w:tcPr>
            <w:tcW w:w="663" w:type="dxa"/>
          </w:tcPr>
          <w:p w14:paraId="30817966" w14:textId="2C7F8D58"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70</w:t>
            </w:r>
            <w:r w:rsidRPr="007B43A9">
              <w:rPr>
                <w:rFonts w:ascii="Book Antiqua" w:eastAsia="宋体" w:hAnsi="Book Antiqua" w:cs="Times New Roman" w:hint="eastAsia"/>
                <w:color w:val="000000" w:themeColor="text1"/>
              </w:rPr>
              <w:t>]</w:t>
            </w:r>
          </w:p>
        </w:tc>
        <w:tc>
          <w:tcPr>
            <w:tcW w:w="2015" w:type="dxa"/>
          </w:tcPr>
          <w:p w14:paraId="721B0D40"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12D8503B" w14:textId="367747B1"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0F8AA434" w14:textId="27C06AE0"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0.001-1 μ</w:t>
            </w:r>
            <w:r w:rsidR="00056DB1" w:rsidRPr="007B43A9">
              <w:rPr>
                <w:rFonts w:ascii="Book Antiqua" w:eastAsia="宋体" w:hAnsi="Book Antiqua" w:cs="Times New Roman" w:hint="eastAsia"/>
                <w:color w:val="000000" w:themeColor="text1"/>
              </w:rPr>
              <w:t>mol/L</w:t>
            </w:r>
          </w:p>
        </w:tc>
      </w:tr>
      <w:tr w:rsidR="003703A6" w:rsidRPr="007B43A9" w14:paraId="6277EBAB" w14:textId="77777777" w:rsidTr="00056DB1">
        <w:tc>
          <w:tcPr>
            <w:tcW w:w="1669" w:type="dxa"/>
            <w:vMerge w:val="restart"/>
          </w:tcPr>
          <w:p w14:paraId="68F87D41"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Natural peptides</w:t>
            </w:r>
          </w:p>
        </w:tc>
        <w:tc>
          <w:tcPr>
            <w:tcW w:w="2150" w:type="dxa"/>
            <w:vMerge w:val="restart"/>
          </w:tcPr>
          <w:p w14:paraId="1FEA234C"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Lactoferrin</w:t>
            </w:r>
          </w:p>
        </w:tc>
        <w:tc>
          <w:tcPr>
            <w:tcW w:w="663" w:type="dxa"/>
          </w:tcPr>
          <w:p w14:paraId="7458D7AC" w14:textId="79ABB184"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71</w:t>
            </w:r>
            <w:r w:rsidRPr="007B43A9">
              <w:rPr>
                <w:rFonts w:ascii="Book Antiqua" w:eastAsia="宋体" w:hAnsi="Book Antiqua" w:cs="Times New Roman" w:hint="eastAsia"/>
                <w:color w:val="000000" w:themeColor="text1"/>
              </w:rPr>
              <w:t>]</w:t>
            </w:r>
          </w:p>
        </w:tc>
        <w:tc>
          <w:tcPr>
            <w:tcW w:w="2015" w:type="dxa"/>
          </w:tcPr>
          <w:p w14:paraId="0F56E31D"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MC3T3-G2/PA6</w:t>
            </w:r>
          </w:p>
        </w:tc>
        <w:tc>
          <w:tcPr>
            <w:tcW w:w="1349" w:type="dxa"/>
          </w:tcPr>
          <w:p w14:paraId="13538C4E" w14:textId="6C986FD5" w:rsidR="00EC5318" w:rsidRPr="007B43A9" w:rsidRDefault="00056DB1" w:rsidP="005142C8">
            <w:pPr>
              <w:spacing w:line="360" w:lineRule="auto"/>
              <w:rPr>
                <w:rFonts w:ascii="Book Antiqua" w:eastAsia="宋体" w:hAnsi="Book Antiqua" w:cs="Times New Roman"/>
                <w:color w:val="000000" w:themeColor="text1"/>
              </w:rPr>
            </w:pPr>
            <w:bookmarkStart w:id="122" w:name="OLE_LINK40"/>
            <w:bookmarkStart w:id="123" w:name="OLE_LINK41"/>
            <w:r w:rsidRPr="007B43A9">
              <w:rPr>
                <w:rFonts w:ascii="Book Antiqua" w:eastAsia="宋体" w:hAnsi="Book Antiqua" w:cs="Times New Roman"/>
                <w:color w:val="000000" w:themeColor="text1"/>
              </w:rPr>
              <w:t>Inhibition</w:t>
            </w:r>
            <w:bookmarkEnd w:id="122"/>
            <w:bookmarkEnd w:id="123"/>
          </w:p>
        </w:tc>
        <w:tc>
          <w:tcPr>
            <w:tcW w:w="1776" w:type="dxa"/>
          </w:tcPr>
          <w:p w14:paraId="073A4BBB" w14:textId="73226BA9" w:rsidR="00EC5318" w:rsidRPr="007B43A9" w:rsidRDefault="00EC5318" w:rsidP="005142C8">
            <w:pPr>
              <w:spacing w:line="360" w:lineRule="auto"/>
              <w:rPr>
                <w:rFonts w:ascii="Book Antiqua" w:eastAsia="Times New Roman" w:hAnsi="Book Antiqua" w:cs="Times New Roman"/>
                <w:color w:val="000000" w:themeColor="text1"/>
                <w:kern w:val="0"/>
              </w:rPr>
            </w:pPr>
            <w:bookmarkStart w:id="124" w:name="OLE_LINK193"/>
            <w:r w:rsidRPr="007B43A9">
              <w:rPr>
                <w:rFonts w:ascii="Book Antiqua" w:eastAsia="Times New Roman" w:hAnsi="Book Antiqua" w:cs="Times New Roman"/>
                <w:color w:val="000000" w:themeColor="text1"/>
                <w:kern w:val="0"/>
              </w:rPr>
              <w:t>10-100 μg/m</w:t>
            </w:r>
            <w:r w:rsidR="00056DB1" w:rsidRPr="007B43A9">
              <w:rPr>
                <w:rFonts w:ascii="Book Antiqua" w:eastAsia="Times New Roman" w:hAnsi="Book Antiqua" w:cs="Times New Roman"/>
                <w:color w:val="000000" w:themeColor="text1"/>
                <w:kern w:val="0"/>
              </w:rPr>
              <w:t>L</w:t>
            </w:r>
            <w:bookmarkEnd w:id="124"/>
          </w:p>
        </w:tc>
      </w:tr>
      <w:tr w:rsidR="003703A6" w:rsidRPr="007B43A9" w14:paraId="0ED069DB" w14:textId="77777777" w:rsidTr="00056DB1">
        <w:tc>
          <w:tcPr>
            <w:tcW w:w="1669" w:type="dxa"/>
            <w:vMerge/>
          </w:tcPr>
          <w:p w14:paraId="2D98FBCE"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vMerge/>
          </w:tcPr>
          <w:p w14:paraId="6100CAE7" w14:textId="77777777" w:rsidR="00EC5318" w:rsidRPr="007B43A9" w:rsidRDefault="00EC5318" w:rsidP="005142C8">
            <w:pPr>
              <w:spacing w:line="360" w:lineRule="auto"/>
              <w:rPr>
                <w:rFonts w:ascii="Book Antiqua" w:eastAsia="Times New Roman" w:hAnsi="Book Antiqua" w:cs="Times New Roman"/>
                <w:color w:val="000000" w:themeColor="text1"/>
                <w:kern w:val="0"/>
              </w:rPr>
            </w:pPr>
          </w:p>
        </w:tc>
        <w:tc>
          <w:tcPr>
            <w:tcW w:w="663" w:type="dxa"/>
          </w:tcPr>
          <w:p w14:paraId="7674DB2D" w14:textId="7A8F35E4"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72</w:t>
            </w:r>
            <w:r w:rsidRPr="007B43A9">
              <w:rPr>
                <w:rFonts w:ascii="Book Antiqua" w:eastAsia="宋体" w:hAnsi="Book Antiqua" w:cs="Times New Roman" w:hint="eastAsia"/>
                <w:color w:val="000000" w:themeColor="text1"/>
              </w:rPr>
              <w:t>]</w:t>
            </w:r>
          </w:p>
        </w:tc>
        <w:tc>
          <w:tcPr>
            <w:tcW w:w="2015" w:type="dxa"/>
          </w:tcPr>
          <w:p w14:paraId="7C0956B0"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C1C12</w:t>
            </w:r>
          </w:p>
        </w:tc>
        <w:tc>
          <w:tcPr>
            <w:tcW w:w="1349" w:type="dxa"/>
          </w:tcPr>
          <w:p w14:paraId="0D4F9C32" w14:textId="7E9DEC88"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4227E030" w14:textId="444D06CB" w:rsidR="00EC5318" w:rsidRPr="007B43A9" w:rsidRDefault="00EC5318" w:rsidP="005142C8">
            <w:pPr>
              <w:spacing w:line="360" w:lineRule="auto"/>
              <w:rPr>
                <w:rFonts w:ascii="Book Antiqua" w:eastAsia="Times New Roman" w:hAnsi="Book Antiqua" w:cs="Times New Roman"/>
                <w:color w:val="000000" w:themeColor="text1"/>
                <w:kern w:val="0"/>
              </w:rPr>
            </w:pPr>
            <w:bookmarkStart w:id="125" w:name="OLE_LINK191"/>
            <w:bookmarkStart w:id="126" w:name="OLE_LINK192"/>
            <w:r w:rsidRPr="007B43A9">
              <w:rPr>
                <w:rFonts w:ascii="Book Antiqua" w:eastAsia="Times New Roman" w:hAnsi="Book Antiqua" w:cs="Times New Roman"/>
                <w:color w:val="000000" w:themeColor="text1"/>
                <w:kern w:val="0"/>
              </w:rPr>
              <w:t>0.1-10 μ</w:t>
            </w:r>
            <w:r w:rsidR="00056DB1" w:rsidRPr="007B43A9">
              <w:rPr>
                <w:rFonts w:ascii="Book Antiqua" w:eastAsia="宋体" w:hAnsi="Book Antiqua" w:cs="Times New Roman" w:hint="eastAsia"/>
                <w:color w:val="000000" w:themeColor="text1"/>
              </w:rPr>
              <w:t>mol/L</w:t>
            </w:r>
            <w:bookmarkEnd w:id="125"/>
            <w:bookmarkEnd w:id="126"/>
          </w:p>
        </w:tc>
      </w:tr>
      <w:tr w:rsidR="003703A6" w:rsidRPr="007B43A9" w14:paraId="3C489036" w14:textId="77777777" w:rsidTr="00056DB1">
        <w:tc>
          <w:tcPr>
            <w:tcW w:w="1669" w:type="dxa"/>
            <w:vMerge/>
          </w:tcPr>
          <w:p w14:paraId="6C79B6EB"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vMerge/>
          </w:tcPr>
          <w:p w14:paraId="146B56B3" w14:textId="77777777" w:rsidR="00EC5318" w:rsidRPr="007B43A9" w:rsidRDefault="00EC5318" w:rsidP="005142C8">
            <w:pPr>
              <w:spacing w:line="360" w:lineRule="auto"/>
              <w:rPr>
                <w:rFonts w:ascii="Book Antiqua" w:eastAsia="Times New Roman" w:hAnsi="Book Antiqua" w:cs="Times New Roman"/>
                <w:color w:val="000000" w:themeColor="text1"/>
                <w:kern w:val="0"/>
              </w:rPr>
            </w:pPr>
          </w:p>
        </w:tc>
        <w:tc>
          <w:tcPr>
            <w:tcW w:w="663" w:type="dxa"/>
          </w:tcPr>
          <w:p w14:paraId="74E9D848" w14:textId="46E1C272"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73</w:t>
            </w:r>
            <w:r w:rsidRPr="007B43A9">
              <w:rPr>
                <w:rFonts w:ascii="Book Antiqua" w:eastAsia="宋体" w:hAnsi="Book Antiqua" w:cs="Times New Roman" w:hint="eastAsia"/>
                <w:color w:val="000000" w:themeColor="text1"/>
              </w:rPr>
              <w:t>]</w:t>
            </w:r>
          </w:p>
        </w:tc>
        <w:tc>
          <w:tcPr>
            <w:tcW w:w="2015" w:type="dxa"/>
          </w:tcPr>
          <w:p w14:paraId="4A1B3865" w14:textId="1F5FF5AA"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 xml:space="preserve">Subcutaneous </w:t>
            </w:r>
            <w:r w:rsidR="00EC5318" w:rsidRPr="007B43A9">
              <w:rPr>
                <w:rFonts w:ascii="Book Antiqua" w:eastAsia="Times New Roman" w:hAnsi="Book Antiqua" w:cs="Times New Roman"/>
                <w:color w:val="000000" w:themeColor="text1"/>
                <w:kern w:val="0"/>
              </w:rPr>
              <w:t>preadipocytes</w:t>
            </w:r>
          </w:p>
        </w:tc>
        <w:tc>
          <w:tcPr>
            <w:tcW w:w="1349" w:type="dxa"/>
          </w:tcPr>
          <w:p w14:paraId="114F4672" w14:textId="00045A13"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294E4F65" w14:textId="782043C0"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10 μ</w:t>
            </w:r>
            <w:r w:rsidR="00056DB1" w:rsidRPr="007B43A9">
              <w:rPr>
                <w:rFonts w:ascii="Book Antiqua" w:eastAsia="宋体" w:hAnsi="Book Antiqua" w:cs="Times New Roman" w:hint="eastAsia"/>
                <w:color w:val="000000" w:themeColor="text1"/>
              </w:rPr>
              <w:t>mol/L</w:t>
            </w:r>
          </w:p>
        </w:tc>
      </w:tr>
      <w:tr w:rsidR="003703A6" w:rsidRPr="007B43A9" w14:paraId="24BF9B99" w14:textId="77777777" w:rsidTr="00056DB1">
        <w:tc>
          <w:tcPr>
            <w:tcW w:w="1669" w:type="dxa"/>
            <w:vMerge w:val="restart"/>
          </w:tcPr>
          <w:p w14:paraId="46D13C23"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Chinese traditional drug extracts</w:t>
            </w:r>
          </w:p>
        </w:tc>
        <w:tc>
          <w:tcPr>
            <w:tcW w:w="2150" w:type="dxa"/>
          </w:tcPr>
          <w:p w14:paraId="63FCE05B"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宋体" w:hAnsi="Book Antiqua" w:cs="Times New Roman"/>
                <w:color w:val="000000" w:themeColor="text1"/>
              </w:rPr>
              <w:t>Cordycepin</w:t>
            </w:r>
          </w:p>
        </w:tc>
        <w:tc>
          <w:tcPr>
            <w:tcW w:w="663" w:type="dxa"/>
          </w:tcPr>
          <w:p w14:paraId="7737F47F" w14:textId="6CCA8A43"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74</w:t>
            </w:r>
            <w:r w:rsidRPr="007B43A9">
              <w:rPr>
                <w:rFonts w:ascii="Book Antiqua" w:eastAsia="宋体" w:hAnsi="Book Antiqua" w:cs="Times New Roman" w:hint="eastAsia"/>
                <w:color w:val="000000" w:themeColor="text1"/>
              </w:rPr>
              <w:t>]</w:t>
            </w:r>
          </w:p>
        </w:tc>
        <w:tc>
          <w:tcPr>
            <w:tcW w:w="2015" w:type="dxa"/>
          </w:tcPr>
          <w:p w14:paraId="38ABAC7D"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2D051718" w14:textId="34D9071D"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3753CBD6" w14:textId="4CFFE775"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10-100 μg/m</w:t>
            </w:r>
            <w:r w:rsidR="00056DB1" w:rsidRPr="007B43A9">
              <w:rPr>
                <w:rFonts w:ascii="Book Antiqua" w:eastAsia="Times New Roman" w:hAnsi="Book Antiqua" w:cs="Times New Roman"/>
                <w:color w:val="000000" w:themeColor="text1"/>
                <w:kern w:val="0"/>
              </w:rPr>
              <w:t>L</w:t>
            </w:r>
          </w:p>
        </w:tc>
      </w:tr>
      <w:tr w:rsidR="003703A6" w:rsidRPr="007B43A9" w14:paraId="068E0E03" w14:textId="77777777" w:rsidTr="00056DB1">
        <w:tc>
          <w:tcPr>
            <w:tcW w:w="1669" w:type="dxa"/>
            <w:vMerge/>
          </w:tcPr>
          <w:p w14:paraId="65C101AA"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vMerge w:val="restart"/>
          </w:tcPr>
          <w:p w14:paraId="3869C2BB"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宋体" w:hAnsi="Book Antiqua" w:cs="Times New Roman"/>
                <w:color w:val="000000" w:themeColor="text1"/>
              </w:rPr>
              <w:t>Tanshinone IIA</w:t>
            </w:r>
          </w:p>
        </w:tc>
        <w:tc>
          <w:tcPr>
            <w:tcW w:w="663" w:type="dxa"/>
          </w:tcPr>
          <w:p w14:paraId="4C604FF5" w14:textId="7D942B85"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75</w:t>
            </w:r>
            <w:r w:rsidRPr="007B43A9">
              <w:rPr>
                <w:rFonts w:ascii="Book Antiqua" w:eastAsia="宋体" w:hAnsi="Book Antiqua" w:cs="Times New Roman" w:hint="eastAsia"/>
                <w:color w:val="000000" w:themeColor="text1"/>
              </w:rPr>
              <w:t>]</w:t>
            </w:r>
          </w:p>
        </w:tc>
        <w:tc>
          <w:tcPr>
            <w:tcW w:w="2015" w:type="dxa"/>
          </w:tcPr>
          <w:p w14:paraId="25E8438C"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5A7407A8" w14:textId="6E01CCEF"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3056A1E8" w14:textId="016B80CC"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2.5-10 μ</w:t>
            </w:r>
            <w:r w:rsidR="00056DB1" w:rsidRPr="007B43A9">
              <w:rPr>
                <w:rFonts w:ascii="Book Antiqua" w:eastAsia="宋体" w:hAnsi="Book Antiqua" w:cs="Times New Roman" w:hint="eastAsia"/>
                <w:color w:val="000000" w:themeColor="text1"/>
              </w:rPr>
              <w:t>mol/L</w:t>
            </w:r>
          </w:p>
        </w:tc>
      </w:tr>
      <w:tr w:rsidR="003703A6" w:rsidRPr="007B43A9" w14:paraId="74C2A246" w14:textId="77777777" w:rsidTr="00056DB1">
        <w:tc>
          <w:tcPr>
            <w:tcW w:w="1669" w:type="dxa"/>
            <w:vMerge/>
          </w:tcPr>
          <w:p w14:paraId="12BC3C92"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vMerge/>
          </w:tcPr>
          <w:p w14:paraId="5A6C5859" w14:textId="77777777" w:rsidR="00EC5318" w:rsidRPr="007B43A9" w:rsidRDefault="00EC5318" w:rsidP="005142C8">
            <w:pPr>
              <w:spacing w:line="360" w:lineRule="auto"/>
              <w:rPr>
                <w:rFonts w:ascii="Book Antiqua" w:eastAsia="Times New Roman" w:hAnsi="Book Antiqua" w:cs="Times New Roman"/>
                <w:color w:val="000000" w:themeColor="text1"/>
                <w:kern w:val="0"/>
              </w:rPr>
            </w:pPr>
          </w:p>
        </w:tc>
        <w:tc>
          <w:tcPr>
            <w:tcW w:w="663" w:type="dxa"/>
          </w:tcPr>
          <w:p w14:paraId="098627BA" w14:textId="4FAE3729"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76</w:t>
            </w:r>
            <w:r w:rsidRPr="007B43A9">
              <w:rPr>
                <w:rFonts w:ascii="Book Antiqua" w:eastAsia="宋体" w:hAnsi="Book Antiqua" w:cs="Times New Roman" w:hint="eastAsia"/>
                <w:color w:val="000000" w:themeColor="text1"/>
              </w:rPr>
              <w:t>]</w:t>
            </w:r>
          </w:p>
        </w:tc>
        <w:tc>
          <w:tcPr>
            <w:tcW w:w="2015" w:type="dxa"/>
          </w:tcPr>
          <w:p w14:paraId="7AAEB26E"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1B001814" w14:textId="2084A67F"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6DA88351" w14:textId="6342A32B"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1-10 μ</w:t>
            </w:r>
            <w:r w:rsidR="00056DB1" w:rsidRPr="007B43A9">
              <w:rPr>
                <w:rFonts w:ascii="Book Antiqua" w:eastAsia="宋体" w:hAnsi="Book Antiqua" w:cs="Times New Roman" w:hint="eastAsia"/>
                <w:color w:val="000000" w:themeColor="text1"/>
              </w:rPr>
              <w:t>mol/L</w:t>
            </w:r>
          </w:p>
        </w:tc>
      </w:tr>
      <w:tr w:rsidR="003703A6" w:rsidRPr="007B43A9" w14:paraId="12AA66D3" w14:textId="77777777" w:rsidTr="00056DB1">
        <w:tc>
          <w:tcPr>
            <w:tcW w:w="1669" w:type="dxa"/>
            <w:vMerge/>
          </w:tcPr>
          <w:p w14:paraId="69D84E57"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2A4243A3"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宋体" w:hAnsi="Book Antiqua" w:cs="Times New Roman"/>
                <w:color w:val="000000" w:themeColor="text1"/>
              </w:rPr>
              <w:t>Andrographolide</w:t>
            </w:r>
          </w:p>
        </w:tc>
        <w:tc>
          <w:tcPr>
            <w:tcW w:w="663" w:type="dxa"/>
          </w:tcPr>
          <w:p w14:paraId="4B298A7F" w14:textId="7AFF0806"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77</w:t>
            </w:r>
            <w:r w:rsidRPr="007B43A9">
              <w:rPr>
                <w:rFonts w:ascii="Book Antiqua" w:eastAsia="宋体" w:hAnsi="Book Antiqua" w:cs="Times New Roman" w:hint="eastAsia"/>
                <w:color w:val="000000" w:themeColor="text1"/>
              </w:rPr>
              <w:t>]</w:t>
            </w:r>
          </w:p>
        </w:tc>
        <w:tc>
          <w:tcPr>
            <w:tcW w:w="2015" w:type="dxa"/>
          </w:tcPr>
          <w:p w14:paraId="13B31284"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57DA0667" w14:textId="04627340"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62347CF3" w14:textId="10EC7C66"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1-5 μg/m</w:t>
            </w:r>
            <w:r w:rsidR="00056DB1" w:rsidRPr="007B43A9">
              <w:rPr>
                <w:rFonts w:ascii="Book Antiqua" w:eastAsia="Times New Roman" w:hAnsi="Book Antiqua" w:cs="Times New Roman"/>
                <w:color w:val="000000" w:themeColor="text1"/>
                <w:kern w:val="0"/>
              </w:rPr>
              <w:t>L</w:t>
            </w:r>
          </w:p>
        </w:tc>
      </w:tr>
      <w:tr w:rsidR="003703A6" w:rsidRPr="007B43A9" w14:paraId="252FAD92" w14:textId="77777777" w:rsidTr="00056DB1">
        <w:tc>
          <w:tcPr>
            <w:tcW w:w="1669" w:type="dxa"/>
            <w:vMerge/>
          </w:tcPr>
          <w:p w14:paraId="2E375963"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vMerge w:val="restart"/>
          </w:tcPr>
          <w:p w14:paraId="1C6CEF4D"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宋体" w:hAnsi="Book Antiqua" w:cs="Times New Roman"/>
                <w:color w:val="000000" w:themeColor="text1"/>
              </w:rPr>
              <w:t>Baicalin</w:t>
            </w:r>
          </w:p>
        </w:tc>
        <w:tc>
          <w:tcPr>
            <w:tcW w:w="663" w:type="dxa"/>
          </w:tcPr>
          <w:p w14:paraId="1A2529A0" w14:textId="622EE06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78</w:t>
            </w:r>
            <w:r w:rsidRPr="007B43A9">
              <w:rPr>
                <w:rFonts w:ascii="Book Antiqua" w:eastAsia="宋体" w:hAnsi="Book Antiqua" w:cs="Times New Roman" w:hint="eastAsia"/>
                <w:color w:val="000000" w:themeColor="text1"/>
              </w:rPr>
              <w:t>]</w:t>
            </w:r>
          </w:p>
        </w:tc>
        <w:tc>
          <w:tcPr>
            <w:tcW w:w="2015" w:type="dxa"/>
          </w:tcPr>
          <w:p w14:paraId="1EBAB200"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7B4B596D" w14:textId="7F59C7A8"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14B2A9FB" w14:textId="2DE124B6"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200 μ</w:t>
            </w:r>
            <w:r w:rsidRPr="007B43A9">
              <w:rPr>
                <w:rFonts w:ascii="Book Antiqua" w:eastAsia="宋体" w:hAnsi="Book Antiqua" w:cs="Times New Roman" w:hint="eastAsia"/>
                <w:color w:val="000000" w:themeColor="text1"/>
              </w:rPr>
              <w:t>mol/L</w:t>
            </w:r>
          </w:p>
        </w:tc>
      </w:tr>
      <w:tr w:rsidR="003703A6" w:rsidRPr="007B43A9" w14:paraId="69E2A98B" w14:textId="77777777" w:rsidTr="00056DB1">
        <w:tc>
          <w:tcPr>
            <w:tcW w:w="1669" w:type="dxa"/>
            <w:vMerge/>
          </w:tcPr>
          <w:p w14:paraId="31227409"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vMerge/>
          </w:tcPr>
          <w:p w14:paraId="11CA4760" w14:textId="77777777" w:rsidR="00056DB1" w:rsidRPr="007B43A9"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1820FA01" w14:textId="04AE27E8"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79</w:t>
            </w:r>
            <w:r w:rsidRPr="007B43A9">
              <w:rPr>
                <w:rFonts w:ascii="Book Antiqua" w:eastAsia="宋体" w:hAnsi="Book Antiqua" w:cs="Times New Roman" w:hint="eastAsia"/>
                <w:color w:val="000000" w:themeColor="text1"/>
              </w:rPr>
              <w:t>]</w:t>
            </w:r>
          </w:p>
        </w:tc>
        <w:tc>
          <w:tcPr>
            <w:tcW w:w="2015" w:type="dxa"/>
          </w:tcPr>
          <w:p w14:paraId="4423C0D2" w14:textId="77777777" w:rsidR="00056DB1" w:rsidRPr="007B43A9" w:rsidRDefault="00056DB1" w:rsidP="005142C8">
            <w:pPr>
              <w:widowControl/>
              <w:autoSpaceDE w:val="0"/>
              <w:autoSpaceDN w:val="0"/>
              <w:adjustRightInd w:val="0"/>
              <w:spacing w:line="360" w:lineRule="auto"/>
              <w:rPr>
                <w:rFonts w:ascii="Book Antiqua" w:hAnsi="Book Antiqua" w:cs="Times"/>
                <w:color w:val="000000" w:themeColor="text1"/>
                <w:kern w:val="0"/>
              </w:rPr>
            </w:pPr>
            <w:r w:rsidRPr="007B43A9">
              <w:rPr>
                <w:rFonts w:ascii="Book Antiqua" w:hAnsi="Book Antiqua" w:cs="Times"/>
                <w:color w:val="000000" w:themeColor="text1"/>
                <w:kern w:val="0"/>
              </w:rPr>
              <w:t xml:space="preserve">Atherosclerosis </w:t>
            </w:r>
          </w:p>
          <w:p w14:paraId="2AA90491"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mice</w:t>
            </w:r>
          </w:p>
        </w:tc>
        <w:tc>
          <w:tcPr>
            <w:tcW w:w="1349" w:type="dxa"/>
          </w:tcPr>
          <w:p w14:paraId="31210512" w14:textId="5F699A5F"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ACC4793"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宋体" w:hAnsi="Book Antiqua" w:cs="Times New Roman"/>
                <w:color w:val="000000" w:themeColor="text1"/>
              </w:rPr>
              <w:t>50 or 100 mg/kg</w:t>
            </w:r>
          </w:p>
        </w:tc>
      </w:tr>
      <w:tr w:rsidR="003703A6" w:rsidRPr="007B43A9" w14:paraId="7B7B1F55" w14:textId="77777777" w:rsidTr="00056DB1">
        <w:tc>
          <w:tcPr>
            <w:tcW w:w="1669" w:type="dxa"/>
            <w:vMerge/>
          </w:tcPr>
          <w:p w14:paraId="378F1CDA"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vMerge w:val="restart"/>
          </w:tcPr>
          <w:p w14:paraId="0852AB7E"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Oleuropein</w:t>
            </w:r>
          </w:p>
        </w:tc>
        <w:tc>
          <w:tcPr>
            <w:tcW w:w="663" w:type="dxa"/>
          </w:tcPr>
          <w:p w14:paraId="6689C182" w14:textId="1D327920"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80</w:t>
            </w:r>
            <w:r w:rsidRPr="007B43A9">
              <w:rPr>
                <w:rFonts w:ascii="Book Antiqua" w:eastAsia="宋体" w:hAnsi="Book Antiqua" w:cs="Times New Roman" w:hint="eastAsia"/>
                <w:color w:val="000000" w:themeColor="text1"/>
              </w:rPr>
              <w:t>]</w:t>
            </w:r>
          </w:p>
        </w:tc>
        <w:tc>
          <w:tcPr>
            <w:tcW w:w="2015" w:type="dxa"/>
          </w:tcPr>
          <w:p w14:paraId="4DD19608"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7C7589C5" w14:textId="3F66DB2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443334BD" w14:textId="03093A19"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10 μ</w:t>
            </w:r>
            <w:r w:rsidRPr="007B43A9">
              <w:rPr>
                <w:rFonts w:ascii="Book Antiqua" w:eastAsia="宋体" w:hAnsi="Book Antiqua" w:cs="Times New Roman" w:hint="eastAsia"/>
                <w:color w:val="000000" w:themeColor="text1"/>
              </w:rPr>
              <w:t>mol/L</w:t>
            </w:r>
          </w:p>
        </w:tc>
      </w:tr>
      <w:tr w:rsidR="003703A6" w:rsidRPr="007B43A9" w14:paraId="433FC6AE" w14:textId="77777777" w:rsidTr="00056DB1">
        <w:tc>
          <w:tcPr>
            <w:tcW w:w="1669" w:type="dxa"/>
            <w:vMerge/>
          </w:tcPr>
          <w:p w14:paraId="3D6DF691"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vMerge/>
          </w:tcPr>
          <w:p w14:paraId="3E98E7BA" w14:textId="77777777" w:rsidR="00056DB1" w:rsidRPr="007B43A9"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0AFE9640" w14:textId="46DA3743"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81</w:t>
            </w:r>
            <w:r w:rsidRPr="007B43A9">
              <w:rPr>
                <w:rFonts w:ascii="Book Antiqua" w:eastAsia="宋体" w:hAnsi="Book Antiqua" w:cs="Times New Roman" w:hint="eastAsia"/>
                <w:color w:val="000000" w:themeColor="text1"/>
              </w:rPr>
              <w:t>]</w:t>
            </w:r>
          </w:p>
        </w:tc>
        <w:tc>
          <w:tcPr>
            <w:tcW w:w="2015" w:type="dxa"/>
          </w:tcPr>
          <w:p w14:paraId="63D6DA42"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447FFAFB" w14:textId="5380FDBA"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7CCC4353" w14:textId="5A5FE4E1"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0.1-100 μ</w:t>
            </w:r>
            <w:r w:rsidRPr="007B43A9">
              <w:rPr>
                <w:rFonts w:ascii="Book Antiqua" w:eastAsia="宋体" w:hAnsi="Book Antiqua" w:cs="Times New Roman" w:hint="eastAsia"/>
                <w:color w:val="000000" w:themeColor="text1"/>
              </w:rPr>
              <w:t>mol/L</w:t>
            </w:r>
          </w:p>
        </w:tc>
      </w:tr>
      <w:tr w:rsidR="003703A6" w:rsidRPr="007B43A9" w14:paraId="1868F7E6" w14:textId="77777777" w:rsidTr="00056DB1">
        <w:tc>
          <w:tcPr>
            <w:tcW w:w="1669" w:type="dxa"/>
            <w:vMerge/>
          </w:tcPr>
          <w:p w14:paraId="00B5E10C" w14:textId="77777777" w:rsidR="00056DB1" w:rsidRPr="007B43A9" w:rsidRDefault="00056DB1" w:rsidP="005142C8">
            <w:pPr>
              <w:tabs>
                <w:tab w:val="left" w:pos="536"/>
              </w:tabs>
              <w:spacing w:line="360" w:lineRule="auto"/>
              <w:rPr>
                <w:rFonts w:ascii="Book Antiqua" w:eastAsia="宋体" w:hAnsi="Book Antiqua" w:cs="Times New Roman"/>
                <w:color w:val="000000" w:themeColor="text1"/>
              </w:rPr>
            </w:pPr>
          </w:p>
        </w:tc>
        <w:tc>
          <w:tcPr>
            <w:tcW w:w="2150" w:type="dxa"/>
          </w:tcPr>
          <w:p w14:paraId="5C87490C"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Piperlonguminine</w:t>
            </w:r>
          </w:p>
        </w:tc>
        <w:tc>
          <w:tcPr>
            <w:tcW w:w="663" w:type="dxa"/>
          </w:tcPr>
          <w:p w14:paraId="4D0A3A56" w14:textId="5CDC8E4E"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82</w:t>
            </w:r>
            <w:r w:rsidRPr="007B43A9">
              <w:rPr>
                <w:rFonts w:ascii="Book Antiqua" w:eastAsia="宋体" w:hAnsi="Book Antiqua" w:cs="Times New Roman" w:hint="eastAsia"/>
                <w:color w:val="000000" w:themeColor="text1"/>
              </w:rPr>
              <w:t>]</w:t>
            </w:r>
          </w:p>
        </w:tc>
        <w:tc>
          <w:tcPr>
            <w:tcW w:w="2015" w:type="dxa"/>
          </w:tcPr>
          <w:p w14:paraId="1C6CC68B"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1409790C" w14:textId="15F48D8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4A757DD4" w14:textId="4328B9CE"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3-30 μ</w:t>
            </w:r>
            <w:r w:rsidRPr="007B43A9">
              <w:rPr>
                <w:rFonts w:ascii="Book Antiqua" w:eastAsia="宋体" w:hAnsi="Book Antiqua" w:cs="Times New Roman" w:hint="eastAsia"/>
                <w:color w:val="000000" w:themeColor="text1"/>
              </w:rPr>
              <w:t>mol/L</w:t>
            </w:r>
          </w:p>
        </w:tc>
      </w:tr>
      <w:tr w:rsidR="003703A6" w:rsidRPr="007B43A9" w14:paraId="53BBD6F4" w14:textId="77777777" w:rsidTr="00056DB1">
        <w:tc>
          <w:tcPr>
            <w:tcW w:w="1669" w:type="dxa"/>
            <w:vMerge/>
          </w:tcPr>
          <w:p w14:paraId="0DFAE9C8"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6DE74C1C"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Hydroxytyrosol</w:t>
            </w:r>
          </w:p>
        </w:tc>
        <w:tc>
          <w:tcPr>
            <w:tcW w:w="663" w:type="dxa"/>
          </w:tcPr>
          <w:p w14:paraId="5D5FBFB0" w14:textId="18FEAECB"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83</w:t>
            </w:r>
            <w:r w:rsidRPr="007B43A9">
              <w:rPr>
                <w:rFonts w:ascii="Book Antiqua" w:eastAsia="宋体" w:hAnsi="Book Antiqua" w:cs="Times New Roman" w:hint="eastAsia"/>
                <w:color w:val="000000" w:themeColor="text1"/>
              </w:rPr>
              <w:t>]</w:t>
            </w:r>
          </w:p>
        </w:tc>
        <w:tc>
          <w:tcPr>
            <w:tcW w:w="2015" w:type="dxa"/>
          </w:tcPr>
          <w:p w14:paraId="3D49A3F8"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BMSCs</w:t>
            </w:r>
          </w:p>
        </w:tc>
        <w:tc>
          <w:tcPr>
            <w:tcW w:w="1349" w:type="dxa"/>
          </w:tcPr>
          <w:p w14:paraId="4D24438D" w14:textId="54B5146E"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034045A1"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 or 100 mmol</w:t>
            </w:r>
          </w:p>
        </w:tc>
      </w:tr>
      <w:tr w:rsidR="003703A6" w:rsidRPr="007B43A9" w14:paraId="3CB11A53" w14:textId="77777777" w:rsidTr="00056DB1">
        <w:tc>
          <w:tcPr>
            <w:tcW w:w="1669" w:type="dxa"/>
            <w:vMerge/>
          </w:tcPr>
          <w:p w14:paraId="68322196"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663F6B41" w14:textId="77777777" w:rsidR="00EC5318" w:rsidRPr="007B43A9" w:rsidRDefault="00EC5318" w:rsidP="005142C8">
            <w:pPr>
              <w:spacing w:line="360" w:lineRule="auto"/>
              <w:rPr>
                <w:rFonts w:ascii="Book Antiqua" w:eastAsia="Times New Roman" w:hAnsi="Book Antiqua" w:cs="Times New Roman"/>
                <w:color w:val="000000" w:themeColor="text1"/>
                <w:kern w:val="0"/>
              </w:rPr>
            </w:pPr>
          </w:p>
        </w:tc>
        <w:tc>
          <w:tcPr>
            <w:tcW w:w="663" w:type="dxa"/>
          </w:tcPr>
          <w:p w14:paraId="2A028ECE" w14:textId="5FC58A4E"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84</w:t>
            </w:r>
            <w:r w:rsidRPr="007B43A9">
              <w:rPr>
                <w:rFonts w:ascii="Book Antiqua" w:eastAsia="宋体" w:hAnsi="Book Antiqua" w:cs="Times New Roman" w:hint="eastAsia"/>
                <w:color w:val="000000" w:themeColor="text1"/>
              </w:rPr>
              <w:t>]</w:t>
            </w:r>
          </w:p>
        </w:tc>
        <w:tc>
          <w:tcPr>
            <w:tcW w:w="2015" w:type="dxa"/>
          </w:tcPr>
          <w:p w14:paraId="3F2D47C8" w14:textId="5761FC4A"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Omental </w:t>
            </w:r>
            <w:r w:rsidR="00EC5318" w:rsidRPr="007B43A9">
              <w:rPr>
                <w:rFonts w:ascii="Book Antiqua" w:eastAsia="宋体" w:hAnsi="Book Antiqua" w:cs="Times New Roman"/>
                <w:color w:val="000000" w:themeColor="text1"/>
              </w:rPr>
              <w:t>pre-adipocyte cells</w:t>
            </w:r>
          </w:p>
        </w:tc>
        <w:tc>
          <w:tcPr>
            <w:tcW w:w="1349" w:type="dxa"/>
          </w:tcPr>
          <w:p w14:paraId="4727A06B" w14:textId="6C680A65"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641FDC4" w14:textId="4AFDAAF9"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30 μg/m</w:t>
            </w:r>
            <w:r w:rsidR="00056DB1" w:rsidRPr="007B43A9">
              <w:rPr>
                <w:rFonts w:ascii="Book Antiqua" w:eastAsia="Times New Roman" w:hAnsi="Book Antiqua" w:cs="Times New Roman"/>
                <w:color w:val="000000" w:themeColor="text1"/>
                <w:kern w:val="0"/>
              </w:rPr>
              <w:t>L</w:t>
            </w:r>
          </w:p>
        </w:tc>
      </w:tr>
      <w:tr w:rsidR="003703A6" w:rsidRPr="007B43A9" w14:paraId="5EDD7566" w14:textId="77777777" w:rsidTr="00056DB1">
        <w:tc>
          <w:tcPr>
            <w:tcW w:w="1669" w:type="dxa"/>
            <w:vMerge/>
          </w:tcPr>
          <w:p w14:paraId="714BBEFC"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01EACBC7"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Shikonin</w:t>
            </w:r>
          </w:p>
        </w:tc>
        <w:tc>
          <w:tcPr>
            <w:tcW w:w="663" w:type="dxa"/>
          </w:tcPr>
          <w:p w14:paraId="27983915" w14:textId="67DEB9F5"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85</w:t>
            </w:r>
            <w:r w:rsidRPr="007B43A9">
              <w:rPr>
                <w:rFonts w:ascii="Book Antiqua" w:eastAsia="宋体" w:hAnsi="Book Antiqua" w:cs="Times New Roman" w:hint="eastAsia"/>
                <w:color w:val="000000" w:themeColor="text1"/>
              </w:rPr>
              <w:t>]</w:t>
            </w:r>
          </w:p>
        </w:tc>
        <w:tc>
          <w:tcPr>
            <w:tcW w:w="2015" w:type="dxa"/>
          </w:tcPr>
          <w:p w14:paraId="15D29F6B"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4C3A8C9C" w14:textId="3253F58D"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7D31141C" w14:textId="3B9C68A5" w:rsidR="00056DB1" w:rsidRPr="007B43A9" w:rsidRDefault="00056DB1" w:rsidP="005142C8">
            <w:pPr>
              <w:spacing w:line="360" w:lineRule="auto"/>
              <w:rPr>
                <w:rFonts w:ascii="Book Antiqua" w:eastAsia="Times New Roman" w:hAnsi="Book Antiqua" w:cs="Times New Roman"/>
                <w:color w:val="000000" w:themeColor="text1"/>
                <w:kern w:val="0"/>
              </w:rPr>
            </w:pPr>
            <w:bookmarkStart w:id="127" w:name="OLE_LINK219"/>
            <w:r w:rsidRPr="007B43A9">
              <w:rPr>
                <w:rFonts w:ascii="Book Antiqua" w:eastAsia="Times New Roman" w:hAnsi="Book Antiqua" w:cs="Times New Roman"/>
                <w:color w:val="000000" w:themeColor="text1"/>
                <w:kern w:val="0"/>
              </w:rPr>
              <w:t>0.5-2 μ</w:t>
            </w:r>
            <w:r w:rsidRPr="007B43A9">
              <w:rPr>
                <w:rFonts w:ascii="Book Antiqua" w:eastAsia="宋体" w:hAnsi="Book Antiqua" w:cs="Times New Roman" w:hint="eastAsia"/>
                <w:color w:val="000000" w:themeColor="text1"/>
              </w:rPr>
              <w:t>mol/L</w:t>
            </w:r>
            <w:bookmarkEnd w:id="127"/>
          </w:p>
        </w:tc>
      </w:tr>
      <w:tr w:rsidR="003703A6" w:rsidRPr="007B43A9" w14:paraId="19CEBE1D" w14:textId="77777777" w:rsidTr="00056DB1">
        <w:tc>
          <w:tcPr>
            <w:tcW w:w="1669" w:type="dxa"/>
            <w:vMerge/>
          </w:tcPr>
          <w:p w14:paraId="70EDB460"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6A2DBD69"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Ursolic acid</w:t>
            </w:r>
          </w:p>
        </w:tc>
        <w:tc>
          <w:tcPr>
            <w:tcW w:w="663" w:type="dxa"/>
          </w:tcPr>
          <w:p w14:paraId="77C84CC4" w14:textId="60460FE1"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86</w:t>
            </w:r>
            <w:r w:rsidRPr="007B43A9">
              <w:rPr>
                <w:rFonts w:ascii="Book Antiqua" w:eastAsia="宋体" w:hAnsi="Book Antiqua" w:cs="Times New Roman" w:hint="eastAsia"/>
                <w:color w:val="000000" w:themeColor="text1"/>
              </w:rPr>
              <w:t>]</w:t>
            </w:r>
          </w:p>
        </w:tc>
        <w:tc>
          <w:tcPr>
            <w:tcW w:w="2015" w:type="dxa"/>
          </w:tcPr>
          <w:p w14:paraId="5A36036C"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652E28C3" w14:textId="48D82D21"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36DEBB93" w14:textId="44146FA1"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2.5-10 μ</w:t>
            </w:r>
            <w:r w:rsidRPr="007B43A9">
              <w:rPr>
                <w:rFonts w:ascii="Book Antiqua" w:eastAsia="宋体" w:hAnsi="Book Antiqua" w:cs="Times New Roman" w:hint="eastAsia"/>
                <w:color w:val="000000" w:themeColor="text1"/>
              </w:rPr>
              <w:t>mol/L</w:t>
            </w:r>
          </w:p>
        </w:tc>
      </w:tr>
      <w:tr w:rsidR="003703A6" w:rsidRPr="007B43A9" w14:paraId="6258ED2D" w14:textId="77777777" w:rsidTr="00056DB1">
        <w:tc>
          <w:tcPr>
            <w:tcW w:w="1669" w:type="dxa"/>
            <w:vMerge/>
          </w:tcPr>
          <w:p w14:paraId="2B600B7E"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1EA5BA04"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Alpinia officinarum</w:t>
            </w:r>
          </w:p>
        </w:tc>
        <w:tc>
          <w:tcPr>
            <w:tcW w:w="663" w:type="dxa"/>
          </w:tcPr>
          <w:p w14:paraId="56DDEBBE" w14:textId="32685A0C"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87</w:t>
            </w:r>
            <w:r w:rsidRPr="007B43A9">
              <w:rPr>
                <w:rFonts w:ascii="Book Antiqua" w:eastAsia="宋体" w:hAnsi="Book Antiqua" w:cs="Times New Roman" w:hint="eastAsia"/>
                <w:color w:val="000000" w:themeColor="text1"/>
              </w:rPr>
              <w:t>]</w:t>
            </w:r>
          </w:p>
        </w:tc>
        <w:tc>
          <w:tcPr>
            <w:tcW w:w="2015" w:type="dxa"/>
          </w:tcPr>
          <w:p w14:paraId="1AA9AC05"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7A39070B" w14:textId="704CC69F"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78D018EB" w14:textId="4F04484D"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150-400 μg/mL</w:t>
            </w:r>
          </w:p>
        </w:tc>
      </w:tr>
      <w:tr w:rsidR="003703A6" w:rsidRPr="007B43A9" w14:paraId="4AC95414" w14:textId="77777777" w:rsidTr="00056DB1">
        <w:tc>
          <w:tcPr>
            <w:tcW w:w="1669" w:type="dxa"/>
            <w:vMerge/>
          </w:tcPr>
          <w:p w14:paraId="088FB04B"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0B6AD1AA"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Dioscin</w:t>
            </w:r>
          </w:p>
        </w:tc>
        <w:tc>
          <w:tcPr>
            <w:tcW w:w="663" w:type="dxa"/>
          </w:tcPr>
          <w:p w14:paraId="1BFA24E0" w14:textId="71871072"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88</w:t>
            </w:r>
            <w:r w:rsidRPr="007B43A9">
              <w:rPr>
                <w:rFonts w:ascii="Book Antiqua" w:eastAsia="宋体" w:hAnsi="Book Antiqua" w:cs="Times New Roman" w:hint="eastAsia"/>
                <w:color w:val="000000" w:themeColor="text1"/>
              </w:rPr>
              <w:t>]</w:t>
            </w:r>
          </w:p>
        </w:tc>
        <w:tc>
          <w:tcPr>
            <w:tcW w:w="2015" w:type="dxa"/>
          </w:tcPr>
          <w:p w14:paraId="66656F1A"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5C642E75" w14:textId="7EB3E804"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0A571B92" w14:textId="7CA62316"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1-4 μ</w:t>
            </w:r>
            <w:r w:rsidRPr="007B43A9">
              <w:rPr>
                <w:rFonts w:ascii="Book Antiqua" w:eastAsia="宋体" w:hAnsi="Book Antiqua" w:cs="Times New Roman" w:hint="eastAsia"/>
                <w:color w:val="000000" w:themeColor="text1"/>
              </w:rPr>
              <w:t>mol/L</w:t>
            </w:r>
          </w:p>
        </w:tc>
      </w:tr>
      <w:tr w:rsidR="003703A6" w:rsidRPr="007B43A9" w14:paraId="218DED14" w14:textId="77777777" w:rsidTr="00056DB1">
        <w:tc>
          <w:tcPr>
            <w:tcW w:w="1669" w:type="dxa"/>
            <w:vMerge/>
          </w:tcPr>
          <w:p w14:paraId="28AB6B45"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533EEE09"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Methyl cinnamate</w:t>
            </w:r>
          </w:p>
        </w:tc>
        <w:tc>
          <w:tcPr>
            <w:tcW w:w="663" w:type="dxa"/>
          </w:tcPr>
          <w:p w14:paraId="303EC369" w14:textId="30E1516D"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89</w:t>
            </w:r>
            <w:r w:rsidRPr="007B43A9">
              <w:rPr>
                <w:rFonts w:ascii="Book Antiqua" w:eastAsia="宋体" w:hAnsi="Book Antiqua" w:cs="Times New Roman" w:hint="eastAsia"/>
                <w:color w:val="000000" w:themeColor="text1"/>
              </w:rPr>
              <w:t>]</w:t>
            </w:r>
          </w:p>
        </w:tc>
        <w:tc>
          <w:tcPr>
            <w:tcW w:w="2015" w:type="dxa"/>
          </w:tcPr>
          <w:p w14:paraId="72DB5B73"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64502F7B" w14:textId="5747B35E"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733A6051" w14:textId="7CBEBBDC"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12.5-100 μ</w:t>
            </w:r>
            <w:r w:rsidRPr="007B43A9">
              <w:rPr>
                <w:rFonts w:ascii="Book Antiqua" w:eastAsia="宋体" w:hAnsi="Book Antiqua" w:cs="Times New Roman" w:hint="eastAsia"/>
                <w:color w:val="000000" w:themeColor="text1"/>
              </w:rPr>
              <w:t>mol/L</w:t>
            </w:r>
          </w:p>
        </w:tc>
      </w:tr>
      <w:tr w:rsidR="003703A6" w:rsidRPr="007B43A9" w14:paraId="3BF05738" w14:textId="77777777" w:rsidTr="00056DB1">
        <w:tc>
          <w:tcPr>
            <w:tcW w:w="1669" w:type="dxa"/>
            <w:vMerge/>
          </w:tcPr>
          <w:p w14:paraId="5CCCD03C"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385D81F0"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Tetrandrine</w:t>
            </w:r>
          </w:p>
        </w:tc>
        <w:tc>
          <w:tcPr>
            <w:tcW w:w="663" w:type="dxa"/>
          </w:tcPr>
          <w:p w14:paraId="764E9C7E" w14:textId="357E6F35"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90</w:t>
            </w:r>
            <w:r w:rsidRPr="007B43A9">
              <w:rPr>
                <w:rFonts w:ascii="Book Antiqua" w:eastAsia="宋体" w:hAnsi="Book Antiqua" w:cs="Times New Roman" w:hint="eastAsia"/>
                <w:color w:val="000000" w:themeColor="text1"/>
              </w:rPr>
              <w:t>]</w:t>
            </w:r>
          </w:p>
        </w:tc>
        <w:tc>
          <w:tcPr>
            <w:tcW w:w="2015" w:type="dxa"/>
          </w:tcPr>
          <w:p w14:paraId="40D6727A"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7DF290F4" w14:textId="7A9F8EC6"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DAFCA4A" w14:textId="6CF722D1"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2.5-10 μ</w:t>
            </w:r>
            <w:r w:rsidRPr="007B43A9">
              <w:rPr>
                <w:rFonts w:ascii="Book Antiqua" w:eastAsia="宋体" w:hAnsi="Book Antiqua" w:cs="Times New Roman" w:hint="eastAsia"/>
                <w:color w:val="000000" w:themeColor="text1"/>
              </w:rPr>
              <w:t>mol/L</w:t>
            </w:r>
          </w:p>
        </w:tc>
      </w:tr>
      <w:tr w:rsidR="003703A6" w:rsidRPr="007B43A9" w14:paraId="3829FFFA" w14:textId="77777777" w:rsidTr="00056DB1">
        <w:tc>
          <w:tcPr>
            <w:tcW w:w="1669" w:type="dxa"/>
            <w:vMerge/>
          </w:tcPr>
          <w:p w14:paraId="0E4ECD1F"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001FE692"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Honokiol</w:t>
            </w:r>
          </w:p>
        </w:tc>
        <w:tc>
          <w:tcPr>
            <w:tcW w:w="663" w:type="dxa"/>
          </w:tcPr>
          <w:p w14:paraId="62DD2D61" w14:textId="64BE9111"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91</w:t>
            </w:r>
            <w:r w:rsidRPr="007B43A9">
              <w:rPr>
                <w:rFonts w:ascii="Book Antiqua" w:eastAsia="宋体" w:hAnsi="Book Antiqua" w:cs="Times New Roman" w:hint="eastAsia"/>
                <w:color w:val="000000" w:themeColor="text1"/>
              </w:rPr>
              <w:t>]</w:t>
            </w:r>
          </w:p>
        </w:tc>
        <w:tc>
          <w:tcPr>
            <w:tcW w:w="2015" w:type="dxa"/>
          </w:tcPr>
          <w:p w14:paraId="5A22C0DF"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024E230D" w14:textId="00B1231E"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0AA35CC1" w14:textId="142B3F81" w:rsidR="00EC5318" w:rsidRPr="007B43A9" w:rsidRDefault="00EC5318" w:rsidP="005142C8">
            <w:pPr>
              <w:spacing w:line="360" w:lineRule="auto"/>
              <w:rPr>
                <w:rFonts w:ascii="Book Antiqua" w:eastAsia="Times New Roman" w:hAnsi="Book Antiqua" w:cs="Times New Roman"/>
                <w:color w:val="000000" w:themeColor="text1"/>
                <w:kern w:val="0"/>
              </w:rPr>
            </w:pPr>
            <w:bookmarkStart w:id="128" w:name="OLE_LINK228"/>
            <w:r w:rsidRPr="007B43A9">
              <w:rPr>
                <w:rFonts w:ascii="Book Antiqua" w:eastAsia="Times New Roman" w:hAnsi="Book Antiqua" w:cs="Times New Roman"/>
                <w:color w:val="000000" w:themeColor="text1"/>
                <w:kern w:val="0"/>
              </w:rPr>
              <w:t>1-10 μ</w:t>
            </w:r>
            <w:r w:rsidR="00056DB1" w:rsidRPr="007B43A9">
              <w:rPr>
                <w:rFonts w:ascii="Book Antiqua" w:eastAsia="宋体" w:hAnsi="Book Antiqua" w:cs="Times New Roman" w:hint="eastAsia"/>
                <w:color w:val="000000" w:themeColor="text1"/>
              </w:rPr>
              <w:t>mol/L</w:t>
            </w:r>
            <w:bookmarkEnd w:id="128"/>
          </w:p>
        </w:tc>
      </w:tr>
      <w:tr w:rsidR="003703A6" w:rsidRPr="007B43A9" w14:paraId="46528505" w14:textId="77777777" w:rsidTr="00056DB1">
        <w:tc>
          <w:tcPr>
            <w:tcW w:w="1669" w:type="dxa"/>
            <w:vMerge/>
          </w:tcPr>
          <w:p w14:paraId="3E4DFC91"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50DF20AA"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Licochalcone A</w:t>
            </w:r>
          </w:p>
        </w:tc>
        <w:tc>
          <w:tcPr>
            <w:tcW w:w="663" w:type="dxa"/>
          </w:tcPr>
          <w:p w14:paraId="1AF4F95E" w14:textId="49B90073"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92</w:t>
            </w:r>
            <w:r w:rsidRPr="007B43A9">
              <w:rPr>
                <w:rFonts w:ascii="Book Antiqua" w:eastAsia="宋体" w:hAnsi="Book Antiqua" w:cs="Times New Roman" w:hint="eastAsia"/>
                <w:color w:val="000000" w:themeColor="text1"/>
              </w:rPr>
              <w:t>]</w:t>
            </w:r>
          </w:p>
        </w:tc>
        <w:tc>
          <w:tcPr>
            <w:tcW w:w="2015" w:type="dxa"/>
          </w:tcPr>
          <w:p w14:paraId="430F5C4C"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3F549E96" w14:textId="50F5499A"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2C54A534" w14:textId="6CF7311E"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5 or 10 μ</w:t>
            </w:r>
            <w:r w:rsidR="00056DB1" w:rsidRPr="007B43A9">
              <w:rPr>
                <w:rFonts w:ascii="Book Antiqua" w:eastAsia="宋体" w:hAnsi="Book Antiqua" w:cs="Times New Roman" w:hint="eastAsia"/>
                <w:color w:val="000000" w:themeColor="text1"/>
              </w:rPr>
              <w:t>mol/L</w:t>
            </w:r>
          </w:p>
        </w:tc>
      </w:tr>
      <w:tr w:rsidR="003703A6" w:rsidRPr="007B43A9" w14:paraId="08C388E6" w14:textId="77777777" w:rsidTr="00056DB1">
        <w:tc>
          <w:tcPr>
            <w:tcW w:w="1669" w:type="dxa"/>
            <w:vMerge w:val="restart"/>
          </w:tcPr>
          <w:p w14:paraId="66C5F571"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Antifungal drugs</w:t>
            </w:r>
          </w:p>
        </w:tc>
        <w:tc>
          <w:tcPr>
            <w:tcW w:w="2150" w:type="dxa"/>
            <w:vMerge w:val="restart"/>
          </w:tcPr>
          <w:p w14:paraId="5365EE14"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Trichostatin A</w:t>
            </w:r>
          </w:p>
        </w:tc>
        <w:tc>
          <w:tcPr>
            <w:tcW w:w="663" w:type="dxa"/>
          </w:tcPr>
          <w:p w14:paraId="086B630A" w14:textId="040FC9B9"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51</w:t>
            </w:r>
            <w:r w:rsidRPr="007B43A9">
              <w:rPr>
                <w:rFonts w:ascii="Book Antiqua" w:eastAsia="宋体" w:hAnsi="Book Antiqua" w:cs="Times New Roman" w:hint="eastAsia"/>
                <w:color w:val="000000" w:themeColor="text1"/>
              </w:rPr>
              <w:t>]</w:t>
            </w:r>
          </w:p>
        </w:tc>
        <w:tc>
          <w:tcPr>
            <w:tcW w:w="2015" w:type="dxa"/>
          </w:tcPr>
          <w:p w14:paraId="1AC32E15" w14:textId="380BD1D8"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 xml:space="preserve">Periodontal </w:t>
            </w:r>
            <w:r w:rsidR="00EC5318" w:rsidRPr="007B43A9">
              <w:rPr>
                <w:rFonts w:ascii="Book Antiqua" w:eastAsia="Times New Roman" w:hAnsi="Book Antiqua" w:cs="Times New Roman"/>
                <w:color w:val="000000" w:themeColor="text1"/>
                <w:kern w:val="0"/>
              </w:rPr>
              <w:t>ligament cells</w:t>
            </w:r>
          </w:p>
        </w:tc>
        <w:tc>
          <w:tcPr>
            <w:tcW w:w="1349" w:type="dxa"/>
          </w:tcPr>
          <w:p w14:paraId="4CCB9EFD" w14:textId="6C9ADA95"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3A9F3510" w14:textId="229A1506"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400 n</w:t>
            </w:r>
            <w:r w:rsidR="00056DB1" w:rsidRPr="007B43A9">
              <w:rPr>
                <w:rFonts w:ascii="Book Antiqua" w:eastAsia="宋体" w:hAnsi="Book Antiqua" w:cs="Times New Roman" w:hint="eastAsia"/>
                <w:color w:val="000000" w:themeColor="text1"/>
              </w:rPr>
              <w:t>mol/L</w:t>
            </w:r>
          </w:p>
        </w:tc>
      </w:tr>
      <w:tr w:rsidR="003703A6" w:rsidRPr="007B43A9" w14:paraId="39E991A6" w14:textId="77777777" w:rsidTr="00056DB1">
        <w:tc>
          <w:tcPr>
            <w:tcW w:w="1669" w:type="dxa"/>
            <w:vMerge/>
          </w:tcPr>
          <w:p w14:paraId="50678A1D"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vMerge/>
          </w:tcPr>
          <w:p w14:paraId="2F2A5AF8" w14:textId="77777777" w:rsidR="00056DB1" w:rsidRPr="007B43A9"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06F0AD2C" w14:textId="3F77A834"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93</w:t>
            </w:r>
            <w:r w:rsidRPr="007B43A9">
              <w:rPr>
                <w:rFonts w:ascii="Book Antiqua" w:eastAsia="宋体" w:hAnsi="Book Antiqua" w:cs="Times New Roman" w:hint="eastAsia"/>
                <w:color w:val="000000" w:themeColor="text1"/>
              </w:rPr>
              <w:t>]</w:t>
            </w:r>
          </w:p>
        </w:tc>
        <w:tc>
          <w:tcPr>
            <w:tcW w:w="2015" w:type="dxa"/>
          </w:tcPr>
          <w:p w14:paraId="5A3012A0"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01477353" w14:textId="09A1D080"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2D1FD98C" w14:textId="0D8416F8"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500 n</w:t>
            </w:r>
            <w:r w:rsidRPr="007B43A9">
              <w:rPr>
                <w:rFonts w:ascii="Book Antiqua" w:eastAsia="宋体" w:hAnsi="Book Antiqua" w:cs="Times New Roman" w:hint="eastAsia"/>
                <w:color w:val="000000" w:themeColor="text1"/>
              </w:rPr>
              <w:t>mol/L</w:t>
            </w:r>
          </w:p>
        </w:tc>
      </w:tr>
      <w:tr w:rsidR="003703A6" w:rsidRPr="007B43A9" w14:paraId="0C75DAF0" w14:textId="77777777" w:rsidTr="00056DB1">
        <w:tc>
          <w:tcPr>
            <w:tcW w:w="1669" w:type="dxa"/>
            <w:vMerge w:val="restart"/>
          </w:tcPr>
          <w:p w14:paraId="50855EB7"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Antiviral drugs</w:t>
            </w:r>
          </w:p>
        </w:tc>
        <w:tc>
          <w:tcPr>
            <w:tcW w:w="2150" w:type="dxa"/>
            <w:vMerge w:val="restart"/>
          </w:tcPr>
          <w:p w14:paraId="278F66B4"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Efavirenz</w:t>
            </w:r>
          </w:p>
        </w:tc>
        <w:tc>
          <w:tcPr>
            <w:tcW w:w="663" w:type="dxa"/>
          </w:tcPr>
          <w:p w14:paraId="4363C129" w14:textId="57988350"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94</w:t>
            </w:r>
            <w:r w:rsidRPr="007B43A9">
              <w:rPr>
                <w:rFonts w:ascii="Book Antiqua" w:eastAsia="宋体" w:hAnsi="Book Antiqua" w:cs="Times New Roman" w:hint="eastAsia"/>
                <w:color w:val="000000" w:themeColor="text1"/>
              </w:rPr>
              <w:t>]</w:t>
            </w:r>
          </w:p>
        </w:tc>
        <w:tc>
          <w:tcPr>
            <w:tcW w:w="2015" w:type="dxa"/>
          </w:tcPr>
          <w:p w14:paraId="64F61D74" w14:textId="342BAD1B"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Pre-adipocytes</w:t>
            </w:r>
          </w:p>
        </w:tc>
        <w:tc>
          <w:tcPr>
            <w:tcW w:w="1349" w:type="dxa"/>
          </w:tcPr>
          <w:p w14:paraId="50D4E9FE" w14:textId="68D78955"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1321A2F9" w14:textId="7184F93B"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0.5-4 μ</w:t>
            </w:r>
            <w:r w:rsidRPr="007B43A9">
              <w:rPr>
                <w:rFonts w:ascii="Book Antiqua" w:eastAsia="宋体" w:hAnsi="Book Antiqua" w:cs="Times New Roman" w:hint="eastAsia"/>
                <w:color w:val="000000" w:themeColor="text1"/>
              </w:rPr>
              <w:t>mol/L</w:t>
            </w:r>
          </w:p>
        </w:tc>
      </w:tr>
      <w:tr w:rsidR="003703A6" w:rsidRPr="007B43A9" w14:paraId="43251E16" w14:textId="77777777" w:rsidTr="00056DB1">
        <w:tc>
          <w:tcPr>
            <w:tcW w:w="1669" w:type="dxa"/>
            <w:vMerge/>
          </w:tcPr>
          <w:p w14:paraId="205CF0AC" w14:textId="77777777" w:rsidR="00056DB1" w:rsidRPr="007B43A9" w:rsidRDefault="00056DB1" w:rsidP="005142C8">
            <w:pPr>
              <w:spacing w:line="360" w:lineRule="auto"/>
              <w:rPr>
                <w:rFonts w:ascii="Book Antiqua" w:eastAsia="Times New Roman" w:hAnsi="Book Antiqua" w:cs="Times New Roman"/>
                <w:color w:val="000000" w:themeColor="text1"/>
                <w:kern w:val="0"/>
              </w:rPr>
            </w:pPr>
          </w:p>
        </w:tc>
        <w:tc>
          <w:tcPr>
            <w:tcW w:w="2150" w:type="dxa"/>
            <w:vMerge/>
          </w:tcPr>
          <w:p w14:paraId="2889B4E7" w14:textId="77777777" w:rsidR="00056DB1" w:rsidRPr="007B43A9"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45EDC128" w14:textId="7E7618F9"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104</w:t>
            </w:r>
            <w:r w:rsidRPr="007B43A9">
              <w:rPr>
                <w:rFonts w:ascii="Book Antiqua" w:eastAsia="宋体" w:hAnsi="Book Antiqua" w:cs="Times New Roman" w:hint="eastAsia"/>
                <w:color w:val="000000" w:themeColor="text1"/>
              </w:rPr>
              <w:t>]</w:t>
            </w:r>
          </w:p>
        </w:tc>
        <w:tc>
          <w:tcPr>
            <w:tcW w:w="2015" w:type="dxa"/>
          </w:tcPr>
          <w:p w14:paraId="4D18010F"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SGBS pre-adipocytes</w:t>
            </w:r>
          </w:p>
        </w:tc>
        <w:tc>
          <w:tcPr>
            <w:tcW w:w="1349" w:type="dxa"/>
          </w:tcPr>
          <w:p w14:paraId="2CED7B03" w14:textId="6D36388A"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2D94DE69" w14:textId="4094A511"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0.1-5 μ</w:t>
            </w:r>
            <w:r w:rsidRPr="007B43A9">
              <w:rPr>
                <w:rFonts w:ascii="Book Antiqua" w:eastAsia="宋体" w:hAnsi="Book Antiqua" w:cs="Times New Roman" w:hint="eastAsia"/>
                <w:color w:val="000000" w:themeColor="text1"/>
              </w:rPr>
              <w:t>mol/L</w:t>
            </w:r>
          </w:p>
        </w:tc>
      </w:tr>
      <w:tr w:rsidR="003703A6" w:rsidRPr="007B43A9" w14:paraId="2A968703" w14:textId="77777777" w:rsidTr="00056DB1">
        <w:tc>
          <w:tcPr>
            <w:tcW w:w="1669" w:type="dxa"/>
            <w:vMerge/>
          </w:tcPr>
          <w:p w14:paraId="020017D3"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vMerge w:val="restart"/>
          </w:tcPr>
          <w:p w14:paraId="589EA75C"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Zidovudine</w:t>
            </w:r>
          </w:p>
        </w:tc>
        <w:tc>
          <w:tcPr>
            <w:tcW w:w="663" w:type="dxa"/>
          </w:tcPr>
          <w:p w14:paraId="5987469F" w14:textId="13FBD5FB"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95</w:t>
            </w:r>
            <w:r w:rsidRPr="007B43A9">
              <w:rPr>
                <w:rFonts w:ascii="Book Antiqua" w:eastAsia="宋体" w:hAnsi="Book Antiqua" w:cs="Times New Roman" w:hint="eastAsia"/>
                <w:color w:val="000000" w:themeColor="text1"/>
              </w:rPr>
              <w:t>]</w:t>
            </w:r>
          </w:p>
        </w:tc>
        <w:tc>
          <w:tcPr>
            <w:tcW w:w="2015" w:type="dxa"/>
          </w:tcPr>
          <w:p w14:paraId="35AD1635" w14:textId="2FE51556" w:rsidR="00056DB1" w:rsidRPr="007B43A9" w:rsidRDefault="00056DB1" w:rsidP="005142C8">
            <w:pPr>
              <w:spacing w:line="360" w:lineRule="auto"/>
              <w:rPr>
                <w:rFonts w:ascii="Book Antiqua" w:eastAsia="宋体" w:hAnsi="Book Antiqua" w:cs="Times New Roman"/>
                <w:color w:val="000000" w:themeColor="text1"/>
              </w:rPr>
            </w:pPr>
            <w:bookmarkStart w:id="129" w:name="OLE_LINK29"/>
            <w:bookmarkStart w:id="130" w:name="OLE_LINK30"/>
            <w:r w:rsidRPr="007B43A9">
              <w:rPr>
                <w:rFonts w:ascii="Book Antiqua" w:eastAsia="宋体" w:hAnsi="Book Antiqua" w:cs="Times New Roman"/>
                <w:color w:val="000000" w:themeColor="text1"/>
              </w:rPr>
              <w:t>3T3-F442A</w:t>
            </w:r>
            <w:bookmarkEnd w:id="129"/>
            <w:bookmarkEnd w:id="130"/>
          </w:p>
        </w:tc>
        <w:tc>
          <w:tcPr>
            <w:tcW w:w="1349" w:type="dxa"/>
          </w:tcPr>
          <w:p w14:paraId="4C39BDEE" w14:textId="0519A2BC"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E3822A9" w14:textId="47D414AA"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6-50 μ</w:t>
            </w:r>
            <w:r w:rsidRPr="007B43A9">
              <w:rPr>
                <w:rFonts w:ascii="Book Antiqua" w:eastAsia="宋体" w:hAnsi="Book Antiqua" w:cs="Times New Roman" w:hint="eastAsia"/>
                <w:color w:val="000000" w:themeColor="text1"/>
              </w:rPr>
              <w:t>mol/L</w:t>
            </w:r>
          </w:p>
        </w:tc>
      </w:tr>
      <w:tr w:rsidR="003703A6" w:rsidRPr="007B43A9" w14:paraId="33D0AD73" w14:textId="77777777" w:rsidTr="00056DB1">
        <w:tc>
          <w:tcPr>
            <w:tcW w:w="1669" w:type="dxa"/>
            <w:vMerge/>
          </w:tcPr>
          <w:p w14:paraId="6BC63ADB"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vMerge/>
          </w:tcPr>
          <w:p w14:paraId="2ECCC950" w14:textId="77777777" w:rsidR="00056DB1" w:rsidRPr="007B43A9"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0153CF51" w14:textId="61EDD204"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99</w:t>
            </w:r>
            <w:r w:rsidRPr="007B43A9">
              <w:rPr>
                <w:rFonts w:ascii="Book Antiqua" w:eastAsia="宋体" w:hAnsi="Book Antiqua" w:cs="Times New Roman" w:hint="eastAsia"/>
                <w:color w:val="000000" w:themeColor="text1"/>
              </w:rPr>
              <w:t>]</w:t>
            </w:r>
          </w:p>
        </w:tc>
        <w:tc>
          <w:tcPr>
            <w:tcW w:w="2015" w:type="dxa"/>
          </w:tcPr>
          <w:p w14:paraId="07451452"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3T3-F442A</w:t>
            </w:r>
          </w:p>
        </w:tc>
        <w:tc>
          <w:tcPr>
            <w:tcW w:w="1349" w:type="dxa"/>
          </w:tcPr>
          <w:p w14:paraId="0029429E" w14:textId="55959593"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49ED688C" w14:textId="0F755A0E"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1-6 μ</w:t>
            </w:r>
            <w:r w:rsidRPr="007B43A9">
              <w:rPr>
                <w:rFonts w:ascii="Book Antiqua" w:eastAsia="宋体" w:hAnsi="Book Antiqua" w:cs="Times New Roman" w:hint="eastAsia"/>
                <w:color w:val="000000" w:themeColor="text1"/>
              </w:rPr>
              <w:t>mol/L</w:t>
            </w:r>
          </w:p>
        </w:tc>
      </w:tr>
      <w:tr w:rsidR="003703A6" w:rsidRPr="007B43A9" w14:paraId="591D7AFB" w14:textId="77777777" w:rsidTr="00056DB1">
        <w:tc>
          <w:tcPr>
            <w:tcW w:w="1669" w:type="dxa"/>
            <w:vMerge/>
          </w:tcPr>
          <w:p w14:paraId="679AD224"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397CA637"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Stavudine</w:t>
            </w:r>
          </w:p>
        </w:tc>
        <w:tc>
          <w:tcPr>
            <w:tcW w:w="663" w:type="dxa"/>
          </w:tcPr>
          <w:p w14:paraId="7E015E79" w14:textId="711EECA9"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95</w:t>
            </w:r>
            <w:r w:rsidRPr="007B43A9">
              <w:rPr>
                <w:rFonts w:ascii="Book Antiqua" w:eastAsia="宋体" w:hAnsi="Book Antiqua" w:cs="Times New Roman" w:hint="eastAsia"/>
                <w:color w:val="000000" w:themeColor="text1"/>
              </w:rPr>
              <w:t>]</w:t>
            </w:r>
          </w:p>
        </w:tc>
        <w:tc>
          <w:tcPr>
            <w:tcW w:w="2015" w:type="dxa"/>
          </w:tcPr>
          <w:p w14:paraId="159247A3"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3T3-F442A</w:t>
            </w:r>
          </w:p>
        </w:tc>
        <w:tc>
          <w:tcPr>
            <w:tcW w:w="1349" w:type="dxa"/>
          </w:tcPr>
          <w:p w14:paraId="27D2FF79" w14:textId="733E57CD"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649F94D4" w14:textId="0FC1BC15"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3-75 μ</w:t>
            </w:r>
            <w:r w:rsidRPr="007B43A9">
              <w:rPr>
                <w:rFonts w:ascii="Book Antiqua" w:eastAsia="宋体" w:hAnsi="Book Antiqua" w:cs="Times New Roman" w:hint="eastAsia"/>
                <w:color w:val="000000" w:themeColor="text1"/>
              </w:rPr>
              <w:t>mol/L</w:t>
            </w:r>
          </w:p>
        </w:tc>
      </w:tr>
      <w:tr w:rsidR="003703A6" w:rsidRPr="007B43A9" w14:paraId="1358C981" w14:textId="77777777" w:rsidTr="00056DB1">
        <w:trPr>
          <w:trHeight w:val="423"/>
        </w:trPr>
        <w:tc>
          <w:tcPr>
            <w:tcW w:w="1669" w:type="dxa"/>
            <w:vMerge/>
          </w:tcPr>
          <w:p w14:paraId="5B03D396"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3CD90A9E"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Lamivudine</w:t>
            </w:r>
          </w:p>
        </w:tc>
        <w:tc>
          <w:tcPr>
            <w:tcW w:w="663" w:type="dxa"/>
          </w:tcPr>
          <w:p w14:paraId="6D79232A" w14:textId="7E16EB94"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95</w:t>
            </w:r>
            <w:r w:rsidRPr="007B43A9">
              <w:rPr>
                <w:rFonts w:ascii="Book Antiqua" w:eastAsia="宋体" w:hAnsi="Book Antiqua" w:cs="Times New Roman" w:hint="eastAsia"/>
                <w:color w:val="000000" w:themeColor="text1"/>
              </w:rPr>
              <w:t>]</w:t>
            </w:r>
          </w:p>
        </w:tc>
        <w:tc>
          <w:tcPr>
            <w:tcW w:w="2015" w:type="dxa"/>
          </w:tcPr>
          <w:p w14:paraId="5B47054E"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3T3-F442A</w:t>
            </w:r>
          </w:p>
        </w:tc>
        <w:tc>
          <w:tcPr>
            <w:tcW w:w="1349" w:type="dxa"/>
          </w:tcPr>
          <w:p w14:paraId="4EA375B3" w14:textId="610D5676"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6FE7313C" w14:textId="64FDB561"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8-</w:t>
            </w:r>
            <w:bookmarkStart w:id="131" w:name="OLE_LINK21"/>
            <w:bookmarkStart w:id="132" w:name="OLE_LINK22"/>
            <w:r w:rsidRPr="007B43A9">
              <w:rPr>
                <w:rFonts w:ascii="Book Antiqua" w:eastAsia="Times New Roman" w:hAnsi="Book Antiqua" w:cs="Times New Roman"/>
                <w:color w:val="000000" w:themeColor="text1"/>
                <w:kern w:val="0"/>
              </w:rPr>
              <w:t>200 μ</w:t>
            </w:r>
            <w:r w:rsidRPr="007B43A9">
              <w:rPr>
                <w:rFonts w:ascii="Book Antiqua" w:eastAsia="宋体" w:hAnsi="Book Antiqua" w:cs="Times New Roman" w:hint="eastAsia"/>
                <w:color w:val="000000" w:themeColor="text1"/>
              </w:rPr>
              <w:t>mol/L</w:t>
            </w:r>
            <w:bookmarkEnd w:id="131"/>
            <w:bookmarkEnd w:id="132"/>
          </w:p>
        </w:tc>
      </w:tr>
      <w:tr w:rsidR="003703A6" w:rsidRPr="007B43A9" w14:paraId="7805624C" w14:textId="77777777" w:rsidTr="00056DB1">
        <w:tc>
          <w:tcPr>
            <w:tcW w:w="1669" w:type="dxa"/>
            <w:vMerge/>
          </w:tcPr>
          <w:p w14:paraId="50371355"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6BED89EE"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Nelfinavir</w:t>
            </w:r>
          </w:p>
        </w:tc>
        <w:tc>
          <w:tcPr>
            <w:tcW w:w="663" w:type="dxa"/>
          </w:tcPr>
          <w:p w14:paraId="12D15870" w14:textId="73016862"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98</w:t>
            </w:r>
            <w:r w:rsidRPr="007B43A9">
              <w:rPr>
                <w:rFonts w:ascii="Book Antiqua" w:eastAsia="宋体" w:hAnsi="Book Antiqua" w:cs="Times New Roman" w:hint="eastAsia"/>
                <w:color w:val="000000" w:themeColor="text1"/>
              </w:rPr>
              <w:t>]</w:t>
            </w:r>
          </w:p>
        </w:tc>
        <w:tc>
          <w:tcPr>
            <w:tcW w:w="2015" w:type="dxa"/>
          </w:tcPr>
          <w:p w14:paraId="043A8699"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3T3-L1</w:t>
            </w:r>
          </w:p>
        </w:tc>
        <w:tc>
          <w:tcPr>
            <w:tcW w:w="1349" w:type="dxa"/>
          </w:tcPr>
          <w:p w14:paraId="544A611D" w14:textId="33BEFB6B"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447C84F4" w14:textId="48E105F5"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20 μ</w:t>
            </w:r>
            <w:r w:rsidRPr="007B43A9">
              <w:rPr>
                <w:rFonts w:ascii="Book Antiqua" w:eastAsia="宋体" w:hAnsi="Book Antiqua" w:cs="Times New Roman" w:hint="eastAsia"/>
                <w:color w:val="000000" w:themeColor="text1"/>
              </w:rPr>
              <w:t>mol/L</w:t>
            </w:r>
          </w:p>
        </w:tc>
      </w:tr>
      <w:tr w:rsidR="003703A6" w:rsidRPr="007B43A9" w14:paraId="002A8782" w14:textId="77777777" w:rsidTr="00056DB1">
        <w:tc>
          <w:tcPr>
            <w:tcW w:w="1669" w:type="dxa"/>
            <w:vMerge/>
          </w:tcPr>
          <w:p w14:paraId="0198FFC4"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vMerge w:val="restart"/>
          </w:tcPr>
          <w:p w14:paraId="6598A2F2"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Efavirenz</w:t>
            </w:r>
          </w:p>
        </w:tc>
        <w:tc>
          <w:tcPr>
            <w:tcW w:w="663" w:type="dxa"/>
          </w:tcPr>
          <w:p w14:paraId="2BB00638" w14:textId="09252B82"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96</w:t>
            </w:r>
            <w:r w:rsidRPr="007B43A9">
              <w:rPr>
                <w:rFonts w:ascii="Book Antiqua" w:eastAsia="宋体" w:hAnsi="Book Antiqua" w:cs="Times New Roman" w:hint="eastAsia"/>
                <w:color w:val="000000" w:themeColor="text1"/>
              </w:rPr>
              <w:t>]</w:t>
            </w:r>
          </w:p>
        </w:tc>
        <w:tc>
          <w:tcPr>
            <w:tcW w:w="2015" w:type="dxa"/>
          </w:tcPr>
          <w:p w14:paraId="1AEB4B4B" w14:textId="4262C21A"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Adipocyte precursor cells</w:t>
            </w:r>
          </w:p>
        </w:tc>
        <w:tc>
          <w:tcPr>
            <w:tcW w:w="1349" w:type="dxa"/>
          </w:tcPr>
          <w:p w14:paraId="4FB43185" w14:textId="217D3B6C"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4EDC9AC6" w14:textId="6F19E88A"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4 μ</w:t>
            </w:r>
            <w:r w:rsidRPr="007B43A9">
              <w:rPr>
                <w:rFonts w:ascii="Book Antiqua" w:eastAsia="宋体" w:hAnsi="Book Antiqua" w:cs="Times New Roman" w:hint="eastAsia"/>
                <w:color w:val="000000" w:themeColor="text1"/>
              </w:rPr>
              <w:t>mol/L</w:t>
            </w:r>
          </w:p>
        </w:tc>
      </w:tr>
      <w:tr w:rsidR="003703A6" w:rsidRPr="007B43A9" w14:paraId="7D4C53D5" w14:textId="77777777" w:rsidTr="00056DB1">
        <w:tc>
          <w:tcPr>
            <w:tcW w:w="1669" w:type="dxa"/>
            <w:vMerge/>
          </w:tcPr>
          <w:p w14:paraId="7A9D3714"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vMerge/>
          </w:tcPr>
          <w:p w14:paraId="7C56E496" w14:textId="77777777" w:rsidR="00056DB1" w:rsidRPr="007B43A9"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2C8C537E" w14:textId="65CCC00F"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97</w:t>
            </w:r>
            <w:r w:rsidRPr="007B43A9">
              <w:rPr>
                <w:rFonts w:ascii="Book Antiqua" w:eastAsia="宋体" w:hAnsi="Book Antiqua" w:cs="Times New Roman" w:hint="eastAsia"/>
                <w:color w:val="000000" w:themeColor="text1"/>
              </w:rPr>
              <w:t>]</w:t>
            </w:r>
          </w:p>
        </w:tc>
        <w:tc>
          <w:tcPr>
            <w:tcW w:w="2015" w:type="dxa"/>
          </w:tcPr>
          <w:p w14:paraId="1E6BCC23" w14:textId="18C86108"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Adipocyte precursor cells</w:t>
            </w:r>
          </w:p>
        </w:tc>
        <w:tc>
          <w:tcPr>
            <w:tcW w:w="1349" w:type="dxa"/>
          </w:tcPr>
          <w:p w14:paraId="28831982" w14:textId="079AF0AD"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48764BF2" w14:textId="676D6E25"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2 or 4 μ</w:t>
            </w:r>
            <w:r w:rsidRPr="007B43A9">
              <w:rPr>
                <w:rFonts w:ascii="Book Antiqua" w:eastAsia="宋体" w:hAnsi="Book Antiqua" w:cs="Times New Roman" w:hint="eastAsia"/>
                <w:color w:val="000000" w:themeColor="text1"/>
              </w:rPr>
              <w:t>mol/L</w:t>
            </w:r>
          </w:p>
        </w:tc>
      </w:tr>
      <w:tr w:rsidR="003703A6" w:rsidRPr="007B43A9" w14:paraId="661110A9" w14:textId="77777777" w:rsidTr="00056DB1">
        <w:tc>
          <w:tcPr>
            <w:tcW w:w="1669" w:type="dxa"/>
            <w:vMerge/>
          </w:tcPr>
          <w:p w14:paraId="7439192C"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4D87A47F"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Maraviroc</w:t>
            </w:r>
          </w:p>
        </w:tc>
        <w:tc>
          <w:tcPr>
            <w:tcW w:w="663" w:type="dxa"/>
          </w:tcPr>
          <w:p w14:paraId="67BE6B2F" w14:textId="3A0B058B"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96</w:t>
            </w:r>
            <w:r w:rsidRPr="007B43A9">
              <w:rPr>
                <w:rFonts w:ascii="Book Antiqua" w:eastAsia="宋体" w:hAnsi="Book Antiqua" w:cs="Times New Roman" w:hint="eastAsia"/>
                <w:color w:val="000000" w:themeColor="text1"/>
              </w:rPr>
              <w:t>]</w:t>
            </w:r>
          </w:p>
        </w:tc>
        <w:tc>
          <w:tcPr>
            <w:tcW w:w="2015" w:type="dxa"/>
          </w:tcPr>
          <w:p w14:paraId="0F22DC1E" w14:textId="381E5475"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Adipocyte </w:t>
            </w:r>
            <w:r w:rsidR="00EC5318" w:rsidRPr="007B43A9">
              <w:rPr>
                <w:rFonts w:ascii="Book Antiqua" w:eastAsia="宋体" w:hAnsi="Book Antiqua" w:cs="Times New Roman"/>
                <w:color w:val="000000" w:themeColor="text1"/>
              </w:rPr>
              <w:t>precursor cells</w:t>
            </w:r>
          </w:p>
        </w:tc>
        <w:tc>
          <w:tcPr>
            <w:tcW w:w="1349" w:type="dxa"/>
          </w:tcPr>
          <w:p w14:paraId="47632FE8" w14:textId="6F07851D"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No </w:t>
            </w:r>
            <w:r w:rsidR="00EC5318" w:rsidRPr="007B43A9">
              <w:rPr>
                <w:rFonts w:ascii="Book Antiqua" w:eastAsia="宋体" w:hAnsi="Book Antiqua" w:cs="Times New Roman"/>
                <w:color w:val="000000" w:themeColor="text1"/>
              </w:rPr>
              <w:t>effect</w:t>
            </w:r>
          </w:p>
        </w:tc>
        <w:tc>
          <w:tcPr>
            <w:tcW w:w="1776" w:type="dxa"/>
          </w:tcPr>
          <w:p w14:paraId="4331BC49" w14:textId="4115DA9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0.1-4 μ</w:t>
            </w:r>
            <w:r w:rsidR="00056DB1" w:rsidRPr="007B43A9">
              <w:rPr>
                <w:rFonts w:ascii="Book Antiqua" w:eastAsia="宋体" w:hAnsi="Book Antiqua" w:cs="Times New Roman" w:hint="eastAsia"/>
                <w:color w:val="000000" w:themeColor="text1"/>
              </w:rPr>
              <w:t>mol/L</w:t>
            </w:r>
          </w:p>
        </w:tc>
      </w:tr>
      <w:tr w:rsidR="003703A6" w:rsidRPr="007B43A9" w14:paraId="0EDF5AA3" w14:textId="77777777" w:rsidTr="00056DB1">
        <w:tc>
          <w:tcPr>
            <w:tcW w:w="1669" w:type="dxa"/>
            <w:vMerge/>
          </w:tcPr>
          <w:p w14:paraId="37B922EC"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547D976B"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Nevirapine</w:t>
            </w:r>
          </w:p>
        </w:tc>
        <w:tc>
          <w:tcPr>
            <w:tcW w:w="663" w:type="dxa"/>
          </w:tcPr>
          <w:p w14:paraId="7126BBFC" w14:textId="07218352"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97</w:t>
            </w:r>
            <w:r w:rsidRPr="007B43A9">
              <w:rPr>
                <w:rFonts w:ascii="Book Antiqua" w:eastAsia="宋体" w:hAnsi="Book Antiqua" w:cs="Times New Roman" w:hint="eastAsia"/>
                <w:color w:val="000000" w:themeColor="text1"/>
              </w:rPr>
              <w:t>]</w:t>
            </w:r>
          </w:p>
        </w:tc>
        <w:tc>
          <w:tcPr>
            <w:tcW w:w="2015" w:type="dxa"/>
          </w:tcPr>
          <w:p w14:paraId="7606A3C3" w14:textId="1936C935"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 xml:space="preserve">Adipocyte </w:t>
            </w:r>
            <w:r w:rsidR="00EC5318" w:rsidRPr="007B43A9">
              <w:rPr>
                <w:rFonts w:ascii="Book Antiqua" w:eastAsia="宋体" w:hAnsi="Book Antiqua" w:cs="Times New Roman"/>
                <w:color w:val="000000" w:themeColor="text1"/>
              </w:rPr>
              <w:t>precursor cells</w:t>
            </w:r>
          </w:p>
        </w:tc>
        <w:tc>
          <w:tcPr>
            <w:tcW w:w="1349" w:type="dxa"/>
          </w:tcPr>
          <w:p w14:paraId="77C55B5C" w14:textId="3C715204"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694ECB6F" w14:textId="1CCDFF83"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2 or 4 μ</w:t>
            </w:r>
            <w:r w:rsidR="00056DB1" w:rsidRPr="007B43A9">
              <w:rPr>
                <w:rFonts w:ascii="Book Antiqua" w:eastAsia="宋体" w:hAnsi="Book Antiqua" w:cs="Times New Roman" w:hint="eastAsia"/>
                <w:color w:val="000000" w:themeColor="text1"/>
              </w:rPr>
              <w:t>mol/L</w:t>
            </w:r>
          </w:p>
        </w:tc>
      </w:tr>
      <w:tr w:rsidR="003703A6" w:rsidRPr="007B43A9" w14:paraId="6A39B18D" w14:textId="77777777" w:rsidTr="00056DB1">
        <w:tc>
          <w:tcPr>
            <w:tcW w:w="1669" w:type="dxa"/>
            <w:vMerge/>
          </w:tcPr>
          <w:p w14:paraId="29A4D59D"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33A3BCEE"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Darunavir</w:t>
            </w:r>
          </w:p>
        </w:tc>
        <w:tc>
          <w:tcPr>
            <w:tcW w:w="663" w:type="dxa"/>
          </w:tcPr>
          <w:p w14:paraId="2B93C895" w14:textId="6D9921B0"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100</w:t>
            </w:r>
            <w:r w:rsidRPr="007B43A9">
              <w:rPr>
                <w:rFonts w:ascii="Book Antiqua" w:eastAsia="宋体" w:hAnsi="Book Antiqua" w:cs="Times New Roman" w:hint="eastAsia"/>
                <w:color w:val="000000" w:themeColor="text1"/>
              </w:rPr>
              <w:t>]</w:t>
            </w:r>
          </w:p>
        </w:tc>
        <w:tc>
          <w:tcPr>
            <w:tcW w:w="2015" w:type="dxa"/>
          </w:tcPr>
          <w:p w14:paraId="5F82D8F7" w14:textId="77777777" w:rsidR="00EC5318" w:rsidRPr="007B43A9" w:rsidRDefault="00EC5318"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3T3-L1</w:t>
            </w:r>
          </w:p>
        </w:tc>
        <w:tc>
          <w:tcPr>
            <w:tcW w:w="1349" w:type="dxa"/>
          </w:tcPr>
          <w:p w14:paraId="39CA5798" w14:textId="1DFA45DF"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228F3039" w14:textId="3815E2B5"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0.1-25 μ</w:t>
            </w:r>
            <w:r w:rsidR="00056DB1" w:rsidRPr="007B43A9">
              <w:rPr>
                <w:rFonts w:ascii="Book Antiqua" w:eastAsia="宋体" w:hAnsi="Book Antiqua" w:cs="Times New Roman" w:hint="eastAsia"/>
                <w:color w:val="000000" w:themeColor="text1"/>
              </w:rPr>
              <w:t>mol/L</w:t>
            </w:r>
          </w:p>
        </w:tc>
      </w:tr>
      <w:tr w:rsidR="003703A6" w:rsidRPr="007B43A9" w14:paraId="2DB03DAC" w14:textId="77777777" w:rsidTr="00056DB1">
        <w:tc>
          <w:tcPr>
            <w:tcW w:w="1669" w:type="dxa"/>
            <w:vMerge/>
          </w:tcPr>
          <w:p w14:paraId="425D6CED"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15289FDC"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Raltegravir</w:t>
            </w:r>
          </w:p>
        </w:tc>
        <w:tc>
          <w:tcPr>
            <w:tcW w:w="663" w:type="dxa"/>
          </w:tcPr>
          <w:p w14:paraId="528973A4" w14:textId="1AAAB35D"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101</w:t>
            </w:r>
            <w:r w:rsidRPr="007B43A9">
              <w:rPr>
                <w:rFonts w:ascii="Book Antiqua" w:eastAsia="宋体" w:hAnsi="Book Antiqua" w:cs="Times New Roman" w:hint="eastAsia"/>
                <w:color w:val="000000" w:themeColor="text1"/>
              </w:rPr>
              <w:t>]</w:t>
            </w:r>
          </w:p>
        </w:tc>
        <w:tc>
          <w:tcPr>
            <w:tcW w:w="2015" w:type="dxa"/>
          </w:tcPr>
          <w:p w14:paraId="7E2647AC"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3T3-F442A</w:t>
            </w:r>
          </w:p>
        </w:tc>
        <w:tc>
          <w:tcPr>
            <w:tcW w:w="1349" w:type="dxa"/>
          </w:tcPr>
          <w:p w14:paraId="1D987D4F" w14:textId="34B69202"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7E0C01DC" w14:textId="372BB9F1"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1-50 μg/mL</w:t>
            </w:r>
          </w:p>
        </w:tc>
      </w:tr>
      <w:tr w:rsidR="003703A6" w:rsidRPr="007B43A9" w14:paraId="63ADFC47" w14:textId="77777777" w:rsidTr="00056DB1">
        <w:tc>
          <w:tcPr>
            <w:tcW w:w="1669" w:type="dxa"/>
            <w:vMerge/>
          </w:tcPr>
          <w:p w14:paraId="5D3AC6ED"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vMerge w:val="restart"/>
          </w:tcPr>
          <w:p w14:paraId="32EE4AF7"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Indinavir</w:t>
            </w:r>
          </w:p>
        </w:tc>
        <w:tc>
          <w:tcPr>
            <w:tcW w:w="663" w:type="dxa"/>
          </w:tcPr>
          <w:p w14:paraId="7ABEA98A" w14:textId="62BB2B58"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102</w:t>
            </w:r>
            <w:r w:rsidRPr="007B43A9">
              <w:rPr>
                <w:rFonts w:ascii="Book Antiqua" w:eastAsia="宋体" w:hAnsi="Book Antiqua" w:cs="Times New Roman" w:hint="eastAsia"/>
                <w:color w:val="000000" w:themeColor="text1"/>
              </w:rPr>
              <w:t>]</w:t>
            </w:r>
          </w:p>
        </w:tc>
        <w:tc>
          <w:tcPr>
            <w:tcW w:w="2015" w:type="dxa"/>
          </w:tcPr>
          <w:p w14:paraId="7F7AFBBB"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3T3-L1 and 3T3-F442A</w:t>
            </w:r>
          </w:p>
        </w:tc>
        <w:tc>
          <w:tcPr>
            <w:tcW w:w="1349" w:type="dxa"/>
          </w:tcPr>
          <w:p w14:paraId="2C1824A7" w14:textId="799F6B29"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3542EDEA" w14:textId="60BDC6E5"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10 or 20 μ</w:t>
            </w:r>
            <w:r w:rsidRPr="007B43A9">
              <w:rPr>
                <w:rFonts w:ascii="Book Antiqua" w:eastAsia="宋体" w:hAnsi="Book Antiqua" w:cs="Times New Roman" w:hint="eastAsia"/>
                <w:color w:val="000000" w:themeColor="text1"/>
              </w:rPr>
              <w:t>mol/L</w:t>
            </w:r>
          </w:p>
        </w:tc>
      </w:tr>
      <w:tr w:rsidR="003703A6" w:rsidRPr="007B43A9" w14:paraId="4AB73BF9" w14:textId="77777777" w:rsidTr="00056DB1">
        <w:tc>
          <w:tcPr>
            <w:tcW w:w="1669" w:type="dxa"/>
            <w:vMerge/>
          </w:tcPr>
          <w:p w14:paraId="24B41A91"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vMerge/>
          </w:tcPr>
          <w:p w14:paraId="2C6C004C" w14:textId="77777777" w:rsidR="00056DB1" w:rsidRPr="007B43A9" w:rsidRDefault="00056DB1" w:rsidP="005142C8">
            <w:pPr>
              <w:spacing w:line="360" w:lineRule="auto"/>
              <w:rPr>
                <w:rFonts w:ascii="Book Antiqua" w:eastAsia="Times New Roman" w:hAnsi="Book Antiqua" w:cs="Times New Roman"/>
                <w:color w:val="000000" w:themeColor="text1"/>
                <w:kern w:val="0"/>
              </w:rPr>
            </w:pPr>
          </w:p>
        </w:tc>
        <w:tc>
          <w:tcPr>
            <w:tcW w:w="663" w:type="dxa"/>
          </w:tcPr>
          <w:p w14:paraId="4654325C" w14:textId="522A5B69"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103</w:t>
            </w:r>
            <w:r w:rsidRPr="007B43A9">
              <w:rPr>
                <w:rFonts w:ascii="Book Antiqua" w:eastAsia="宋体" w:hAnsi="Book Antiqua" w:cs="Times New Roman" w:hint="eastAsia"/>
                <w:color w:val="000000" w:themeColor="text1"/>
              </w:rPr>
              <w:t>]</w:t>
            </w:r>
          </w:p>
        </w:tc>
        <w:tc>
          <w:tcPr>
            <w:tcW w:w="2015" w:type="dxa"/>
          </w:tcPr>
          <w:p w14:paraId="271CC997" w14:textId="36BBB218" w:rsidR="00056DB1" w:rsidRPr="007B43A9" w:rsidRDefault="00056DB1" w:rsidP="005142C8">
            <w:pPr>
              <w:spacing w:line="360" w:lineRule="auto"/>
              <w:rPr>
                <w:rFonts w:ascii="Book Antiqua" w:eastAsia="宋体" w:hAnsi="Book Antiqua" w:cs="Times New Roman"/>
                <w:color w:val="000000" w:themeColor="text1"/>
              </w:rPr>
            </w:pPr>
            <w:bookmarkStart w:id="133" w:name="OLE_LINK1"/>
            <w:bookmarkStart w:id="134" w:name="OLE_LINK2"/>
            <w:r w:rsidRPr="007B43A9">
              <w:rPr>
                <w:rFonts w:ascii="Book Antiqua" w:eastAsia="宋体" w:hAnsi="Book Antiqua" w:cs="Times New Roman"/>
                <w:color w:val="000000" w:themeColor="text1"/>
              </w:rPr>
              <w:t>3T3-F442A</w:t>
            </w:r>
            <w:bookmarkEnd w:id="133"/>
            <w:bookmarkEnd w:id="134"/>
          </w:p>
        </w:tc>
        <w:tc>
          <w:tcPr>
            <w:tcW w:w="1349" w:type="dxa"/>
          </w:tcPr>
          <w:p w14:paraId="166E7B5A" w14:textId="4CF50D1B"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277EE8D7" w14:textId="481CBE6B"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1-50 μg/mL</w:t>
            </w:r>
          </w:p>
        </w:tc>
      </w:tr>
      <w:tr w:rsidR="003703A6" w:rsidRPr="007B43A9" w14:paraId="08E1C242" w14:textId="77777777" w:rsidTr="00056DB1">
        <w:tc>
          <w:tcPr>
            <w:tcW w:w="1669" w:type="dxa"/>
            <w:vMerge/>
          </w:tcPr>
          <w:p w14:paraId="72849E50" w14:textId="77777777" w:rsidR="00056DB1" w:rsidRPr="007B43A9" w:rsidRDefault="00056DB1" w:rsidP="005142C8">
            <w:pPr>
              <w:spacing w:line="360" w:lineRule="auto"/>
              <w:rPr>
                <w:rFonts w:ascii="Book Antiqua" w:eastAsia="宋体" w:hAnsi="Book Antiqua" w:cs="Times New Roman"/>
                <w:color w:val="000000" w:themeColor="text1"/>
              </w:rPr>
            </w:pPr>
          </w:p>
        </w:tc>
        <w:tc>
          <w:tcPr>
            <w:tcW w:w="2150" w:type="dxa"/>
          </w:tcPr>
          <w:p w14:paraId="64BA619D"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Elvitegravir</w:t>
            </w:r>
          </w:p>
        </w:tc>
        <w:tc>
          <w:tcPr>
            <w:tcW w:w="663" w:type="dxa"/>
          </w:tcPr>
          <w:p w14:paraId="5D3FBC4B" w14:textId="7AD04618"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104</w:t>
            </w:r>
            <w:r w:rsidRPr="007B43A9">
              <w:rPr>
                <w:rFonts w:ascii="Book Antiqua" w:eastAsia="宋体" w:hAnsi="Book Antiqua" w:cs="Times New Roman" w:hint="eastAsia"/>
                <w:color w:val="000000" w:themeColor="text1"/>
              </w:rPr>
              <w:t>]</w:t>
            </w:r>
          </w:p>
        </w:tc>
        <w:tc>
          <w:tcPr>
            <w:tcW w:w="2015" w:type="dxa"/>
          </w:tcPr>
          <w:p w14:paraId="7127778A"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SGBS pre-adipocytes</w:t>
            </w:r>
          </w:p>
        </w:tc>
        <w:tc>
          <w:tcPr>
            <w:tcW w:w="1349" w:type="dxa"/>
          </w:tcPr>
          <w:p w14:paraId="1221D15C" w14:textId="7C8C14DF"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36698360" w14:textId="62982462" w:rsidR="00056DB1" w:rsidRPr="007B43A9" w:rsidRDefault="00056DB1" w:rsidP="005142C8">
            <w:pPr>
              <w:spacing w:line="360" w:lineRule="auto"/>
              <w:rPr>
                <w:rFonts w:ascii="Book Antiqua" w:eastAsia="Times New Roman" w:hAnsi="Book Antiqua" w:cs="Times New Roman"/>
                <w:color w:val="000000" w:themeColor="text1"/>
                <w:kern w:val="0"/>
              </w:rPr>
            </w:pPr>
            <w:bookmarkStart w:id="135" w:name="OLE_LINK31"/>
            <w:bookmarkStart w:id="136" w:name="OLE_LINK32"/>
            <w:r w:rsidRPr="007B43A9">
              <w:rPr>
                <w:rFonts w:ascii="Book Antiqua" w:eastAsia="Times New Roman" w:hAnsi="Book Antiqua" w:cs="Times New Roman"/>
                <w:color w:val="000000" w:themeColor="text1"/>
                <w:kern w:val="0"/>
              </w:rPr>
              <w:t>0.1-5 μ</w:t>
            </w:r>
            <w:r w:rsidRPr="007B43A9">
              <w:rPr>
                <w:rFonts w:ascii="Book Antiqua" w:eastAsia="宋体" w:hAnsi="Book Antiqua" w:cs="Times New Roman" w:hint="eastAsia"/>
                <w:color w:val="000000" w:themeColor="text1"/>
              </w:rPr>
              <w:t>mol/L</w:t>
            </w:r>
            <w:bookmarkEnd w:id="135"/>
            <w:bookmarkEnd w:id="136"/>
          </w:p>
        </w:tc>
      </w:tr>
      <w:tr w:rsidR="003703A6" w:rsidRPr="007B43A9" w14:paraId="1E07A156" w14:textId="77777777" w:rsidTr="00056DB1">
        <w:tc>
          <w:tcPr>
            <w:tcW w:w="1669" w:type="dxa"/>
            <w:vMerge w:val="restart"/>
          </w:tcPr>
          <w:p w14:paraId="57E62349"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Antimalarials</w:t>
            </w:r>
          </w:p>
        </w:tc>
        <w:tc>
          <w:tcPr>
            <w:tcW w:w="2150" w:type="dxa"/>
          </w:tcPr>
          <w:p w14:paraId="32E48209" w14:textId="77777777"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Amodiaquine</w:t>
            </w:r>
          </w:p>
        </w:tc>
        <w:tc>
          <w:tcPr>
            <w:tcW w:w="663" w:type="dxa"/>
          </w:tcPr>
          <w:p w14:paraId="035D56EF" w14:textId="5AA10875"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Pr="007B43A9">
              <w:rPr>
                <w:rFonts w:ascii="Book Antiqua" w:eastAsia="宋体" w:hAnsi="Book Antiqua" w:cs="Times New Roman"/>
                <w:color w:val="000000" w:themeColor="text1"/>
              </w:rPr>
              <w:t>105</w:t>
            </w:r>
            <w:r w:rsidRPr="007B43A9">
              <w:rPr>
                <w:rFonts w:ascii="Book Antiqua" w:eastAsia="宋体" w:hAnsi="Book Antiqua" w:cs="Times New Roman" w:hint="eastAsia"/>
                <w:color w:val="000000" w:themeColor="text1"/>
              </w:rPr>
              <w:t>]</w:t>
            </w:r>
          </w:p>
        </w:tc>
        <w:tc>
          <w:tcPr>
            <w:tcW w:w="2015" w:type="dxa"/>
          </w:tcPr>
          <w:p w14:paraId="2EDCC320" w14:textId="77777777"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3T3-L1</w:t>
            </w:r>
          </w:p>
        </w:tc>
        <w:tc>
          <w:tcPr>
            <w:tcW w:w="1349" w:type="dxa"/>
          </w:tcPr>
          <w:p w14:paraId="66367438" w14:textId="7C354986" w:rsidR="00056DB1"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52158121" w14:textId="585BE3C3" w:rsidR="00056DB1" w:rsidRPr="007B43A9" w:rsidRDefault="00056DB1"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0.1-10 μ</w:t>
            </w:r>
            <w:r w:rsidRPr="007B43A9">
              <w:rPr>
                <w:rFonts w:ascii="Book Antiqua" w:eastAsia="宋体" w:hAnsi="Book Antiqua" w:cs="Times New Roman" w:hint="eastAsia"/>
                <w:color w:val="000000" w:themeColor="text1"/>
              </w:rPr>
              <w:t>mol/L</w:t>
            </w:r>
          </w:p>
        </w:tc>
      </w:tr>
      <w:tr w:rsidR="003703A6" w:rsidRPr="007B43A9" w14:paraId="398AE67D" w14:textId="77777777" w:rsidTr="00056DB1">
        <w:tc>
          <w:tcPr>
            <w:tcW w:w="1669" w:type="dxa"/>
            <w:vMerge/>
          </w:tcPr>
          <w:p w14:paraId="25C52B9F"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18274243"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Quinine</w:t>
            </w:r>
          </w:p>
        </w:tc>
        <w:tc>
          <w:tcPr>
            <w:tcW w:w="663" w:type="dxa"/>
          </w:tcPr>
          <w:p w14:paraId="3525D377" w14:textId="1B98EC3E"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106</w:t>
            </w:r>
            <w:r w:rsidRPr="007B43A9">
              <w:rPr>
                <w:rFonts w:ascii="Book Antiqua" w:eastAsia="宋体" w:hAnsi="Book Antiqua" w:cs="Times New Roman" w:hint="eastAsia"/>
                <w:color w:val="000000" w:themeColor="text1"/>
              </w:rPr>
              <w:t>]</w:t>
            </w:r>
          </w:p>
        </w:tc>
        <w:tc>
          <w:tcPr>
            <w:tcW w:w="2015" w:type="dxa"/>
          </w:tcPr>
          <w:p w14:paraId="072E4EE1" w14:textId="77307974"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Preadipocytes</w:t>
            </w:r>
          </w:p>
        </w:tc>
        <w:tc>
          <w:tcPr>
            <w:tcW w:w="1349" w:type="dxa"/>
          </w:tcPr>
          <w:p w14:paraId="1694CEA1" w14:textId="5DB8D224"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Promotion</w:t>
            </w:r>
          </w:p>
        </w:tc>
        <w:tc>
          <w:tcPr>
            <w:tcW w:w="1776" w:type="dxa"/>
          </w:tcPr>
          <w:p w14:paraId="65C7B580" w14:textId="4E5B8CEA"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5-50 μ</w:t>
            </w:r>
            <w:r w:rsidR="00056DB1" w:rsidRPr="007B43A9">
              <w:rPr>
                <w:rFonts w:ascii="Book Antiqua" w:eastAsia="宋体" w:hAnsi="Book Antiqua" w:cs="Times New Roman" w:hint="eastAsia"/>
                <w:color w:val="000000" w:themeColor="text1"/>
              </w:rPr>
              <w:t>mol/L</w:t>
            </w:r>
          </w:p>
        </w:tc>
      </w:tr>
      <w:tr w:rsidR="003703A6" w:rsidRPr="003703A6" w14:paraId="01591EBA" w14:textId="77777777" w:rsidTr="00056DB1">
        <w:tc>
          <w:tcPr>
            <w:tcW w:w="1669" w:type="dxa"/>
            <w:vMerge/>
          </w:tcPr>
          <w:p w14:paraId="20B90DF9" w14:textId="77777777" w:rsidR="00EC5318" w:rsidRPr="007B43A9" w:rsidRDefault="00EC5318" w:rsidP="005142C8">
            <w:pPr>
              <w:spacing w:line="360" w:lineRule="auto"/>
              <w:rPr>
                <w:rFonts w:ascii="Book Antiqua" w:eastAsia="宋体" w:hAnsi="Book Antiqua" w:cs="Times New Roman"/>
                <w:color w:val="000000" w:themeColor="text1"/>
              </w:rPr>
            </w:pPr>
          </w:p>
        </w:tc>
        <w:tc>
          <w:tcPr>
            <w:tcW w:w="2150" w:type="dxa"/>
          </w:tcPr>
          <w:p w14:paraId="7659C4A6" w14:textId="77777777" w:rsidR="00EC5318" w:rsidRPr="007B43A9"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Artemisinic Acid</w:t>
            </w:r>
          </w:p>
        </w:tc>
        <w:tc>
          <w:tcPr>
            <w:tcW w:w="663" w:type="dxa"/>
          </w:tcPr>
          <w:p w14:paraId="6CDA012C" w14:textId="73BC2196"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hint="eastAsia"/>
                <w:color w:val="000000" w:themeColor="text1"/>
              </w:rPr>
              <w:t>[</w:t>
            </w:r>
            <w:r w:rsidR="00EC5318" w:rsidRPr="007B43A9">
              <w:rPr>
                <w:rFonts w:ascii="Book Antiqua" w:eastAsia="宋体" w:hAnsi="Book Antiqua" w:cs="Times New Roman"/>
                <w:color w:val="000000" w:themeColor="text1"/>
              </w:rPr>
              <w:t>107</w:t>
            </w:r>
            <w:r w:rsidRPr="007B43A9">
              <w:rPr>
                <w:rFonts w:ascii="Book Antiqua" w:eastAsia="宋体" w:hAnsi="Book Antiqua" w:cs="Times New Roman" w:hint="eastAsia"/>
                <w:color w:val="000000" w:themeColor="text1"/>
              </w:rPr>
              <w:t>]</w:t>
            </w:r>
          </w:p>
        </w:tc>
        <w:tc>
          <w:tcPr>
            <w:tcW w:w="2015" w:type="dxa"/>
          </w:tcPr>
          <w:p w14:paraId="026BF258" w14:textId="5B2EBE22"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Times New Roman" w:hAnsi="Book Antiqua" w:cs="Times New Roman"/>
                <w:color w:val="000000" w:themeColor="text1"/>
                <w:kern w:val="0"/>
              </w:rPr>
              <w:t>Adipose</w:t>
            </w:r>
            <w:r w:rsidR="00EC5318" w:rsidRPr="007B43A9">
              <w:rPr>
                <w:rFonts w:ascii="Book Antiqua" w:eastAsia="Times New Roman" w:hAnsi="Book Antiqua" w:cs="Times New Roman"/>
                <w:color w:val="000000" w:themeColor="text1"/>
                <w:kern w:val="0"/>
              </w:rPr>
              <w:t>-derived stem cells</w:t>
            </w:r>
          </w:p>
        </w:tc>
        <w:tc>
          <w:tcPr>
            <w:tcW w:w="1349" w:type="dxa"/>
          </w:tcPr>
          <w:p w14:paraId="023CC91A" w14:textId="2F6E0CE3" w:rsidR="00EC5318" w:rsidRPr="007B43A9" w:rsidRDefault="00056DB1" w:rsidP="005142C8">
            <w:pPr>
              <w:spacing w:line="360" w:lineRule="auto"/>
              <w:rPr>
                <w:rFonts w:ascii="Book Antiqua" w:eastAsia="宋体" w:hAnsi="Book Antiqua" w:cs="Times New Roman"/>
                <w:color w:val="000000" w:themeColor="text1"/>
              </w:rPr>
            </w:pPr>
            <w:r w:rsidRPr="007B43A9">
              <w:rPr>
                <w:rFonts w:ascii="Book Antiqua" w:eastAsia="宋体" w:hAnsi="Book Antiqua" w:cs="Times New Roman"/>
                <w:color w:val="000000" w:themeColor="text1"/>
              </w:rPr>
              <w:t>Inhibition</w:t>
            </w:r>
          </w:p>
        </w:tc>
        <w:tc>
          <w:tcPr>
            <w:tcW w:w="1776" w:type="dxa"/>
          </w:tcPr>
          <w:p w14:paraId="70FBA796" w14:textId="2821096C" w:rsidR="00EC5318" w:rsidRPr="003703A6" w:rsidRDefault="00EC5318" w:rsidP="005142C8">
            <w:pPr>
              <w:spacing w:line="360" w:lineRule="auto"/>
              <w:rPr>
                <w:rFonts w:ascii="Book Antiqua" w:eastAsia="Times New Roman" w:hAnsi="Book Antiqua" w:cs="Times New Roman"/>
                <w:color w:val="000000" w:themeColor="text1"/>
                <w:kern w:val="0"/>
              </w:rPr>
            </w:pPr>
            <w:r w:rsidRPr="007B43A9">
              <w:rPr>
                <w:rFonts w:ascii="Book Antiqua" w:eastAsia="Times New Roman" w:hAnsi="Book Antiqua" w:cs="Times New Roman"/>
                <w:color w:val="000000" w:themeColor="text1"/>
                <w:kern w:val="0"/>
              </w:rPr>
              <w:t>50 or 200 μ</w:t>
            </w:r>
            <w:r w:rsidR="00056DB1" w:rsidRPr="007B43A9">
              <w:rPr>
                <w:rFonts w:ascii="Book Antiqua" w:eastAsia="宋体" w:hAnsi="Book Antiqua" w:cs="Times New Roman" w:hint="eastAsia"/>
                <w:color w:val="000000" w:themeColor="text1"/>
              </w:rPr>
              <w:t>mol/L</w:t>
            </w:r>
          </w:p>
        </w:tc>
      </w:tr>
    </w:tbl>
    <w:p w14:paraId="45111205" w14:textId="77777777" w:rsidR="008843DA" w:rsidRPr="003703A6" w:rsidRDefault="008843DA" w:rsidP="005142C8">
      <w:pPr>
        <w:spacing w:line="360" w:lineRule="auto"/>
        <w:rPr>
          <w:rFonts w:ascii="Book Antiqua" w:hAnsi="Book Antiqua" w:cs="Times New Roman"/>
          <w:noProof/>
          <w:color w:val="000000" w:themeColor="text1"/>
        </w:rPr>
      </w:pPr>
    </w:p>
    <w:sectPr w:rsidR="008843DA" w:rsidRPr="003703A6" w:rsidSect="00D92A4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CC559" w14:textId="77777777" w:rsidR="00B433BD" w:rsidRDefault="00B433BD" w:rsidP="00494FCC">
      <w:r>
        <w:separator/>
      </w:r>
    </w:p>
  </w:endnote>
  <w:endnote w:type="continuationSeparator" w:id="0">
    <w:p w14:paraId="5CE55409" w14:textId="77777777" w:rsidR="00B433BD" w:rsidRDefault="00B433BD" w:rsidP="0049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BoldItalicMT">
    <w:altName w:val="Courier New"/>
    <w:charset w:val="00"/>
    <w:family w:val="roman"/>
    <w:pitch w:val="default"/>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
    <w:altName w:val="Times"/>
    <w:panose1 w:val="02020603050405020304"/>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F71E" w14:textId="77777777" w:rsidR="00B433BD" w:rsidRDefault="00B433BD" w:rsidP="00494FCC">
      <w:r>
        <w:separator/>
      </w:r>
    </w:p>
  </w:footnote>
  <w:footnote w:type="continuationSeparator" w:id="0">
    <w:p w14:paraId="568FF35E" w14:textId="77777777" w:rsidR="00B433BD" w:rsidRDefault="00B433BD" w:rsidP="00494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bordersDoNotSurroundHeader/>
  <w:bordersDoNotSurroundFooter/>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E48F3"/>
    <w:rsid w:val="00013CE7"/>
    <w:rsid w:val="000175EB"/>
    <w:rsid w:val="00020CC3"/>
    <w:rsid w:val="00022001"/>
    <w:rsid w:val="00024059"/>
    <w:rsid w:val="00031FE6"/>
    <w:rsid w:val="00032C21"/>
    <w:rsid w:val="00042342"/>
    <w:rsid w:val="000456D3"/>
    <w:rsid w:val="00050F12"/>
    <w:rsid w:val="00056DB1"/>
    <w:rsid w:val="0005767C"/>
    <w:rsid w:val="0006134A"/>
    <w:rsid w:val="00067773"/>
    <w:rsid w:val="00076DE3"/>
    <w:rsid w:val="000778B0"/>
    <w:rsid w:val="00082356"/>
    <w:rsid w:val="0009497D"/>
    <w:rsid w:val="00095C04"/>
    <w:rsid w:val="000A2DA3"/>
    <w:rsid w:val="000A5ADC"/>
    <w:rsid w:val="000A6482"/>
    <w:rsid w:val="000A68FC"/>
    <w:rsid w:val="000A74A2"/>
    <w:rsid w:val="000B048D"/>
    <w:rsid w:val="000B2935"/>
    <w:rsid w:val="000B4E97"/>
    <w:rsid w:val="000D78B6"/>
    <w:rsid w:val="000E0340"/>
    <w:rsid w:val="000E07C6"/>
    <w:rsid w:val="000E266C"/>
    <w:rsid w:val="000E723D"/>
    <w:rsid w:val="000F12A0"/>
    <w:rsid w:val="000F59CB"/>
    <w:rsid w:val="001045D8"/>
    <w:rsid w:val="001111C8"/>
    <w:rsid w:val="0011561C"/>
    <w:rsid w:val="00115EBC"/>
    <w:rsid w:val="00120BB2"/>
    <w:rsid w:val="00120F52"/>
    <w:rsid w:val="00132D6B"/>
    <w:rsid w:val="00136A4A"/>
    <w:rsid w:val="00147FDB"/>
    <w:rsid w:val="00155B71"/>
    <w:rsid w:val="00167454"/>
    <w:rsid w:val="00171D86"/>
    <w:rsid w:val="0018210C"/>
    <w:rsid w:val="001874AC"/>
    <w:rsid w:val="00191937"/>
    <w:rsid w:val="001B58EC"/>
    <w:rsid w:val="001B7CF1"/>
    <w:rsid w:val="001D4F3B"/>
    <w:rsid w:val="001D5072"/>
    <w:rsid w:val="001D5D0C"/>
    <w:rsid w:val="001D6286"/>
    <w:rsid w:val="001E01C7"/>
    <w:rsid w:val="001E7E3F"/>
    <w:rsid w:val="001F60C1"/>
    <w:rsid w:val="00202AF1"/>
    <w:rsid w:val="00207F67"/>
    <w:rsid w:val="002110CE"/>
    <w:rsid w:val="0021362E"/>
    <w:rsid w:val="00214CB2"/>
    <w:rsid w:val="0022221D"/>
    <w:rsid w:val="00225E5C"/>
    <w:rsid w:val="002346EA"/>
    <w:rsid w:val="00246EAD"/>
    <w:rsid w:val="0024782D"/>
    <w:rsid w:val="002507F6"/>
    <w:rsid w:val="00250E9B"/>
    <w:rsid w:val="00261B2C"/>
    <w:rsid w:val="00262CBF"/>
    <w:rsid w:val="0026314A"/>
    <w:rsid w:val="00266064"/>
    <w:rsid w:val="0027220E"/>
    <w:rsid w:val="00277570"/>
    <w:rsid w:val="00280FE5"/>
    <w:rsid w:val="0028549B"/>
    <w:rsid w:val="00293B5F"/>
    <w:rsid w:val="00293BCA"/>
    <w:rsid w:val="0029476B"/>
    <w:rsid w:val="002948FB"/>
    <w:rsid w:val="002958B2"/>
    <w:rsid w:val="00295AFE"/>
    <w:rsid w:val="002A3701"/>
    <w:rsid w:val="002A388E"/>
    <w:rsid w:val="002B12FF"/>
    <w:rsid w:val="002B6E9C"/>
    <w:rsid w:val="002C06ED"/>
    <w:rsid w:val="002D0578"/>
    <w:rsid w:val="002D451E"/>
    <w:rsid w:val="002E0487"/>
    <w:rsid w:val="002E2FE9"/>
    <w:rsid w:val="002E44C2"/>
    <w:rsid w:val="002E46CC"/>
    <w:rsid w:val="002F1761"/>
    <w:rsid w:val="002F648A"/>
    <w:rsid w:val="0030290D"/>
    <w:rsid w:val="003032B4"/>
    <w:rsid w:val="003118C5"/>
    <w:rsid w:val="00313BE7"/>
    <w:rsid w:val="00323923"/>
    <w:rsid w:val="003252B8"/>
    <w:rsid w:val="00326925"/>
    <w:rsid w:val="00330097"/>
    <w:rsid w:val="003323FE"/>
    <w:rsid w:val="00333A87"/>
    <w:rsid w:val="0033543F"/>
    <w:rsid w:val="00340E81"/>
    <w:rsid w:val="003452B0"/>
    <w:rsid w:val="003527F9"/>
    <w:rsid w:val="003703A6"/>
    <w:rsid w:val="003740A2"/>
    <w:rsid w:val="003743A5"/>
    <w:rsid w:val="003851DE"/>
    <w:rsid w:val="00392056"/>
    <w:rsid w:val="00395ABA"/>
    <w:rsid w:val="00395B42"/>
    <w:rsid w:val="003B03E4"/>
    <w:rsid w:val="003B1DFF"/>
    <w:rsid w:val="003B501D"/>
    <w:rsid w:val="003B63E1"/>
    <w:rsid w:val="003C6F0C"/>
    <w:rsid w:val="003D6427"/>
    <w:rsid w:val="003D7461"/>
    <w:rsid w:val="003E077F"/>
    <w:rsid w:val="003E3404"/>
    <w:rsid w:val="003E7220"/>
    <w:rsid w:val="003E7EDF"/>
    <w:rsid w:val="003F1D48"/>
    <w:rsid w:val="003F4F73"/>
    <w:rsid w:val="004004AF"/>
    <w:rsid w:val="00403D84"/>
    <w:rsid w:val="00405FB7"/>
    <w:rsid w:val="00411A25"/>
    <w:rsid w:val="00412300"/>
    <w:rsid w:val="00414CA8"/>
    <w:rsid w:val="00415640"/>
    <w:rsid w:val="004172D0"/>
    <w:rsid w:val="004204E7"/>
    <w:rsid w:val="00437898"/>
    <w:rsid w:val="00441B8A"/>
    <w:rsid w:val="00443C55"/>
    <w:rsid w:val="00472FCA"/>
    <w:rsid w:val="004829BC"/>
    <w:rsid w:val="00484521"/>
    <w:rsid w:val="00485C60"/>
    <w:rsid w:val="00492047"/>
    <w:rsid w:val="00494224"/>
    <w:rsid w:val="00494FCC"/>
    <w:rsid w:val="004A2269"/>
    <w:rsid w:val="004A3AED"/>
    <w:rsid w:val="004A3F99"/>
    <w:rsid w:val="004A5858"/>
    <w:rsid w:val="004A67E5"/>
    <w:rsid w:val="004B5727"/>
    <w:rsid w:val="004B669B"/>
    <w:rsid w:val="004C12B5"/>
    <w:rsid w:val="004C23F6"/>
    <w:rsid w:val="004C3434"/>
    <w:rsid w:val="004C3E36"/>
    <w:rsid w:val="004D1673"/>
    <w:rsid w:val="004D360C"/>
    <w:rsid w:val="004D6AF8"/>
    <w:rsid w:val="004E2461"/>
    <w:rsid w:val="004E32E7"/>
    <w:rsid w:val="004E399F"/>
    <w:rsid w:val="004F1D33"/>
    <w:rsid w:val="004F3129"/>
    <w:rsid w:val="004F67EA"/>
    <w:rsid w:val="00501778"/>
    <w:rsid w:val="00507692"/>
    <w:rsid w:val="005142C8"/>
    <w:rsid w:val="00515265"/>
    <w:rsid w:val="0052748B"/>
    <w:rsid w:val="005374FD"/>
    <w:rsid w:val="005422DD"/>
    <w:rsid w:val="00550EAB"/>
    <w:rsid w:val="00564BE2"/>
    <w:rsid w:val="00570B2D"/>
    <w:rsid w:val="005720E4"/>
    <w:rsid w:val="00573DAD"/>
    <w:rsid w:val="00576CF7"/>
    <w:rsid w:val="0058433C"/>
    <w:rsid w:val="00584A13"/>
    <w:rsid w:val="005A2789"/>
    <w:rsid w:val="005B38F9"/>
    <w:rsid w:val="005B6570"/>
    <w:rsid w:val="005C31D4"/>
    <w:rsid w:val="005C48AE"/>
    <w:rsid w:val="005C766F"/>
    <w:rsid w:val="005C7E5B"/>
    <w:rsid w:val="005D0068"/>
    <w:rsid w:val="005D5C19"/>
    <w:rsid w:val="005E4702"/>
    <w:rsid w:val="005E63DC"/>
    <w:rsid w:val="005F2B0A"/>
    <w:rsid w:val="005F30C7"/>
    <w:rsid w:val="005F7620"/>
    <w:rsid w:val="00605F26"/>
    <w:rsid w:val="00607B98"/>
    <w:rsid w:val="00611874"/>
    <w:rsid w:val="00616527"/>
    <w:rsid w:val="00617E90"/>
    <w:rsid w:val="006304DB"/>
    <w:rsid w:val="006338EB"/>
    <w:rsid w:val="00645B42"/>
    <w:rsid w:val="00645D76"/>
    <w:rsid w:val="006467D2"/>
    <w:rsid w:val="00656452"/>
    <w:rsid w:val="00662DDF"/>
    <w:rsid w:val="00675F2B"/>
    <w:rsid w:val="00676554"/>
    <w:rsid w:val="00684331"/>
    <w:rsid w:val="006845D3"/>
    <w:rsid w:val="0068768D"/>
    <w:rsid w:val="00696F5A"/>
    <w:rsid w:val="006979B1"/>
    <w:rsid w:val="006A6E6A"/>
    <w:rsid w:val="006A6F70"/>
    <w:rsid w:val="006B1FDA"/>
    <w:rsid w:val="006B34B4"/>
    <w:rsid w:val="006C1E4D"/>
    <w:rsid w:val="006C3AB7"/>
    <w:rsid w:val="006D1349"/>
    <w:rsid w:val="006E0209"/>
    <w:rsid w:val="006E6DA9"/>
    <w:rsid w:val="006E7684"/>
    <w:rsid w:val="006F228C"/>
    <w:rsid w:val="006F2935"/>
    <w:rsid w:val="006F2C26"/>
    <w:rsid w:val="006F4B25"/>
    <w:rsid w:val="006F763C"/>
    <w:rsid w:val="007002B9"/>
    <w:rsid w:val="007011B6"/>
    <w:rsid w:val="0070308D"/>
    <w:rsid w:val="007119C1"/>
    <w:rsid w:val="00716018"/>
    <w:rsid w:val="00733EC5"/>
    <w:rsid w:val="00735BC8"/>
    <w:rsid w:val="00736A06"/>
    <w:rsid w:val="0073764F"/>
    <w:rsid w:val="00741DC8"/>
    <w:rsid w:val="0074708E"/>
    <w:rsid w:val="00757E25"/>
    <w:rsid w:val="007621E9"/>
    <w:rsid w:val="0076602A"/>
    <w:rsid w:val="0077437E"/>
    <w:rsid w:val="007906FC"/>
    <w:rsid w:val="007A1ACB"/>
    <w:rsid w:val="007A5EF8"/>
    <w:rsid w:val="007A6B1F"/>
    <w:rsid w:val="007A7855"/>
    <w:rsid w:val="007B43A9"/>
    <w:rsid w:val="007B5A2E"/>
    <w:rsid w:val="007C0303"/>
    <w:rsid w:val="007C0676"/>
    <w:rsid w:val="007C72B5"/>
    <w:rsid w:val="007C73BB"/>
    <w:rsid w:val="007D5EDA"/>
    <w:rsid w:val="007D6A31"/>
    <w:rsid w:val="007E587A"/>
    <w:rsid w:val="007E58ED"/>
    <w:rsid w:val="007F051E"/>
    <w:rsid w:val="007F1416"/>
    <w:rsid w:val="007F4010"/>
    <w:rsid w:val="0080176E"/>
    <w:rsid w:val="00802B7B"/>
    <w:rsid w:val="008058AF"/>
    <w:rsid w:val="00806364"/>
    <w:rsid w:val="008069EC"/>
    <w:rsid w:val="00812B01"/>
    <w:rsid w:val="0082129C"/>
    <w:rsid w:val="00837ABF"/>
    <w:rsid w:val="008412E9"/>
    <w:rsid w:val="00841855"/>
    <w:rsid w:val="00844C9E"/>
    <w:rsid w:val="008461C8"/>
    <w:rsid w:val="00853484"/>
    <w:rsid w:val="00853BF0"/>
    <w:rsid w:val="008560B3"/>
    <w:rsid w:val="00856B47"/>
    <w:rsid w:val="00860B14"/>
    <w:rsid w:val="00862E38"/>
    <w:rsid w:val="00867FF7"/>
    <w:rsid w:val="00870A6A"/>
    <w:rsid w:val="00873750"/>
    <w:rsid w:val="0087614D"/>
    <w:rsid w:val="008843DA"/>
    <w:rsid w:val="0088545A"/>
    <w:rsid w:val="00890229"/>
    <w:rsid w:val="008916E7"/>
    <w:rsid w:val="008941E9"/>
    <w:rsid w:val="0089486D"/>
    <w:rsid w:val="00897867"/>
    <w:rsid w:val="008A2F3B"/>
    <w:rsid w:val="008A5312"/>
    <w:rsid w:val="008C372E"/>
    <w:rsid w:val="008C4660"/>
    <w:rsid w:val="008C491E"/>
    <w:rsid w:val="008C546A"/>
    <w:rsid w:val="008E1D6B"/>
    <w:rsid w:val="008E2992"/>
    <w:rsid w:val="008E6B00"/>
    <w:rsid w:val="008F0EAD"/>
    <w:rsid w:val="008F1237"/>
    <w:rsid w:val="008F73ED"/>
    <w:rsid w:val="008F7415"/>
    <w:rsid w:val="00901F4E"/>
    <w:rsid w:val="00905583"/>
    <w:rsid w:val="009102C0"/>
    <w:rsid w:val="00916A22"/>
    <w:rsid w:val="00921CB1"/>
    <w:rsid w:val="00921D6C"/>
    <w:rsid w:val="00921ED3"/>
    <w:rsid w:val="009224F0"/>
    <w:rsid w:val="00922585"/>
    <w:rsid w:val="0094080D"/>
    <w:rsid w:val="009505B6"/>
    <w:rsid w:val="00952C40"/>
    <w:rsid w:val="00964443"/>
    <w:rsid w:val="00966370"/>
    <w:rsid w:val="00975CDD"/>
    <w:rsid w:val="00980651"/>
    <w:rsid w:val="00984500"/>
    <w:rsid w:val="00986ACD"/>
    <w:rsid w:val="009A045D"/>
    <w:rsid w:val="009A2E3A"/>
    <w:rsid w:val="009A3CA4"/>
    <w:rsid w:val="009B2BA9"/>
    <w:rsid w:val="009B7770"/>
    <w:rsid w:val="009C03C8"/>
    <w:rsid w:val="009C06C1"/>
    <w:rsid w:val="009C37E7"/>
    <w:rsid w:val="009C4CB1"/>
    <w:rsid w:val="009C7A2A"/>
    <w:rsid w:val="009D395A"/>
    <w:rsid w:val="009D4BE5"/>
    <w:rsid w:val="009D5265"/>
    <w:rsid w:val="009E0BAC"/>
    <w:rsid w:val="009E7512"/>
    <w:rsid w:val="009E7635"/>
    <w:rsid w:val="009F2DEA"/>
    <w:rsid w:val="00A03A5D"/>
    <w:rsid w:val="00A129BE"/>
    <w:rsid w:val="00A22236"/>
    <w:rsid w:val="00A31D56"/>
    <w:rsid w:val="00A406F1"/>
    <w:rsid w:val="00A41764"/>
    <w:rsid w:val="00A44C4A"/>
    <w:rsid w:val="00A4619D"/>
    <w:rsid w:val="00A5102F"/>
    <w:rsid w:val="00A52052"/>
    <w:rsid w:val="00A54FB4"/>
    <w:rsid w:val="00A70AEC"/>
    <w:rsid w:val="00A72569"/>
    <w:rsid w:val="00A80EB6"/>
    <w:rsid w:val="00A822FC"/>
    <w:rsid w:val="00A83227"/>
    <w:rsid w:val="00A857B2"/>
    <w:rsid w:val="00A920E2"/>
    <w:rsid w:val="00AA5126"/>
    <w:rsid w:val="00AA77D9"/>
    <w:rsid w:val="00AB14E6"/>
    <w:rsid w:val="00AC584B"/>
    <w:rsid w:val="00AD5F5A"/>
    <w:rsid w:val="00AD7576"/>
    <w:rsid w:val="00AE4D56"/>
    <w:rsid w:val="00AE4FBE"/>
    <w:rsid w:val="00AF0E28"/>
    <w:rsid w:val="00AF15F4"/>
    <w:rsid w:val="00AF20E5"/>
    <w:rsid w:val="00AF5EBC"/>
    <w:rsid w:val="00B0049C"/>
    <w:rsid w:val="00B019B3"/>
    <w:rsid w:val="00B02792"/>
    <w:rsid w:val="00B03DD1"/>
    <w:rsid w:val="00B101D5"/>
    <w:rsid w:val="00B17303"/>
    <w:rsid w:val="00B20549"/>
    <w:rsid w:val="00B249BB"/>
    <w:rsid w:val="00B33779"/>
    <w:rsid w:val="00B40FF2"/>
    <w:rsid w:val="00B42685"/>
    <w:rsid w:val="00B42703"/>
    <w:rsid w:val="00B433BD"/>
    <w:rsid w:val="00B602A6"/>
    <w:rsid w:val="00B658AA"/>
    <w:rsid w:val="00B66378"/>
    <w:rsid w:val="00B7450D"/>
    <w:rsid w:val="00B7451E"/>
    <w:rsid w:val="00B8017F"/>
    <w:rsid w:val="00B810F3"/>
    <w:rsid w:val="00B86939"/>
    <w:rsid w:val="00B93B68"/>
    <w:rsid w:val="00BA09D7"/>
    <w:rsid w:val="00BA3CD5"/>
    <w:rsid w:val="00BA50D5"/>
    <w:rsid w:val="00BB1019"/>
    <w:rsid w:val="00BC13A9"/>
    <w:rsid w:val="00BC531F"/>
    <w:rsid w:val="00BC613C"/>
    <w:rsid w:val="00BC7519"/>
    <w:rsid w:val="00BD0316"/>
    <w:rsid w:val="00BD130C"/>
    <w:rsid w:val="00BD49E9"/>
    <w:rsid w:val="00BD6486"/>
    <w:rsid w:val="00BE0108"/>
    <w:rsid w:val="00BE06A0"/>
    <w:rsid w:val="00BF33DF"/>
    <w:rsid w:val="00BF41D5"/>
    <w:rsid w:val="00BF6EA1"/>
    <w:rsid w:val="00C02548"/>
    <w:rsid w:val="00C146F6"/>
    <w:rsid w:val="00C15676"/>
    <w:rsid w:val="00C17926"/>
    <w:rsid w:val="00C20978"/>
    <w:rsid w:val="00C21ADF"/>
    <w:rsid w:val="00C26754"/>
    <w:rsid w:val="00C348B9"/>
    <w:rsid w:val="00C36126"/>
    <w:rsid w:val="00C40E90"/>
    <w:rsid w:val="00C435DF"/>
    <w:rsid w:val="00C46BD6"/>
    <w:rsid w:val="00C502AA"/>
    <w:rsid w:val="00C51146"/>
    <w:rsid w:val="00C54657"/>
    <w:rsid w:val="00C559DA"/>
    <w:rsid w:val="00C6379C"/>
    <w:rsid w:val="00C63A68"/>
    <w:rsid w:val="00C64621"/>
    <w:rsid w:val="00C653EC"/>
    <w:rsid w:val="00C65D20"/>
    <w:rsid w:val="00C778B4"/>
    <w:rsid w:val="00C8028D"/>
    <w:rsid w:val="00C82659"/>
    <w:rsid w:val="00C828B5"/>
    <w:rsid w:val="00C861CD"/>
    <w:rsid w:val="00CA02D9"/>
    <w:rsid w:val="00CA3196"/>
    <w:rsid w:val="00CB1E9C"/>
    <w:rsid w:val="00CB5A9B"/>
    <w:rsid w:val="00CC7387"/>
    <w:rsid w:val="00CD0FB9"/>
    <w:rsid w:val="00CD442D"/>
    <w:rsid w:val="00CD7E91"/>
    <w:rsid w:val="00CE027B"/>
    <w:rsid w:val="00CE27C3"/>
    <w:rsid w:val="00CE48F3"/>
    <w:rsid w:val="00D04536"/>
    <w:rsid w:val="00D04918"/>
    <w:rsid w:val="00D05797"/>
    <w:rsid w:val="00D06DF4"/>
    <w:rsid w:val="00D14380"/>
    <w:rsid w:val="00D15103"/>
    <w:rsid w:val="00D16E50"/>
    <w:rsid w:val="00D17858"/>
    <w:rsid w:val="00D20B0C"/>
    <w:rsid w:val="00D223E3"/>
    <w:rsid w:val="00D23E6C"/>
    <w:rsid w:val="00D24D93"/>
    <w:rsid w:val="00D25658"/>
    <w:rsid w:val="00D26893"/>
    <w:rsid w:val="00D31755"/>
    <w:rsid w:val="00D3554B"/>
    <w:rsid w:val="00D43030"/>
    <w:rsid w:val="00D4371A"/>
    <w:rsid w:val="00D4678B"/>
    <w:rsid w:val="00D7042C"/>
    <w:rsid w:val="00D71EDD"/>
    <w:rsid w:val="00D71EF4"/>
    <w:rsid w:val="00D73D31"/>
    <w:rsid w:val="00D819C7"/>
    <w:rsid w:val="00D92A4A"/>
    <w:rsid w:val="00D950DD"/>
    <w:rsid w:val="00D966DB"/>
    <w:rsid w:val="00DA1834"/>
    <w:rsid w:val="00DA571B"/>
    <w:rsid w:val="00DA7A81"/>
    <w:rsid w:val="00DA7DBB"/>
    <w:rsid w:val="00DB3B9F"/>
    <w:rsid w:val="00DB4257"/>
    <w:rsid w:val="00DC1D2C"/>
    <w:rsid w:val="00DC2205"/>
    <w:rsid w:val="00DD3F23"/>
    <w:rsid w:val="00DE39D0"/>
    <w:rsid w:val="00DE4063"/>
    <w:rsid w:val="00E212A0"/>
    <w:rsid w:val="00E25F70"/>
    <w:rsid w:val="00E32C28"/>
    <w:rsid w:val="00E46F9E"/>
    <w:rsid w:val="00E516FE"/>
    <w:rsid w:val="00E571D1"/>
    <w:rsid w:val="00E605AF"/>
    <w:rsid w:val="00E608C4"/>
    <w:rsid w:val="00E61907"/>
    <w:rsid w:val="00E61A59"/>
    <w:rsid w:val="00E65D5A"/>
    <w:rsid w:val="00E7086A"/>
    <w:rsid w:val="00E76DA8"/>
    <w:rsid w:val="00E87D91"/>
    <w:rsid w:val="00E9513B"/>
    <w:rsid w:val="00E974E1"/>
    <w:rsid w:val="00EA207F"/>
    <w:rsid w:val="00EA3A86"/>
    <w:rsid w:val="00EB1C1C"/>
    <w:rsid w:val="00EC4CCD"/>
    <w:rsid w:val="00EC5318"/>
    <w:rsid w:val="00ED0057"/>
    <w:rsid w:val="00ED154B"/>
    <w:rsid w:val="00ED2A0A"/>
    <w:rsid w:val="00EF4623"/>
    <w:rsid w:val="00F0056D"/>
    <w:rsid w:val="00F037D0"/>
    <w:rsid w:val="00F06E7D"/>
    <w:rsid w:val="00F0785E"/>
    <w:rsid w:val="00F1191E"/>
    <w:rsid w:val="00F11D26"/>
    <w:rsid w:val="00F138F1"/>
    <w:rsid w:val="00F21DFA"/>
    <w:rsid w:val="00F221BA"/>
    <w:rsid w:val="00F30902"/>
    <w:rsid w:val="00F3165D"/>
    <w:rsid w:val="00F32DCC"/>
    <w:rsid w:val="00F358BA"/>
    <w:rsid w:val="00F41238"/>
    <w:rsid w:val="00F45611"/>
    <w:rsid w:val="00F47B8F"/>
    <w:rsid w:val="00F47EEE"/>
    <w:rsid w:val="00F51F75"/>
    <w:rsid w:val="00F57E19"/>
    <w:rsid w:val="00F64792"/>
    <w:rsid w:val="00F74770"/>
    <w:rsid w:val="00F74A12"/>
    <w:rsid w:val="00F84BA4"/>
    <w:rsid w:val="00F93867"/>
    <w:rsid w:val="00FA4FE3"/>
    <w:rsid w:val="00FB2D68"/>
    <w:rsid w:val="00FC08FC"/>
    <w:rsid w:val="00FC5856"/>
    <w:rsid w:val="00FD1C0B"/>
    <w:rsid w:val="00FD3AD6"/>
    <w:rsid w:val="00FD6429"/>
    <w:rsid w:val="00FF0F57"/>
    <w:rsid w:val="00FF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6E8B3"/>
  <w14:defaultImageDpi w14:val="32767"/>
  <w15:docId w15:val="{5287032D-1780-4AE9-B25C-C5AF5185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E48F3"/>
  </w:style>
  <w:style w:type="paragraph" w:customStyle="1" w:styleId="EndNoteBibliographyTitle">
    <w:name w:val="EndNote Bibliography Title"/>
    <w:basedOn w:val="a"/>
    <w:rsid w:val="00CE48F3"/>
    <w:pPr>
      <w:jc w:val="center"/>
    </w:pPr>
    <w:rPr>
      <w:rFonts w:ascii="等线" w:eastAsia="等线" w:hAnsi="等线"/>
    </w:rPr>
  </w:style>
  <w:style w:type="paragraph" w:customStyle="1" w:styleId="EndNoteBibliography">
    <w:name w:val="EndNote Bibliography"/>
    <w:basedOn w:val="a"/>
    <w:rsid w:val="00CE48F3"/>
    <w:rPr>
      <w:rFonts w:ascii="等线" w:eastAsia="等线" w:hAnsi="等线"/>
    </w:rPr>
  </w:style>
  <w:style w:type="character" w:styleId="a3">
    <w:name w:val="Hyperlink"/>
    <w:basedOn w:val="a0"/>
    <w:uiPriority w:val="99"/>
    <w:unhideWhenUsed/>
    <w:rsid w:val="00CE48F3"/>
    <w:rPr>
      <w:color w:val="0563C1" w:themeColor="hyperlink"/>
      <w:u w:val="single"/>
    </w:rPr>
  </w:style>
  <w:style w:type="character" w:styleId="a4">
    <w:name w:val="annotation reference"/>
    <w:basedOn w:val="a0"/>
    <w:uiPriority w:val="99"/>
    <w:semiHidden/>
    <w:unhideWhenUsed/>
    <w:rsid w:val="004F3129"/>
    <w:rPr>
      <w:sz w:val="16"/>
      <w:szCs w:val="16"/>
    </w:rPr>
  </w:style>
  <w:style w:type="paragraph" w:styleId="a5">
    <w:name w:val="annotation text"/>
    <w:basedOn w:val="a"/>
    <w:link w:val="a6"/>
    <w:uiPriority w:val="99"/>
    <w:semiHidden/>
    <w:unhideWhenUsed/>
    <w:rsid w:val="004F3129"/>
    <w:rPr>
      <w:sz w:val="20"/>
      <w:szCs w:val="20"/>
    </w:rPr>
  </w:style>
  <w:style w:type="character" w:customStyle="1" w:styleId="a6">
    <w:name w:val="批注文字 字符"/>
    <w:basedOn w:val="a0"/>
    <w:link w:val="a5"/>
    <w:uiPriority w:val="99"/>
    <w:semiHidden/>
    <w:rsid w:val="004F3129"/>
    <w:rPr>
      <w:sz w:val="20"/>
      <w:szCs w:val="20"/>
    </w:rPr>
  </w:style>
  <w:style w:type="paragraph" w:styleId="a7">
    <w:name w:val="Balloon Text"/>
    <w:basedOn w:val="a"/>
    <w:link w:val="a8"/>
    <w:uiPriority w:val="99"/>
    <w:semiHidden/>
    <w:unhideWhenUsed/>
    <w:rsid w:val="00986ACD"/>
    <w:rPr>
      <w:rFonts w:ascii="宋体" w:eastAsia="宋体"/>
      <w:sz w:val="18"/>
      <w:szCs w:val="18"/>
    </w:rPr>
  </w:style>
  <w:style w:type="character" w:customStyle="1" w:styleId="a8">
    <w:name w:val="批注框文本 字符"/>
    <w:basedOn w:val="a0"/>
    <w:link w:val="a7"/>
    <w:uiPriority w:val="99"/>
    <w:semiHidden/>
    <w:rsid w:val="00986ACD"/>
    <w:rPr>
      <w:rFonts w:ascii="宋体" w:eastAsia="宋体"/>
      <w:sz w:val="18"/>
      <w:szCs w:val="18"/>
    </w:rPr>
  </w:style>
  <w:style w:type="character" w:customStyle="1" w:styleId="shorttext">
    <w:name w:val="short_text"/>
    <w:basedOn w:val="a0"/>
    <w:rsid w:val="00E212A0"/>
  </w:style>
  <w:style w:type="table" w:styleId="a9">
    <w:name w:val="Table Grid"/>
    <w:basedOn w:val="a1"/>
    <w:uiPriority w:val="39"/>
    <w:rsid w:val="0088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120F52"/>
  </w:style>
  <w:style w:type="character" w:customStyle="1" w:styleId="orcid-id-https">
    <w:name w:val="orcid-id-https"/>
    <w:basedOn w:val="a0"/>
    <w:rsid w:val="00D3554B"/>
  </w:style>
  <w:style w:type="paragraph" w:styleId="ab">
    <w:name w:val="footer"/>
    <w:basedOn w:val="a"/>
    <w:link w:val="ac"/>
    <w:uiPriority w:val="99"/>
    <w:unhideWhenUsed/>
    <w:rsid w:val="004C12B5"/>
    <w:pPr>
      <w:tabs>
        <w:tab w:val="center" w:pos="4153"/>
        <w:tab w:val="right" w:pos="8306"/>
      </w:tabs>
      <w:snapToGrid w:val="0"/>
      <w:jc w:val="left"/>
    </w:pPr>
    <w:rPr>
      <w:sz w:val="18"/>
      <w:szCs w:val="18"/>
    </w:rPr>
  </w:style>
  <w:style w:type="character" w:customStyle="1" w:styleId="ac">
    <w:name w:val="页脚 字符"/>
    <w:basedOn w:val="a0"/>
    <w:link w:val="ab"/>
    <w:uiPriority w:val="99"/>
    <w:rsid w:val="004C12B5"/>
    <w:rPr>
      <w:sz w:val="18"/>
      <w:szCs w:val="18"/>
    </w:rPr>
  </w:style>
  <w:style w:type="paragraph" w:styleId="ad">
    <w:name w:val="Plain Text"/>
    <w:basedOn w:val="a"/>
    <w:link w:val="ae"/>
    <w:rsid w:val="004C12B5"/>
    <w:rPr>
      <w:rFonts w:ascii="宋体" w:eastAsia="宋体" w:hAnsi="Courier New" w:cs="Courier New"/>
      <w:sz w:val="21"/>
      <w:szCs w:val="21"/>
    </w:rPr>
  </w:style>
  <w:style w:type="character" w:customStyle="1" w:styleId="ae">
    <w:name w:val="纯文本 字符"/>
    <w:basedOn w:val="a0"/>
    <w:link w:val="ad"/>
    <w:rsid w:val="004C12B5"/>
    <w:rPr>
      <w:rFonts w:ascii="宋体" w:eastAsia="宋体" w:hAnsi="Courier New" w:cs="Courier New"/>
      <w:sz w:val="21"/>
      <w:szCs w:val="21"/>
    </w:rPr>
  </w:style>
  <w:style w:type="paragraph" w:styleId="af">
    <w:name w:val="header"/>
    <w:basedOn w:val="a"/>
    <w:link w:val="af0"/>
    <w:uiPriority w:val="99"/>
    <w:unhideWhenUsed/>
    <w:rsid w:val="00494FCC"/>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494F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0634">
      <w:bodyDiv w:val="1"/>
      <w:marLeft w:val="0"/>
      <w:marRight w:val="0"/>
      <w:marTop w:val="0"/>
      <w:marBottom w:val="0"/>
      <w:divBdr>
        <w:top w:val="none" w:sz="0" w:space="0" w:color="auto"/>
        <w:left w:val="none" w:sz="0" w:space="0" w:color="auto"/>
        <w:bottom w:val="none" w:sz="0" w:space="0" w:color="auto"/>
        <w:right w:val="none" w:sz="0" w:space="0" w:color="auto"/>
      </w:divBdr>
    </w:div>
    <w:div w:id="89131497">
      <w:bodyDiv w:val="1"/>
      <w:marLeft w:val="0"/>
      <w:marRight w:val="0"/>
      <w:marTop w:val="0"/>
      <w:marBottom w:val="0"/>
      <w:divBdr>
        <w:top w:val="none" w:sz="0" w:space="0" w:color="auto"/>
        <w:left w:val="none" w:sz="0" w:space="0" w:color="auto"/>
        <w:bottom w:val="none" w:sz="0" w:space="0" w:color="auto"/>
        <w:right w:val="none" w:sz="0" w:space="0" w:color="auto"/>
      </w:divBdr>
    </w:div>
    <w:div w:id="117922280">
      <w:bodyDiv w:val="1"/>
      <w:marLeft w:val="0"/>
      <w:marRight w:val="0"/>
      <w:marTop w:val="0"/>
      <w:marBottom w:val="0"/>
      <w:divBdr>
        <w:top w:val="none" w:sz="0" w:space="0" w:color="auto"/>
        <w:left w:val="none" w:sz="0" w:space="0" w:color="auto"/>
        <w:bottom w:val="none" w:sz="0" w:space="0" w:color="auto"/>
        <w:right w:val="none" w:sz="0" w:space="0" w:color="auto"/>
      </w:divBdr>
    </w:div>
    <w:div w:id="262885757">
      <w:bodyDiv w:val="1"/>
      <w:marLeft w:val="0"/>
      <w:marRight w:val="0"/>
      <w:marTop w:val="0"/>
      <w:marBottom w:val="0"/>
      <w:divBdr>
        <w:top w:val="none" w:sz="0" w:space="0" w:color="auto"/>
        <w:left w:val="none" w:sz="0" w:space="0" w:color="auto"/>
        <w:bottom w:val="none" w:sz="0" w:space="0" w:color="auto"/>
        <w:right w:val="none" w:sz="0" w:space="0" w:color="auto"/>
      </w:divBdr>
    </w:div>
    <w:div w:id="338460046">
      <w:bodyDiv w:val="1"/>
      <w:marLeft w:val="0"/>
      <w:marRight w:val="0"/>
      <w:marTop w:val="0"/>
      <w:marBottom w:val="0"/>
      <w:divBdr>
        <w:top w:val="none" w:sz="0" w:space="0" w:color="auto"/>
        <w:left w:val="none" w:sz="0" w:space="0" w:color="auto"/>
        <w:bottom w:val="none" w:sz="0" w:space="0" w:color="auto"/>
        <w:right w:val="none" w:sz="0" w:space="0" w:color="auto"/>
      </w:divBdr>
    </w:div>
    <w:div w:id="361714742">
      <w:bodyDiv w:val="1"/>
      <w:marLeft w:val="0"/>
      <w:marRight w:val="0"/>
      <w:marTop w:val="0"/>
      <w:marBottom w:val="0"/>
      <w:divBdr>
        <w:top w:val="none" w:sz="0" w:space="0" w:color="auto"/>
        <w:left w:val="none" w:sz="0" w:space="0" w:color="auto"/>
        <w:bottom w:val="none" w:sz="0" w:space="0" w:color="auto"/>
        <w:right w:val="none" w:sz="0" w:space="0" w:color="auto"/>
      </w:divBdr>
    </w:div>
    <w:div w:id="449398849">
      <w:bodyDiv w:val="1"/>
      <w:marLeft w:val="0"/>
      <w:marRight w:val="0"/>
      <w:marTop w:val="0"/>
      <w:marBottom w:val="0"/>
      <w:divBdr>
        <w:top w:val="none" w:sz="0" w:space="0" w:color="auto"/>
        <w:left w:val="none" w:sz="0" w:space="0" w:color="auto"/>
        <w:bottom w:val="none" w:sz="0" w:space="0" w:color="auto"/>
        <w:right w:val="none" w:sz="0" w:space="0" w:color="auto"/>
      </w:divBdr>
    </w:div>
    <w:div w:id="529879554">
      <w:bodyDiv w:val="1"/>
      <w:marLeft w:val="0"/>
      <w:marRight w:val="0"/>
      <w:marTop w:val="0"/>
      <w:marBottom w:val="0"/>
      <w:divBdr>
        <w:top w:val="none" w:sz="0" w:space="0" w:color="auto"/>
        <w:left w:val="none" w:sz="0" w:space="0" w:color="auto"/>
        <w:bottom w:val="none" w:sz="0" w:space="0" w:color="auto"/>
        <w:right w:val="none" w:sz="0" w:space="0" w:color="auto"/>
      </w:divBdr>
    </w:div>
    <w:div w:id="716275333">
      <w:bodyDiv w:val="1"/>
      <w:marLeft w:val="0"/>
      <w:marRight w:val="0"/>
      <w:marTop w:val="0"/>
      <w:marBottom w:val="0"/>
      <w:divBdr>
        <w:top w:val="none" w:sz="0" w:space="0" w:color="auto"/>
        <w:left w:val="none" w:sz="0" w:space="0" w:color="auto"/>
        <w:bottom w:val="none" w:sz="0" w:space="0" w:color="auto"/>
        <w:right w:val="none" w:sz="0" w:space="0" w:color="auto"/>
      </w:divBdr>
    </w:div>
    <w:div w:id="859204697">
      <w:bodyDiv w:val="1"/>
      <w:marLeft w:val="0"/>
      <w:marRight w:val="0"/>
      <w:marTop w:val="0"/>
      <w:marBottom w:val="0"/>
      <w:divBdr>
        <w:top w:val="none" w:sz="0" w:space="0" w:color="auto"/>
        <w:left w:val="none" w:sz="0" w:space="0" w:color="auto"/>
        <w:bottom w:val="none" w:sz="0" w:space="0" w:color="auto"/>
        <w:right w:val="none" w:sz="0" w:space="0" w:color="auto"/>
      </w:divBdr>
    </w:div>
    <w:div w:id="1028605821">
      <w:bodyDiv w:val="1"/>
      <w:marLeft w:val="0"/>
      <w:marRight w:val="0"/>
      <w:marTop w:val="0"/>
      <w:marBottom w:val="0"/>
      <w:divBdr>
        <w:top w:val="none" w:sz="0" w:space="0" w:color="auto"/>
        <w:left w:val="none" w:sz="0" w:space="0" w:color="auto"/>
        <w:bottom w:val="none" w:sz="0" w:space="0" w:color="auto"/>
        <w:right w:val="none" w:sz="0" w:space="0" w:color="auto"/>
      </w:divBdr>
    </w:div>
    <w:div w:id="1292706958">
      <w:bodyDiv w:val="1"/>
      <w:marLeft w:val="0"/>
      <w:marRight w:val="0"/>
      <w:marTop w:val="0"/>
      <w:marBottom w:val="0"/>
      <w:divBdr>
        <w:top w:val="none" w:sz="0" w:space="0" w:color="auto"/>
        <w:left w:val="none" w:sz="0" w:space="0" w:color="auto"/>
        <w:bottom w:val="none" w:sz="0" w:space="0" w:color="auto"/>
        <w:right w:val="none" w:sz="0" w:space="0" w:color="auto"/>
      </w:divBdr>
    </w:div>
    <w:div w:id="1579972986">
      <w:bodyDiv w:val="1"/>
      <w:marLeft w:val="0"/>
      <w:marRight w:val="0"/>
      <w:marTop w:val="0"/>
      <w:marBottom w:val="0"/>
      <w:divBdr>
        <w:top w:val="none" w:sz="0" w:space="0" w:color="auto"/>
        <w:left w:val="none" w:sz="0" w:space="0" w:color="auto"/>
        <w:bottom w:val="none" w:sz="0" w:space="0" w:color="auto"/>
        <w:right w:val="none" w:sz="0" w:space="0" w:color="auto"/>
      </w:divBdr>
    </w:div>
    <w:div w:id="1744721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11034</Words>
  <Characters>62894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吴 云晓健</cp:lastModifiedBy>
  <cp:revision>6</cp:revision>
  <dcterms:created xsi:type="dcterms:W3CDTF">2019-05-30T09:39:00Z</dcterms:created>
  <dcterms:modified xsi:type="dcterms:W3CDTF">2019-06-26T10:03:00Z</dcterms:modified>
</cp:coreProperties>
</file>