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9CF9" w14:textId="77777777" w:rsidR="009A5D0B" w:rsidRPr="00AD5C42" w:rsidRDefault="009A5D0B" w:rsidP="00B12275">
      <w:pPr>
        <w:adjustRightInd w:val="0"/>
        <w:snapToGrid w:val="0"/>
        <w:spacing w:line="360" w:lineRule="auto"/>
        <w:outlineLvl w:val="0"/>
        <w:rPr>
          <w:rFonts w:ascii="Book Antiqua" w:hAnsi="Book Antiqua"/>
          <w:b/>
          <w:color w:val="000000" w:themeColor="text1"/>
          <w:sz w:val="24"/>
          <w:szCs w:val="24"/>
        </w:rPr>
      </w:pPr>
      <w:bookmarkStart w:id="0" w:name="_Hlk534810507"/>
      <w:r w:rsidRPr="00AD5C42">
        <w:rPr>
          <w:rFonts w:ascii="Book Antiqua" w:hAnsi="Book Antiqua"/>
          <w:b/>
          <w:color w:val="000000" w:themeColor="text1"/>
          <w:sz w:val="24"/>
          <w:szCs w:val="24"/>
        </w:rPr>
        <w:t xml:space="preserve">Name of Journal: </w:t>
      </w:r>
      <w:bookmarkStart w:id="1" w:name="_Hlk534810469"/>
      <w:r w:rsidRPr="00AD5C42">
        <w:rPr>
          <w:rFonts w:ascii="Book Antiqua" w:hAnsi="Book Antiqua"/>
          <w:b/>
          <w:i/>
          <w:color w:val="000000" w:themeColor="text1"/>
          <w:sz w:val="24"/>
          <w:szCs w:val="24"/>
        </w:rPr>
        <w:t>World Journal of Gastroenterology</w:t>
      </w:r>
      <w:bookmarkEnd w:id="1"/>
    </w:p>
    <w:p w14:paraId="3F03FF82" w14:textId="644CD5D5" w:rsidR="009A5D0B" w:rsidRPr="00AD5C42" w:rsidRDefault="0091598A" w:rsidP="00B12275">
      <w:pPr>
        <w:adjustRightInd w:val="0"/>
        <w:snapToGrid w:val="0"/>
        <w:spacing w:line="360" w:lineRule="auto"/>
        <w:outlineLvl w:val="0"/>
        <w:rPr>
          <w:rFonts w:ascii="Book Antiqua" w:hAnsi="Book Antiqua"/>
          <w:b/>
          <w:color w:val="000000" w:themeColor="text1"/>
          <w:sz w:val="24"/>
          <w:szCs w:val="24"/>
        </w:rPr>
      </w:pPr>
      <w:bookmarkStart w:id="2" w:name="OLE_LINK485"/>
      <w:bookmarkStart w:id="3" w:name="OLE_LINK486"/>
      <w:bookmarkStart w:id="4" w:name="OLE_LINK661"/>
      <w:bookmarkStart w:id="5" w:name="OLE_LINK768"/>
      <w:bookmarkStart w:id="6" w:name="OLE_LINK499"/>
      <w:bookmarkStart w:id="7" w:name="OLE_LINK437"/>
      <w:r w:rsidRPr="00AD5C42">
        <w:rPr>
          <w:rFonts w:ascii="Book Antiqua" w:hAnsi="Book Antiqua"/>
          <w:b/>
          <w:color w:val="000000" w:themeColor="text1"/>
          <w:sz w:val="24"/>
          <w:szCs w:val="24"/>
          <w:highlight w:val="white"/>
          <w:lang w:eastAsia="zh-CN"/>
        </w:rPr>
        <w:t>Manuscript NO:</w:t>
      </w:r>
      <w:bookmarkEnd w:id="2"/>
      <w:bookmarkEnd w:id="3"/>
      <w:bookmarkEnd w:id="4"/>
      <w:bookmarkEnd w:id="5"/>
      <w:bookmarkEnd w:id="6"/>
      <w:bookmarkEnd w:id="7"/>
      <w:r w:rsidRPr="00AD5C42">
        <w:rPr>
          <w:rFonts w:ascii="Book Antiqua" w:hAnsi="Book Antiqua"/>
          <w:b/>
          <w:color w:val="000000" w:themeColor="text1"/>
          <w:sz w:val="24"/>
          <w:szCs w:val="24"/>
          <w:lang w:eastAsia="zh-CN"/>
        </w:rPr>
        <w:t xml:space="preserve"> 46275</w:t>
      </w:r>
    </w:p>
    <w:p w14:paraId="176DEC3B" w14:textId="23F1944B" w:rsidR="009A5D0B" w:rsidRPr="00AD5C42" w:rsidRDefault="009A5D0B" w:rsidP="00B12275">
      <w:pPr>
        <w:adjustRightInd w:val="0"/>
        <w:snapToGrid w:val="0"/>
        <w:spacing w:line="360" w:lineRule="auto"/>
        <w:outlineLvl w:val="0"/>
        <w:rPr>
          <w:rFonts w:ascii="Book Antiqua" w:hAnsi="Book Antiqua"/>
          <w:b/>
          <w:color w:val="000000" w:themeColor="text1"/>
          <w:sz w:val="24"/>
          <w:szCs w:val="24"/>
        </w:rPr>
      </w:pPr>
      <w:r w:rsidRPr="00AD5C42">
        <w:rPr>
          <w:rFonts w:ascii="Book Antiqua" w:hAnsi="Book Antiqua"/>
          <w:b/>
          <w:color w:val="000000" w:themeColor="text1"/>
          <w:sz w:val="24"/>
          <w:szCs w:val="24"/>
        </w:rPr>
        <w:t>Manuscript Type: OPINION REVIEW</w:t>
      </w:r>
    </w:p>
    <w:p w14:paraId="6F0C4A47" w14:textId="77777777" w:rsidR="009A5D0B" w:rsidRPr="00AD5C42" w:rsidRDefault="009A5D0B" w:rsidP="00AF7B77">
      <w:pPr>
        <w:adjustRightInd w:val="0"/>
        <w:snapToGrid w:val="0"/>
        <w:spacing w:line="360" w:lineRule="auto"/>
        <w:rPr>
          <w:rFonts w:ascii="Book Antiqua" w:hAnsi="Book Antiqua"/>
          <w:color w:val="000000" w:themeColor="text1"/>
          <w:sz w:val="24"/>
          <w:szCs w:val="24"/>
        </w:rPr>
      </w:pPr>
    </w:p>
    <w:p w14:paraId="458A847F" w14:textId="77777777" w:rsidR="009A5D0B" w:rsidRPr="00AD5C42" w:rsidRDefault="009A5D0B" w:rsidP="00AF7B77">
      <w:pPr>
        <w:adjustRightInd w:val="0"/>
        <w:snapToGrid w:val="0"/>
        <w:spacing w:line="360" w:lineRule="auto"/>
        <w:rPr>
          <w:rFonts w:ascii="Book Antiqua" w:hAnsi="Book Antiqua"/>
          <w:b/>
          <w:color w:val="000000" w:themeColor="text1"/>
          <w:sz w:val="24"/>
          <w:szCs w:val="24"/>
          <w:lang w:eastAsia="zh-CN"/>
        </w:rPr>
      </w:pPr>
      <w:r w:rsidRPr="00AD5C42">
        <w:rPr>
          <w:rFonts w:ascii="Book Antiqua" w:hAnsi="Book Antiqua"/>
          <w:b/>
          <w:color w:val="000000" w:themeColor="text1"/>
          <w:sz w:val="24"/>
          <w:szCs w:val="24"/>
        </w:rPr>
        <w:t xml:space="preserve">Development of </w:t>
      </w:r>
      <w:r w:rsidRPr="00AD5C42">
        <w:rPr>
          <w:rFonts w:ascii="Book Antiqua" w:hAnsi="Book Antiqua"/>
          <w:b/>
          <w:i/>
          <w:color w:val="000000" w:themeColor="text1"/>
          <w:sz w:val="24"/>
          <w:szCs w:val="24"/>
        </w:rPr>
        <w:t xml:space="preserve">Helicobacter pylori </w:t>
      </w:r>
      <w:r w:rsidRPr="00AD5C42">
        <w:rPr>
          <w:rFonts w:ascii="Book Antiqua" w:hAnsi="Book Antiqua"/>
          <w:b/>
          <w:color w:val="000000" w:themeColor="text1"/>
          <w:sz w:val="24"/>
          <w:szCs w:val="24"/>
        </w:rPr>
        <w:t>treatment: How do we manage antimicrobial resistance?</w:t>
      </w:r>
    </w:p>
    <w:p w14:paraId="6E09DBF8" w14:textId="77777777" w:rsidR="009A5D0B" w:rsidRPr="00AD5C42" w:rsidRDefault="009A5D0B" w:rsidP="00AF7B77">
      <w:pPr>
        <w:adjustRightInd w:val="0"/>
        <w:snapToGrid w:val="0"/>
        <w:spacing w:line="360" w:lineRule="auto"/>
        <w:rPr>
          <w:rFonts w:ascii="Book Antiqua" w:hAnsi="Book Antiqua"/>
          <w:color w:val="000000" w:themeColor="text1"/>
          <w:sz w:val="24"/>
          <w:szCs w:val="24"/>
        </w:rPr>
      </w:pPr>
    </w:p>
    <w:p w14:paraId="0B489F26" w14:textId="759E5BF3" w:rsidR="009A5D0B" w:rsidRPr="00AD5C42" w:rsidRDefault="009A5D0B" w:rsidP="00B12275">
      <w:pPr>
        <w:adjustRightInd w:val="0"/>
        <w:snapToGrid w:val="0"/>
        <w:spacing w:line="360" w:lineRule="auto"/>
        <w:outlineLvl w:val="0"/>
        <w:rPr>
          <w:rFonts w:ascii="Book Antiqua" w:hAnsi="Book Antiqua"/>
          <w:color w:val="000000" w:themeColor="text1"/>
          <w:sz w:val="24"/>
          <w:szCs w:val="24"/>
        </w:rPr>
      </w:pPr>
      <w:r w:rsidRPr="00AD5C42">
        <w:rPr>
          <w:rFonts w:ascii="Book Antiqua" w:hAnsi="Book Antiqua"/>
          <w:color w:val="000000" w:themeColor="text1"/>
          <w:sz w:val="24"/>
          <w:szCs w:val="24"/>
        </w:rPr>
        <w:t xml:space="preserve">Suzuki S </w:t>
      </w:r>
      <w:r w:rsidRPr="00AD5C42">
        <w:rPr>
          <w:rFonts w:ascii="Book Antiqua" w:hAnsi="Book Antiqua"/>
          <w:i/>
          <w:color w:val="000000" w:themeColor="text1"/>
          <w:sz w:val="24"/>
          <w:szCs w:val="24"/>
        </w:rPr>
        <w:t>et al</w:t>
      </w:r>
      <w:r w:rsidRPr="00AD5C42">
        <w:rPr>
          <w:rFonts w:ascii="Book Antiqua" w:hAnsi="Book Antiqua"/>
          <w:color w:val="000000" w:themeColor="text1"/>
          <w:sz w:val="24"/>
          <w:szCs w:val="24"/>
        </w:rPr>
        <w:t xml:space="preserve">. </w:t>
      </w:r>
      <w:r w:rsidRPr="00AD5C42">
        <w:rPr>
          <w:rFonts w:ascii="Book Antiqua" w:hAnsi="Book Antiqua"/>
          <w:i/>
          <w:color w:val="000000" w:themeColor="text1"/>
          <w:sz w:val="24"/>
          <w:szCs w:val="24"/>
        </w:rPr>
        <w:t>H</w:t>
      </w:r>
      <w:r w:rsidR="0099068C" w:rsidRPr="00AD5C42">
        <w:rPr>
          <w:rFonts w:ascii="Book Antiqua" w:hAnsi="Book Antiqua"/>
          <w:i/>
          <w:color w:val="000000" w:themeColor="text1"/>
          <w:sz w:val="24"/>
          <w:szCs w:val="24"/>
        </w:rPr>
        <w:t>.</w:t>
      </w:r>
      <w:r w:rsidRPr="00AD5C42">
        <w:rPr>
          <w:rFonts w:ascii="Book Antiqua" w:hAnsi="Book Antiqua"/>
          <w:i/>
          <w:color w:val="000000" w:themeColor="text1"/>
          <w:sz w:val="24"/>
          <w:szCs w:val="24"/>
        </w:rPr>
        <w:t xml:space="preserve"> pylori</w:t>
      </w:r>
      <w:r w:rsidRPr="00AD5C42">
        <w:rPr>
          <w:rFonts w:ascii="Book Antiqua" w:hAnsi="Book Antiqua"/>
          <w:color w:val="000000" w:themeColor="text1"/>
          <w:sz w:val="24"/>
          <w:szCs w:val="24"/>
        </w:rPr>
        <w:t xml:space="preserve"> treatment for managing antimicrobial resistance</w:t>
      </w:r>
    </w:p>
    <w:p w14:paraId="7C0E3790" w14:textId="77777777" w:rsidR="009A5D0B" w:rsidRPr="00AD5C42" w:rsidRDefault="009A5D0B" w:rsidP="00AF7B77">
      <w:pPr>
        <w:adjustRightInd w:val="0"/>
        <w:snapToGrid w:val="0"/>
        <w:spacing w:line="360" w:lineRule="auto"/>
        <w:rPr>
          <w:rFonts w:ascii="Book Antiqua" w:hAnsi="Book Antiqua"/>
          <w:color w:val="000000" w:themeColor="text1"/>
          <w:sz w:val="24"/>
          <w:szCs w:val="24"/>
        </w:rPr>
      </w:pPr>
    </w:p>
    <w:p w14:paraId="48768972" w14:textId="77777777" w:rsidR="009A5D0B" w:rsidRPr="00AD5C42" w:rsidRDefault="009A5D0B" w:rsidP="00B12275">
      <w:pPr>
        <w:adjustRightInd w:val="0"/>
        <w:snapToGrid w:val="0"/>
        <w:spacing w:line="360" w:lineRule="auto"/>
        <w:outlineLvl w:val="0"/>
        <w:rPr>
          <w:rFonts w:ascii="Book Antiqua" w:hAnsi="Book Antiqua"/>
          <w:color w:val="000000" w:themeColor="text1"/>
          <w:sz w:val="24"/>
          <w:szCs w:val="24"/>
        </w:rPr>
      </w:pPr>
      <w:bookmarkStart w:id="8" w:name="_Hlk534810538"/>
      <w:r w:rsidRPr="00AD5C42">
        <w:rPr>
          <w:rFonts w:ascii="Book Antiqua" w:hAnsi="Book Antiqua"/>
          <w:color w:val="000000" w:themeColor="text1"/>
          <w:sz w:val="24"/>
          <w:szCs w:val="24"/>
        </w:rPr>
        <w:t>Sho Suzuki, Mitsuru Esaki, Chika Kusano, Hisatomo Ikehara, Takuji Gotoda</w:t>
      </w:r>
      <w:bookmarkEnd w:id="8"/>
    </w:p>
    <w:p w14:paraId="0683B741" w14:textId="77777777" w:rsidR="009A5D0B" w:rsidRPr="00AD5C42" w:rsidRDefault="009A5D0B" w:rsidP="00AF7B77">
      <w:pPr>
        <w:adjustRightInd w:val="0"/>
        <w:snapToGrid w:val="0"/>
        <w:spacing w:line="360" w:lineRule="auto"/>
        <w:rPr>
          <w:rFonts w:ascii="Book Antiqua" w:hAnsi="Book Antiqua"/>
          <w:color w:val="000000" w:themeColor="text1"/>
          <w:sz w:val="24"/>
          <w:szCs w:val="24"/>
        </w:rPr>
      </w:pPr>
    </w:p>
    <w:p w14:paraId="0619EE1E" w14:textId="756E35BF" w:rsidR="009A5D0B" w:rsidRPr="00AD5C42" w:rsidRDefault="00630495" w:rsidP="00AF7B77">
      <w:pPr>
        <w:adjustRightInd w:val="0"/>
        <w:snapToGrid w:val="0"/>
        <w:spacing w:line="360" w:lineRule="auto"/>
        <w:rPr>
          <w:rFonts w:ascii="Book Antiqua" w:hAnsi="Book Antiqua"/>
          <w:color w:val="000000" w:themeColor="text1"/>
          <w:sz w:val="24"/>
          <w:szCs w:val="24"/>
        </w:rPr>
      </w:pPr>
      <w:proofErr w:type="spellStart"/>
      <w:r w:rsidRPr="00AD5C42">
        <w:rPr>
          <w:rFonts w:ascii="Book Antiqua" w:hAnsi="Book Antiqua"/>
          <w:b/>
          <w:color w:val="000000" w:themeColor="text1"/>
          <w:sz w:val="24"/>
          <w:szCs w:val="24"/>
        </w:rPr>
        <w:t>Sho</w:t>
      </w:r>
      <w:proofErr w:type="spellEnd"/>
      <w:r w:rsidRPr="00AD5C42">
        <w:rPr>
          <w:rFonts w:ascii="Book Antiqua" w:hAnsi="Book Antiqua"/>
          <w:b/>
          <w:color w:val="000000" w:themeColor="text1"/>
          <w:sz w:val="24"/>
          <w:szCs w:val="24"/>
        </w:rPr>
        <w:t xml:space="preserve"> Suzuki, Mitsuru Esaki, Chika </w:t>
      </w:r>
      <w:proofErr w:type="spellStart"/>
      <w:r w:rsidRPr="00AD5C42">
        <w:rPr>
          <w:rFonts w:ascii="Book Antiqua" w:hAnsi="Book Antiqua"/>
          <w:b/>
          <w:color w:val="000000" w:themeColor="text1"/>
          <w:sz w:val="24"/>
          <w:szCs w:val="24"/>
        </w:rPr>
        <w:t>Kusano</w:t>
      </w:r>
      <w:proofErr w:type="spellEnd"/>
      <w:r w:rsidRPr="00AD5C42">
        <w:rPr>
          <w:rFonts w:ascii="Book Antiqua" w:hAnsi="Book Antiqua"/>
          <w:b/>
          <w:color w:val="000000" w:themeColor="text1"/>
          <w:sz w:val="24"/>
          <w:szCs w:val="24"/>
        </w:rPr>
        <w:t xml:space="preserve">, </w:t>
      </w:r>
      <w:proofErr w:type="spellStart"/>
      <w:r w:rsidRPr="00AD5C42">
        <w:rPr>
          <w:rFonts w:ascii="Book Antiqua" w:hAnsi="Book Antiqua"/>
          <w:b/>
          <w:color w:val="000000" w:themeColor="text1"/>
          <w:sz w:val="24"/>
          <w:szCs w:val="24"/>
        </w:rPr>
        <w:t>Hisatomo</w:t>
      </w:r>
      <w:proofErr w:type="spellEnd"/>
      <w:r w:rsidRPr="00AD5C42">
        <w:rPr>
          <w:rFonts w:ascii="Book Antiqua" w:hAnsi="Book Antiqua"/>
          <w:b/>
          <w:color w:val="000000" w:themeColor="text1"/>
          <w:sz w:val="24"/>
          <w:szCs w:val="24"/>
        </w:rPr>
        <w:t xml:space="preserve"> </w:t>
      </w:r>
      <w:proofErr w:type="spellStart"/>
      <w:r w:rsidRPr="00AD5C42">
        <w:rPr>
          <w:rFonts w:ascii="Book Antiqua" w:hAnsi="Book Antiqua"/>
          <w:b/>
          <w:color w:val="000000" w:themeColor="text1"/>
          <w:sz w:val="24"/>
          <w:szCs w:val="24"/>
        </w:rPr>
        <w:t>Ikehara</w:t>
      </w:r>
      <w:proofErr w:type="spellEnd"/>
      <w:r w:rsidRPr="00AD5C42">
        <w:rPr>
          <w:rFonts w:ascii="Book Antiqua" w:hAnsi="Book Antiqua"/>
          <w:b/>
          <w:color w:val="000000" w:themeColor="text1"/>
          <w:sz w:val="24"/>
          <w:szCs w:val="24"/>
        </w:rPr>
        <w:t xml:space="preserve">, </w:t>
      </w:r>
      <w:proofErr w:type="spellStart"/>
      <w:r w:rsidRPr="00AD5C42">
        <w:rPr>
          <w:rFonts w:ascii="Book Antiqua" w:hAnsi="Book Antiqua"/>
          <w:b/>
          <w:color w:val="000000" w:themeColor="text1"/>
          <w:sz w:val="24"/>
          <w:szCs w:val="24"/>
        </w:rPr>
        <w:t>Takuji</w:t>
      </w:r>
      <w:proofErr w:type="spellEnd"/>
      <w:r w:rsidRPr="00AD5C42">
        <w:rPr>
          <w:rFonts w:ascii="Book Antiqua" w:hAnsi="Book Antiqua"/>
          <w:b/>
          <w:color w:val="000000" w:themeColor="text1"/>
          <w:sz w:val="24"/>
          <w:szCs w:val="24"/>
        </w:rPr>
        <w:t xml:space="preserve"> </w:t>
      </w:r>
      <w:proofErr w:type="spellStart"/>
      <w:r w:rsidRPr="00AD5C42">
        <w:rPr>
          <w:rFonts w:ascii="Book Antiqua" w:hAnsi="Book Antiqua"/>
          <w:b/>
          <w:color w:val="000000" w:themeColor="text1"/>
          <w:sz w:val="24"/>
          <w:szCs w:val="24"/>
        </w:rPr>
        <w:t>Gotoda</w:t>
      </w:r>
      <w:proofErr w:type="spellEnd"/>
      <w:r w:rsidRPr="00AD5C42">
        <w:rPr>
          <w:rFonts w:ascii="Book Antiqua" w:hAnsi="Book Antiqua"/>
          <w:b/>
          <w:color w:val="000000" w:themeColor="text1"/>
          <w:sz w:val="24"/>
          <w:szCs w:val="24"/>
        </w:rPr>
        <w:t xml:space="preserve">, </w:t>
      </w:r>
      <w:r w:rsidR="009A5D0B" w:rsidRPr="00AD5C42">
        <w:rPr>
          <w:rFonts w:ascii="Book Antiqua" w:hAnsi="Book Antiqua"/>
          <w:color w:val="000000" w:themeColor="text1"/>
          <w:sz w:val="24"/>
          <w:szCs w:val="24"/>
        </w:rPr>
        <w:t>Division of Gastroenterology and Hepatology, Department of Medicine, Nihon University School of Medicine, Tokyo 1018309, Japan</w:t>
      </w:r>
    </w:p>
    <w:p w14:paraId="2BD09C89" w14:textId="77777777" w:rsidR="009A5D0B" w:rsidRPr="00AD5C42" w:rsidRDefault="009A5D0B" w:rsidP="00AF7B77">
      <w:pPr>
        <w:adjustRightInd w:val="0"/>
        <w:snapToGrid w:val="0"/>
        <w:spacing w:line="360" w:lineRule="auto"/>
        <w:rPr>
          <w:rFonts w:ascii="Book Antiqua" w:hAnsi="Book Antiqua"/>
          <w:color w:val="000000" w:themeColor="text1"/>
          <w:sz w:val="24"/>
          <w:szCs w:val="24"/>
        </w:rPr>
      </w:pPr>
    </w:p>
    <w:p w14:paraId="7D1210FA" w14:textId="411DF19B" w:rsidR="009A5D0B" w:rsidRPr="00AD5C42" w:rsidRDefault="009A5D0B" w:rsidP="00AF7B77">
      <w:pPr>
        <w:adjustRightInd w:val="0"/>
        <w:snapToGrid w:val="0"/>
        <w:spacing w:line="360" w:lineRule="auto"/>
        <w:rPr>
          <w:rFonts w:ascii="Book Antiqua" w:hAnsi="Book Antiqua"/>
          <w:color w:val="000000" w:themeColor="text1"/>
          <w:sz w:val="24"/>
          <w:szCs w:val="24"/>
        </w:rPr>
      </w:pPr>
      <w:r w:rsidRPr="00AD5C42">
        <w:rPr>
          <w:rFonts w:ascii="Book Antiqua" w:hAnsi="Book Antiqua"/>
          <w:b/>
          <w:color w:val="000000" w:themeColor="text1"/>
          <w:sz w:val="24"/>
          <w:szCs w:val="24"/>
        </w:rPr>
        <w:t>ORCID number:</w:t>
      </w:r>
      <w:r w:rsidRPr="00AD5C42">
        <w:rPr>
          <w:rFonts w:ascii="Book Antiqua" w:hAnsi="Book Antiqua"/>
          <w:color w:val="000000" w:themeColor="text1"/>
          <w:sz w:val="24"/>
          <w:szCs w:val="24"/>
        </w:rPr>
        <w:t xml:space="preserve"> Sho Suzuki (0000-0003-4831-1409); Mitsuru Esaki (0000-0001-7353-2153); Chika </w:t>
      </w:r>
      <w:proofErr w:type="spellStart"/>
      <w:r w:rsidRPr="00AD5C42">
        <w:rPr>
          <w:rFonts w:ascii="Book Antiqua" w:hAnsi="Book Antiqua"/>
          <w:color w:val="000000" w:themeColor="text1"/>
          <w:sz w:val="24"/>
          <w:szCs w:val="24"/>
        </w:rPr>
        <w:t>Kusano</w:t>
      </w:r>
      <w:proofErr w:type="spellEnd"/>
      <w:r w:rsidRPr="00AD5C42">
        <w:rPr>
          <w:rFonts w:ascii="Book Antiqua" w:hAnsi="Book Antiqua"/>
          <w:color w:val="000000" w:themeColor="text1"/>
          <w:sz w:val="24"/>
          <w:szCs w:val="24"/>
        </w:rPr>
        <w:t xml:space="preserve"> (0000-0002-3789-4787); </w:t>
      </w:r>
      <w:proofErr w:type="spellStart"/>
      <w:r w:rsidRPr="00AD5C42">
        <w:rPr>
          <w:rFonts w:ascii="Book Antiqua" w:hAnsi="Book Antiqua"/>
          <w:color w:val="000000" w:themeColor="text1"/>
          <w:sz w:val="24"/>
          <w:szCs w:val="24"/>
        </w:rPr>
        <w:t>Hisatomo</w:t>
      </w:r>
      <w:proofErr w:type="spellEnd"/>
      <w:r w:rsidRPr="00AD5C42">
        <w:rPr>
          <w:rFonts w:ascii="Book Antiqua" w:hAnsi="Book Antiqua"/>
          <w:color w:val="000000" w:themeColor="text1"/>
          <w:sz w:val="24"/>
          <w:szCs w:val="24"/>
        </w:rPr>
        <w:t xml:space="preserve"> </w:t>
      </w:r>
      <w:proofErr w:type="spellStart"/>
      <w:r w:rsidRPr="00AD5C42">
        <w:rPr>
          <w:rFonts w:ascii="Book Antiqua" w:hAnsi="Book Antiqua"/>
          <w:color w:val="000000" w:themeColor="text1"/>
          <w:sz w:val="24"/>
          <w:szCs w:val="24"/>
        </w:rPr>
        <w:t>Ikehara</w:t>
      </w:r>
      <w:proofErr w:type="spellEnd"/>
      <w:r w:rsidRPr="00AD5C42">
        <w:rPr>
          <w:rFonts w:ascii="Book Antiqua" w:hAnsi="Book Antiqua"/>
          <w:color w:val="000000" w:themeColor="text1"/>
          <w:sz w:val="24"/>
          <w:szCs w:val="24"/>
        </w:rPr>
        <w:t xml:space="preserve"> (0000-0001-9239-7495); </w:t>
      </w:r>
      <w:proofErr w:type="spellStart"/>
      <w:r w:rsidRPr="00AD5C42">
        <w:rPr>
          <w:rFonts w:ascii="Book Antiqua" w:hAnsi="Book Antiqua"/>
          <w:color w:val="000000" w:themeColor="text1"/>
          <w:sz w:val="24"/>
          <w:szCs w:val="24"/>
        </w:rPr>
        <w:t>Takuji</w:t>
      </w:r>
      <w:proofErr w:type="spellEnd"/>
      <w:r w:rsidRPr="00AD5C42">
        <w:rPr>
          <w:rFonts w:ascii="Book Antiqua" w:hAnsi="Book Antiqua"/>
          <w:color w:val="000000" w:themeColor="text1"/>
          <w:sz w:val="24"/>
          <w:szCs w:val="24"/>
        </w:rPr>
        <w:t xml:space="preserve"> </w:t>
      </w:r>
      <w:proofErr w:type="spellStart"/>
      <w:r w:rsidRPr="00AD5C42">
        <w:rPr>
          <w:rFonts w:ascii="Book Antiqua" w:hAnsi="Book Antiqua"/>
          <w:color w:val="000000" w:themeColor="text1"/>
          <w:sz w:val="24"/>
          <w:szCs w:val="24"/>
        </w:rPr>
        <w:t>Gotoda</w:t>
      </w:r>
      <w:proofErr w:type="spellEnd"/>
      <w:r w:rsidRPr="00AD5C42">
        <w:rPr>
          <w:rFonts w:ascii="Book Antiqua" w:hAnsi="Book Antiqua"/>
          <w:color w:val="000000" w:themeColor="text1"/>
          <w:sz w:val="24"/>
          <w:szCs w:val="24"/>
        </w:rPr>
        <w:t xml:space="preserve"> (0000-0001-6904-6777)</w:t>
      </w:r>
      <w:r w:rsidR="00630495" w:rsidRPr="00AD5C42">
        <w:rPr>
          <w:rFonts w:ascii="Book Antiqua" w:hAnsi="Book Antiqua"/>
          <w:color w:val="000000" w:themeColor="text1"/>
          <w:sz w:val="24"/>
          <w:szCs w:val="24"/>
        </w:rPr>
        <w:t>.</w:t>
      </w:r>
    </w:p>
    <w:p w14:paraId="39224586" w14:textId="77777777" w:rsidR="009A5D0B" w:rsidRPr="00AD5C42" w:rsidRDefault="009A5D0B" w:rsidP="00AF7B77">
      <w:pPr>
        <w:adjustRightInd w:val="0"/>
        <w:snapToGrid w:val="0"/>
        <w:spacing w:line="360" w:lineRule="auto"/>
        <w:rPr>
          <w:rFonts w:ascii="Book Antiqua" w:hAnsi="Book Antiqua"/>
          <w:color w:val="000000" w:themeColor="text1"/>
          <w:sz w:val="24"/>
          <w:szCs w:val="24"/>
        </w:rPr>
      </w:pPr>
    </w:p>
    <w:p w14:paraId="72D20583" w14:textId="55523951" w:rsidR="009A5D0B" w:rsidRPr="00AD5C42" w:rsidRDefault="009A5D0B" w:rsidP="00AF7B77">
      <w:pPr>
        <w:adjustRightInd w:val="0"/>
        <w:snapToGrid w:val="0"/>
        <w:spacing w:line="360" w:lineRule="auto"/>
        <w:rPr>
          <w:rFonts w:ascii="Book Antiqua" w:hAnsi="Book Antiqua"/>
          <w:color w:val="000000" w:themeColor="text1"/>
          <w:sz w:val="24"/>
          <w:szCs w:val="24"/>
        </w:rPr>
      </w:pPr>
      <w:r w:rsidRPr="00AD5C42">
        <w:rPr>
          <w:rFonts w:ascii="Book Antiqua" w:hAnsi="Book Antiqua"/>
          <w:b/>
          <w:color w:val="000000" w:themeColor="text1"/>
          <w:sz w:val="24"/>
          <w:szCs w:val="24"/>
        </w:rPr>
        <w:t>Author contributions:</w:t>
      </w:r>
      <w:r w:rsidRPr="00AD5C42">
        <w:rPr>
          <w:rFonts w:ascii="Book Antiqua" w:hAnsi="Book Antiqua"/>
          <w:color w:val="000000" w:themeColor="text1"/>
          <w:sz w:val="24"/>
          <w:szCs w:val="24"/>
        </w:rPr>
        <w:t xml:space="preserve"> All authors </w:t>
      </w:r>
      <w:r w:rsidR="00A3437D" w:rsidRPr="00AD5C42">
        <w:rPr>
          <w:rFonts w:ascii="Book Antiqua" w:hAnsi="Book Antiqua"/>
          <w:color w:val="000000" w:themeColor="text1"/>
          <w:sz w:val="24"/>
          <w:szCs w:val="24"/>
        </w:rPr>
        <w:t xml:space="preserve">contributed </w:t>
      </w:r>
      <w:r w:rsidRPr="00AD5C42">
        <w:rPr>
          <w:rFonts w:ascii="Book Antiqua" w:hAnsi="Book Antiqua"/>
          <w:color w:val="000000" w:themeColor="text1"/>
          <w:sz w:val="24"/>
          <w:szCs w:val="24"/>
        </w:rPr>
        <w:t xml:space="preserve">equally to </w:t>
      </w:r>
      <w:r w:rsidR="007179BC" w:rsidRPr="00AD5C42">
        <w:rPr>
          <w:rFonts w:ascii="Book Antiqua" w:hAnsi="Book Antiqua"/>
          <w:color w:val="000000" w:themeColor="text1"/>
          <w:sz w:val="24"/>
          <w:szCs w:val="24"/>
        </w:rPr>
        <w:t>the</w:t>
      </w:r>
      <w:r w:rsidRPr="00AD5C42">
        <w:rPr>
          <w:rFonts w:ascii="Book Antiqua" w:hAnsi="Book Antiqua"/>
          <w:color w:val="000000" w:themeColor="text1"/>
          <w:sz w:val="24"/>
          <w:szCs w:val="24"/>
        </w:rPr>
        <w:t xml:space="preserve"> conception and design of the study, literature review and analysis, drafting and critical revision and editing, and approval of the final version.</w:t>
      </w:r>
    </w:p>
    <w:p w14:paraId="7E2A58A4" w14:textId="77777777" w:rsidR="009A5D0B" w:rsidRPr="00AD5C42" w:rsidRDefault="009A5D0B" w:rsidP="00AF7B77">
      <w:pPr>
        <w:adjustRightInd w:val="0"/>
        <w:snapToGrid w:val="0"/>
        <w:spacing w:line="360" w:lineRule="auto"/>
        <w:rPr>
          <w:rFonts w:ascii="Book Antiqua" w:eastAsiaTheme="minorEastAsia" w:hAnsi="Book Antiqua"/>
          <w:color w:val="000000" w:themeColor="text1"/>
          <w:sz w:val="24"/>
          <w:szCs w:val="24"/>
          <w:lang w:eastAsia="zh-CN"/>
        </w:rPr>
      </w:pPr>
    </w:p>
    <w:p w14:paraId="399774B4" w14:textId="692446F8" w:rsidR="009A5D0B" w:rsidRPr="00AD5C42" w:rsidRDefault="009A5D0B" w:rsidP="00AF7B77">
      <w:pPr>
        <w:adjustRightInd w:val="0"/>
        <w:snapToGrid w:val="0"/>
        <w:spacing w:line="360" w:lineRule="auto"/>
        <w:rPr>
          <w:rFonts w:ascii="Book Antiqua" w:hAnsi="Book Antiqua"/>
          <w:color w:val="000000" w:themeColor="text1"/>
          <w:sz w:val="24"/>
          <w:szCs w:val="24"/>
        </w:rPr>
      </w:pPr>
      <w:r w:rsidRPr="00AD5C42">
        <w:rPr>
          <w:rFonts w:ascii="Book Antiqua" w:hAnsi="Book Antiqua"/>
          <w:b/>
          <w:color w:val="000000" w:themeColor="text1"/>
          <w:sz w:val="24"/>
          <w:szCs w:val="24"/>
        </w:rPr>
        <w:t>Conflict</w:t>
      </w:r>
      <w:r w:rsidR="00630495" w:rsidRPr="00AD5C42">
        <w:rPr>
          <w:rFonts w:ascii="Book Antiqua" w:hAnsi="Book Antiqua"/>
          <w:b/>
          <w:color w:val="000000" w:themeColor="text1"/>
          <w:sz w:val="24"/>
          <w:szCs w:val="24"/>
        </w:rPr>
        <w:t>-</w:t>
      </w:r>
      <w:r w:rsidRPr="00AD5C42">
        <w:rPr>
          <w:rFonts w:ascii="Book Antiqua" w:hAnsi="Book Antiqua"/>
          <w:b/>
          <w:color w:val="000000" w:themeColor="text1"/>
          <w:sz w:val="24"/>
          <w:szCs w:val="24"/>
        </w:rPr>
        <w:t>of</w:t>
      </w:r>
      <w:r w:rsidR="00630495" w:rsidRPr="00AD5C42">
        <w:rPr>
          <w:rFonts w:ascii="Book Antiqua" w:hAnsi="Book Antiqua"/>
          <w:b/>
          <w:color w:val="000000" w:themeColor="text1"/>
          <w:sz w:val="24"/>
          <w:szCs w:val="24"/>
        </w:rPr>
        <w:t>-</w:t>
      </w:r>
      <w:r w:rsidRPr="00AD5C42">
        <w:rPr>
          <w:rFonts w:ascii="Book Antiqua" w:hAnsi="Book Antiqua"/>
          <w:b/>
          <w:color w:val="000000" w:themeColor="text1"/>
          <w:sz w:val="24"/>
          <w:szCs w:val="24"/>
        </w:rPr>
        <w:t>interest statement:</w:t>
      </w:r>
      <w:r w:rsidRPr="00AD5C42">
        <w:rPr>
          <w:rFonts w:ascii="Book Antiqua" w:hAnsi="Book Antiqua"/>
          <w:color w:val="000000" w:themeColor="text1"/>
          <w:sz w:val="24"/>
          <w:szCs w:val="24"/>
        </w:rPr>
        <w:t xml:space="preserve"> </w:t>
      </w:r>
      <w:proofErr w:type="spellStart"/>
      <w:r w:rsidR="00630495" w:rsidRPr="00AD5C42">
        <w:rPr>
          <w:rFonts w:ascii="Book Antiqua" w:hAnsi="Book Antiqua"/>
          <w:color w:val="000000" w:themeColor="text1"/>
          <w:sz w:val="24"/>
          <w:szCs w:val="24"/>
        </w:rPr>
        <w:t>Gotoda</w:t>
      </w:r>
      <w:proofErr w:type="spellEnd"/>
      <w:r w:rsidR="00630495" w:rsidRPr="00AD5C42">
        <w:rPr>
          <w:rFonts w:ascii="Book Antiqua" w:hAnsi="Book Antiqua"/>
          <w:color w:val="000000" w:themeColor="text1"/>
          <w:sz w:val="24"/>
          <w:szCs w:val="24"/>
        </w:rPr>
        <w:t xml:space="preserve"> T </w:t>
      </w:r>
      <w:r w:rsidRPr="00AD5C42">
        <w:rPr>
          <w:rFonts w:ascii="Book Antiqua" w:hAnsi="Book Antiqua"/>
          <w:color w:val="000000" w:themeColor="text1"/>
          <w:sz w:val="24"/>
          <w:szCs w:val="24"/>
        </w:rPr>
        <w:t>received honorarium from AstraZeneca K.K., Daiichi Sankyo Company Limited, EA Pharma Co.,</w:t>
      </w:r>
      <w:r w:rsidR="0034313A" w:rsidRPr="00AD5C42">
        <w:rPr>
          <w:rFonts w:ascii="Book Antiqua" w:hAnsi="Book Antiqua"/>
          <w:color w:val="000000" w:themeColor="text1"/>
          <w:sz w:val="24"/>
          <w:szCs w:val="24"/>
        </w:rPr>
        <w:t xml:space="preserve"> </w:t>
      </w:r>
      <w:r w:rsidRPr="00AD5C42">
        <w:rPr>
          <w:rFonts w:ascii="Book Antiqua" w:hAnsi="Book Antiqua"/>
          <w:color w:val="000000" w:themeColor="text1"/>
          <w:sz w:val="24"/>
          <w:szCs w:val="24"/>
        </w:rPr>
        <w:t xml:space="preserve">Ltd., and Takeda Pharmaceutical Company Limited. </w:t>
      </w:r>
    </w:p>
    <w:p w14:paraId="0264F13D" w14:textId="77777777" w:rsidR="009A5D0B" w:rsidRPr="00AD5C42" w:rsidRDefault="009A5D0B" w:rsidP="00AF7B77">
      <w:pPr>
        <w:adjustRightInd w:val="0"/>
        <w:snapToGrid w:val="0"/>
        <w:spacing w:line="360" w:lineRule="auto"/>
        <w:rPr>
          <w:rFonts w:ascii="Book Antiqua" w:hAnsi="Book Antiqua"/>
          <w:color w:val="000000" w:themeColor="text1"/>
          <w:sz w:val="24"/>
          <w:szCs w:val="24"/>
        </w:rPr>
      </w:pPr>
    </w:p>
    <w:p w14:paraId="0B619648" w14:textId="1DC317FC" w:rsidR="00630495" w:rsidRPr="00AD5C42" w:rsidRDefault="00630495" w:rsidP="00630495">
      <w:pPr>
        <w:widowControl/>
        <w:snapToGrid w:val="0"/>
        <w:spacing w:line="360" w:lineRule="auto"/>
        <w:rPr>
          <w:rFonts w:ascii="Book Antiqua" w:eastAsia="宋体" w:hAnsi="Book Antiqua"/>
          <w:kern w:val="0"/>
          <w:sz w:val="24"/>
          <w:szCs w:val="24"/>
          <w:lang w:eastAsia="zh-CN"/>
        </w:rPr>
      </w:pPr>
      <w:bookmarkStart w:id="9" w:name="OLE_LINK25"/>
      <w:bookmarkStart w:id="10" w:name="OLE_LINK26"/>
      <w:bookmarkStart w:id="11" w:name="OLE_LINK375"/>
      <w:bookmarkStart w:id="12" w:name="OLE_LINK32"/>
      <w:bookmarkStart w:id="13" w:name="OLE_LINK381"/>
      <w:bookmarkStart w:id="14" w:name="OLE_LINK413"/>
      <w:bookmarkStart w:id="15" w:name="OLE_LINK146"/>
      <w:bookmarkStart w:id="16" w:name="OLE_LINK568"/>
      <w:bookmarkStart w:id="17" w:name="OLE_LINK594"/>
      <w:r w:rsidRPr="00AD5C42">
        <w:rPr>
          <w:rFonts w:ascii="Book Antiqua" w:eastAsia="宋体" w:hAnsi="Book Antiqua"/>
          <w:b/>
          <w:color w:val="000000"/>
          <w:kern w:val="0"/>
          <w:sz w:val="24"/>
          <w:szCs w:val="24"/>
          <w:lang w:eastAsia="zh-CN"/>
        </w:rPr>
        <w:t xml:space="preserve">Open-Access: </w:t>
      </w:r>
      <w:r w:rsidRPr="00AD5C42">
        <w:rPr>
          <w:rFonts w:ascii="Book Antiqua" w:eastAsia="宋体" w:hAnsi="Book Antiqua"/>
          <w:color w:val="000000"/>
          <w:kern w:val="0"/>
          <w:sz w:val="24"/>
          <w:szCs w:val="24"/>
          <w:lang w:eastAsia="zh-CN"/>
        </w:rPr>
        <w:t xml:space="preserve">This is an </w:t>
      </w:r>
      <w:r w:rsidRPr="00AD5C42">
        <w:rPr>
          <w:rFonts w:ascii="Book Antiqua" w:eastAsia="宋体" w:hAnsi="Book Antiqua" w:cs="宋体"/>
          <w:kern w:val="0"/>
          <w:sz w:val="24"/>
          <w:szCs w:val="24"/>
          <w:lang w:eastAsia="zh-CN"/>
        </w:rPr>
        <w:t xml:space="preserve">open-access article that was </w:t>
      </w:r>
      <w:r w:rsidRPr="00AD5C42">
        <w:rPr>
          <w:rFonts w:ascii="Book Antiqua" w:eastAsia="宋体" w:hAnsi="Book Antiqua"/>
          <w:kern w:val="0"/>
          <w:sz w:val="24"/>
          <w:szCs w:val="24"/>
          <w:lang w:eastAsia="zh-CN"/>
        </w:rPr>
        <w:t xml:space="preserve">selected by an in-house editor and fully peer-reviewed by external reviewers. It is </w:t>
      </w:r>
      <w:r w:rsidRPr="00AD5C42">
        <w:rPr>
          <w:rFonts w:ascii="Book Antiqua" w:eastAsia="宋体" w:hAnsi="Book Antiqua" w:cs="宋体"/>
          <w:kern w:val="0"/>
          <w:sz w:val="24"/>
          <w:szCs w:val="24"/>
          <w:lang w:eastAsia="zh-CN"/>
        </w:rPr>
        <w:t xml:space="preserve">distributed in </w:t>
      </w:r>
      <w:r w:rsidRPr="00AD5C42">
        <w:rPr>
          <w:rFonts w:ascii="Book Antiqua" w:eastAsia="宋体" w:hAnsi="Book Antiqua" w:cs="宋体"/>
          <w:kern w:val="0"/>
          <w:sz w:val="24"/>
          <w:szCs w:val="24"/>
          <w:lang w:eastAsia="zh-CN"/>
        </w:rPr>
        <w:lastRenderedPageBreak/>
        <w:t xml:space="preserve">accordance with </w:t>
      </w:r>
      <w:r w:rsidRPr="00AD5C42">
        <w:rPr>
          <w:rFonts w:ascii="Book Antiqua" w:eastAsia="宋体" w:hAnsi="Book Antiqua"/>
          <w:kern w:val="0"/>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D5C42">
        <w:rPr>
          <w:rFonts w:ascii="Book Antiqua" w:eastAsia="宋体" w:hAnsi="Book Antiqua"/>
          <w:color w:val="0000FF"/>
          <w:kern w:val="0"/>
          <w:sz w:val="24"/>
          <w:szCs w:val="24"/>
          <w:u w:val="single"/>
          <w:lang w:eastAsia="zh-CN"/>
        </w:rPr>
        <w:t>http://creativecommons.org/licenses/by-nc/4.0/</w:t>
      </w:r>
    </w:p>
    <w:p w14:paraId="39CF07EC" w14:textId="77777777" w:rsidR="00630495" w:rsidRPr="00AD5C42" w:rsidRDefault="00630495" w:rsidP="00630495">
      <w:pPr>
        <w:widowControl/>
        <w:snapToGrid w:val="0"/>
        <w:spacing w:line="360" w:lineRule="auto"/>
        <w:rPr>
          <w:rFonts w:ascii="Book Antiqua" w:eastAsia="宋体" w:hAnsi="Book Antiqua"/>
          <w:kern w:val="0"/>
          <w:sz w:val="24"/>
          <w:szCs w:val="24"/>
          <w:lang w:eastAsia="zh-CN"/>
        </w:rPr>
      </w:pPr>
    </w:p>
    <w:p w14:paraId="13B9FBE0" w14:textId="225FCC06" w:rsidR="00630495" w:rsidRPr="00AD5C42" w:rsidRDefault="00630495" w:rsidP="00B12275">
      <w:pPr>
        <w:adjustRightInd w:val="0"/>
        <w:snapToGrid w:val="0"/>
        <w:spacing w:line="360" w:lineRule="auto"/>
        <w:outlineLvl w:val="0"/>
        <w:rPr>
          <w:rFonts w:ascii="Book Antiqua" w:eastAsia="宋体" w:hAnsi="Book Antiqua"/>
          <w:bCs/>
          <w:kern w:val="0"/>
          <w:sz w:val="24"/>
          <w:szCs w:val="24"/>
          <w:lang w:eastAsia="zh-CN"/>
        </w:rPr>
      </w:pPr>
      <w:bookmarkStart w:id="18" w:name="OLE_LINK11"/>
      <w:r w:rsidRPr="00AD5C42">
        <w:rPr>
          <w:rFonts w:ascii="Book Antiqua" w:eastAsia="宋体" w:hAnsi="Book Antiqua"/>
          <w:b/>
          <w:bCs/>
          <w:kern w:val="0"/>
          <w:sz w:val="24"/>
          <w:szCs w:val="24"/>
          <w:highlight w:val="white"/>
          <w:lang w:eastAsia="zh-CN"/>
        </w:rPr>
        <w:t xml:space="preserve">Manuscript source: </w:t>
      </w:r>
      <w:r w:rsidRPr="00AD5C42">
        <w:rPr>
          <w:rFonts w:ascii="Book Antiqua" w:eastAsia="宋体" w:hAnsi="Book Antiqua"/>
          <w:bCs/>
          <w:kern w:val="0"/>
          <w:sz w:val="24"/>
          <w:szCs w:val="24"/>
          <w:highlight w:val="white"/>
          <w:lang w:eastAsia="zh-CN"/>
        </w:rPr>
        <w:t>Invited manuscript</w:t>
      </w:r>
      <w:bookmarkEnd w:id="9"/>
      <w:bookmarkEnd w:id="10"/>
      <w:bookmarkEnd w:id="11"/>
      <w:bookmarkEnd w:id="12"/>
      <w:bookmarkEnd w:id="13"/>
      <w:bookmarkEnd w:id="14"/>
      <w:bookmarkEnd w:id="15"/>
      <w:bookmarkEnd w:id="16"/>
      <w:bookmarkEnd w:id="17"/>
      <w:bookmarkEnd w:id="18"/>
    </w:p>
    <w:p w14:paraId="16188F24" w14:textId="77777777" w:rsidR="00630495" w:rsidRPr="00AD5C42" w:rsidRDefault="00630495" w:rsidP="00630495">
      <w:pPr>
        <w:adjustRightInd w:val="0"/>
        <w:snapToGrid w:val="0"/>
        <w:spacing w:line="360" w:lineRule="auto"/>
        <w:rPr>
          <w:rFonts w:ascii="Book Antiqua" w:hAnsi="Book Antiqua"/>
          <w:color w:val="000000" w:themeColor="text1"/>
          <w:sz w:val="24"/>
          <w:szCs w:val="24"/>
        </w:rPr>
      </w:pPr>
    </w:p>
    <w:p w14:paraId="75876E73" w14:textId="2010DA72" w:rsidR="009A5D0B" w:rsidRPr="00AD5C42" w:rsidRDefault="0091598A" w:rsidP="00AF7B77">
      <w:pPr>
        <w:adjustRightInd w:val="0"/>
        <w:snapToGrid w:val="0"/>
        <w:spacing w:line="360" w:lineRule="auto"/>
        <w:rPr>
          <w:rFonts w:ascii="Book Antiqua" w:hAnsi="Book Antiqua"/>
          <w:color w:val="000000" w:themeColor="text1"/>
          <w:sz w:val="24"/>
          <w:szCs w:val="24"/>
        </w:rPr>
      </w:pPr>
      <w:bookmarkStart w:id="19" w:name="OLE_LINK294"/>
      <w:bookmarkStart w:id="20" w:name="OLE_LINK295"/>
      <w:bookmarkStart w:id="21" w:name="OLE_LINK15"/>
      <w:bookmarkStart w:id="22" w:name="OLE_LINK16"/>
      <w:bookmarkStart w:id="23" w:name="OLE_LINK56"/>
      <w:bookmarkStart w:id="24" w:name="_Hlk534810580"/>
      <w:r w:rsidRPr="00AD5C42">
        <w:rPr>
          <w:rFonts w:ascii="Book Antiqua" w:hAnsi="Book Antiqua"/>
          <w:b/>
          <w:bCs/>
          <w:color w:val="000000" w:themeColor="text1"/>
          <w:sz w:val="24"/>
          <w:szCs w:val="24"/>
          <w:highlight w:val="white"/>
          <w:lang w:eastAsia="zh-CN"/>
        </w:rPr>
        <w:t>Corresponding author:</w:t>
      </w:r>
      <w:bookmarkEnd w:id="19"/>
      <w:bookmarkEnd w:id="20"/>
      <w:bookmarkEnd w:id="21"/>
      <w:bookmarkEnd w:id="22"/>
      <w:bookmarkEnd w:id="23"/>
      <w:r w:rsidRPr="00AD5C42">
        <w:rPr>
          <w:rFonts w:ascii="Book Antiqua" w:hAnsi="Book Antiqua"/>
          <w:b/>
          <w:color w:val="000000" w:themeColor="text1"/>
          <w:sz w:val="24"/>
          <w:szCs w:val="24"/>
        </w:rPr>
        <w:t xml:space="preserve"> </w:t>
      </w:r>
      <w:proofErr w:type="spellStart"/>
      <w:r w:rsidR="009A5D0B" w:rsidRPr="00AD5C42">
        <w:rPr>
          <w:rFonts w:ascii="Book Antiqua" w:hAnsi="Book Antiqua"/>
          <w:b/>
          <w:color w:val="000000" w:themeColor="text1"/>
          <w:sz w:val="24"/>
          <w:szCs w:val="24"/>
        </w:rPr>
        <w:t>Sho</w:t>
      </w:r>
      <w:proofErr w:type="spellEnd"/>
      <w:r w:rsidR="009A5D0B" w:rsidRPr="00AD5C42">
        <w:rPr>
          <w:rFonts w:ascii="Book Antiqua" w:hAnsi="Book Antiqua"/>
          <w:b/>
          <w:color w:val="000000" w:themeColor="text1"/>
          <w:sz w:val="24"/>
          <w:szCs w:val="24"/>
        </w:rPr>
        <w:t xml:space="preserve"> Suzuki, MD, PhD, </w:t>
      </w:r>
      <w:r w:rsidR="00B12275" w:rsidRPr="00AD5C42">
        <w:rPr>
          <w:rFonts w:ascii="Book Antiqua" w:hAnsi="Book Antiqua"/>
          <w:b/>
          <w:color w:val="000000" w:themeColor="text1"/>
          <w:sz w:val="24"/>
          <w:szCs w:val="24"/>
        </w:rPr>
        <w:t xml:space="preserve">Doctor, Research Associate, </w:t>
      </w:r>
      <w:r w:rsidR="009A5D0B" w:rsidRPr="00AD5C42">
        <w:rPr>
          <w:rFonts w:ascii="Book Antiqua" w:hAnsi="Book Antiqua"/>
          <w:color w:val="000000" w:themeColor="text1"/>
          <w:sz w:val="24"/>
          <w:szCs w:val="24"/>
        </w:rPr>
        <w:t xml:space="preserve">Division of Gastroenterology and Hepatology, Department of Medicine, Nihon University School of Medicine, 1-6 Kanda-Surugadai, Chiyoda-ku, Tokyo 1018309, Japan. </w:t>
      </w:r>
      <w:r w:rsidRPr="00AD5C42">
        <w:rPr>
          <w:rFonts w:ascii="Book Antiqua" w:hAnsi="Book Antiqua"/>
          <w:color w:val="000000" w:themeColor="text1"/>
          <w:sz w:val="24"/>
          <w:szCs w:val="24"/>
        </w:rPr>
        <w:t>suzuki.sho@nihon-u.ac.jp</w:t>
      </w:r>
    </w:p>
    <w:p w14:paraId="67A521F2" w14:textId="2A025345" w:rsidR="009A5D0B" w:rsidRPr="00AD5C42" w:rsidRDefault="009A5D0B" w:rsidP="00AF7B77">
      <w:pPr>
        <w:adjustRightInd w:val="0"/>
        <w:snapToGrid w:val="0"/>
        <w:spacing w:line="360" w:lineRule="auto"/>
        <w:rPr>
          <w:rFonts w:ascii="Book Antiqua" w:hAnsi="Book Antiqua"/>
          <w:color w:val="000000" w:themeColor="text1"/>
          <w:sz w:val="24"/>
          <w:szCs w:val="24"/>
        </w:rPr>
      </w:pPr>
      <w:r w:rsidRPr="00AD5C42">
        <w:rPr>
          <w:rFonts w:ascii="Book Antiqua" w:hAnsi="Book Antiqua"/>
          <w:b/>
          <w:color w:val="000000" w:themeColor="text1"/>
          <w:sz w:val="24"/>
          <w:szCs w:val="24"/>
        </w:rPr>
        <w:t>Telephone:</w:t>
      </w:r>
      <w:r w:rsidR="00B12275" w:rsidRPr="00AD5C42">
        <w:rPr>
          <w:rFonts w:ascii="Book Antiqua" w:hAnsi="Book Antiqua"/>
          <w:color w:val="000000" w:themeColor="text1"/>
          <w:sz w:val="24"/>
          <w:szCs w:val="24"/>
        </w:rPr>
        <w:t xml:space="preserve"> +81-3-3293</w:t>
      </w:r>
      <w:r w:rsidRPr="00AD5C42">
        <w:rPr>
          <w:rFonts w:ascii="Book Antiqua" w:hAnsi="Book Antiqua"/>
          <w:color w:val="000000" w:themeColor="text1"/>
          <w:sz w:val="24"/>
          <w:szCs w:val="24"/>
        </w:rPr>
        <w:t>1711</w:t>
      </w:r>
    </w:p>
    <w:p w14:paraId="45142E89" w14:textId="029FBEED" w:rsidR="009A5D0B" w:rsidRPr="00AD5C42" w:rsidRDefault="009A5D0B" w:rsidP="00AF7B77">
      <w:pPr>
        <w:adjustRightInd w:val="0"/>
        <w:snapToGrid w:val="0"/>
        <w:spacing w:line="360" w:lineRule="auto"/>
        <w:rPr>
          <w:rFonts w:ascii="Book Antiqua" w:hAnsi="Book Antiqua"/>
          <w:color w:val="000000" w:themeColor="text1"/>
          <w:sz w:val="24"/>
          <w:szCs w:val="24"/>
        </w:rPr>
      </w:pPr>
      <w:r w:rsidRPr="00AD5C42">
        <w:rPr>
          <w:rFonts w:ascii="Book Antiqua" w:hAnsi="Book Antiqua"/>
          <w:b/>
          <w:color w:val="000000" w:themeColor="text1"/>
          <w:sz w:val="24"/>
          <w:szCs w:val="24"/>
        </w:rPr>
        <w:t>Fax:</w:t>
      </w:r>
      <w:r w:rsidR="00B12275" w:rsidRPr="00AD5C42">
        <w:rPr>
          <w:rFonts w:ascii="Book Antiqua" w:hAnsi="Book Antiqua"/>
          <w:color w:val="000000" w:themeColor="text1"/>
          <w:sz w:val="24"/>
          <w:szCs w:val="24"/>
        </w:rPr>
        <w:t xml:space="preserve"> +81-3-3293</w:t>
      </w:r>
      <w:r w:rsidRPr="00AD5C42">
        <w:rPr>
          <w:rFonts w:ascii="Book Antiqua" w:hAnsi="Book Antiqua"/>
          <w:color w:val="000000" w:themeColor="text1"/>
          <w:sz w:val="24"/>
          <w:szCs w:val="24"/>
        </w:rPr>
        <w:t>1711</w:t>
      </w:r>
      <w:bookmarkEnd w:id="24"/>
    </w:p>
    <w:bookmarkEnd w:id="0"/>
    <w:p w14:paraId="1C0EA0DF" w14:textId="77777777" w:rsidR="00D8648E" w:rsidRPr="00AD5C42" w:rsidRDefault="00D8648E" w:rsidP="00AF7B77">
      <w:pPr>
        <w:adjustRightInd w:val="0"/>
        <w:snapToGrid w:val="0"/>
        <w:spacing w:line="360" w:lineRule="auto"/>
        <w:rPr>
          <w:rFonts w:ascii="Book Antiqua" w:hAnsi="Book Antiqua"/>
          <w:b/>
          <w:color w:val="000000" w:themeColor="text1"/>
          <w:sz w:val="24"/>
          <w:szCs w:val="24"/>
        </w:rPr>
      </w:pPr>
    </w:p>
    <w:p w14:paraId="24E49E9D" w14:textId="660946BF" w:rsidR="00B12275" w:rsidRPr="00AD5C42" w:rsidRDefault="00B12275" w:rsidP="00B12275">
      <w:pPr>
        <w:widowControl/>
        <w:adjustRightInd w:val="0"/>
        <w:snapToGrid w:val="0"/>
        <w:spacing w:line="360" w:lineRule="auto"/>
        <w:outlineLvl w:val="0"/>
        <w:rPr>
          <w:rFonts w:ascii="Book Antiqua" w:eastAsia="宋体" w:hAnsi="Book Antiqua"/>
          <w:b/>
          <w:kern w:val="0"/>
          <w:sz w:val="24"/>
          <w:szCs w:val="24"/>
          <w:lang w:eastAsia="zh-CN"/>
        </w:rPr>
      </w:pPr>
      <w:bookmarkStart w:id="25" w:name="OLE_LINK14"/>
      <w:bookmarkStart w:id="26" w:name="OLE_LINK51"/>
      <w:bookmarkStart w:id="27" w:name="OLE_LINK27"/>
      <w:bookmarkStart w:id="28" w:name="OLE_LINK382"/>
      <w:bookmarkStart w:id="29" w:name="OLE_LINK30"/>
      <w:bookmarkStart w:id="30" w:name="OLE_LINK376"/>
      <w:bookmarkStart w:id="31" w:name="OLE_LINK35"/>
      <w:bookmarkStart w:id="32" w:name="OLE_LINK569"/>
      <w:r w:rsidRPr="00AD5C42">
        <w:rPr>
          <w:rFonts w:ascii="Book Antiqua" w:eastAsia="宋体" w:hAnsi="Book Antiqua"/>
          <w:b/>
          <w:kern w:val="0"/>
          <w:sz w:val="24"/>
          <w:szCs w:val="24"/>
          <w:lang w:eastAsia="zh-CN"/>
        </w:rPr>
        <w:t xml:space="preserve">Received: </w:t>
      </w:r>
      <w:r w:rsidRPr="00AD5C42">
        <w:rPr>
          <w:rFonts w:ascii="Book Antiqua" w:eastAsia="宋体" w:hAnsi="Book Antiqua"/>
          <w:kern w:val="0"/>
          <w:sz w:val="24"/>
          <w:szCs w:val="24"/>
          <w:lang w:eastAsia="zh-CN"/>
        </w:rPr>
        <w:t>February</w:t>
      </w:r>
      <w:r w:rsidRPr="00AD5C42">
        <w:rPr>
          <w:rFonts w:ascii="Book Antiqua" w:eastAsia="等线" w:hAnsi="Book Antiqua"/>
          <w:kern w:val="0"/>
          <w:sz w:val="24"/>
          <w:szCs w:val="24"/>
          <w:lang w:eastAsia="zh-CN"/>
        </w:rPr>
        <w:t xml:space="preserve"> 6, 2019</w:t>
      </w:r>
    </w:p>
    <w:p w14:paraId="71A5ADFF" w14:textId="47C74066" w:rsidR="00B12275" w:rsidRPr="00AD5C42" w:rsidRDefault="00B12275" w:rsidP="00B12275">
      <w:pPr>
        <w:widowControl/>
        <w:adjustRightInd w:val="0"/>
        <w:snapToGrid w:val="0"/>
        <w:spacing w:line="360" w:lineRule="auto"/>
        <w:outlineLvl w:val="0"/>
        <w:rPr>
          <w:rFonts w:ascii="Book Antiqua" w:eastAsia="等线" w:hAnsi="Book Antiqua"/>
          <w:b/>
          <w:kern w:val="0"/>
          <w:sz w:val="24"/>
          <w:szCs w:val="24"/>
          <w:lang w:eastAsia="zh-CN"/>
        </w:rPr>
      </w:pPr>
      <w:r w:rsidRPr="00AD5C42">
        <w:rPr>
          <w:rFonts w:ascii="Book Antiqua" w:eastAsia="宋体" w:hAnsi="Book Antiqua"/>
          <w:b/>
          <w:kern w:val="0"/>
          <w:sz w:val="24"/>
          <w:szCs w:val="24"/>
          <w:lang w:eastAsia="zh-CN"/>
        </w:rPr>
        <w:t>Peer-review started:</w:t>
      </w:r>
      <w:r w:rsidRPr="00AD5C42">
        <w:rPr>
          <w:rFonts w:ascii="Book Antiqua" w:eastAsia="等线" w:hAnsi="Book Antiqua"/>
          <w:b/>
          <w:kern w:val="0"/>
          <w:sz w:val="24"/>
          <w:szCs w:val="24"/>
          <w:lang w:eastAsia="zh-CN"/>
        </w:rPr>
        <w:t xml:space="preserve"> </w:t>
      </w:r>
      <w:r w:rsidRPr="00AD5C42">
        <w:rPr>
          <w:rFonts w:ascii="Book Antiqua" w:eastAsia="宋体" w:hAnsi="Book Antiqua"/>
          <w:kern w:val="0"/>
          <w:sz w:val="24"/>
          <w:szCs w:val="24"/>
          <w:lang w:eastAsia="zh-CN"/>
        </w:rPr>
        <w:t>February</w:t>
      </w:r>
      <w:r w:rsidRPr="00AD5C42">
        <w:rPr>
          <w:rFonts w:ascii="Book Antiqua" w:eastAsia="等线" w:hAnsi="Book Antiqua"/>
          <w:kern w:val="0"/>
          <w:sz w:val="24"/>
          <w:szCs w:val="24"/>
          <w:lang w:eastAsia="zh-CN"/>
        </w:rPr>
        <w:t xml:space="preserve"> 6, 2019</w:t>
      </w:r>
    </w:p>
    <w:p w14:paraId="7C10FBFB" w14:textId="71A65E2B" w:rsidR="00B12275" w:rsidRPr="00AD5C42" w:rsidRDefault="00B12275" w:rsidP="00B12275">
      <w:pPr>
        <w:widowControl/>
        <w:adjustRightInd w:val="0"/>
        <w:snapToGrid w:val="0"/>
        <w:spacing w:line="360" w:lineRule="auto"/>
        <w:outlineLvl w:val="0"/>
        <w:rPr>
          <w:rFonts w:ascii="Book Antiqua" w:eastAsia="等线" w:hAnsi="Book Antiqua"/>
          <w:b/>
          <w:kern w:val="0"/>
          <w:sz w:val="24"/>
          <w:szCs w:val="24"/>
          <w:lang w:eastAsia="zh-CN"/>
        </w:rPr>
      </w:pPr>
      <w:r w:rsidRPr="00AD5C42">
        <w:rPr>
          <w:rFonts w:ascii="Book Antiqua" w:eastAsia="宋体" w:hAnsi="Book Antiqua"/>
          <w:b/>
          <w:kern w:val="0"/>
          <w:sz w:val="24"/>
          <w:szCs w:val="24"/>
          <w:lang w:eastAsia="zh-CN"/>
        </w:rPr>
        <w:t>First decision:</w:t>
      </w:r>
      <w:r w:rsidRPr="00AD5C42">
        <w:rPr>
          <w:rFonts w:ascii="Book Antiqua" w:eastAsia="等线" w:hAnsi="Book Antiqua"/>
          <w:b/>
          <w:kern w:val="0"/>
          <w:sz w:val="24"/>
          <w:szCs w:val="24"/>
          <w:lang w:eastAsia="zh-CN"/>
        </w:rPr>
        <w:t xml:space="preserve"> </w:t>
      </w:r>
      <w:r w:rsidRPr="00AD5C42">
        <w:rPr>
          <w:rFonts w:ascii="Book Antiqua" w:eastAsia="宋体" w:hAnsi="Book Antiqua"/>
          <w:kern w:val="0"/>
          <w:sz w:val="24"/>
          <w:szCs w:val="24"/>
          <w:lang w:eastAsia="zh-CN"/>
        </w:rPr>
        <w:t>March</w:t>
      </w:r>
      <w:r w:rsidRPr="00AD5C42">
        <w:rPr>
          <w:rFonts w:ascii="Book Antiqua" w:eastAsia="等线" w:hAnsi="Book Antiqua"/>
          <w:kern w:val="0"/>
          <w:sz w:val="24"/>
          <w:szCs w:val="24"/>
          <w:lang w:eastAsia="zh-CN"/>
        </w:rPr>
        <w:t xml:space="preserve"> 14, 2019</w:t>
      </w:r>
    </w:p>
    <w:p w14:paraId="329FBF33" w14:textId="0F203BD6" w:rsidR="00B12275" w:rsidRPr="00AD5C42" w:rsidRDefault="00B12275" w:rsidP="00B12275">
      <w:pPr>
        <w:widowControl/>
        <w:adjustRightInd w:val="0"/>
        <w:snapToGrid w:val="0"/>
        <w:spacing w:line="360" w:lineRule="auto"/>
        <w:rPr>
          <w:rFonts w:ascii="Book Antiqua" w:eastAsia="宋体" w:hAnsi="Book Antiqua"/>
          <w:b/>
          <w:kern w:val="0"/>
          <w:sz w:val="24"/>
          <w:szCs w:val="24"/>
          <w:lang w:eastAsia="zh-CN"/>
        </w:rPr>
      </w:pPr>
      <w:r w:rsidRPr="00AD5C42">
        <w:rPr>
          <w:rFonts w:ascii="Book Antiqua" w:eastAsia="宋体" w:hAnsi="Book Antiqua"/>
          <w:b/>
          <w:kern w:val="0"/>
          <w:sz w:val="24"/>
          <w:szCs w:val="24"/>
          <w:lang w:eastAsia="zh-CN"/>
        </w:rPr>
        <w:t xml:space="preserve">Revised: </w:t>
      </w:r>
      <w:r w:rsidRPr="00AD5C42">
        <w:rPr>
          <w:rFonts w:ascii="Book Antiqua" w:eastAsia="宋体" w:hAnsi="Book Antiqua"/>
          <w:kern w:val="0"/>
          <w:sz w:val="24"/>
          <w:szCs w:val="24"/>
          <w:lang w:eastAsia="zh-CN"/>
        </w:rPr>
        <w:t>March</w:t>
      </w:r>
      <w:r w:rsidRPr="00AD5C42">
        <w:rPr>
          <w:rFonts w:ascii="Book Antiqua" w:eastAsia="等线" w:hAnsi="Book Antiqua"/>
          <w:kern w:val="0"/>
          <w:sz w:val="24"/>
          <w:szCs w:val="24"/>
          <w:lang w:eastAsia="zh-CN"/>
        </w:rPr>
        <w:t xml:space="preserve"> 18, 2019</w:t>
      </w:r>
    </w:p>
    <w:p w14:paraId="3576DA79" w14:textId="718875F6" w:rsidR="00B12275" w:rsidRPr="00AD5C42" w:rsidRDefault="00B12275" w:rsidP="00B12275">
      <w:pPr>
        <w:widowControl/>
        <w:adjustRightInd w:val="0"/>
        <w:snapToGrid w:val="0"/>
        <w:spacing w:line="360" w:lineRule="auto"/>
        <w:outlineLvl w:val="0"/>
        <w:rPr>
          <w:rFonts w:ascii="Book Antiqua" w:eastAsia="宋体" w:hAnsi="Book Antiqua"/>
          <w:b/>
          <w:kern w:val="0"/>
          <w:sz w:val="24"/>
          <w:szCs w:val="24"/>
          <w:lang w:eastAsia="zh-CN"/>
        </w:rPr>
      </w:pPr>
      <w:r w:rsidRPr="00AD5C42">
        <w:rPr>
          <w:rFonts w:ascii="Book Antiqua" w:eastAsia="宋体" w:hAnsi="Book Antiqua"/>
          <w:b/>
          <w:kern w:val="0"/>
          <w:sz w:val="24"/>
          <w:szCs w:val="24"/>
          <w:lang w:eastAsia="zh-CN"/>
        </w:rPr>
        <w:t>Accepted:</w:t>
      </w:r>
      <w:r w:rsidR="00E42765" w:rsidRPr="00AD5C42">
        <w:rPr>
          <w:rFonts w:ascii="Book Antiqua" w:hAnsi="Book Antiqua"/>
        </w:rPr>
        <w:t xml:space="preserve"> </w:t>
      </w:r>
      <w:r w:rsidR="00E42765" w:rsidRPr="00AD5C42">
        <w:rPr>
          <w:rFonts w:ascii="Book Antiqua" w:eastAsia="宋体" w:hAnsi="Book Antiqua"/>
          <w:kern w:val="0"/>
          <w:sz w:val="24"/>
          <w:szCs w:val="24"/>
          <w:lang w:eastAsia="zh-CN"/>
        </w:rPr>
        <w:t>March 24, 2019</w:t>
      </w:r>
      <w:r w:rsidRPr="00AD5C42">
        <w:rPr>
          <w:rFonts w:ascii="Book Antiqua" w:eastAsia="宋体" w:hAnsi="Book Antiqua"/>
          <w:b/>
          <w:kern w:val="0"/>
          <w:sz w:val="24"/>
          <w:szCs w:val="24"/>
          <w:lang w:eastAsia="zh-CN"/>
        </w:rPr>
        <w:t xml:space="preserve"> </w:t>
      </w:r>
    </w:p>
    <w:p w14:paraId="2BA830B8" w14:textId="3147A422" w:rsidR="00B12275" w:rsidRPr="00AD5C42" w:rsidRDefault="00B12275" w:rsidP="00B12275">
      <w:pPr>
        <w:widowControl/>
        <w:adjustRightInd w:val="0"/>
        <w:snapToGrid w:val="0"/>
        <w:spacing w:line="360" w:lineRule="auto"/>
        <w:outlineLvl w:val="0"/>
        <w:rPr>
          <w:rFonts w:ascii="Book Antiqua" w:eastAsia="宋体" w:hAnsi="Book Antiqua"/>
          <w:b/>
          <w:kern w:val="0"/>
          <w:sz w:val="24"/>
          <w:szCs w:val="24"/>
          <w:lang w:eastAsia="zh-CN"/>
        </w:rPr>
      </w:pPr>
      <w:r w:rsidRPr="00AD5C42">
        <w:rPr>
          <w:rFonts w:ascii="Book Antiqua" w:eastAsia="宋体" w:hAnsi="Book Antiqua"/>
          <w:b/>
          <w:kern w:val="0"/>
          <w:sz w:val="24"/>
          <w:szCs w:val="24"/>
          <w:lang w:eastAsia="zh-CN"/>
        </w:rPr>
        <w:t>Article in press:</w:t>
      </w:r>
      <w:r w:rsidR="00AD5C42" w:rsidRPr="00AD5C42">
        <w:rPr>
          <w:rFonts w:ascii="Book Antiqua" w:hAnsi="Book Antiqua"/>
        </w:rPr>
        <w:t xml:space="preserve"> </w:t>
      </w:r>
      <w:r w:rsidR="00AD5C42" w:rsidRPr="00AD5C42">
        <w:rPr>
          <w:rFonts w:ascii="Book Antiqua" w:eastAsia="宋体" w:hAnsi="Book Antiqua"/>
          <w:kern w:val="0"/>
          <w:sz w:val="24"/>
          <w:szCs w:val="24"/>
          <w:lang w:eastAsia="zh-CN"/>
        </w:rPr>
        <w:t>March 2</w:t>
      </w:r>
      <w:r w:rsidR="00AD5C42" w:rsidRPr="00AD5C42">
        <w:rPr>
          <w:rFonts w:ascii="Book Antiqua" w:eastAsia="宋体" w:hAnsi="Book Antiqua"/>
          <w:kern w:val="0"/>
          <w:sz w:val="24"/>
          <w:szCs w:val="24"/>
          <w:lang w:eastAsia="zh-CN"/>
        </w:rPr>
        <w:t>5</w:t>
      </w:r>
      <w:r w:rsidR="00AD5C42" w:rsidRPr="00AD5C42">
        <w:rPr>
          <w:rFonts w:ascii="Book Antiqua" w:eastAsia="宋体" w:hAnsi="Book Antiqua"/>
          <w:kern w:val="0"/>
          <w:sz w:val="24"/>
          <w:szCs w:val="24"/>
          <w:lang w:eastAsia="zh-CN"/>
        </w:rPr>
        <w:t>, 2019</w:t>
      </w:r>
    </w:p>
    <w:p w14:paraId="6E61D7BC" w14:textId="25F13A77" w:rsidR="00B12275" w:rsidRPr="00AD5C42" w:rsidRDefault="00B12275" w:rsidP="00B12275">
      <w:pPr>
        <w:widowControl/>
        <w:snapToGrid w:val="0"/>
        <w:spacing w:line="360" w:lineRule="auto"/>
        <w:outlineLvl w:val="0"/>
        <w:rPr>
          <w:rFonts w:ascii="Book Antiqua" w:eastAsia="宋体" w:hAnsi="Book Antiqua"/>
          <w:color w:val="000000"/>
          <w:kern w:val="0"/>
          <w:sz w:val="24"/>
          <w:szCs w:val="24"/>
          <w:lang w:eastAsia="zh-CN"/>
        </w:rPr>
      </w:pPr>
      <w:r w:rsidRPr="00AD5C42">
        <w:rPr>
          <w:rFonts w:ascii="Book Antiqua" w:eastAsia="宋体" w:hAnsi="Book Antiqua"/>
          <w:b/>
          <w:kern w:val="0"/>
          <w:sz w:val="24"/>
          <w:szCs w:val="24"/>
          <w:lang w:eastAsia="zh-CN"/>
        </w:rPr>
        <w:t>Published online:</w:t>
      </w:r>
      <w:bookmarkEnd w:id="25"/>
      <w:bookmarkEnd w:id="26"/>
      <w:bookmarkEnd w:id="27"/>
      <w:bookmarkEnd w:id="28"/>
      <w:r w:rsidR="00AD5C42" w:rsidRPr="00AD5C42">
        <w:rPr>
          <w:rFonts w:ascii="Book Antiqua" w:hAnsi="Book Antiqua"/>
        </w:rPr>
        <w:t xml:space="preserve"> </w:t>
      </w:r>
      <w:r w:rsidR="00AD5C42" w:rsidRPr="00AD5C42">
        <w:rPr>
          <w:rFonts w:ascii="Book Antiqua" w:eastAsia="宋体" w:hAnsi="Book Antiqua"/>
          <w:kern w:val="0"/>
          <w:sz w:val="24"/>
          <w:szCs w:val="24"/>
          <w:lang w:eastAsia="zh-CN"/>
        </w:rPr>
        <w:t xml:space="preserve">April </w:t>
      </w:r>
      <w:r w:rsidR="00AD5C42" w:rsidRPr="00AD5C42">
        <w:rPr>
          <w:rFonts w:ascii="Book Antiqua" w:eastAsia="宋体" w:hAnsi="Book Antiqua"/>
          <w:kern w:val="0"/>
          <w:sz w:val="24"/>
          <w:szCs w:val="24"/>
          <w:lang w:eastAsia="zh-CN"/>
        </w:rPr>
        <w:t>2</w:t>
      </w:r>
      <w:r w:rsidR="00AD5C42" w:rsidRPr="00AD5C42">
        <w:rPr>
          <w:rFonts w:ascii="Book Antiqua" w:eastAsia="宋体" w:hAnsi="Book Antiqua"/>
          <w:kern w:val="0"/>
          <w:sz w:val="24"/>
          <w:szCs w:val="24"/>
          <w:lang w:eastAsia="zh-CN"/>
        </w:rPr>
        <w:t>8</w:t>
      </w:r>
      <w:r w:rsidR="00AD5C42" w:rsidRPr="00AD5C42">
        <w:rPr>
          <w:rFonts w:ascii="Book Antiqua" w:eastAsia="宋体" w:hAnsi="Book Antiqua"/>
          <w:kern w:val="0"/>
          <w:sz w:val="24"/>
          <w:szCs w:val="24"/>
          <w:lang w:eastAsia="zh-CN"/>
        </w:rPr>
        <w:t>, 2019</w:t>
      </w:r>
    </w:p>
    <w:bookmarkEnd w:id="29"/>
    <w:bookmarkEnd w:id="30"/>
    <w:bookmarkEnd w:id="31"/>
    <w:bookmarkEnd w:id="32"/>
    <w:p w14:paraId="456C2DD7" w14:textId="3A9E3FC8" w:rsidR="00B12275" w:rsidRPr="00AD5C42" w:rsidRDefault="00B12275" w:rsidP="00B12275">
      <w:pPr>
        <w:adjustRightInd w:val="0"/>
        <w:snapToGrid w:val="0"/>
        <w:spacing w:line="360" w:lineRule="auto"/>
        <w:rPr>
          <w:rFonts w:ascii="Book Antiqua" w:hAnsi="Book Antiqua"/>
          <w:b/>
          <w:color w:val="000000" w:themeColor="text1"/>
          <w:sz w:val="24"/>
          <w:szCs w:val="24"/>
        </w:rPr>
      </w:pPr>
      <w:r w:rsidRPr="00AD5C42">
        <w:rPr>
          <w:rFonts w:ascii="Book Antiqua" w:eastAsia="宋体" w:hAnsi="Book Antiqua"/>
          <w:kern w:val="0"/>
          <w:sz w:val="24"/>
          <w:szCs w:val="24"/>
          <w:lang w:eastAsia="zh-CN"/>
        </w:rPr>
        <w:br w:type="page"/>
      </w:r>
    </w:p>
    <w:p w14:paraId="4668C823" w14:textId="4F322880" w:rsidR="00362F54" w:rsidRPr="00AD5C42" w:rsidRDefault="00362F54" w:rsidP="00B12275">
      <w:pPr>
        <w:widowControl/>
        <w:adjustRightInd w:val="0"/>
        <w:snapToGrid w:val="0"/>
        <w:spacing w:line="360" w:lineRule="auto"/>
        <w:outlineLvl w:val="0"/>
        <w:rPr>
          <w:rFonts w:ascii="Book Antiqua" w:hAnsi="Book Antiqua"/>
          <w:b/>
          <w:color w:val="000000" w:themeColor="text1"/>
          <w:sz w:val="24"/>
          <w:szCs w:val="24"/>
        </w:rPr>
      </w:pPr>
      <w:r w:rsidRPr="00AD5C42">
        <w:rPr>
          <w:rFonts w:ascii="Book Antiqua" w:hAnsi="Book Antiqua"/>
          <w:b/>
          <w:color w:val="000000" w:themeColor="text1"/>
          <w:sz w:val="24"/>
          <w:szCs w:val="24"/>
        </w:rPr>
        <w:lastRenderedPageBreak/>
        <w:t>Abstract</w:t>
      </w:r>
    </w:p>
    <w:p w14:paraId="52B77B1F" w14:textId="184514E6" w:rsidR="00373C4D" w:rsidRPr="00AD5C42" w:rsidRDefault="000305ED" w:rsidP="00AF7B77">
      <w:pPr>
        <w:adjustRightInd w:val="0"/>
        <w:snapToGrid w:val="0"/>
        <w:spacing w:line="360" w:lineRule="auto"/>
        <w:rPr>
          <w:rFonts w:ascii="Book Antiqua" w:hAnsi="Book Antiqua"/>
          <w:color w:val="000000" w:themeColor="text1"/>
          <w:sz w:val="24"/>
          <w:szCs w:val="24"/>
        </w:rPr>
      </w:pPr>
      <w:bookmarkStart w:id="33" w:name="OLE_LINK617"/>
      <w:r w:rsidRPr="00AD5C42">
        <w:rPr>
          <w:rFonts w:ascii="Book Antiqua" w:hAnsi="Book Antiqua"/>
          <w:i/>
          <w:color w:val="000000" w:themeColor="text1"/>
          <w:sz w:val="24"/>
          <w:szCs w:val="24"/>
        </w:rPr>
        <w:t>Helicobacter pylori</w:t>
      </w:r>
      <w:r w:rsidRPr="00AD5C42">
        <w:rPr>
          <w:rFonts w:ascii="Book Antiqua" w:hAnsi="Book Antiqua"/>
          <w:color w:val="000000" w:themeColor="text1"/>
          <w:sz w:val="24"/>
          <w:szCs w:val="24"/>
        </w:rPr>
        <w:t xml:space="preserve"> </w:t>
      </w:r>
      <w:bookmarkEnd w:id="33"/>
      <w:r w:rsidRPr="00AD5C42">
        <w:rPr>
          <w:rFonts w:ascii="Book Antiqua" w:hAnsi="Book Antiqua"/>
          <w:color w:val="000000" w:themeColor="text1"/>
          <w:sz w:val="24"/>
          <w:szCs w:val="24"/>
        </w:rPr>
        <w:t>(</w:t>
      </w:r>
      <w:r w:rsidRPr="00AD5C42">
        <w:rPr>
          <w:rFonts w:ascii="Book Antiqua" w:hAnsi="Book Antiqua"/>
          <w:i/>
          <w:color w:val="000000" w:themeColor="text1"/>
          <w:sz w:val="24"/>
          <w:szCs w:val="24"/>
        </w:rPr>
        <w:t>H. pylori</w:t>
      </w:r>
      <w:r w:rsidRPr="00AD5C42">
        <w:rPr>
          <w:rFonts w:ascii="Book Antiqua" w:hAnsi="Book Antiqua"/>
          <w:color w:val="000000" w:themeColor="text1"/>
          <w:sz w:val="24"/>
          <w:szCs w:val="24"/>
        </w:rPr>
        <w:t>) anti</w:t>
      </w:r>
      <w:r w:rsidR="008442A9" w:rsidRPr="00AD5C42">
        <w:rPr>
          <w:rFonts w:ascii="Book Antiqua" w:hAnsi="Book Antiqua"/>
          <w:color w:val="000000" w:themeColor="text1"/>
          <w:sz w:val="24"/>
          <w:szCs w:val="24"/>
        </w:rPr>
        <w:t>microbial</w:t>
      </w:r>
      <w:r w:rsidRPr="00AD5C42">
        <w:rPr>
          <w:rFonts w:ascii="Book Antiqua" w:hAnsi="Book Antiqua"/>
          <w:color w:val="000000" w:themeColor="text1"/>
          <w:sz w:val="24"/>
          <w:szCs w:val="24"/>
        </w:rPr>
        <w:t xml:space="preserve"> resistance is </w:t>
      </w:r>
      <w:r w:rsidR="00436DBD" w:rsidRPr="00AD5C42">
        <w:rPr>
          <w:rFonts w:ascii="Book Antiqua" w:hAnsi="Book Antiqua"/>
          <w:color w:val="000000" w:themeColor="text1"/>
          <w:sz w:val="24"/>
          <w:szCs w:val="24"/>
        </w:rPr>
        <w:t>a</w:t>
      </w:r>
      <w:r w:rsidR="00A66863" w:rsidRPr="00AD5C42">
        <w:rPr>
          <w:rFonts w:ascii="Book Antiqua" w:hAnsi="Book Antiqua"/>
          <w:color w:val="000000" w:themeColor="text1"/>
          <w:sz w:val="24"/>
          <w:szCs w:val="24"/>
        </w:rPr>
        <w:t>n</w:t>
      </w:r>
      <w:r w:rsidR="00436DBD" w:rsidRPr="00AD5C42">
        <w:rPr>
          <w:rFonts w:ascii="Book Antiqua" w:hAnsi="Book Antiqua"/>
          <w:color w:val="000000" w:themeColor="text1"/>
          <w:sz w:val="24"/>
          <w:szCs w:val="24"/>
        </w:rPr>
        <w:t xml:space="preserve"> </w:t>
      </w:r>
      <w:r w:rsidRPr="00AD5C42">
        <w:rPr>
          <w:rFonts w:ascii="Book Antiqua" w:hAnsi="Book Antiqua"/>
          <w:color w:val="000000" w:themeColor="text1"/>
          <w:sz w:val="24"/>
          <w:szCs w:val="24"/>
        </w:rPr>
        <w:t>urgent</w:t>
      </w:r>
      <w:r w:rsidR="00436DBD" w:rsidRPr="00AD5C42">
        <w:rPr>
          <w:rFonts w:ascii="Book Antiqua" w:hAnsi="Book Antiqua"/>
          <w:color w:val="000000" w:themeColor="text1"/>
          <w:sz w:val="24"/>
          <w:szCs w:val="24"/>
        </w:rPr>
        <w:t>,</w:t>
      </w:r>
      <w:r w:rsidRPr="00AD5C42">
        <w:rPr>
          <w:rFonts w:ascii="Book Antiqua" w:hAnsi="Book Antiqua"/>
          <w:color w:val="000000" w:themeColor="text1"/>
          <w:sz w:val="24"/>
          <w:szCs w:val="24"/>
        </w:rPr>
        <w:t xml:space="preserve"> </w:t>
      </w:r>
      <w:r w:rsidR="00436DBD" w:rsidRPr="00AD5C42">
        <w:rPr>
          <w:rFonts w:ascii="Book Antiqua" w:hAnsi="Book Antiqua"/>
          <w:color w:val="000000" w:themeColor="text1"/>
          <w:sz w:val="24"/>
          <w:szCs w:val="24"/>
        </w:rPr>
        <w:t xml:space="preserve">global </w:t>
      </w:r>
      <w:r w:rsidRPr="00AD5C42">
        <w:rPr>
          <w:rFonts w:ascii="Book Antiqua" w:hAnsi="Book Antiqua"/>
          <w:color w:val="000000" w:themeColor="text1"/>
          <w:sz w:val="24"/>
          <w:szCs w:val="24"/>
        </w:rPr>
        <w:t>issue</w:t>
      </w:r>
      <w:r w:rsidR="007E4FC8" w:rsidRPr="00AD5C42">
        <w:rPr>
          <w:rFonts w:ascii="Book Antiqua" w:hAnsi="Book Antiqua"/>
          <w:color w:val="000000" w:themeColor="text1"/>
          <w:sz w:val="24"/>
          <w:szCs w:val="24"/>
        </w:rPr>
        <w:t xml:space="preserve">. </w:t>
      </w:r>
      <w:r w:rsidR="0094642A" w:rsidRPr="00AD5C42">
        <w:rPr>
          <w:rFonts w:ascii="Book Antiqua" w:hAnsi="Book Antiqua"/>
          <w:color w:val="000000" w:themeColor="text1"/>
          <w:sz w:val="24"/>
          <w:szCs w:val="24"/>
        </w:rPr>
        <w:t>In 2017, t</w:t>
      </w:r>
      <w:r w:rsidR="006A1829" w:rsidRPr="00AD5C42">
        <w:rPr>
          <w:rFonts w:ascii="Book Antiqua" w:hAnsi="Book Antiqua"/>
          <w:color w:val="000000" w:themeColor="text1"/>
          <w:sz w:val="24"/>
          <w:szCs w:val="24"/>
        </w:rPr>
        <w:t>he World Health Organization designated clarithromycin</w:t>
      </w:r>
      <w:r w:rsidR="009002A0" w:rsidRPr="00AD5C42">
        <w:rPr>
          <w:rFonts w:ascii="Book Antiqua" w:hAnsi="Book Antiqua"/>
          <w:color w:val="000000" w:themeColor="text1"/>
          <w:sz w:val="24"/>
          <w:szCs w:val="24"/>
        </w:rPr>
        <w:t>-</w:t>
      </w:r>
      <w:r w:rsidR="006A1829" w:rsidRPr="00AD5C42">
        <w:rPr>
          <w:rFonts w:ascii="Book Antiqua" w:hAnsi="Book Antiqua"/>
          <w:color w:val="000000" w:themeColor="text1"/>
          <w:sz w:val="24"/>
          <w:szCs w:val="24"/>
        </w:rPr>
        <w:t xml:space="preserve">resistant </w:t>
      </w:r>
      <w:r w:rsidR="006A1829" w:rsidRPr="00AD5C42">
        <w:rPr>
          <w:rFonts w:ascii="Book Antiqua" w:hAnsi="Book Antiqua"/>
          <w:i/>
          <w:color w:val="000000" w:themeColor="text1"/>
          <w:sz w:val="24"/>
          <w:szCs w:val="24"/>
        </w:rPr>
        <w:t>H. pylori</w:t>
      </w:r>
      <w:r w:rsidR="006A1829" w:rsidRPr="00AD5C42">
        <w:rPr>
          <w:rFonts w:ascii="Book Antiqua" w:hAnsi="Book Antiqua"/>
          <w:color w:val="000000" w:themeColor="text1"/>
          <w:sz w:val="24"/>
          <w:szCs w:val="24"/>
        </w:rPr>
        <w:t xml:space="preserve"> </w:t>
      </w:r>
      <w:r w:rsidR="001E3ABA" w:rsidRPr="00AD5C42">
        <w:rPr>
          <w:rFonts w:ascii="Book Antiqua" w:hAnsi="Book Antiqua"/>
          <w:color w:val="000000" w:themeColor="text1"/>
          <w:sz w:val="24"/>
          <w:szCs w:val="24"/>
        </w:rPr>
        <w:t>as a high priority</w:t>
      </w:r>
      <w:r w:rsidR="00F9624B" w:rsidRPr="00AD5C42">
        <w:rPr>
          <w:rFonts w:ascii="Book Antiqua" w:hAnsi="Book Antiqua"/>
          <w:color w:val="000000" w:themeColor="text1"/>
          <w:sz w:val="24"/>
          <w:szCs w:val="24"/>
        </w:rPr>
        <w:t xml:space="preserve"> </w:t>
      </w:r>
      <w:r w:rsidR="001E3ABA" w:rsidRPr="00AD5C42">
        <w:rPr>
          <w:rFonts w:ascii="Book Antiqua" w:hAnsi="Book Antiqua"/>
          <w:color w:val="000000" w:themeColor="text1"/>
          <w:sz w:val="24"/>
          <w:szCs w:val="24"/>
        </w:rPr>
        <w:t xml:space="preserve">bacterium </w:t>
      </w:r>
      <w:r w:rsidR="006A1829" w:rsidRPr="00AD5C42">
        <w:rPr>
          <w:rFonts w:ascii="Book Antiqua" w:hAnsi="Book Antiqua"/>
          <w:color w:val="000000" w:themeColor="text1"/>
          <w:sz w:val="24"/>
          <w:szCs w:val="24"/>
        </w:rPr>
        <w:t>for antibiotic research and development.</w:t>
      </w:r>
      <w:r w:rsidR="007E4FC8" w:rsidRPr="00AD5C42">
        <w:rPr>
          <w:rFonts w:ascii="Book Antiqua" w:hAnsi="Book Antiqua"/>
          <w:color w:val="000000" w:themeColor="text1"/>
          <w:sz w:val="24"/>
          <w:szCs w:val="24"/>
        </w:rPr>
        <w:t xml:space="preserve"> </w:t>
      </w:r>
      <w:r w:rsidR="00436DBD" w:rsidRPr="00AD5C42">
        <w:rPr>
          <w:rFonts w:ascii="Book Antiqua" w:hAnsi="Book Antiqua"/>
          <w:color w:val="000000" w:themeColor="text1"/>
          <w:sz w:val="24"/>
          <w:szCs w:val="24"/>
        </w:rPr>
        <w:t xml:space="preserve">In addition </w:t>
      </w:r>
      <w:r w:rsidR="006A1829" w:rsidRPr="00AD5C42">
        <w:rPr>
          <w:rFonts w:ascii="Book Antiqua" w:hAnsi="Book Antiqua"/>
          <w:color w:val="000000" w:themeColor="text1"/>
          <w:sz w:val="24"/>
          <w:szCs w:val="24"/>
        </w:rPr>
        <w:t xml:space="preserve">to clarithromycin, resistance to </w:t>
      </w:r>
      <w:r w:rsidR="006A1829" w:rsidRPr="00AD5C42">
        <w:rPr>
          <w:rFonts w:ascii="Book Antiqua" w:hAnsi="Book Antiqua"/>
          <w:color w:val="000000" w:themeColor="text1"/>
          <w:sz w:val="24"/>
          <w:szCs w:val="24"/>
          <w:shd w:val="clear" w:color="auto" w:fill="FFFFFF"/>
        </w:rPr>
        <w:t>metronidazole</w:t>
      </w:r>
      <w:r w:rsidR="006A1829" w:rsidRPr="00AD5C42">
        <w:rPr>
          <w:rFonts w:ascii="Book Antiqua" w:hAnsi="Book Antiqua"/>
          <w:color w:val="000000" w:themeColor="text1"/>
          <w:sz w:val="24"/>
          <w:szCs w:val="24"/>
        </w:rPr>
        <w:t xml:space="preserve"> and fluoroquinolones ha</w:t>
      </w:r>
      <w:r w:rsidR="007179BC" w:rsidRPr="00AD5C42">
        <w:rPr>
          <w:rFonts w:ascii="Book Antiqua" w:hAnsi="Book Antiqua"/>
          <w:color w:val="000000" w:themeColor="text1"/>
          <w:sz w:val="24"/>
          <w:szCs w:val="24"/>
        </w:rPr>
        <w:t>s</w:t>
      </w:r>
      <w:r w:rsidR="006A1829" w:rsidRPr="00AD5C42">
        <w:rPr>
          <w:rFonts w:ascii="Book Antiqua" w:hAnsi="Book Antiqua"/>
          <w:color w:val="000000" w:themeColor="text1"/>
          <w:sz w:val="24"/>
          <w:szCs w:val="24"/>
        </w:rPr>
        <w:t xml:space="preserve"> also increased world</w:t>
      </w:r>
      <w:r w:rsidR="00F533D4" w:rsidRPr="00AD5C42">
        <w:rPr>
          <w:rFonts w:ascii="Book Antiqua" w:hAnsi="Book Antiqua"/>
          <w:color w:val="000000" w:themeColor="text1"/>
          <w:sz w:val="24"/>
          <w:szCs w:val="24"/>
        </w:rPr>
        <w:t>wide</w:t>
      </w:r>
      <w:r w:rsidR="006A1829" w:rsidRPr="00AD5C42">
        <w:rPr>
          <w:rFonts w:ascii="Book Antiqua" w:hAnsi="Book Antiqua"/>
          <w:color w:val="000000" w:themeColor="text1"/>
          <w:sz w:val="24"/>
          <w:szCs w:val="24"/>
        </w:rPr>
        <w:t xml:space="preserve">. Recent international guidelines for management of </w:t>
      </w:r>
      <w:r w:rsidR="006A1829" w:rsidRPr="00AD5C42">
        <w:rPr>
          <w:rFonts w:ascii="Book Antiqua" w:hAnsi="Book Antiqua"/>
          <w:i/>
          <w:color w:val="000000" w:themeColor="text1"/>
          <w:sz w:val="24"/>
          <w:szCs w:val="24"/>
        </w:rPr>
        <w:t>H. pylori</w:t>
      </w:r>
      <w:r w:rsidR="006A1829" w:rsidRPr="00AD5C42">
        <w:rPr>
          <w:rFonts w:ascii="Book Antiqua" w:hAnsi="Book Antiqua"/>
          <w:color w:val="000000" w:themeColor="text1"/>
          <w:sz w:val="24"/>
          <w:szCs w:val="24"/>
        </w:rPr>
        <w:t xml:space="preserve"> infection recommend bismuth or non-bismuth quadruple therapy </w:t>
      </w:r>
      <w:r w:rsidR="0017276F" w:rsidRPr="00AD5C42">
        <w:rPr>
          <w:rFonts w:ascii="Book Antiqua" w:hAnsi="Book Antiqua"/>
          <w:color w:val="000000" w:themeColor="text1"/>
          <w:sz w:val="24"/>
          <w:szCs w:val="24"/>
        </w:rPr>
        <w:t xml:space="preserve">for 14 d </w:t>
      </w:r>
      <w:r w:rsidR="006A1829" w:rsidRPr="00AD5C42">
        <w:rPr>
          <w:rFonts w:ascii="Book Antiqua" w:hAnsi="Book Antiqua"/>
          <w:color w:val="000000" w:themeColor="text1"/>
          <w:sz w:val="24"/>
          <w:szCs w:val="24"/>
        </w:rPr>
        <w:t xml:space="preserve">as </w:t>
      </w:r>
      <w:r w:rsidR="00296450" w:rsidRPr="00AD5C42">
        <w:rPr>
          <w:rFonts w:ascii="Book Antiqua" w:hAnsi="Book Antiqua"/>
          <w:color w:val="000000" w:themeColor="text1"/>
          <w:sz w:val="24"/>
          <w:szCs w:val="24"/>
        </w:rPr>
        <w:t xml:space="preserve">a </w:t>
      </w:r>
      <w:r w:rsidR="006A1829" w:rsidRPr="00AD5C42">
        <w:rPr>
          <w:rFonts w:ascii="Book Antiqua" w:hAnsi="Book Antiqua"/>
          <w:color w:val="000000" w:themeColor="text1"/>
          <w:sz w:val="24"/>
          <w:szCs w:val="24"/>
        </w:rPr>
        <w:t>first</w:t>
      </w:r>
      <w:r w:rsidR="00296450" w:rsidRPr="00AD5C42">
        <w:rPr>
          <w:rFonts w:ascii="Book Antiqua" w:hAnsi="Book Antiqua"/>
          <w:color w:val="000000" w:themeColor="text1"/>
          <w:sz w:val="24"/>
          <w:szCs w:val="24"/>
        </w:rPr>
        <w:t>-</w:t>
      </w:r>
      <w:r w:rsidR="006A1829" w:rsidRPr="00AD5C42">
        <w:rPr>
          <w:rFonts w:ascii="Book Antiqua" w:hAnsi="Book Antiqua"/>
          <w:color w:val="000000" w:themeColor="text1"/>
          <w:sz w:val="24"/>
          <w:szCs w:val="24"/>
        </w:rPr>
        <w:t xml:space="preserve">line treatment for </w:t>
      </w:r>
      <w:r w:rsidR="006A1829" w:rsidRPr="00AD5C42">
        <w:rPr>
          <w:rFonts w:ascii="Book Antiqua" w:hAnsi="Book Antiqua"/>
          <w:i/>
          <w:color w:val="000000" w:themeColor="text1"/>
          <w:sz w:val="24"/>
          <w:szCs w:val="24"/>
        </w:rPr>
        <w:t>H. pylori</w:t>
      </w:r>
      <w:r w:rsidR="006A1829" w:rsidRPr="00AD5C42">
        <w:rPr>
          <w:rFonts w:ascii="Book Antiqua" w:hAnsi="Book Antiqua"/>
          <w:color w:val="000000" w:themeColor="text1"/>
          <w:sz w:val="24"/>
          <w:szCs w:val="24"/>
        </w:rPr>
        <w:t xml:space="preserve"> in areas of high clarithromycin and/or metronidazole resistance. </w:t>
      </w:r>
      <w:r w:rsidR="0017276F" w:rsidRPr="00AD5C42">
        <w:rPr>
          <w:rFonts w:ascii="Book Antiqua" w:hAnsi="Book Antiqua"/>
          <w:color w:val="000000" w:themeColor="text1"/>
          <w:sz w:val="24"/>
          <w:szCs w:val="24"/>
        </w:rPr>
        <w:t xml:space="preserve">Although these treatment regimens provide acceptable </w:t>
      </w:r>
      <w:r w:rsidR="0017276F" w:rsidRPr="00AD5C42">
        <w:rPr>
          <w:rFonts w:ascii="Book Antiqua" w:hAnsi="Book Antiqua"/>
          <w:i/>
          <w:color w:val="000000" w:themeColor="text1"/>
          <w:sz w:val="24"/>
          <w:szCs w:val="24"/>
        </w:rPr>
        <w:t>H. pylori</w:t>
      </w:r>
      <w:r w:rsidR="0017276F" w:rsidRPr="00AD5C42">
        <w:rPr>
          <w:rFonts w:ascii="Book Antiqua" w:hAnsi="Book Antiqua"/>
          <w:color w:val="000000" w:themeColor="text1"/>
          <w:sz w:val="24"/>
          <w:szCs w:val="24"/>
        </w:rPr>
        <w:t xml:space="preserve"> eradication rates, the regimens </w:t>
      </w:r>
      <w:r w:rsidR="00296450" w:rsidRPr="00AD5C42">
        <w:rPr>
          <w:rFonts w:ascii="Book Antiqua" w:hAnsi="Book Antiqua"/>
          <w:color w:val="000000" w:themeColor="text1"/>
          <w:sz w:val="24"/>
          <w:szCs w:val="24"/>
        </w:rPr>
        <w:t>used should</w:t>
      </w:r>
      <w:r w:rsidR="0017276F" w:rsidRPr="00AD5C42">
        <w:rPr>
          <w:rFonts w:ascii="Book Antiqua" w:hAnsi="Book Antiqua"/>
          <w:color w:val="000000" w:themeColor="text1"/>
          <w:sz w:val="24"/>
          <w:szCs w:val="24"/>
        </w:rPr>
        <w:t xml:space="preserve"> not contribute to </w:t>
      </w:r>
      <w:r w:rsidR="00F533D4" w:rsidRPr="00AD5C42">
        <w:rPr>
          <w:rFonts w:ascii="Book Antiqua" w:hAnsi="Book Antiqua"/>
          <w:color w:val="000000" w:themeColor="text1"/>
          <w:sz w:val="24"/>
          <w:szCs w:val="24"/>
        </w:rPr>
        <w:t>fu</w:t>
      </w:r>
      <w:r w:rsidR="004E22BA" w:rsidRPr="00AD5C42">
        <w:rPr>
          <w:rFonts w:ascii="Book Antiqua" w:hAnsi="Book Antiqua"/>
          <w:color w:val="000000" w:themeColor="text1"/>
          <w:sz w:val="24"/>
          <w:szCs w:val="24"/>
        </w:rPr>
        <w:t>ture</w:t>
      </w:r>
      <w:r w:rsidR="00F533D4" w:rsidRPr="00AD5C42">
        <w:rPr>
          <w:rFonts w:ascii="Book Antiqua" w:hAnsi="Book Antiqua"/>
          <w:color w:val="000000" w:themeColor="text1"/>
          <w:sz w:val="24"/>
          <w:szCs w:val="24"/>
        </w:rPr>
        <w:t xml:space="preserve"> </w:t>
      </w:r>
      <w:r w:rsidR="0017276F" w:rsidRPr="00AD5C42">
        <w:rPr>
          <w:rFonts w:ascii="Book Antiqua" w:hAnsi="Book Antiqua"/>
          <w:color w:val="000000" w:themeColor="text1"/>
          <w:sz w:val="24"/>
          <w:szCs w:val="24"/>
        </w:rPr>
        <w:t xml:space="preserve">resistance of </w:t>
      </w:r>
      <w:r w:rsidR="0017276F" w:rsidRPr="00AD5C42">
        <w:rPr>
          <w:rFonts w:ascii="Book Antiqua" w:hAnsi="Book Antiqua"/>
          <w:i/>
          <w:color w:val="000000" w:themeColor="text1"/>
          <w:sz w:val="24"/>
          <w:szCs w:val="24"/>
        </w:rPr>
        <w:t>H. pylori</w:t>
      </w:r>
      <w:r w:rsidR="0017276F" w:rsidRPr="00AD5C42">
        <w:rPr>
          <w:rFonts w:ascii="Book Antiqua" w:hAnsi="Book Antiqua"/>
          <w:color w:val="000000" w:themeColor="text1"/>
          <w:sz w:val="24"/>
          <w:szCs w:val="24"/>
        </w:rPr>
        <w:t xml:space="preserve"> to </w:t>
      </w:r>
      <w:r w:rsidR="008442A9" w:rsidRPr="00AD5C42">
        <w:rPr>
          <w:rFonts w:ascii="Book Antiqua" w:hAnsi="Book Antiqua"/>
          <w:color w:val="000000" w:themeColor="text1"/>
          <w:sz w:val="24"/>
          <w:szCs w:val="24"/>
        </w:rPr>
        <w:t>antimicrobial</w:t>
      </w:r>
      <w:r w:rsidR="009002A0" w:rsidRPr="00AD5C42">
        <w:rPr>
          <w:rFonts w:ascii="Book Antiqua" w:hAnsi="Book Antiqua"/>
          <w:color w:val="000000" w:themeColor="text1"/>
          <w:sz w:val="24"/>
          <w:szCs w:val="24"/>
        </w:rPr>
        <w:t>s</w:t>
      </w:r>
      <w:r w:rsidR="00436DBD" w:rsidRPr="00AD5C42">
        <w:rPr>
          <w:rFonts w:ascii="Book Antiqua" w:hAnsi="Book Antiqua"/>
          <w:color w:val="000000" w:themeColor="text1"/>
          <w:sz w:val="24"/>
          <w:szCs w:val="24"/>
        </w:rPr>
        <w:t>.</w:t>
      </w:r>
      <w:r w:rsidR="0017276F" w:rsidRPr="00AD5C42">
        <w:rPr>
          <w:rFonts w:ascii="Book Antiqua" w:hAnsi="Book Antiqua"/>
          <w:color w:val="000000" w:themeColor="text1"/>
          <w:sz w:val="24"/>
          <w:szCs w:val="24"/>
        </w:rPr>
        <w:t xml:space="preserve"> </w:t>
      </w:r>
      <w:r w:rsidR="00436DBD" w:rsidRPr="00AD5C42">
        <w:rPr>
          <w:rFonts w:ascii="Book Antiqua" w:hAnsi="Book Antiqua"/>
          <w:color w:val="000000" w:themeColor="text1"/>
          <w:sz w:val="24"/>
          <w:szCs w:val="24"/>
        </w:rPr>
        <w:t>M</w:t>
      </w:r>
      <w:r w:rsidR="0017276F" w:rsidRPr="00AD5C42">
        <w:rPr>
          <w:rFonts w:ascii="Book Antiqua" w:hAnsi="Book Antiqua"/>
          <w:color w:val="000000" w:themeColor="text1"/>
          <w:sz w:val="24"/>
          <w:szCs w:val="24"/>
        </w:rPr>
        <w:t>oreover</w:t>
      </w:r>
      <w:r w:rsidR="00800D0D" w:rsidRPr="00AD5C42">
        <w:rPr>
          <w:rFonts w:ascii="Book Antiqua" w:hAnsi="Book Antiqua"/>
          <w:color w:val="000000" w:themeColor="text1"/>
          <w:sz w:val="24"/>
          <w:szCs w:val="24"/>
        </w:rPr>
        <w:t>,</w:t>
      </w:r>
      <w:r w:rsidR="0017276F" w:rsidRPr="00AD5C42">
        <w:rPr>
          <w:rFonts w:ascii="Book Antiqua" w:hAnsi="Book Antiqua"/>
          <w:color w:val="000000" w:themeColor="text1"/>
          <w:sz w:val="24"/>
          <w:szCs w:val="24"/>
        </w:rPr>
        <w:t xml:space="preserve"> </w:t>
      </w:r>
      <w:r w:rsidR="00800D0D" w:rsidRPr="00AD5C42">
        <w:rPr>
          <w:rFonts w:ascii="Book Antiqua" w:hAnsi="Book Antiqua"/>
          <w:color w:val="000000" w:themeColor="text1"/>
          <w:sz w:val="24"/>
          <w:szCs w:val="24"/>
        </w:rPr>
        <w:t>these regimens can</w:t>
      </w:r>
      <w:r w:rsidR="0017276F" w:rsidRPr="00AD5C42">
        <w:rPr>
          <w:rFonts w:ascii="Book Antiqua" w:hAnsi="Book Antiqua"/>
          <w:color w:val="000000" w:themeColor="text1"/>
          <w:sz w:val="24"/>
          <w:szCs w:val="24"/>
        </w:rPr>
        <w:t xml:space="preserve"> promote resistance, </w:t>
      </w:r>
      <w:r w:rsidR="00333408" w:rsidRPr="00AD5C42">
        <w:rPr>
          <w:rFonts w:ascii="Book Antiqua" w:hAnsi="Book Antiqua"/>
          <w:color w:val="000000" w:themeColor="text1"/>
          <w:sz w:val="24"/>
          <w:szCs w:val="24"/>
        </w:rPr>
        <w:t xml:space="preserve">due to prolonged therapy with </w:t>
      </w:r>
      <w:r w:rsidR="0017276F" w:rsidRPr="00AD5C42">
        <w:rPr>
          <w:rFonts w:ascii="Book Antiqua" w:hAnsi="Book Antiqua"/>
          <w:color w:val="000000" w:themeColor="text1"/>
          <w:sz w:val="24"/>
          <w:szCs w:val="24"/>
        </w:rPr>
        <w:t>multiple antibiotics.</w:t>
      </w:r>
      <w:r w:rsidR="006A1829" w:rsidRPr="00AD5C42">
        <w:rPr>
          <w:rFonts w:ascii="Book Antiqua" w:hAnsi="Book Antiqua"/>
          <w:color w:val="000000" w:themeColor="text1"/>
          <w:sz w:val="24"/>
          <w:szCs w:val="24"/>
        </w:rPr>
        <w:t xml:space="preserve"> </w:t>
      </w:r>
      <w:r w:rsidR="004D21B2" w:rsidRPr="00AD5C42">
        <w:rPr>
          <w:rFonts w:ascii="Book Antiqua" w:hAnsi="Book Antiqua"/>
          <w:color w:val="000000" w:themeColor="text1"/>
          <w:sz w:val="24"/>
          <w:szCs w:val="24"/>
        </w:rPr>
        <w:t>A</w:t>
      </w:r>
      <w:r w:rsidR="00C3108D" w:rsidRPr="00AD5C42">
        <w:rPr>
          <w:rFonts w:ascii="Book Antiqua" w:hAnsi="Book Antiqua"/>
          <w:color w:val="000000" w:themeColor="text1"/>
          <w:sz w:val="24"/>
          <w:szCs w:val="24"/>
        </w:rPr>
        <w:t xml:space="preserve"> new strategy </w:t>
      </w:r>
      <w:r w:rsidR="009719F5" w:rsidRPr="00AD5C42">
        <w:rPr>
          <w:rFonts w:ascii="Book Antiqua" w:hAnsi="Book Antiqua"/>
          <w:color w:val="000000" w:themeColor="text1"/>
          <w:sz w:val="24"/>
          <w:szCs w:val="24"/>
        </w:rPr>
        <w:t xml:space="preserve">that </w:t>
      </w:r>
      <w:r w:rsidR="00C3108D" w:rsidRPr="00AD5C42">
        <w:rPr>
          <w:rFonts w:ascii="Book Antiqua" w:hAnsi="Book Antiqua"/>
          <w:color w:val="000000" w:themeColor="text1"/>
          <w:sz w:val="24"/>
          <w:szCs w:val="24"/>
        </w:rPr>
        <w:t>c</w:t>
      </w:r>
      <w:r w:rsidR="00333408" w:rsidRPr="00AD5C42">
        <w:rPr>
          <w:rFonts w:ascii="Book Antiqua" w:hAnsi="Book Antiqua"/>
          <w:color w:val="000000" w:themeColor="text1"/>
          <w:sz w:val="24"/>
          <w:szCs w:val="24"/>
        </w:rPr>
        <w:t>an</w:t>
      </w:r>
      <w:r w:rsidR="00C3108D" w:rsidRPr="00AD5C42">
        <w:rPr>
          <w:rFonts w:ascii="Book Antiqua" w:hAnsi="Book Antiqua"/>
          <w:color w:val="000000" w:themeColor="text1"/>
          <w:sz w:val="24"/>
          <w:szCs w:val="24"/>
        </w:rPr>
        <w:t xml:space="preserve"> eradicat</w:t>
      </w:r>
      <w:r w:rsidR="006F240C" w:rsidRPr="00AD5C42">
        <w:rPr>
          <w:rFonts w:ascii="Book Antiqua" w:hAnsi="Book Antiqua"/>
          <w:color w:val="000000" w:themeColor="text1"/>
          <w:sz w:val="24"/>
          <w:szCs w:val="24"/>
        </w:rPr>
        <w:t xml:space="preserve">e </w:t>
      </w:r>
      <w:r w:rsidR="00F533D4" w:rsidRPr="00AD5C42">
        <w:rPr>
          <w:rFonts w:ascii="Book Antiqua" w:hAnsi="Book Antiqua"/>
          <w:i/>
          <w:color w:val="000000" w:themeColor="text1"/>
          <w:sz w:val="24"/>
          <w:szCs w:val="24"/>
        </w:rPr>
        <w:t>H. pylori</w:t>
      </w:r>
      <w:r w:rsidR="00C3108D" w:rsidRPr="00AD5C42">
        <w:rPr>
          <w:rFonts w:ascii="Book Antiqua" w:hAnsi="Book Antiqua"/>
          <w:color w:val="000000" w:themeColor="text1"/>
          <w:sz w:val="24"/>
          <w:szCs w:val="24"/>
        </w:rPr>
        <w:t xml:space="preserve"> as well as reduce the antibiotics</w:t>
      </w:r>
      <w:r w:rsidR="00296450" w:rsidRPr="00AD5C42">
        <w:rPr>
          <w:rFonts w:ascii="Book Antiqua" w:hAnsi="Book Antiqua"/>
          <w:color w:val="000000" w:themeColor="text1"/>
          <w:sz w:val="24"/>
          <w:szCs w:val="24"/>
        </w:rPr>
        <w:t xml:space="preserve"> used</w:t>
      </w:r>
      <w:r w:rsidR="00C3108D" w:rsidRPr="00AD5C42">
        <w:rPr>
          <w:rFonts w:ascii="Book Antiqua" w:hAnsi="Book Antiqua"/>
          <w:color w:val="000000" w:themeColor="text1"/>
          <w:sz w:val="24"/>
          <w:szCs w:val="24"/>
        </w:rPr>
        <w:t xml:space="preserve"> </w:t>
      </w:r>
      <w:r w:rsidR="00333408" w:rsidRPr="00AD5C42">
        <w:rPr>
          <w:rFonts w:ascii="Book Antiqua" w:hAnsi="Book Antiqua"/>
          <w:color w:val="000000" w:themeColor="text1"/>
          <w:sz w:val="24"/>
          <w:szCs w:val="24"/>
        </w:rPr>
        <w:t xml:space="preserve">is required </w:t>
      </w:r>
      <w:r w:rsidR="00C3108D" w:rsidRPr="00AD5C42">
        <w:rPr>
          <w:rFonts w:ascii="Book Antiqua" w:hAnsi="Book Antiqua"/>
          <w:color w:val="000000" w:themeColor="text1"/>
          <w:sz w:val="24"/>
          <w:szCs w:val="24"/>
        </w:rPr>
        <w:t xml:space="preserve">to prevent </w:t>
      </w:r>
      <w:r w:rsidR="00F24297" w:rsidRPr="00AD5C42">
        <w:rPr>
          <w:rFonts w:ascii="Book Antiqua" w:hAnsi="Book Antiqua"/>
          <w:color w:val="000000" w:themeColor="text1"/>
          <w:sz w:val="24"/>
          <w:szCs w:val="24"/>
        </w:rPr>
        <w:t>fu</w:t>
      </w:r>
      <w:r w:rsidR="004E22BA" w:rsidRPr="00AD5C42">
        <w:rPr>
          <w:rFonts w:ascii="Book Antiqua" w:hAnsi="Book Antiqua"/>
          <w:color w:val="000000" w:themeColor="text1"/>
          <w:sz w:val="24"/>
          <w:szCs w:val="24"/>
        </w:rPr>
        <w:t>ture</w:t>
      </w:r>
      <w:r w:rsidR="00F24297" w:rsidRPr="00AD5C42">
        <w:rPr>
          <w:rFonts w:ascii="Book Antiqua" w:hAnsi="Book Antiqua"/>
          <w:color w:val="000000" w:themeColor="text1"/>
          <w:sz w:val="24"/>
          <w:szCs w:val="24"/>
        </w:rPr>
        <w:t xml:space="preserve"> </w:t>
      </w:r>
      <w:r w:rsidR="008442A9" w:rsidRPr="00AD5C42">
        <w:rPr>
          <w:rFonts w:ascii="Book Antiqua" w:hAnsi="Book Antiqua"/>
          <w:color w:val="000000" w:themeColor="text1"/>
          <w:sz w:val="24"/>
          <w:szCs w:val="24"/>
        </w:rPr>
        <w:t>antimicrobial</w:t>
      </w:r>
      <w:r w:rsidR="00C3108D" w:rsidRPr="00AD5C42">
        <w:rPr>
          <w:rFonts w:ascii="Book Antiqua" w:hAnsi="Book Antiqua"/>
          <w:color w:val="000000" w:themeColor="text1"/>
          <w:sz w:val="24"/>
          <w:szCs w:val="24"/>
        </w:rPr>
        <w:t xml:space="preserve"> resistance </w:t>
      </w:r>
      <w:r w:rsidR="00917C78" w:rsidRPr="00AD5C42">
        <w:rPr>
          <w:rFonts w:ascii="Book Antiqua" w:hAnsi="Book Antiqua"/>
          <w:color w:val="000000" w:themeColor="text1"/>
          <w:sz w:val="24"/>
          <w:szCs w:val="24"/>
        </w:rPr>
        <w:t>in</w:t>
      </w:r>
      <w:r w:rsidR="00C3108D" w:rsidRPr="00AD5C42">
        <w:rPr>
          <w:rFonts w:ascii="Book Antiqua" w:hAnsi="Book Antiqua"/>
          <w:color w:val="000000" w:themeColor="text1"/>
          <w:sz w:val="24"/>
          <w:szCs w:val="24"/>
        </w:rPr>
        <w:t xml:space="preserve"> </w:t>
      </w:r>
      <w:r w:rsidR="00C3108D" w:rsidRPr="00AD5C42">
        <w:rPr>
          <w:rFonts w:ascii="Book Antiqua" w:hAnsi="Book Antiqua"/>
          <w:i/>
          <w:color w:val="000000" w:themeColor="text1"/>
          <w:sz w:val="24"/>
          <w:szCs w:val="24"/>
        </w:rPr>
        <w:t>H. pylori</w:t>
      </w:r>
      <w:r w:rsidR="00C3108D" w:rsidRPr="00AD5C42">
        <w:rPr>
          <w:rFonts w:ascii="Book Antiqua" w:hAnsi="Book Antiqua"/>
          <w:color w:val="000000" w:themeColor="text1"/>
          <w:sz w:val="24"/>
          <w:szCs w:val="24"/>
        </w:rPr>
        <w:t xml:space="preserve">. </w:t>
      </w:r>
      <w:r w:rsidR="003A5CE4" w:rsidRPr="00AD5C42">
        <w:rPr>
          <w:rFonts w:ascii="Book Antiqua" w:hAnsi="Book Antiqua"/>
          <w:color w:val="000000" w:themeColor="text1"/>
          <w:sz w:val="24"/>
          <w:szCs w:val="24"/>
        </w:rPr>
        <w:t>Dual</w:t>
      </w:r>
      <w:r w:rsidR="00296450" w:rsidRPr="00AD5C42">
        <w:rPr>
          <w:rFonts w:ascii="Book Antiqua" w:hAnsi="Book Antiqua"/>
          <w:color w:val="000000" w:themeColor="text1"/>
          <w:sz w:val="24"/>
          <w:szCs w:val="24"/>
        </w:rPr>
        <w:t>-</w:t>
      </w:r>
      <w:r w:rsidR="003A5CE4" w:rsidRPr="00AD5C42">
        <w:rPr>
          <w:rFonts w:ascii="Book Antiqua" w:hAnsi="Book Antiqua"/>
          <w:color w:val="000000" w:themeColor="text1"/>
          <w:sz w:val="24"/>
          <w:szCs w:val="24"/>
        </w:rPr>
        <w:t xml:space="preserve">therapy </w:t>
      </w:r>
      <w:r w:rsidR="00032313" w:rsidRPr="00AD5C42">
        <w:rPr>
          <w:rFonts w:ascii="Book Antiqua" w:hAnsi="Book Antiqua"/>
          <w:color w:val="000000" w:themeColor="text1"/>
          <w:sz w:val="24"/>
          <w:szCs w:val="24"/>
        </w:rPr>
        <w:t xml:space="preserve">with </w:t>
      </w:r>
      <w:r w:rsidR="003A5CE4" w:rsidRPr="00AD5C42">
        <w:rPr>
          <w:rFonts w:ascii="Book Antiqua" w:hAnsi="Book Antiqua"/>
          <w:color w:val="000000" w:themeColor="text1"/>
          <w:sz w:val="24"/>
          <w:szCs w:val="24"/>
        </w:rPr>
        <w:t xml:space="preserve">vonoprazan and amoxicillin </w:t>
      </w:r>
      <w:r w:rsidR="00296450" w:rsidRPr="00AD5C42">
        <w:rPr>
          <w:rFonts w:ascii="Book Antiqua" w:hAnsi="Book Antiqua"/>
          <w:color w:val="000000" w:themeColor="text1"/>
          <w:sz w:val="24"/>
          <w:szCs w:val="24"/>
        </w:rPr>
        <w:t>could be a</w:t>
      </w:r>
      <w:r w:rsidR="003A5CE4" w:rsidRPr="00AD5C42">
        <w:rPr>
          <w:rFonts w:ascii="Book Antiqua" w:hAnsi="Book Antiqua"/>
          <w:color w:val="000000" w:themeColor="text1"/>
          <w:sz w:val="24"/>
          <w:szCs w:val="24"/>
        </w:rPr>
        <w:t xml:space="preserve"> </w:t>
      </w:r>
      <w:r w:rsidR="00373C4D" w:rsidRPr="00AD5C42">
        <w:rPr>
          <w:rFonts w:ascii="Book Antiqua" w:hAnsi="Book Antiqua"/>
          <w:color w:val="000000" w:themeColor="text1"/>
          <w:sz w:val="24"/>
          <w:szCs w:val="24"/>
        </w:rPr>
        <w:t>breakthrough</w:t>
      </w:r>
      <w:r w:rsidR="003A5CE4" w:rsidRPr="00AD5C42">
        <w:rPr>
          <w:rFonts w:ascii="Book Antiqua" w:hAnsi="Book Antiqua"/>
          <w:color w:val="000000" w:themeColor="text1"/>
          <w:sz w:val="24"/>
          <w:szCs w:val="24"/>
        </w:rPr>
        <w:t xml:space="preserve"> for </w:t>
      </w:r>
      <w:r w:rsidR="003A5CE4" w:rsidRPr="00AD5C42">
        <w:rPr>
          <w:rFonts w:ascii="Book Antiqua" w:hAnsi="Book Antiqua"/>
          <w:i/>
          <w:color w:val="000000" w:themeColor="text1"/>
          <w:sz w:val="24"/>
          <w:szCs w:val="24"/>
        </w:rPr>
        <w:t>H. pylori</w:t>
      </w:r>
      <w:r w:rsidR="003A5CE4" w:rsidRPr="00AD5C42">
        <w:rPr>
          <w:rFonts w:ascii="Book Antiqua" w:hAnsi="Book Antiqua"/>
          <w:color w:val="000000" w:themeColor="text1"/>
          <w:sz w:val="24"/>
          <w:szCs w:val="24"/>
        </w:rPr>
        <w:t xml:space="preserve"> eradication in </w:t>
      </w:r>
      <w:r w:rsidR="00296450" w:rsidRPr="00AD5C42">
        <w:rPr>
          <w:rFonts w:ascii="Book Antiqua" w:hAnsi="Book Antiqua"/>
          <w:color w:val="000000" w:themeColor="text1"/>
          <w:sz w:val="24"/>
          <w:szCs w:val="24"/>
        </w:rPr>
        <w:t xml:space="preserve">an </w:t>
      </w:r>
      <w:r w:rsidR="003A5CE4" w:rsidRPr="00AD5C42">
        <w:rPr>
          <w:rFonts w:ascii="Book Antiqua" w:hAnsi="Book Antiqua"/>
          <w:color w:val="000000" w:themeColor="text1"/>
          <w:sz w:val="24"/>
          <w:szCs w:val="24"/>
        </w:rPr>
        <w:t>era of growing antimicrobial resistance</w:t>
      </w:r>
      <w:r w:rsidR="00373C4D" w:rsidRPr="00AD5C42">
        <w:rPr>
          <w:rFonts w:ascii="Book Antiqua" w:hAnsi="Book Antiqua"/>
          <w:color w:val="000000" w:themeColor="text1"/>
          <w:sz w:val="24"/>
          <w:szCs w:val="24"/>
        </w:rPr>
        <w:t>.</w:t>
      </w:r>
      <w:r w:rsidR="003A5CE4" w:rsidRPr="00AD5C42">
        <w:rPr>
          <w:rFonts w:ascii="Book Antiqua" w:hAnsi="Book Antiqua"/>
          <w:color w:val="000000" w:themeColor="text1"/>
          <w:sz w:val="24"/>
          <w:szCs w:val="24"/>
        </w:rPr>
        <w:t xml:space="preserve"> </w:t>
      </w:r>
      <w:r w:rsidR="00C5157A" w:rsidRPr="00AD5C42">
        <w:rPr>
          <w:rFonts w:ascii="Book Antiqua" w:hAnsi="Book Antiqua"/>
          <w:color w:val="000000" w:themeColor="text1"/>
          <w:sz w:val="24"/>
          <w:szCs w:val="24"/>
        </w:rPr>
        <w:t xml:space="preserve">This regimen may provide a satisfactory eradication rate of </w:t>
      </w:r>
      <w:r w:rsidR="00C5157A" w:rsidRPr="00AD5C42">
        <w:rPr>
          <w:rFonts w:ascii="Book Antiqua" w:hAnsi="Book Antiqua"/>
          <w:i/>
          <w:color w:val="000000" w:themeColor="text1"/>
          <w:sz w:val="24"/>
          <w:szCs w:val="24"/>
        </w:rPr>
        <w:t>H. pylori</w:t>
      </w:r>
      <w:r w:rsidR="00C5157A" w:rsidRPr="00AD5C42">
        <w:rPr>
          <w:rFonts w:ascii="Book Antiqua" w:hAnsi="Book Antiqua"/>
          <w:color w:val="000000" w:themeColor="text1"/>
          <w:sz w:val="24"/>
          <w:szCs w:val="24"/>
        </w:rPr>
        <w:t xml:space="preserve"> and also minimize antimicrobial resistance due to single antibiotic use and the strong inhibitory effect of vonoprazan on gastric acid secretion</w:t>
      </w:r>
      <w:r w:rsidR="0061413C" w:rsidRPr="00AD5C42">
        <w:rPr>
          <w:rFonts w:ascii="Book Antiqua" w:hAnsi="Book Antiqua"/>
          <w:color w:val="000000" w:themeColor="text1"/>
          <w:sz w:val="24"/>
          <w:szCs w:val="24"/>
        </w:rPr>
        <w:t>.</w:t>
      </w:r>
      <w:r w:rsidR="00C3108D" w:rsidRPr="00AD5C42">
        <w:rPr>
          <w:rFonts w:ascii="Book Antiqua" w:hAnsi="Book Antiqua"/>
          <w:color w:val="000000" w:themeColor="text1"/>
          <w:sz w:val="24"/>
          <w:szCs w:val="24"/>
        </w:rPr>
        <w:t xml:space="preserve"> </w:t>
      </w:r>
    </w:p>
    <w:p w14:paraId="6FEB33F4" w14:textId="77777777" w:rsidR="000305ED" w:rsidRPr="00AD5C42" w:rsidRDefault="000305ED" w:rsidP="00AF7B77">
      <w:pPr>
        <w:adjustRightInd w:val="0"/>
        <w:snapToGrid w:val="0"/>
        <w:spacing w:line="360" w:lineRule="auto"/>
        <w:rPr>
          <w:rFonts w:ascii="Book Antiqua" w:hAnsi="Book Antiqua"/>
          <w:color w:val="000000" w:themeColor="text1"/>
          <w:sz w:val="24"/>
          <w:szCs w:val="24"/>
        </w:rPr>
      </w:pPr>
    </w:p>
    <w:p w14:paraId="4733676D" w14:textId="30FFD750" w:rsidR="00362F54" w:rsidRPr="00AD5C42" w:rsidRDefault="00362F54" w:rsidP="00AF7B77">
      <w:pPr>
        <w:adjustRightInd w:val="0"/>
        <w:snapToGrid w:val="0"/>
        <w:spacing w:line="360" w:lineRule="auto"/>
        <w:rPr>
          <w:rFonts w:ascii="Book Antiqua" w:hAnsi="Book Antiqua"/>
          <w:color w:val="000000" w:themeColor="text1"/>
          <w:sz w:val="24"/>
          <w:szCs w:val="24"/>
        </w:rPr>
      </w:pPr>
      <w:r w:rsidRPr="00AD5C42">
        <w:rPr>
          <w:rFonts w:ascii="Book Antiqua" w:hAnsi="Book Antiqua"/>
          <w:b/>
          <w:color w:val="000000" w:themeColor="text1"/>
          <w:sz w:val="24"/>
          <w:szCs w:val="24"/>
        </w:rPr>
        <w:t xml:space="preserve">Key words: </w:t>
      </w:r>
      <w:r w:rsidRPr="00AD5C42">
        <w:rPr>
          <w:rFonts w:ascii="Book Antiqua" w:hAnsi="Book Antiqua"/>
          <w:i/>
          <w:color w:val="000000" w:themeColor="text1"/>
          <w:sz w:val="24"/>
          <w:szCs w:val="24"/>
        </w:rPr>
        <w:t>Helicobacter pylori</w:t>
      </w:r>
      <w:r w:rsidR="00B12275" w:rsidRPr="00AD5C42">
        <w:rPr>
          <w:rFonts w:ascii="Book Antiqua" w:hAnsi="Book Antiqua"/>
          <w:color w:val="000000" w:themeColor="text1"/>
          <w:sz w:val="24"/>
          <w:szCs w:val="24"/>
        </w:rPr>
        <w:t>; A</w:t>
      </w:r>
      <w:r w:rsidRPr="00AD5C42">
        <w:rPr>
          <w:rFonts w:ascii="Book Antiqua" w:hAnsi="Book Antiqua"/>
          <w:color w:val="000000" w:themeColor="text1"/>
          <w:sz w:val="24"/>
          <w:szCs w:val="24"/>
        </w:rPr>
        <w:t xml:space="preserve">ntibiotic resistance; </w:t>
      </w:r>
      <w:r w:rsidR="00B12275" w:rsidRPr="00AD5C42">
        <w:rPr>
          <w:rFonts w:ascii="Book Antiqua" w:hAnsi="Book Antiqua"/>
          <w:color w:val="000000" w:themeColor="text1"/>
          <w:sz w:val="24"/>
          <w:szCs w:val="24"/>
        </w:rPr>
        <w:t>A</w:t>
      </w:r>
      <w:r w:rsidR="00E73025" w:rsidRPr="00AD5C42">
        <w:rPr>
          <w:rFonts w:ascii="Book Antiqua" w:hAnsi="Book Antiqua"/>
          <w:color w:val="000000" w:themeColor="text1"/>
          <w:sz w:val="24"/>
          <w:szCs w:val="24"/>
        </w:rPr>
        <w:t xml:space="preserve">ntimicrobial resistance; </w:t>
      </w:r>
      <w:r w:rsidR="00B12275" w:rsidRPr="00AD5C42">
        <w:rPr>
          <w:rFonts w:ascii="Book Antiqua" w:hAnsi="Book Antiqua"/>
          <w:color w:val="000000" w:themeColor="text1"/>
          <w:sz w:val="24"/>
          <w:szCs w:val="24"/>
        </w:rPr>
        <w:t xml:space="preserve">Dual therapy; </w:t>
      </w:r>
      <w:proofErr w:type="spellStart"/>
      <w:r w:rsidR="00B12275" w:rsidRPr="00AD5C42">
        <w:rPr>
          <w:rFonts w:ascii="Book Antiqua" w:hAnsi="Book Antiqua"/>
          <w:color w:val="000000" w:themeColor="text1"/>
          <w:sz w:val="24"/>
          <w:szCs w:val="24"/>
        </w:rPr>
        <w:t>Vonoprazan</w:t>
      </w:r>
      <w:proofErr w:type="spellEnd"/>
    </w:p>
    <w:p w14:paraId="5572900F" w14:textId="270D617F" w:rsidR="00362F54" w:rsidRPr="00AD5C42" w:rsidRDefault="00362F54" w:rsidP="00AF7B77">
      <w:pPr>
        <w:adjustRightInd w:val="0"/>
        <w:snapToGrid w:val="0"/>
        <w:spacing w:line="360" w:lineRule="auto"/>
        <w:rPr>
          <w:rFonts w:ascii="Book Antiqua" w:hAnsi="Book Antiqua"/>
          <w:color w:val="000000" w:themeColor="text1"/>
          <w:sz w:val="24"/>
          <w:szCs w:val="24"/>
        </w:rPr>
      </w:pPr>
    </w:p>
    <w:p w14:paraId="4EC72498" w14:textId="06260803" w:rsidR="000D7DEF" w:rsidRPr="00AD5C42" w:rsidRDefault="00B12275" w:rsidP="00AF7B77">
      <w:pPr>
        <w:adjustRightInd w:val="0"/>
        <w:snapToGrid w:val="0"/>
        <w:spacing w:line="360" w:lineRule="auto"/>
        <w:rPr>
          <w:rFonts w:ascii="Book Antiqua" w:eastAsia="宋体" w:hAnsi="Book Antiqua"/>
          <w:kern w:val="0"/>
          <w:sz w:val="24"/>
          <w:szCs w:val="24"/>
          <w:lang w:eastAsia="zh-CN"/>
        </w:rPr>
      </w:pPr>
      <w:bookmarkStart w:id="34" w:name="OLE_LINK43"/>
      <w:bookmarkStart w:id="35" w:name="OLE_LINK44"/>
      <w:r w:rsidRPr="00AD5C42">
        <w:rPr>
          <w:rFonts w:ascii="Book Antiqua" w:eastAsia="宋体" w:hAnsi="Book Antiqua"/>
          <w:b/>
          <w:kern w:val="0"/>
          <w:sz w:val="24"/>
          <w:szCs w:val="24"/>
          <w:lang w:eastAsia="zh-CN"/>
        </w:rPr>
        <w:t xml:space="preserve">© The Author(s) 2019. </w:t>
      </w:r>
      <w:r w:rsidRPr="00AD5C42">
        <w:rPr>
          <w:rFonts w:ascii="Book Antiqua" w:eastAsia="宋体" w:hAnsi="Book Antiqua"/>
          <w:kern w:val="0"/>
          <w:sz w:val="24"/>
          <w:szCs w:val="24"/>
          <w:lang w:eastAsia="zh-CN"/>
        </w:rPr>
        <w:t xml:space="preserve">Published by </w:t>
      </w:r>
      <w:proofErr w:type="spellStart"/>
      <w:r w:rsidRPr="00AD5C42">
        <w:rPr>
          <w:rFonts w:ascii="Book Antiqua" w:eastAsia="宋体" w:hAnsi="Book Antiqua"/>
          <w:kern w:val="0"/>
          <w:sz w:val="24"/>
          <w:szCs w:val="24"/>
          <w:lang w:eastAsia="zh-CN"/>
        </w:rPr>
        <w:t>Baishideng</w:t>
      </w:r>
      <w:proofErr w:type="spellEnd"/>
      <w:r w:rsidRPr="00AD5C42">
        <w:rPr>
          <w:rFonts w:ascii="Book Antiqua" w:eastAsia="宋体" w:hAnsi="Book Antiqua"/>
          <w:kern w:val="0"/>
          <w:sz w:val="24"/>
          <w:szCs w:val="24"/>
          <w:lang w:eastAsia="zh-CN"/>
        </w:rPr>
        <w:t xml:space="preserve"> Publishing Group Inc. All rights reserved.</w:t>
      </w:r>
      <w:bookmarkEnd w:id="34"/>
      <w:bookmarkEnd w:id="35"/>
    </w:p>
    <w:p w14:paraId="7C0E2172" w14:textId="77777777" w:rsidR="00B12275" w:rsidRPr="00AD5C42" w:rsidRDefault="00B12275" w:rsidP="00AF7B77">
      <w:pPr>
        <w:adjustRightInd w:val="0"/>
        <w:snapToGrid w:val="0"/>
        <w:spacing w:line="360" w:lineRule="auto"/>
        <w:rPr>
          <w:rFonts w:ascii="Book Antiqua" w:hAnsi="Book Antiqua"/>
          <w:b/>
          <w:color w:val="000000" w:themeColor="text1"/>
          <w:sz w:val="24"/>
          <w:szCs w:val="24"/>
        </w:rPr>
      </w:pPr>
    </w:p>
    <w:p w14:paraId="7EA65449" w14:textId="5E1E4651" w:rsidR="009B4315" w:rsidRPr="00AD5C42" w:rsidRDefault="00362F54" w:rsidP="00B12275">
      <w:pPr>
        <w:adjustRightInd w:val="0"/>
        <w:snapToGrid w:val="0"/>
        <w:spacing w:line="360" w:lineRule="auto"/>
        <w:outlineLvl w:val="0"/>
        <w:rPr>
          <w:rFonts w:ascii="Book Antiqua" w:hAnsi="Book Antiqua"/>
          <w:b/>
          <w:color w:val="000000" w:themeColor="text1"/>
          <w:sz w:val="24"/>
          <w:szCs w:val="24"/>
        </w:rPr>
      </w:pPr>
      <w:r w:rsidRPr="00AD5C42">
        <w:rPr>
          <w:rFonts w:ascii="Book Antiqua" w:hAnsi="Book Antiqua"/>
          <w:b/>
          <w:color w:val="000000" w:themeColor="text1"/>
          <w:sz w:val="24"/>
          <w:szCs w:val="24"/>
        </w:rPr>
        <w:t>Core tip</w:t>
      </w:r>
      <w:r w:rsidR="0015426E" w:rsidRPr="00AD5C42">
        <w:rPr>
          <w:rFonts w:ascii="Book Antiqua" w:hAnsi="Book Antiqua"/>
          <w:b/>
          <w:color w:val="000000" w:themeColor="text1"/>
          <w:sz w:val="24"/>
          <w:szCs w:val="24"/>
        </w:rPr>
        <w:t>:</w:t>
      </w:r>
      <w:r w:rsidR="00B12275" w:rsidRPr="00AD5C42">
        <w:rPr>
          <w:rFonts w:ascii="Book Antiqua" w:hAnsi="Book Antiqua"/>
          <w:b/>
          <w:color w:val="000000" w:themeColor="text1"/>
          <w:sz w:val="24"/>
          <w:szCs w:val="24"/>
        </w:rPr>
        <w:t xml:space="preserve"> </w:t>
      </w:r>
      <w:r w:rsidR="00F81D26" w:rsidRPr="00AD5C42">
        <w:rPr>
          <w:rFonts w:ascii="Book Antiqua" w:hAnsi="Book Antiqua"/>
          <w:color w:val="000000" w:themeColor="text1"/>
          <w:sz w:val="24"/>
          <w:szCs w:val="24"/>
        </w:rPr>
        <w:t>The i</w:t>
      </w:r>
      <w:r w:rsidR="00436DBD" w:rsidRPr="00AD5C42">
        <w:rPr>
          <w:rFonts w:ascii="Book Antiqua" w:hAnsi="Book Antiqua"/>
          <w:color w:val="000000" w:themeColor="text1"/>
          <w:sz w:val="24"/>
          <w:szCs w:val="24"/>
        </w:rPr>
        <w:t xml:space="preserve">ncreasing </w:t>
      </w:r>
      <w:r w:rsidR="00B46BD4" w:rsidRPr="00AD5C42">
        <w:rPr>
          <w:rFonts w:ascii="Book Antiqua" w:hAnsi="Book Antiqua"/>
          <w:color w:val="000000" w:themeColor="text1"/>
          <w:sz w:val="24"/>
          <w:szCs w:val="24"/>
        </w:rPr>
        <w:t>antimicrobial</w:t>
      </w:r>
      <w:r w:rsidR="00B051F3" w:rsidRPr="00AD5C42">
        <w:rPr>
          <w:rFonts w:ascii="Book Antiqua" w:hAnsi="Book Antiqua"/>
          <w:color w:val="000000" w:themeColor="text1"/>
          <w:sz w:val="24"/>
          <w:szCs w:val="24"/>
        </w:rPr>
        <w:t xml:space="preserve"> resistance </w:t>
      </w:r>
      <w:r w:rsidR="00F533D4" w:rsidRPr="00AD5C42">
        <w:rPr>
          <w:rFonts w:ascii="Book Antiqua" w:hAnsi="Book Antiqua"/>
          <w:color w:val="000000" w:themeColor="text1"/>
          <w:sz w:val="24"/>
          <w:szCs w:val="24"/>
        </w:rPr>
        <w:t xml:space="preserve">of </w:t>
      </w:r>
      <w:r w:rsidR="0015426E" w:rsidRPr="00AD5C42">
        <w:rPr>
          <w:rFonts w:ascii="Book Antiqua" w:hAnsi="Book Antiqua"/>
          <w:i/>
          <w:color w:val="000000" w:themeColor="text1"/>
          <w:sz w:val="24"/>
          <w:szCs w:val="24"/>
        </w:rPr>
        <w:t>Helicobacter pylori</w:t>
      </w:r>
      <w:r w:rsidR="0015426E" w:rsidRPr="00AD5C42">
        <w:rPr>
          <w:rFonts w:ascii="Book Antiqua" w:hAnsi="Book Antiqua"/>
          <w:color w:val="000000" w:themeColor="text1"/>
          <w:sz w:val="24"/>
          <w:szCs w:val="24"/>
        </w:rPr>
        <w:t xml:space="preserve"> (</w:t>
      </w:r>
      <w:r w:rsidR="0015426E" w:rsidRPr="00AD5C42">
        <w:rPr>
          <w:rFonts w:ascii="Book Antiqua" w:hAnsi="Book Antiqua"/>
          <w:i/>
          <w:color w:val="000000" w:themeColor="text1"/>
          <w:sz w:val="24"/>
          <w:szCs w:val="24"/>
        </w:rPr>
        <w:t>H. pylori</w:t>
      </w:r>
      <w:r w:rsidR="0015426E" w:rsidRPr="00AD5C42">
        <w:rPr>
          <w:rFonts w:ascii="Book Antiqua" w:hAnsi="Book Antiqua"/>
          <w:color w:val="000000" w:themeColor="text1"/>
          <w:sz w:val="24"/>
          <w:szCs w:val="24"/>
        </w:rPr>
        <w:t xml:space="preserve">) is </w:t>
      </w:r>
      <w:r w:rsidR="00436DBD" w:rsidRPr="00AD5C42">
        <w:rPr>
          <w:rFonts w:ascii="Book Antiqua" w:hAnsi="Book Antiqua"/>
          <w:color w:val="000000" w:themeColor="text1"/>
          <w:sz w:val="24"/>
          <w:szCs w:val="24"/>
        </w:rPr>
        <w:t>a</w:t>
      </w:r>
      <w:r w:rsidR="008619B6" w:rsidRPr="00AD5C42">
        <w:rPr>
          <w:rFonts w:ascii="Book Antiqua" w:hAnsi="Book Antiqua"/>
          <w:color w:val="000000" w:themeColor="text1"/>
          <w:sz w:val="24"/>
          <w:szCs w:val="24"/>
        </w:rPr>
        <w:t>n</w:t>
      </w:r>
      <w:r w:rsidR="00436DBD" w:rsidRPr="00AD5C42">
        <w:rPr>
          <w:rFonts w:ascii="Book Antiqua" w:hAnsi="Book Antiqua"/>
          <w:color w:val="000000" w:themeColor="text1"/>
          <w:sz w:val="24"/>
          <w:szCs w:val="24"/>
        </w:rPr>
        <w:t xml:space="preserve"> </w:t>
      </w:r>
      <w:r w:rsidR="0015426E" w:rsidRPr="00AD5C42">
        <w:rPr>
          <w:rFonts w:ascii="Book Antiqua" w:hAnsi="Book Antiqua"/>
          <w:color w:val="000000" w:themeColor="text1"/>
          <w:sz w:val="24"/>
          <w:szCs w:val="24"/>
        </w:rPr>
        <w:t>urgent</w:t>
      </w:r>
      <w:r w:rsidR="00436DBD" w:rsidRPr="00AD5C42">
        <w:rPr>
          <w:rFonts w:ascii="Book Antiqua" w:hAnsi="Book Antiqua"/>
          <w:color w:val="000000" w:themeColor="text1"/>
          <w:sz w:val="24"/>
          <w:szCs w:val="24"/>
        </w:rPr>
        <w:t>,</w:t>
      </w:r>
      <w:r w:rsidR="0015426E" w:rsidRPr="00AD5C42">
        <w:rPr>
          <w:rFonts w:ascii="Book Antiqua" w:hAnsi="Book Antiqua"/>
          <w:color w:val="000000" w:themeColor="text1"/>
          <w:sz w:val="24"/>
          <w:szCs w:val="24"/>
        </w:rPr>
        <w:t xml:space="preserve"> </w:t>
      </w:r>
      <w:r w:rsidR="00436DBD" w:rsidRPr="00AD5C42">
        <w:rPr>
          <w:rFonts w:ascii="Book Antiqua" w:hAnsi="Book Antiqua"/>
          <w:color w:val="000000" w:themeColor="text1"/>
          <w:sz w:val="24"/>
          <w:szCs w:val="24"/>
        </w:rPr>
        <w:t xml:space="preserve">global </w:t>
      </w:r>
      <w:r w:rsidR="0015426E" w:rsidRPr="00AD5C42">
        <w:rPr>
          <w:rFonts w:ascii="Book Antiqua" w:hAnsi="Book Antiqua"/>
          <w:color w:val="000000" w:themeColor="text1"/>
          <w:sz w:val="24"/>
          <w:szCs w:val="24"/>
        </w:rPr>
        <w:t xml:space="preserve">issue. </w:t>
      </w:r>
      <w:r w:rsidR="00EF0665" w:rsidRPr="00AD5C42">
        <w:rPr>
          <w:rFonts w:ascii="Book Antiqua" w:hAnsi="Book Antiqua"/>
          <w:color w:val="000000" w:themeColor="text1"/>
          <w:sz w:val="24"/>
          <w:szCs w:val="24"/>
        </w:rPr>
        <w:t xml:space="preserve">Although </w:t>
      </w:r>
      <w:r w:rsidR="0015426E" w:rsidRPr="00AD5C42">
        <w:rPr>
          <w:rFonts w:ascii="Book Antiqua" w:hAnsi="Book Antiqua"/>
          <w:color w:val="000000" w:themeColor="text1"/>
          <w:sz w:val="24"/>
          <w:szCs w:val="24"/>
        </w:rPr>
        <w:t xml:space="preserve">current </w:t>
      </w:r>
      <w:r w:rsidR="0015426E" w:rsidRPr="00AD5C42">
        <w:rPr>
          <w:rFonts w:ascii="Book Antiqua" w:hAnsi="Book Antiqua"/>
          <w:i/>
          <w:color w:val="000000" w:themeColor="text1"/>
          <w:sz w:val="24"/>
          <w:szCs w:val="24"/>
        </w:rPr>
        <w:t>H. pylori</w:t>
      </w:r>
      <w:r w:rsidR="0015426E" w:rsidRPr="00AD5C42">
        <w:rPr>
          <w:rFonts w:ascii="Book Antiqua" w:hAnsi="Book Antiqua"/>
          <w:color w:val="000000" w:themeColor="text1"/>
          <w:sz w:val="24"/>
          <w:szCs w:val="24"/>
        </w:rPr>
        <w:t xml:space="preserve"> treatment regimens provide</w:t>
      </w:r>
      <w:r w:rsidR="00EF0665" w:rsidRPr="00AD5C42">
        <w:rPr>
          <w:rFonts w:ascii="Book Antiqua" w:hAnsi="Book Antiqua"/>
          <w:color w:val="000000" w:themeColor="text1"/>
          <w:sz w:val="24"/>
          <w:szCs w:val="24"/>
        </w:rPr>
        <w:t xml:space="preserve"> acceptable</w:t>
      </w:r>
      <w:r w:rsidR="0015426E" w:rsidRPr="00AD5C42">
        <w:rPr>
          <w:rFonts w:ascii="Book Antiqua" w:hAnsi="Book Antiqua"/>
          <w:color w:val="000000" w:themeColor="text1"/>
          <w:sz w:val="24"/>
          <w:szCs w:val="24"/>
        </w:rPr>
        <w:t xml:space="preserve"> eradication</w:t>
      </w:r>
      <w:r w:rsidR="000A6A65" w:rsidRPr="00AD5C42">
        <w:rPr>
          <w:rFonts w:ascii="Book Antiqua" w:hAnsi="Book Antiqua"/>
          <w:color w:val="000000" w:themeColor="text1"/>
          <w:sz w:val="24"/>
          <w:szCs w:val="24"/>
        </w:rPr>
        <w:t xml:space="preserve"> rate</w:t>
      </w:r>
      <w:r w:rsidR="00436DBD" w:rsidRPr="00AD5C42">
        <w:rPr>
          <w:rFonts w:ascii="Book Antiqua" w:hAnsi="Book Antiqua"/>
          <w:color w:val="000000" w:themeColor="text1"/>
          <w:sz w:val="24"/>
          <w:szCs w:val="24"/>
        </w:rPr>
        <w:t>s</w:t>
      </w:r>
      <w:r w:rsidR="0015426E" w:rsidRPr="00AD5C42">
        <w:rPr>
          <w:rFonts w:ascii="Book Antiqua" w:hAnsi="Book Antiqua"/>
          <w:color w:val="000000" w:themeColor="text1"/>
          <w:sz w:val="24"/>
          <w:szCs w:val="24"/>
        </w:rPr>
        <w:t xml:space="preserve">, these regimens </w:t>
      </w:r>
      <w:r w:rsidR="00436DBD" w:rsidRPr="00AD5C42">
        <w:rPr>
          <w:rFonts w:ascii="Book Antiqua" w:hAnsi="Book Antiqua"/>
          <w:color w:val="000000" w:themeColor="text1"/>
          <w:sz w:val="24"/>
          <w:szCs w:val="24"/>
        </w:rPr>
        <w:t xml:space="preserve">could </w:t>
      </w:r>
      <w:r w:rsidR="00F81D26" w:rsidRPr="00AD5C42">
        <w:rPr>
          <w:rFonts w:ascii="Book Antiqua" w:hAnsi="Book Antiqua"/>
          <w:color w:val="000000" w:themeColor="text1"/>
          <w:sz w:val="24"/>
          <w:szCs w:val="24"/>
        </w:rPr>
        <w:t xml:space="preserve">also </w:t>
      </w:r>
      <w:r w:rsidR="00436DBD" w:rsidRPr="00AD5C42">
        <w:rPr>
          <w:rFonts w:ascii="Book Antiqua" w:hAnsi="Book Antiqua"/>
          <w:color w:val="000000" w:themeColor="text1"/>
          <w:sz w:val="24"/>
          <w:szCs w:val="24"/>
        </w:rPr>
        <w:t>be</w:t>
      </w:r>
      <w:r w:rsidR="0015426E" w:rsidRPr="00AD5C42">
        <w:rPr>
          <w:rFonts w:ascii="Book Antiqua" w:hAnsi="Book Antiqua"/>
          <w:color w:val="000000" w:themeColor="text1"/>
          <w:sz w:val="24"/>
          <w:szCs w:val="24"/>
        </w:rPr>
        <w:t xml:space="preserve"> </w:t>
      </w:r>
      <w:r w:rsidR="00436DBD" w:rsidRPr="00AD5C42">
        <w:rPr>
          <w:rFonts w:ascii="Book Antiqua" w:hAnsi="Book Antiqua"/>
          <w:color w:val="000000" w:themeColor="text1"/>
          <w:sz w:val="24"/>
          <w:szCs w:val="24"/>
        </w:rPr>
        <w:t xml:space="preserve">improved </w:t>
      </w:r>
      <w:r w:rsidR="0015426E" w:rsidRPr="00AD5C42">
        <w:rPr>
          <w:rFonts w:ascii="Book Antiqua" w:hAnsi="Book Antiqua"/>
          <w:color w:val="000000" w:themeColor="text1"/>
          <w:sz w:val="24"/>
          <w:szCs w:val="24"/>
        </w:rPr>
        <w:t xml:space="preserve">to optimize </w:t>
      </w:r>
      <w:r w:rsidR="0015426E" w:rsidRPr="00AD5C42">
        <w:rPr>
          <w:rFonts w:ascii="Book Antiqua" w:hAnsi="Book Antiqua"/>
          <w:color w:val="000000" w:themeColor="text1"/>
          <w:sz w:val="24"/>
          <w:szCs w:val="24"/>
        </w:rPr>
        <w:lastRenderedPageBreak/>
        <w:t xml:space="preserve">antibiotic usage </w:t>
      </w:r>
      <w:r w:rsidR="00436DBD" w:rsidRPr="00AD5C42">
        <w:rPr>
          <w:rFonts w:ascii="Book Antiqua" w:hAnsi="Book Antiqua"/>
          <w:color w:val="000000" w:themeColor="text1"/>
          <w:sz w:val="24"/>
          <w:szCs w:val="24"/>
        </w:rPr>
        <w:t>and</w:t>
      </w:r>
      <w:r w:rsidR="0015426E" w:rsidRPr="00AD5C42">
        <w:rPr>
          <w:rFonts w:ascii="Book Antiqua" w:hAnsi="Book Antiqua"/>
          <w:color w:val="000000" w:themeColor="text1"/>
          <w:sz w:val="24"/>
          <w:szCs w:val="24"/>
        </w:rPr>
        <w:t xml:space="preserve"> prevent </w:t>
      </w:r>
      <w:r w:rsidR="00B46BD4" w:rsidRPr="00AD5C42">
        <w:rPr>
          <w:rFonts w:ascii="Book Antiqua" w:hAnsi="Book Antiqua"/>
          <w:color w:val="000000" w:themeColor="text1"/>
          <w:sz w:val="24"/>
          <w:szCs w:val="24"/>
        </w:rPr>
        <w:t>antimicrobial</w:t>
      </w:r>
      <w:r w:rsidR="0015426E" w:rsidRPr="00AD5C42">
        <w:rPr>
          <w:rFonts w:ascii="Book Antiqua" w:hAnsi="Book Antiqua"/>
          <w:color w:val="000000" w:themeColor="text1"/>
          <w:sz w:val="24"/>
          <w:szCs w:val="24"/>
        </w:rPr>
        <w:t xml:space="preserve"> resistance</w:t>
      </w:r>
      <w:r w:rsidR="00436DBD" w:rsidRPr="00AD5C42">
        <w:rPr>
          <w:rFonts w:ascii="Book Antiqua" w:hAnsi="Book Antiqua"/>
          <w:color w:val="000000" w:themeColor="text1"/>
          <w:sz w:val="24"/>
          <w:szCs w:val="24"/>
        </w:rPr>
        <w:t xml:space="preserve"> </w:t>
      </w:r>
      <w:r w:rsidR="00EF0665" w:rsidRPr="00AD5C42">
        <w:rPr>
          <w:rFonts w:ascii="Book Antiqua" w:hAnsi="Book Antiqua"/>
          <w:color w:val="000000" w:themeColor="text1"/>
          <w:sz w:val="24"/>
          <w:szCs w:val="24"/>
        </w:rPr>
        <w:t>because these</w:t>
      </w:r>
      <w:r w:rsidR="00436DBD" w:rsidRPr="00AD5C42">
        <w:rPr>
          <w:rFonts w:ascii="Book Antiqua" w:hAnsi="Book Antiqua"/>
          <w:color w:val="000000" w:themeColor="text1"/>
          <w:sz w:val="24"/>
          <w:szCs w:val="24"/>
        </w:rPr>
        <w:t xml:space="preserve"> regimens</w:t>
      </w:r>
      <w:r w:rsidR="00EF0665" w:rsidRPr="00AD5C42">
        <w:rPr>
          <w:rFonts w:ascii="Book Antiqua" w:hAnsi="Book Antiqua"/>
          <w:color w:val="000000" w:themeColor="text1"/>
          <w:sz w:val="24"/>
          <w:szCs w:val="24"/>
        </w:rPr>
        <w:t xml:space="preserve"> </w:t>
      </w:r>
      <w:r w:rsidR="00373C4D" w:rsidRPr="00AD5C42">
        <w:rPr>
          <w:rFonts w:ascii="Book Antiqua" w:hAnsi="Book Antiqua"/>
          <w:color w:val="000000" w:themeColor="text1"/>
          <w:sz w:val="24"/>
          <w:szCs w:val="24"/>
        </w:rPr>
        <w:t>us</w:t>
      </w:r>
      <w:r w:rsidR="00436DBD" w:rsidRPr="00AD5C42">
        <w:rPr>
          <w:rFonts w:ascii="Book Antiqua" w:hAnsi="Book Antiqua"/>
          <w:color w:val="000000" w:themeColor="text1"/>
          <w:sz w:val="24"/>
          <w:szCs w:val="24"/>
        </w:rPr>
        <w:t>e</w:t>
      </w:r>
      <w:r w:rsidR="00373C4D" w:rsidRPr="00AD5C42">
        <w:rPr>
          <w:rFonts w:ascii="Book Antiqua" w:hAnsi="Book Antiqua"/>
          <w:color w:val="000000" w:themeColor="text1"/>
          <w:sz w:val="24"/>
          <w:szCs w:val="24"/>
        </w:rPr>
        <w:t xml:space="preserve"> </w:t>
      </w:r>
      <w:r w:rsidR="00EF0665" w:rsidRPr="00AD5C42">
        <w:rPr>
          <w:rFonts w:ascii="Book Antiqua" w:hAnsi="Book Antiqua"/>
          <w:color w:val="000000" w:themeColor="text1"/>
          <w:sz w:val="24"/>
          <w:szCs w:val="24"/>
        </w:rPr>
        <w:t xml:space="preserve">multiple antibiotic agents </w:t>
      </w:r>
      <w:r w:rsidR="00CC0AF8" w:rsidRPr="00AD5C42">
        <w:rPr>
          <w:rFonts w:ascii="Book Antiqua" w:hAnsi="Book Antiqua"/>
          <w:color w:val="000000" w:themeColor="text1"/>
          <w:sz w:val="24"/>
          <w:szCs w:val="24"/>
        </w:rPr>
        <w:t xml:space="preserve">and have </w:t>
      </w:r>
      <w:r w:rsidR="00436DBD" w:rsidRPr="00AD5C42">
        <w:rPr>
          <w:rFonts w:ascii="Book Antiqua" w:hAnsi="Book Antiqua"/>
          <w:color w:val="000000" w:themeColor="text1"/>
          <w:sz w:val="24"/>
          <w:szCs w:val="24"/>
        </w:rPr>
        <w:t xml:space="preserve">a </w:t>
      </w:r>
      <w:r w:rsidR="00EF0665" w:rsidRPr="00AD5C42">
        <w:rPr>
          <w:rFonts w:ascii="Book Antiqua" w:hAnsi="Book Antiqua"/>
          <w:color w:val="000000" w:themeColor="text1"/>
          <w:sz w:val="24"/>
          <w:szCs w:val="24"/>
        </w:rPr>
        <w:t>long treatment duration</w:t>
      </w:r>
      <w:r w:rsidR="0015426E" w:rsidRPr="00AD5C42">
        <w:rPr>
          <w:rFonts w:ascii="Book Antiqua" w:hAnsi="Book Antiqua"/>
          <w:color w:val="000000" w:themeColor="text1"/>
          <w:sz w:val="24"/>
          <w:szCs w:val="24"/>
        </w:rPr>
        <w:t xml:space="preserve">. </w:t>
      </w:r>
      <w:r w:rsidR="00373C4D" w:rsidRPr="00AD5C42">
        <w:rPr>
          <w:rFonts w:ascii="Book Antiqua" w:hAnsi="Book Antiqua"/>
          <w:color w:val="000000" w:themeColor="text1"/>
          <w:sz w:val="24"/>
          <w:szCs w:val="24"/>
        </w:rPr>
        <w:t>D</w:t>
      </w:r>
      <w:r w:rsidR="0015426E" w:rsidRPr="00AD5C42">
        <w:rPr>
          <w:rFonts w:ascii="Book Antiqua" w:hAnsi="Book Antiqua"/>
          <w:color w:val="000000" w:themeColor="text1"/>
          <w:sz w:val="24"/>
          <w:szCs w:val="24"/>
        </w:rPr>
        <w:t xml:space="preserve">ual therapy </w:t>
      </w:r>
      <w:r w:rsidR="00436DBD" w:rsidRPr="00AD5C42">
        <w:rPr>
          <w:rFonts w:ascii="Book Antiqua" w:hAnsi="Book Antiqua"/>
          <w:color w:val="000000" w:themeColor="text1"/>
          <w:sz w:val="24"/>
          <w:szCs w:val="24"/>
        </w:rPr>
        <w:t xml:space="preserve">consisting </w:t>
      </w:r>
      <w:r w:rsidR="00373C4D" w:rsidRPr="00AD5C42">
        <w:rPr>
          <w:rFonts w:ascii="Book Antiqua" w:hAnsi="Book Antiqua"/>
          <w:color w:val="000000" w:themeColor="text1"/>
          <w:sz w:val="24"/>
          <w:szCs w:val="24"/>
        </w:rPr>
        <w:t xml:space="preserve">of vonoprazan and amoxicillin </w:t>
      </w:r>
      <w:r w:rsidR="00436DBD" w:rsidRPr="00AD5C42">
        <w:rPr>
          <w:rFonts w:ascii="Book Antiqua" w:hAnsi="Book Antiqua"/>
          <w:color w:val="000000" w:themeColor="text1"/>
          <w:sz w:val="24"/>
          <w:szCs w:val="24"/>
        </w:rPr>
        <w:t>may be an</w:t>
      </w:r>
      <w:r w:rsidR="0015426E" w:rsidRPr="00AD5C42">
        <w:rPr>
          <w:rFonts w:ascii="Book Antiqua" w:hAnsi="Book Antiqua"/>
          <w:color w:val="000000" w:themeColor="text1"/>
          <w:sz w:val="24"/>
          <w:szCs w:val="24"/>
        </w:rPr>
        <w:t xml:space="preserve"> alternative treatment regimen for </w:t>
      </w:r>
      <w:r w:rsidR="0015426E" w:rsidRPr="00AD5C42">
        <w:rPr>
          <w:rFonts w:ascii="Book Antiqua" w:hAnsi="Book Antiqua"/>
          <w:i/>
          <w:color w:val="000000" w:themeColor="text1"/>
          <w:sz w:val="24"/>
          <w:szCs w:val="24"/>
        </w:rPr>
        <w:t>H. pylori</w:t>
      </w:r>
      <w:r w:rsidR="0015426E" w:rsidRPr="00AD5C42">
        <w:rPr>
          <w:rFonts w:ascii="Book Antiqua" w:hAnsi="Book Antiqua"/>
          <w:color w:val="000000" w:themeColor="text1"/>
          <w:sz w:val="24"/>
          <w:szCs w:val="24"/>
        </w:rPr>
        <w:t xml:space="preserve"> eradication in </w:t>
      </w:r>
      <w:r w:rsidR="00436DBD" w:rsidRPr="00AD5C42">
        <w:rPr>
          <w:rFonts w:ascii="Book Antiqua" w:hAnsi="Book Antiqua"/>
          <w:color w:val="000000" w:themeColor="text1"/>
          <w:sz w:val="24"/>
          <w:szCs w:val="24"/>
        </w:rPr>
        <w:t xml:space="preserve">an </w:t>
      </w:r>
      <w:r w:rsidR="0015426E" w:rsidRPr="00AD5C42">
        <w:rPr>
          <w:rFonts w:ascii="Book Antiqua" w:hAnsi="Book Antiqua"/>
          <w:color w:val="000000" w:themeColor="text1"/>
          <w:sz w:val="24"/>
          <w:szCs w:val="24"/>
        </w:rPr>
        <w:t xml:space="preserve">era of growing </w:t>
      </w:r>
      <w:r w:rsidR="00B46BD4" w:rsidRPr="00AD5C42">
        <w:rPr>
          <w:rFonts w:ascii="Book Antiqua" w:hAnsi="Book Antiqua"/>
          <w:color w:val="000000" w:themeColor="text1"/>
          <w:sz w:val="24"/>
          <w:szCs w:val="24"/>
        </w:rPr>
        <w:t>antimicrobial</w:t>
      </w:r>
      <w:r w:rsidR="0015426E" w:rsidRPr="00AD5C42">
        <w:rPr>
          <w:rFonts w:ascii="Book Antiqua" w:hAnsi="Book Antiqua"/>
          <w:color w:val="000000" w:themeColor="text1"/>
          <w:sz w:val="24"/>
          <w:szCs w:val="24"/>
        </w:rPr>
        <w:t xml:space="preserve"> </w:t>
      </w:r>
      <w:r w:rsidR="00F9624B" w:rsidRPr="00AD5C42">
        <w:rPr>
          <w:rFonts w:ascii="Book Antiqua" w:hAnsi="Book Antiqua"/>
          <w:color w:val="000000" w:themeColor="text1"/>
          <w:sz w:val="24"/>
          <w:szCs w:val="24"/>
        </w:rPr>
        <w:t>resistance and</w:t>
      </w:r>
      <w:r w:rsidR="00436DBD" w:rsidRPr="00AD5C42">
        <w:rPr>
          <w:rFonts w:ascii="Book Antiqua" w:hAnsi="Book Antiqua"/>
          <w:color w:val="000000" w:themeColor="text1"/>
          <w:sz w:val="24"/>
          <w:szCs w:val="24"/>
        </w:rPr>
        <w:t xml:space="preserve"> </w:t>
      </w:r>
      <w:r w:rsidR="000A6A65" w:rsidRPr="00AD5C42">
        <w:rPr>
          <w:rFonts w:ascii="Book Antiqua" w:hAnsi="Book Antiqua"/>
          <w:color w:val="000000" w:themeColor="text1"/>
          <w:sz w:val="24"/>
          <w:szCs w:val="24"/>
        </w:rPr>
        <w:t>may</w:t>
      </w:r>
      <w:r w:rsidR="0015426E" w:rsidRPr="00AD5C42">
        <w:rPr>
          <w:rFonts w:ascii="Book Antiqua" w:hAnsi="Book Antiqua"/>
          <w:color w:val="000000" w:themeColor="text1"/>
          <w:sz w:val="24"/>
          <w:szCs w:val="24"/>
        </w:rPr>
        <w:t xml:space="preserve"> provide sufficient </w:t>
      </w:r>
      <w:r w:rsidR="00373C4D" w:rsidRPr="00AD5C42">
        <w:rPr>
          <w:rFonts w:ascii="Book Antiqua" w:hAnsi="Book Antiqua"/>
          <w:i/>
          <w:color w:val="000000" w:themeColor="text1"/>
          <w:sz w:val="24"/>
          <w:szCs w:val="24"/>
        </w:rPr>
        <w:t xml:space="preserve">H. pylori </w:t>
      </w:r>
      <w:r w:rsidR="0015426E" w:rsidRPr="00AD5C42">
        <w:rPr>
          <w:rFonts w:ascii="Book Antiqua" w:hAnsi="Book Antiqua"/>
          <w:color w:val="000000" w:themeColor="text1"/>
          <w:sz w:val="24"/>
          <w:szCs w:val="24"/>
        </w:rPr>
        <w:t>eradication rate</w:t>
      </w:r>
      <w:r w:rsidR="00436DBD" w:rsidRPr="00AD5C42">
        <w:rPr>
          <w:rFonts w:ascii="Book Antiqua" w:hAnsi="Book Antiqua"/>
          <w:color w:val="000000" w:themeColor="text1"/>
          <w:sz w:val="24"/>
          <w:szCs w:val="24"/>
        </w:rPr>
        <w:t>s</w:t>
      </w:r>
      <w:r w:rsidR="0015426E" w:rsidRPr="00AD5C42">
        <w:rPr>
          <w:rFonts w:ascii="Book Antiqua" w:hAnsi="Book Antiqua"/>
          <w:color w:val="000000" w:themeColor="text1"/>
          <w:sz w:val="24"/>
          <w:szCs w:val="24"/>
        </w:rPr>
        <w:t xml:space="preserve"> and </w:t>
      </w:r>
      <w:r w:rsidR="00436DBD" w:rsidRPr="00AD5C42">
        <w:rPr>
          <w:rFonts w:ascii="Book Antiqua" w:hAnsi="Book Antiqua"/>
          <w:color w:val="000000" w:themeColor="text1"/>
          <w:sz w:val="24"/>
          <w:szCs w:val="24"/>
        </w:rPr>
        <w:t>may help</w:t>
      </w:r>
      <w:r w:rsidR="0015426E" w:rsidRPr="00AD5C42">
        <w:rPr>
          <w:rFonts w:ascii="Book Antiqua" w:hAnsi="Book Antiqua"/>
          <w:color w:val="000000" w:themeColor="text1"/>
          <w:sz w:val="24"/>
          <w:szCs w:val="24"/>
        </w:rPr>
        <w:t xml:space="preserve"> </w:t>
      </w:r>
      <w:r w:rsidR="000A6A65" w:rsidRPr="00AD5C42">
        <w:rPr>
          <w:rFonts w:ascii="Book Antiqua" w:hAnsi="Book Antiqua"/>
          <w:color w:val="000000" w:themeColor="text1"/>
          <w:sz w:val="24"/>
          <w:szCs w:val="24"/>
        </w:rPr>
        <w:t xml:space="preserve">prevent </w:t>
      </w:r>
      <w:r w:rsidR="00315227" w:rsidRPr="00AD5C42">
        <w:rPr>
          <w:rFonts w:ascii="Book Antiqua" w:hAnsi="Book Antiqua"/>
          <w:color w:val="000000" w:themeColor="text1"/>
          <w:sz w:val="24"/>
          <w:szCs w:val="24"/>
        </w:rPr>
        <w:t xml:space="preserve">future </w:t>
      </w:r>
      <w:r w:rsidR="00B46BD4" w:rsidRPr="00AD5C42">
        <w:rPr>
          <w:rFonts w:ascii="Book Antiqua" w:hAnsi="Book Antiqua"/>
          <w:color w:val="000000" w:themeColor="text1"/>
          <w:sz w:val="24"/>
          <w:szCs w:val="24"/>
        </w:rPr>
        <w:t>antimicrobial</w:t>
      </w:r>
      <w:r w:rsidR="0015426E" w:rsidRPr="00AD5C42">
        <w:rPr>
          <w:rFonts w:ascii="Book Antiqua" w:hAnsi="Book Antiqua"/>
          <w:color w:val="000000" w:themeColor="text1"/>
          <w:sz w:val="24"/>
          <w:szCs w:val="24"/>
        </w:rPr>
        <w:t xml:space="preserve"> resistance</w:t>
      </w:r>
      <w:r w:rsidR="00315227" w:rsidRPr="00AD5C42">
        <w:rPr>
          <w:rFonts w:ascii="Book Antiqua" w:hAnsi="Book Antiqua"/>
          <w:color w:val="000000" w:themeColor="text1"/>
          <w:sz w:val="24"/>
          <w:szCs w:val="24"/>
        </w:rPr>
        <w:t xml:space="preserve"> of </w:t>
      </w:r>
      <w:r w:rsidR="00315227" w:rsidRPr="00AD5C42">
        <w:rPr>
          <w:rFonts w:ascii="Book Antiqua" w:hAnsi="Book Antiqua"/>
          <w:i/>
          <w:color w:val="000000" w:themeColor="text1"/>
          <w:sz w:val="24"/>
          <w:szCs w:val="24"/>
        </w:rPr>
        <w:t>H. pylori</w:t>
      </w:r>
      <w:r w:rsidR="0015426E" w:rsidRPr="00AD5C42">
        <w:rPr>
          <w:rFonts w:ascii="Book Antiqua" w:hAnsi="Book Antiqua"/>
          <w:color w:val="000000" w:themeColor="text1"/>
          <w:sz w:val="24"/>
          <w:szCs w:val="24"/>
        </w:rPr>
        <w:t>.</w:t>
      </w:r>
    </w:p>
    <w:p w14:paraId="3D2D8FA4" w14:textId="5DCF916E" w:rsidR="0015426E" w:rsidRPr="00AD5C42" w:rsidRDefault="0015426E" w:rsidP="00AF7B77">
      <w:pPr>
        <w:adjustRightInd w:val="0"/>
        <w:snapToGrid w:val="0"/>
        <w:spacing w:line="360" w:lineRule="auto"/>
        <w:rPr>
          <w:rFonts w:ascii="Book Antiqua" w:hAnsi="Book Antiqua"/>
          <w:color w:val="000000" w:themeColor="text1"/>
          <w:sz w:val="24"/>
          <w:szCs w:val="24"/>
        </w:rPr>
      </w:pPr>
    </w:p>
    <w:p w14:paraId="38393685" w14:textId="77777777" w:rsidR="00AD5C42" w:rsidRPr="00AD5C42" w:rsidRDefault="00AD5C42" w:rsidP="00AF7B77">
      <w:pPr>
        <w:adjustRightInd w:val="0"/>
        <w:snapToGrid w:val="0"/>
        <w:spacing w:line="360" w:lineRule="auto"/>
        <w:rPr>
          <w:rFonts w:ascii="Book Antiqua" w:hAnsi="Book Antiqua"/>
          <w:color w:val="000000"/>
          <w:kern w:val="0"/>
          <w:sz w:val="24"/>
        </w:rPr>
      </w:pPr>
      <w:bookmarkStart w:id="36" w:name="OLE_LINK95"/>
      <w:bookmarkStart w:id="37" w:name="OLE_LINK53"/>
      <w:bookmarkStart w:id="38" w:name="OLE_LINK47"/>
      <w:bookmarkStart w:id="39" w:name="OLE_LINK48"/>
      <w:bookmarkStart w:id="40" w:name="OLE_LINK289"/>
      <w:bookmarkStart w:id="41" w:name="OLE_LINK494"/>
      <w:bookmarkStart w:id="42" w:name="OLE_LINK428"/>
      <w:r w:rsidRPr="00AD5C42">
        <w:rPr>
          <w:rFonts w:ascii="Book Antiqua" w:hAnsi="Book Antiqua"/>
          <w:b/>
          <w:color w:val="000000" w:themeColor="text1"/>
          <w:sz w:val="24"/>
          <w:szCs w:val="24"/>
        </w:rPr>
        <w:t>C</w:t>
      </w:r>
      <w:r w:rsidRPr="00AD5C42">
        <w:rPr>
          <w:rFonts w:ascii="Book Antiqua" w:eastAsiaTheme="minorEastAsia" w:hAnsi="Book Antiqua"/>
          <w:b/>
          <w:color w:val="000000" w:themeColor="text1"/>
          <w:sz w:val="24"/>
          <w:szCs w:val="24"/>
          <w:lang w:eastAsia="zh-CN"/>
        </w:rPr>
        <w:t>itation</w:t>
      </w:r>
      <w:r w:rsidRPr="00AD5C42">
        <w:rPr>
          <w:rFonts w:ascii="Book Antiqua" w:hAnsi="Book Antiqua"/>
          <w:color w:val="000000" w:themeColor="text1"/>
          <w:sz w:val="24"/>
          <w:szCs w:val="24"/>
        </w:rPr>
        <w:t xml:space="preserve">: </w:t>
      </w:r>
      <w:r w:rsidR="0091598A" w:rsidRPr="00AD5C42">
        <w:rPr>
          <w:rFonts w:ascii="Book Antiqua" w:hAnsi="Book Antiqua"/>
          <w:color w:val="000000" w:themeColor="text1"/>
          <w:sz w:val="24"/>
          <w:szCs w:val="24"/>
        </w:rPr>
        <w:t xml:space="preserve">Suzuki S, Esaki M, Kusano C, Ikehara H, Gotoda T. Development of </w:t>
      </w:r>
      <w:r w:rsidR="0091598A" w:rsidRPr="00AD5C42">
        <w:rPr>
          <w:rFonts w:ascii="Book Antiqua" w:hAnsi="Book Antiqua"/>
          <w:i/>
          <w:color w:val="000000" w:themeColor="text1"/>
          <w:sz w:val="24"/>
          <w:szCs w:val="24"/>
        </w:rPr>
        <w:t>Helicobacter pylori</w:t>
      </w:r>
      <w:r w:rsidR="0091598A" w:rsidRPr="00AD5C42">
        <w:rPr>
          <w:rFonts w:ascii="Book Antiqua" w:hAnsi="Book Antiqua"/>
          <w:color w:val="000000" w:themeColor="text1"/>
          <w:sz w:val="24"/>
          <w:szCs w:val="24"/>
        </w:rPr>
        <w:t xml:space="preserve"> treatment: How do we manage antimicrobial resistance?</w:t>
      </w:r>
      <w:bookmarkStart w:id="43" w:name="OLE_LINK108"/>
      <w:bookmarkStart w:id="44" w:name="OLE_LINK109"/>
      <w:bookmarkEnd w:id="36"/>
      <w:r w:rsidR="0091598A" w:rsidRPr="00AD5C42">
        <w:rPr>
          <w:rFonts w:ascii="Book Antiqua" w:hAnsi="Book Antiqua"/>
          <w:i/>
          <w:color w:val="000000" w:themeColor="text1"/>
          <w:sz w:val="24"/>
          <w:szCs w:val="24"/>
        </w:rPr>
        <w:t xml:space="preserve"> </w:t>
      </w:r>
      <w:bookmarkEnd w:id="37"/>
      <w:bookmarkEnd w:id="38"/>
      <w:bookmarkEnd w:id="39"/>
      <w:bookmarkEnd w:id="40"/>
      <w:bookmarkEnd w:id="41"/>
      <w:bookmarkEnd w:id="42"/>
      <w:bookmarkEnd w:id="43"/>
      <w:bookmarkEnd w:id="44"/>
      <w:r w:rsidRPr="00AD5C42">
        <w:rPr>
          <w:rFonts w:ascii="Book Antiqua" w:hAnsi="Book Antiqua"/>
          <w:i/>
          <w:color w:val="000000"/>
          <w:kern w:val="0"/>
          <w:sz w:val="24"/>
        </w:rPr>
        <w:t xml:space="preserve">World J Gastroenterol </w:t>
      </w:r>
      <w:r w:rsidRPr="00AD5C42">
        <w:rPr>
          <w:rFonts w:ascii="Book Antiqua" w:hAnsi="Book Antiqua"/>
          <w:color w:val="000000"/>
          <w:kern w:val="0"/>
          <w:sz w:val="24"/>
        </w:rPr>
        <w:t xml:space="preserve">2019; 25(16): 1907-1912  </w:t>
      </w:r>
    </w:p>
    <w:p w14:paraId="7EE524AA" w14:textId="77777777" w:rsidR="00AD5C42" w:rsidRPr="00AD5C42" w:rsidRDefault="00AD5C42" w:rsidP="00AF7B77">
      <w:pPr>
        <w:adjustRightInd w:val="0"/>
        <w:snapToGrid w:val="0"/>
        <w:spacing w:line="360" w:lineRule="auto"/>
        <w:rPr>
          <w:rFonts w:ascii="Book Antiqua" w:hAnsi="Book Antiqua"/>
          <w:kern w:val="0"/>
          <w:sz w:val="24"/>
        </w:rPr>
      </w:pPr>
      <w:r w:rsidRPr="00AD5C42">
        <w:rPr>
          <w:rFonts w:ascii="Book Antiqua" w:hAnsi="Book Antiqua"/>
          <w:b/>
          <w:color w:val="000000"/>
          <w:kern w:val="0"/>
          <w:sz w:val="24"/>
        </w:rPr>
        <w:t>URL</w:t>
      </w:r>
      <w:r w:rsidRPr="00AD5C42">
        <w:rPr>
          <w:rFonts w:ascii="Book Antiqua" w:hAnsi="Book Antiqua"/>
          <w:color w:val="000000"/>
          <w:kern w:val="0"/>
          <w:sz w:val="24"/>
        </w:rPr>
        <w:t xml:space="preserve">: </w:t>
      </w:r>
      <w:r w:rsidRPr="00AD5C42">
        <w:rPr>
          <w:rFonts w:ascii="Book Antiqua" w:hAnsi="Book Antiqua"/>
          <w:kern w:val="0"/>
          <w:sz w:val="24"/>
        </w:rPr>
        <w:t xml:space="preserve">https://www.wjgnet.com/1007-9327/full/v25/i16/1907.htm  </w:t>
      </w:r>
    </w:p>
    <w:p w14:paraId="686556E1" w14:textId="05ED626A" w:rsidR="0091598A" w:rsidRPr="00AD5C42" w:rsidRDefault="00AD5C42" w:rsidP="00AF7B77">
      <w:pPr>
        <w:adjustRightInd w:val="0"/>
        <w:snapToGrid w:val="0"/>
        <w:spacing w:line="360" w:lineRule="auto"/>
        <w:rPr>
          <w:rFonts w:ascii="Book Antiqua" w:hAnsi="Book Antiqua"/>
          <w:color w:val="000000" w:themeColor="text1"/>
          <w:sz w:val="24"/>
          <w:szCs w:val="24"/>
        </w:rPr>
      </w:pPr>
      <w:r w:rsidRPr="00AD5C42">
        <w:rPr>
          <w:rFonts w:ascii="Book Antiqua" w:hAnsi="Book Antiqua"/>
          <w:b/>
          <w:kern w:val="0"/>
          <w:sz w:val="24"/>
        </w:rPr>
        <w:t>DOI</w:t>
      </w:r>
      <w:r w:rsidRPr="00AD5C42">
        <w:rPr>
          <w:rFonts w:ascii="Book Antiqua" w:hAnsi="Book Antiqua"/>
          <w:kern w:val="0"/>
          <w:sz w:val="24"/>
        </w:rPr>
        <w:t>: https://dx.doi.org/10.3748/wjg.v25.i16.1907</w:t>
      </w:r>
    </w:p>
    <w:p w14:paraId="7F0B1D05" w14:textId="77777777" w:rsidR="0091598A" w:rsidRPr="00AD5C42" w:rsidRDefault="0091598A" w:rsidP="00AF7B77">
      <w:pPr>
        <w:adjustRightInd w:val="0"/>
        <w:snapToGrid w:val="0"/>
        <w:spacing w:line="360" w:lineRule="auto"/>
        <w:rPr>
          <w:rFonts w:ascii="Book Antiqua" w:hAnsi="Book Antiqua"/>
          <w:color w:val="000000" w:themeColor="text1"/>
          <w:sz w:val="24"/>
          <w:szCs w:val="24"/>
        </w:rPr>
      </w:pPr>
    </w:p>
    <w:p w14:paraId="0EBC9270" w14:textId="77777777" w:rsidR="00D24916" w:rsidRPr="00AD5C42" w:rsidRDefault="00D24916" w:rsidP="00AF7B77">
      <w:pPr>
        <w:widowControl/>
        <w:adjustRightInd w:val="0"/>
        <w:snapToGrid w:val="0"/>
        <w:spacing w:line="360" w:lineRule="auto"/>
        <w:rPr>
          <w:rFonts w:ascii="Book Antiqua" w:hAnsi="Book Antiqua"/>
          <w:i/>
          <w:color w:val="000000" w:themeColor="text1"/>
          <w:sz w:val="24"/>
          <w:szCs w:val="24"/>
        </w:rPr>
      </w:pPr>
      <w:r w:rsidRPr="00AD5C42">
        <w:rPr>
          <w:rFonts w:ascii="Book Antiqua" w:hAnsi="Book Antiqua"/>
          <w:i/>
          <w:color w:val="000000" w:themeColor="text1"/>
          <w:sz w:val="24"/>
          <w:szCs w:val="24"/>
        </w:rPr>
        <w:br w:type="page"/>
      </w:r>
    </w:p>
    <w:p w14:paraId="2A1D8C4A" w14:textId="15DB36DA" w:rsidR="000A0A65" w:rsidRPr="00AD5C42" w:rsidRDefault="001C09DA" w:rsidP="00AF7B77">
      <w:pPr>
        <w:adjustRightInd w:val="0"/>
        <w:snapToGrid w:val="0"/>
        <w:spacing w:line="360" w:lineRule="auto"/>
        <w:rPr>
          <w:rFonts w:ascii="Book Antiqua" w:hAnsi="Book Antiqua"/>
          <w:b/>
          <w:color w:val="000000" w:themeColor="text1"/>
          <w:sz w:val="24"/>
          <w:szCs w:val="24"/>
        </w:rPr>
      </w:pPr>
      <w:r w:rsidRPr="00AD5C42">
        <w:rPr>
          <w:rFonts w:ascii="Book Antiqua" w:hAnsi="Book Antiqua"/>
          <w:b/>
          <w:color w:val="000000" w:themeColor="text1"/>
          <w:sz w:val="24"/>
          <w:szCs w:val="24"/>
        </w:rPr>
        <w:lastRenderedPageBreak/>
        <w:t>INTRODUCTION</w:t>
      </w:r>
    </w:p>
    <w:p w14:paraId="1189572D" w14:textId="591CA450" w:rsidR="00370F5E" w:rsidRPr="00AD5C42" w:rsidRDefault="007340DC" w:rsidP="00AF7B77">
      <w:pPr>
        <w:adjustRightInd w:val="0"/>
        <w:snapToGrid w:val="0"/>
        <w:spacing w:line="360" w:lineRule="auto"/>
        <w:rPr>
          <w:rFonts w:ascii="Book Antiqua" w:hAnsi="Book Antiqua"/>
          <w:color w:val="000000" w:themeColor="text1"/>
          <w:sz w:val="24"/>
          <w:szCs w:val="24"/>
        </w:rPr>
      </w:pPr>
      <w:r w:rsidRPr="00AD5C42">
        <w:rPr>
          <w:rFonts w:ascii="Book Antiqua" w:hAnsi="Book Antiqua"/>
          <w:i/>
          <w:color w:val="000000" w:themeColor="text1"/>
          <w:sz w:val="24"/>
          <w:szCs w:val="24"/>
        </w:rPr>
        <w:t>Helicobacter pylori</w:t>
      </w:r>
      <w:r w:rsidRPr="00AD5C42">
        <w:rPr>
          <w:rFonts w:ascii="Book Antiqua" w:hAnsi="Book Antiqua"/>
          <w:color w:val="000000" w:themeColor="text1"/>
          <w:sz w:val="24"/>
          <w:szCs w:val="24"/>
        </w:rPr>
        <w:t xml:space="preserve"> </w:t>
      </w:r>
      <w:r w:rsidR="006D3BD3" w:rsidRPr="00AD5C42">
        <w:rPr>
          <w:rFonts w:ascii="Book Antiqua" w:hAnsi="Book Antiqua"/>
          <w:color w:val="000000" w:themeColor="text1"/>
          <w:sz w:val="24"/>
          <w:szCs w:val="24"/>
        </w:rPr>
        <w:t>(</w:t>
      </w:r>
      <w:r w:rsidR="006D3BD3" w:rsidRPr="00AD5C42">
        <w:rPr>
          <w:rFonts w:ascii="Book Antiqua" w:hAnsi="Book Antiqua"/>
          <w:i/>
          <w:color w:val="000000" w:themeColor="text1"/>
          <w:sz w:val="24"/>
          <w:szCs w:val="24"/>
        </w:rPr>
        <w:t>H. pylori</w:t>
      </w:r>
      <w:r w:rsidR="006D3BD3" w:rsidRPr="00AD5C42">
        <w:rPr>
          <w:rFonts w:ascii="Book Antiqua" w:hAnsi="Book Antiqua"/>
          <w:color w:val="000000" w:themeColor="text1"/>
          <w:sz w:val="24"/>
          <w:szCs w:val="24"/>
        </w:rPr>
        <w:t xml:space="preserve">) </w:t>
      </w:r>
      <w:r w:rsidRPr="00AD5C42">
        <w:rPr>
          <w:rFonts w:ascii="Book Antiqua" w:hAnsi="Book Antiqua"/>
          <w:color w:val="000000" w:themeColor="text1"/>
          <w:sz w:val="24"/>
          <w:szCs w:val="24"/>
        </w:rPr>
        <w:t>infection</w:t>
      </w:r>
      <w:r w:rsidR="00DC1487" w:rsidRPr="00AD5C42">
        <w:rPr>
          <w:rFonts w:ascii="Book Antiqua" w:hAnsi="Book Antiqua"/>
          <w:color w:val="000000" w:themeColor="text1"/>
          <w:sz w:val="24"/>
          <w:szCs w:val="24"/>
        </w:rPr>
        <w:t>,</w:t>
      </w:r>
      <w:r w:rsidRPr="00AD5C42">
        <w:rPr>
          <w:rFonts w:ascii="Book Antiqua" w:hAnsi="Book Antiqua"/>
          <w:color w:val="000000" w:themeColor="text1"/>
          <w:sz w:val="24"/>
          <w:szCs w:val="24"/>
        </w:rPr>
        <w:t xml:space="preserve"> one of the most common bacterial infections</w:t>
      </w:r>
      <w:r w:rsidR="00DC1487" w:rsidRPr="00AD5C42">
        <w:rPr>
          <w:rFonts w:ascii="Book Antiqua" w:hAnsi="Book Antiqua"/>
          <w:color w:val="000000" w:themeColor="text1"/>
          <w:sz w:val="24"/>
          <w:szCs w:val="24"/>
        </w:rPr>
        <w:t>,</w:t>
      </w:r>
      <w:r w:rsidRPr="00AD5C42">
        <w:rPr>
          <w:rFonts w:ascii="Book Antiqua" w:hAnsi="Book Antiqua"/>
          <w:color w:val="000000" w:themeColor="text1"/>
          <w:sz w:val="24"/>
          <w:szCs w:val="24"/>
        </w:rPr>
        <w:t xml:space="preserve"> </w:t>
      </w:r>
      <w:r w:rsidR="006D3BD3" w:rsidRPr="00AD5C42">
        <w:rPr>
          <w:rFonts w:ascii="Book Antiqua" w:hAnsi="Book Antiqua"/>
          <w:color w:val="000000" w:themeColor="text1"/>
          <w:sz w:val="24"/>
          <w:szCs w:val="24"/>
        </w:rPr>
        <w:t>affect</w:t>
      </w:r>
      <w:r w:rsidR="00DC1487" w:rsidRPr="00AD5C42">
        <w:rPr>
          <w:rFonts w:ascii="Book Antiqua" w:hAnsi="Book Antiqua"/>
          <w:color w:val="000000" w:themeColor="text1"/>
          <w:sz w:val="24"/>
          <w:szCs w:val="24"/>
        </w:rPr>
        <w:t>s</w:t>
      </w:r>
      <w:r w:rsidR="006D3BD3" w:rsidRPr="00AD5C42">
        <w:rPr>
          <w:rFonts w:ascii="Book Antiqua" w:hAnsi="Book Antiqua"/>
          <w:color w:val="000000" w:themeColor="text1"/>
          <w:sz w:val="24"/>
          <w:szCs w:val="24"/>
        </w:rPr>
        <w:t xml:space="preserve"> </w:t>
      </w:r>
      <w:r w:rsidR="006D3BD3" w:rsidRPr="00AD5C42">
        <w:rPr>
          <w:rFonts w:ascii="Book Antiqua" w:hAnsi="Book Antiqua"/>
          <w:color w:val="000000" w:themeColor="text1"/>
          <w:sz w:val="24"/>
          <w:szCs w:val="24"/>
          <w:shd w:val="clear" w:color="auto" w:fill="FFFFFF"/>
        </w:rPr>
        <w:t>approximately</w:t>
      </w:r>
      <w:r w:rsidR="006D3BD3" w:rsidRPr="00AD5C42">
        <w:rPr>
          <w:rFonts w:ascii="Book Antiqua" w:hAnsi="Book Antiqua"/>
          <w:color w:val="000000" w:themeColor="text1"/>
          <w:sz w:val="24"/>
          <w:szCs w:val="24"/>
        </w:rPr>
        <w:t xml:space="preserve"> 50% of</w:t>
      </w:r>
      <w:r w:rsidR="00436DBD" w:rsidRPr="00AD5C42">
        <w:rPr>
          <w:rFonts w:ascii="Book Antiqua" w:hAnsi="Book Antiqua"/>
          <w:color w:val="000000" w:themeColor="text1"/>
          <w:sz w:val="24"/>
          <w:szCs w:val="24"/>
        </w:rPr>
        <w:t xml:space="preserve"> the</w:t>
      </w:r>
      <w:r w:rsidR="006D3BD3" w:rsidRPr="00AD5C42">
        <w:rPr>
          <w:rFonts w:ascii="Book Antiqua" w:hAnsi="Book Antiqua"/>
          <w:color w:val="000000" w:themeColor="text1"/>
          <w:sz w:val="24"/>
          <w:szCs w:val="24"/>
        </w:rPr>
        <w:t xml:space="preserve"> world</w:t>
      </w:r>
      <w:r w:rsidR="00F81D26" w:rsidRPr="00AD5C42">
        <w:rPr>
          <w:rFonts w:ascii="Book Antiqua" w:hAnsi="Book Antiqua"/>
          <w:color w:val="000000" w:themeColor="text1"/>
          <w:sz w:val="24"/>
          <w:szCs w:val="24"/>
        </w:rPr>
        <w:t>’s</w:t>
      </w:r>
      <w:r w:rsidR="006D3BD3" w:rsidRPr="00AD5C42">
        <w:rPr>
          <w:rFonts w:ascii="Book Antiqua" w:hAnsi="Book Antiqua"/>
          <w:color w:val="000000" w:themeColor="text1"/>
          <w:sz w:val="24"/>
          <w:szCs w:val="24"/>
        </w:rPr>
        <w:t xml:space="preserve"> </w:t>
      </w:r>
      <w:proofErr w:type="gramStart"/>
      <w:r w:rsidR="006D3BD3" w:rsidRPr="00AD5C42">
        <w:rPr>
          <w:rFonts w:ascii="Book Antiqua" w:hAnsi="Book Antiqua"/>
          <w:color w:val="000000" w:themeColor="text1"/>
          <w:sz w:val="24"/>
          <w:szCs w:val="24"/>
        </w:rPr>
        <w:t>population</w:t>
      </w:r>
      <w:r w:rsidR="006C0F34" w:rsidRPr="00AD5C42">
        <w:rPr>
          <w:rFonts w:ascii="Book Antiqua" w:hAnsi="Book Antiqua"/>
          <w:color w:val="000000" w:themeColor="text1"/>
          <w:sz w:val="24"/>
          <w:szCs w:val="24"/>
          <w:vertAlign w:val="superscript"/>
        </w:rPr>
        <w:t>[</w:t>
      </w:r>
      <w:proofErr w:type="gramEnd"/>
      <w:r w:rsidR="006C0F34" w:rsidRPr="00AD5C42">
        <w:rPr>
          <w:rFonts w:ascii="Book Antiqua" w:hAnsi="Book Antiqua"/>
          <w:color w:val="000000" w:themeColor="text1"/>
          <w:sz w:val="24"/>
          <w:szCs w:val="24"/>
          <w:vertAlign w:val="superscript"/>
        </w:rPr>
        <w:t>1]</w:t>
      </w:r>
      <w:r w:rsidR="007F3E48" w:rsidRPr="00AD5C42">
        <w:rPr>
          <w:rFonts w:ascii="Book Antiqua" w:hAnsi="Book Antiqua"/>
          <w:color w:val="000000" w:themeColor="text1"/>
          <w:sz w:val="24"/>
          <w:szCs w:val="24"/>
        </w:rPr>
        <w:t>.</w:t>
      </w:r>
      <w:r w:rsidR="006D3BD3" w:rsidRPr="00AD5C42">
        <w:rPr>
          <w:rFonts w:ascii="Book Antiqua" w:hAnsi="Book Antiqua"/>
          <w:color w:val="000000" w:themeColor="text1"/>
          <w:sz w:val="24"/>
          <w:szCs w:val="24"/>
        </w:rPr>
        <w:t xml:space="preserve"> </w:t>
      </w:r>
      <w:r w:rsidR="006D3BD3" w:rsidRPr="00AD5C42">
        <w:rPr>
          <w:rFonts w:ascii="Book Antiqua" w:hAnsi="Book Antiqua"/>
          <w:i/>
          <w:color w:val="000000" w:themeColor="text1"/>
          <w:sz w:val="24"/>
          <w:szCs w:val="24"/>
        </w:rPr>
        <w:t>H. pylori</w:t>
      </w:r>
      <w:r w:rsidR="006D3BD3" w:rsidRPr="00AD5C42">
        <w:rPr>
          <w:rFonts w:ascii="Book Antiqua" w:hAnsi="Book Antiqua"/>
          <w:color w:val="000000" w:themeColor="text1"/>
          <w:sz w:val="24"/>
          <w:szCs w:val="24"/>
        </w:rPr>
        <w:t xml:space="preserve"> infection </w:t>
      </w:r>
      <w:r w:rsidR="005F387E" w:rsidRPr="00AD5C42">
        <w:rPr>
          <w:rFonts w:ascii="Book Antiqua" w:hAnsi="Book Antiqua"/>
          <w:color w:val="000000" w:themeColor="text1"/>
          <w:sz w:val="24"/>
          <w:szCs w:val="24"/>
        </w:rPr>
        <w:t xml:space="preserve">is </w:t>
      </w:r>
      <w:r w:rsidR="00DC1487" w:rsidRPr="00AD5C42">
        <w:rPr>
          <w:rFonts w:ascii="Book Antiqua" w:hAnsi="Book Antiqua"/>
          <w:color w:val="000000" w:themeColor="text1"/>
          <w:sz w:val="24"/>
          <w:szCs w:val="24"/>
        </w:rPr>
        <w:t xml:space="preserve">a </w:t>
      </w:r>
      <w:r w:rsidR="003B1002" w:rsidRPr="00AD5C42">
        <w:rPr>
          <w:rFonts w:ascii="Book Antiqua" w:hAnsi="Book Antiqua"/>
          <w:color w:val="000000" w:themeColor="text1"/>
          <w:sz w:val="24"/>
          <w:szCs w:val="24"/>
        </w:rPr>
        <w:t>major</w:t>
      </w:r>
      <w:r w:rsidR="005F387E" w:rsidRPr="00AD5C42">
        <w:rPr>
          <w:rFonts w:ascii="Book Antiqua" w:hAnsi="Book Antiqua"/>
          <w:color w:val="000000" w:themeColor="text1"/>
          <w:sz w:val="24"/>
          <w:szCs w:val="24"/>
        </w:rPr>
        <w:t xml:space="preserve"> cause of gastritis, </w:t>
      </w:r>
      <w:r w:rsidR="00450F16" w:rsidRPr="00AD5C42">
        <w:rPr>
          <w:rFonts w:ascii="Book Antiqua" w:hAnsi="Book Antiqua"/>
          <w:color w:val="000000" w:themeColor="text1"/>
          <w:sz w:val="24"/>
          <w:szCs w:val="24"/>
        </w:rPr>
        <w:t>gastric and duodenal</w:t>
      </w:r>
      <w:r w:rsidR="005F387E" w:rsidRPr="00AD5C42">
        <w:rPr>
          <w:rFonts w:ascii="Book Antiqua" w:hAnsi="Book Antiqua"/>
          <w:color w:val="000000" w:themeColor="text1"/>
          <w:sz w:val="24"/>
          <w:szCs w:val="24"/>
        </w:rPr>
        <w:t xml:space="preserve"> ulcer</w:t>
      </w:r>
      <w:r w:rsidR="00450F16" w:rsidRPr="00AD5C42">
        <w:rPr>
          <w:rFonts w:ascii="Book Antiqua" w:hAnsi="Book Antiqua"/>
          <w:color w:val="000000" w:themeColor="text1"/>
          <w:sz w:val="24"/>
          <w:szCs w:val="24"/>
        </w:rPr>
        <w:t>s</w:t>
      </w:r>
      <w:r w:rsidR="006D3BD3" w:rsidRPr="00AD5C42">
        <w:rPr>
          <w:rFonts w:ascii="Book Antiqua" w:hAnsi="Book Antiqua"/>
          <w:color w:val="000000" w:themeColor="text1"/>
          <w:sz w:val="24"/>
          <w:szCs w:val="24"/>
        </w:rPr>
        <w:t>, mucosal associated lymphoid tissue</w:t>
      </w:r>
      <w:r w:rsidR="003B72BE" w:rsidRPr="00AD5C42">
        <w:rPr>
          <w:rFonts w:ascii="Book Antiqua" w:hAnsi="Book Antiqua"/>
          <w:color w:val="000000" w:themeColor="text1"/>
          <w:sz w:val="24"/>
          <w:szCs w:val="24"/>
        </w:rPr>
        <w:t>,</w:t>
      </w:r>
      <w:r w:rsidR="006D3BD3" w:rsidRPr="00AD5C42">
        <w:rPr>
          <w:rFonts w:ascii="Book Antiqua" w:hAnsi="Book Antiqua"/>
          <w:color w:val="000000" w:themeColor="text1"/>
          <w:sz w:val="24"/>
          <w:szCs w:val="24"/>
        </w:rPr>
        <w:t xml:space="preserve"> </w:t>
      </w:r>
      <w:r w:rsidR="005F387E" w:rsidRPr="00AD5C42">
        <w:rPr>
          <w:rFonts w:ascii="Book Antiqua" w:hAnsi="Book Antiqua"/>
          <w:color w:val="000000" w:themeColor="text1"/>
          <w:sz w:val="24"/>
          <w:szCs w:val="24"/>
        </w:rPr>
        <w:t xml:space="preserve">and gastric </w:t>
      </w:r>
      <w:proofErr w:type="gramStart"/>
      <w:r w:rsidR="005F387E" w:rsidRPr="00AD5C42">
        <w:rPr>
          <w:rFonts w:ascii="Book Antiqua" w:hAnsi="Book Antiqua"/>
          <w:color w:val="000000" w:themeColor="text1"/>
          <w:sz w:val="24"/>
          <w:szCs w:val="24"/>
        </w:rPr>
        <w:t>cancer</w:t>
      </w:r>
      <w:r w:rsidR="006C0F34" w:rsidRPr="00AD5C42">
        <w:rPr>
          <w:rFonts w:ascii="Book Antiqua" w:hAnsi="Book Antiqua"/>
          <w:color w:val="000000" w:themeColor="text1"/>
          <w:sz w:val="24"/>
          <w:szCs w:val="24"/>
          <w:vertAlign w:val="superscript"/>
        </w:rPr>
        <w:t>[</w:t>
      </w:r>
      <w:proofErr w:type="gramEnd"/>
      <w:r w:rsidR="006C0F34" w:rsidRPr="00AD5C42">
        <w:rPr>
          <w:rFonts w:ascii="Book Antiqua" w:hAnsi="Book Antiqua"/>
          <w:color w:val="000000" w:themeColor="text1"/>
          <w:sz w:val="24"/>
          <w:szCs w:val="24"/>
          <w:vertAlign w:val="superscript"/>
        </w:rPr>
        <w:t>2]</w:t>
      </w:r>
      <w:r w:rsidR="007F3E48" w:rsidRPr="00AD5C42">
        <w:rPr>
          <w:rFonts w:ascii="Book Antiqua" w:hAnsi="Book Antiqua"/>
          <w:color w:val="000000" w:themeColor="text1"/>
          <w:sz w:val="24"/>
          <w:szCs w:val="24"/>
        </w:rPr>
        <w:t>.</w:t>
      </w:r>
      <w:r w:rsidR="006D3BD3" w:rsidRPr="00AD5C42">
        <w:rPr>
          <w:rFonts w:ascii="Book Antiqua" w:hAnsi="Book Antiqua"/>
          <w:color w:val="000000" w:themeColor="text1"/>
          <w:sz w:val="24"/>
          <w:szCs w:val="24"/>
        </w:rPr>
        <w:t xml:space="preserve"> </w:t>
      </w:r>
      <w:r w:rsidR="006D3BD3" w:rsidRPr="00AD5C42">
        <w:rPr>
          <w:rFonts w:ascii="Book Antiqua" w:hAnsi="Book Antiqua"/>
          <w:i/>
          <w:color w:val="000000" w:themeColor="text1"/>
          <w:sz w:val="24"/>
          <w:szCs w:val="24"/>
        </w:rPr>
        <w:t>H. pylori</w:t>
      </w:r>
      <w:r w:rsidR="006D3BD3" w:rsidRPr="00AD5C42">
        <w:rPr>
          <w:rFonts w:ascii="Book Antiqua" w:hAnsi="Book Antiqua"/>
          <w:color w:val="000000" w:themeColor="text1"/>
          <w:sz w:val="24"/>
          <w:szCs w:val="24"/>
        </w:rPr>
        <w:t xml:space="preserve"> </w:t>
      </w:r>
      <w:r w:rsidR="003B1002" w:rsidRPr="00AD5C42">
        <w:rPr>
          <w:rFonts w:ascii="Book Antiqua" w:hAnsi="Book Antiqua"/>
          <w:color w:val="000000" w:themeColor="text1"/>
          <w:sz w:val="24"/>
          <w:szCs w:val="24"/>
        </w:rPr>
        <w:t xml:space="preserve">eradication treatment </w:t>
      </w:r>
      <w:r w:rsidR="005067DF" w:rsidRPr="00AD5C42">
        <w:rPr>
          <w:rFonts w:ascii="Book Antiqua" w:hAnsi="Book Antiqua"/>
          <w:color w:val="000000" w:themeColor="text1"/>
          <w:sz w:val="24"/>
          <w:szCs w:val="24"/>
        </w:rPr>
        <w:t xml:space="preserve">has been proven to </w:t>
      </w:r>
      <w:r w:rsidR="006D3BD3" w:rsidRPr="00AD5C42">
        <w:rPr>
          <w:rFonts w:ascii="Book Antiqua" w:hAnsi="Book Antiqua"/>
          <w:color w:val="000000" w:themeColor="text1"/>
          <w:sz w:val="24"/>
          <w:szCs w:val="24"/>
        </w:rPr>
        <w:t xml:space="preserve">improve gastric inflammation, promote ulcer healing, and </w:t>
      </w:r>
      <w:r w:rsidRPr="00AD5C42">
        <w:rPr>
          <w:rFonts w:ascii="Book Antiqua" w:hAnsi="Book Antiqua"/>
          <w:color w:val="000000" w:themeColor="text1"/>
          <w:sz w:val="24"/>
          <w:szCs w:val="24"/>
        </w:rPr>
        <w:t xml:space="preserve">reduce the incidence of gastric </w:t>
      </w:r>
      <w:proofErr w:type="gramStart"/>
      <w:r w:rsidRPr="00AD5C42">
        <w:rPr>
          <w:rFonts w:ascii="Book Antiqua" w:hAnsi="Book Antiqua"/>
          <w:color w:val="000000" w:themeColor="text1"/>
          <w:sz w:val="24"/>
          <w:szCs w:val="24"/>
        </w:rPr>
        <w:t>cancer</w:t>
      </w:r>
      <w:r w:rsidR="001C09DA" w:rsidRPr="00AD5C42">
        <w:rPr>
          <w:rFonts w:ascii="Book Antiqua" w:hAnsi="Book Antiqua"/>
          <w:color w:val="000000" w:themeColor="text1"/>
          <w:sz w:val="24"/>
          <w:szCs w:val="24"/>
          <w:vertAlign w:val="superscript"/>
        </w:rPr>
        <w:t>[</w:t>
      </w:r>
      <w:proofErr w:type="gramEnd"/>
      <w:r w:rsidR="001C09DA" w:rsidRPr="00AD5C42">
        <w:rPr>
          <w:rFonts w:ascii="Book Antiqua" w:hAnsi="Book Antiqua"/>
          <w:color w:val="000000" w:themeColor="text1"/>
          <w:sz w:val="24"/>
          <w:szCs w:val="24"/>
          <w:vertAlign w:val="superscript"/>
        </w:rPr>
        <w:t>3,</w:t>
      </w:r>
      <w:r w:rsidR="006C0F34" w:rsidRPr="00AD5C42">
        <w:rPr>
          <w:rFonts w:ascii="Book Antiqua" w:hAnsi="Book Antiqua"/>
          <w:color w:val="000000" w:themeColor="text1"/>
          <w:sz w:val="24"/>
          <w:szCs w:val="24"/>
          <w:vertAlign w:val="superscript"/>
        </w:rPr>
        <w:t>4]</w:t>
      </w:r>
      <w:r w:rsidR="007F3E48" w:rsidRPr="00AD5C42">
        <w:rPr>
          <w:rFonts w:ascii="Book Antiqua" w:hAnsi="Book Antiqua"/>
          <w:color w:val="000000" w:themeColor="text1"/>
          <w:sz w:val="24"/>
          <w:szCs w:val="24"/>
        </w:rPr>
        <w:t>.</w:t>
      </w:r>
      <w:r w:rsidR="005067DF" w:rsidRPr="00AD5C42">
        <w:rPr>
          <w:rFonts w:ascii="Book Antiqua" w:hAnsi="Book Antiqua"/>
          <w:color w:val="000000" w:themeColor="text1"/>
          <w:sz w:val="24"/>
          <w:szCs w:val="24"/>
        </w:rPr>
        <w:t xml:space="preserve"> </w:t>
      </w:r>
      <w:r w:rsidR="0036624B" w:rsidRPr="00AD5C42">
        <w:rPr>
          <w:rFonts w:ascii="Book Antiqua" w:hAnsi="Book Antiqua"/>
          <w:color w:val="000000" w:themeColor="text1"/>
          <w:sz w:val="24"/>
          <w:szCs w:val="24"/>
        </w:rPr>
        <w:t xml:space="preserve">Furthermore, </w:t>
      </w:r>
      <w:r w:rsidR="00A14141" w:rsidRPr="00AD5C42">
        <w:rPr>
          <w:rFonts w:ascii="Book Antiqua" w:hAnsi="Book Antiqua"/>
          <w:color w:val="000000" w:themeColor="text1"/>
          <w:sz w:val="24"/>
          <w:szCs w:val="24"/>
        </w:rPr>
        <w:t>a</w:t>
      </w:r>
      <w:r w:rsidR="0036624B" w:rsidRPr="00AD5C42">
        <w:rPr>
          <w:rFonts w:ascii="Book Antiqua" w:hAnsi="Book Antiqua"/>
          <w:color w:val="000000" w:themeColor="text1"/>
          <w:sz w:val="24"/>
          <w:szCs w:val="24"/>
        </w:rPr>
        <w:t xml:space="preserve"> “test-and-treat” </w:t>
      </w:r>
      <w:r w:rsidR="00A14141" w:rsidRPr="00AD5C42">
        <w:rPr>
          <w:rFonts w:ascii="Book Antiqua" w:hAnsi="Book Antiqua"/>
          <w:color w:val="000000" w:themeColor="text1"/>
          <w:sz w:val="24"/>
          <w:szCs w:val="24"/>
        </w:rPr>
        <w:t xml:space="preserve">approach </w:t>
      </w:r>
      <w:r w:rsidR="003B1002" w:rsidRPr="00AD5C42">
        <w:rPr>
          <w:rFonts w:ascii="Book Antiqua" w:hAnsi="Book Antiqua"/>
          <w:color w:val="000000" w:themeColor="text1"/>
          <w:sz w:val="24"/>
          <w:szCs w:val="24"/>
        </w:rPr>
        <w:t>is</w:t>
      </w:r>
      <w:r w:rsidR="0036624B" w:rsidRPr="00AD5C42">
        <w:rPr>
          <w:rFonts w:ascii="Book Antiqua" w:hAnsi="Book Antiqua"/>
          <w:color w:val="000000" w:themeColor="text1"/>
          <w:sz w:val="24"/>
          <w:szCs w:val="24"/>
        </w:rPr>
        <w:t xml:space="preserve"> advocated for detecting and eradicating </w:t>
      </w:r>
      <w:r w:rsidR="0036624B" w:rsidRPr="00AD5C42">
        <w:rPr>
          <w:rFonts w:ascii="Book Antiqua" w:hAnsi="Book Antiqua"/>
          <w:i/>
          <w:color w:val="000000" w:themeColor="text1"/>
          <w:sz w:val="24"/>
          <w:szCs w:val="24"/>
        </w:rPr>
        <w:t>H. pylori</w:t>
      </w:r>
      <w:r w:rsidR="0036624B" w:rsidRPr="00AD5C42">
        <w:rPr>
          <w:rFonts w:ascii="Book Antiqua" w:hAnsi="Book Antiqua"/>
          <w:color w:val="000000" w:themeColor="text1"/>
          <w:sz w:val="24"/>
          <w:szCs w:val="24"/>
        </w:rPr>
        <w:t xml:space="preserve"> in patients with </w:t>
      </w:r>
      <w:r w:rsidR="003B72BE" w:rsidRPr="00AD5C42">
        <w:rPr>
          <w:rFonts w:ascii="Book Antiqua" w:hAnsi="Book Antiqua"/>
          <w:color w:val="000000" w:themeColor="text1"/>
          <w:sz w:val="24"/>
          <w:szCs w:val="24"/>
        </w:rPr>
        <w:t xml:space="preserve">dyspeptic symptoms but </w:t>
      </w:r>
      <w:r w:rsidR="0036624B" w:rsidRPr="00AD5C42">
        <w:rPr>
          <w:rFonts w:ascii="Book Antiqua" w:hAnsi="Book Antiqua"/>
          <w:color w:val="000000" w:themeColor="text1"/>
          <w:sz w:val="24"/>
          <w:szCs w:val="24"/>
        </w:rPr>
        <w:t xml:space="preserve">low gastric cancer </w:t>
      </w:r>
      <w:proofErr w:type="gramStart"/>
      <w:r w:rsidR="0036624B" w:rsidRPr="00AD5C42">
        <w:rPr>
          <w:rFonts w:ascii="Book Antiqua" w:hAnsi="Book Antiqua"/>
          <w:color w:val="000000" w:themeColor="text1"/>
          <w:sz w:val="24"/>
          <w:szCs w:val="24"/>
        </w:rPr>
        <w:t>risk</w:t>
      </w:r>
      <w:r w:rsidR="006C0F34" w:rsidRPr="00AD5C42">
        <w:rPr>
          <w:rFonts w:ascii="Book Antiqua" w:hAnsi="Book Antiqua"/>
          <w:color w:val="000000" w:themeColor="text1"/>
          <w:sz w:val="24"/>
          <w:szCs w:val="24"/>
          <w:vertAlign w:val="superscript"/>
        </w:rPr>
        <w:t>[</w:t>
      </w:r>
      <w:proofErr w:type="gramEnd"/>
      <w:r w:rsidR="006C0F34" w:rsidRPr="00AD5C42">
        <w:rPr>
          <w:rFonts w:ascii="Book Antiqua" w:hAnsi="Book Antiqua"/>
          <w:color w:val="000000" w:themeColor="text1"/>
          <w:sz w:val="24"/>
          <w:szCs w:val="24"/>
          <w:vertAlign w:val="superscript"/>
        </w:rPr>
        <w:t>5]</w:t>
      </w:r>
      <w:r w:rsidR="007F3E48" w:rsidRPr="00AD5C42">
        <w:rPr>
          <w:rFonts w:ascii="Book Antiqua" w:hAnsi="Book Antiqua"/>
          <w:color w:val="000000" w:themeColor="text1"/>
          <w:sz w:val="24"/>
          <w:szCs w:val="24"/>
        </w:rPr>
        <w:t>.</w:t>
      </w:r>
    </w:p>
    <w:p w14:paraId="15B0BCBD" w14:textId="07819D08" w:rsidR="00032126" w:rsidRPr="00AD5C42" w:rsidRDefault="001C09DA" w:rsidP="001C09DA">
      <w:pPr>
        <w:adjustRightInd w:val="0"/>
        <w:snapToGrid w:val="0"/>
        <w:spacing w:line="360" w:lineRule="auto"/>
        <w:rPr>
          <w:rFonts w:ascii="Book Antiqua" w:hAnsi="Book Antiqua"/>
          <w:color w:val="000000" w:themeColor="text1"/>
          <w:sz w:val="24"/>
          <w:szCs w:val="24"/>
        </w:rPr>
      </w:pPr>
      <w:r w:rsidRPr="00AD5C42">
        <w:rPr>
          <w:rFonts w:ascii="Book Antiqua" w:hAnsi="Book Antiqua"/>
          <w:i/>
          <w:color w:val="000000" w:themeColor="text1"/>
          <w:sz w:val="24"/>
          <w:szCs w:val="24"/>
        </w:rPr>
        <w:t xml:space="preserve">  </w:t>
      </w:r>
      <w:r w:rsidR="00EA0762" w:rsidRPr="00AD5C42">
        <w:rPr>
          <w:rFonts w:ascii="Book Antiqua" w:hAnsi="Book Antiqua"/>
          <w:i/>
          <w:color w:val="000000" w:themeColor="text1"/>
          <w:sz w:val="24"/>
          <w:szCs w:val="24"/>
        </w:rPr>
        <w:t>H. pylori</w:t>
      </w:r>
      <w:r w:rsidR="00EA0762" w:rsidRPr="00AD5C42">
        <w:rPr>
          <w:rFonts w:ascii="Book Antiqua" w:hAnsi="Book Antiqua"/>
          <w:color w:val="000000" w:themeColor="text1"/>
          <w:sz w:val="24"/>
          <w:szCs w:val="24"/>
        </w:rPr>
        <w:t xml:space="preserve"> </w:t>
      </w:r>
      <w:r w:rsidR="003B1002" w:rsidRPr="00AD5C42">
        <w:rPr>
          <w:rFonts w:ascii="Book Antiqua" w:hAnsi="Book Antiqua"/>
          <w:color w:val="000000" w:themeColor="text1"/>
          <w:sz w:val="24"/>
          <w:szCs w:val="24"/>
        </w:rPr>
        <w:t xml:space="preserve">eradication treatment </w:t>
      </w:r>
      <w:r w:rsidR="00EA0762" w:rsidRPr="00AD5C42">
        <w:rPr>
          <w:rFonts w:ascii="Book Antiqua" w:hAnsi="Book Antiqua"/>
          <w:color w:val="000000" w:themeColor="text1"/>
          <w:sz w:val="24"/>
          <w:szCs w:val="24"/>
        </w:rPr>
        <w:t xml:space="preserve">is becoming more challenging due to increasing </w:t>
      </w:r>
      <w:r w:rsidR="00B33DB5" w:rsidRPr="00AD5C42">
        <w:rPr>
          <w:rFonts w:ascii="Book Antiqua" w:hAnsi="Book Antiqua"/>
          <w:color w:val="000000" w:themeColor="text1"/>
          <w:sz w:val="24"/>
          <w:szCs w:val="24"/>
        </w:rPr>
        <w:t>antimicrobial</w:t>
      </w:r>
      <w:r w:rsidR="00EA0762" w:rsidRPr="00AD5C42">
        <w:rPr>
          <w:rFonts w:ascii="Book Antiqua" w:hAnsi="Book Antiqua"/>
          <w:color w:val="000000" w:themeColor="text1"/>
          <w:sz w:val="24"/>
          <w:szCs w:val="24"/>
        </w:rPr>
        <w:t xml:space="preserve"> resistance. </w:t>
      </w:r>
      <w:r w:rsidR="008D4630" w:rsidRPr="00AD5C42">
        <w:rPr>
          <w:rFonts w:ascii="Book Antiqua" w:hAnsi="Book Antiqua"/>
          <w:color w:val="000000" w:themeColor="text1"/>
          <w:sz w:val="24"/>
          <w:szCs w:val="24"/>
        </w:rPr>
        <w:t>Previously</w:t>
      </w:r>
      <w:r w:rsidR="00A66FEC" w:rsidRPr="00AD5C42">
        <w:rPr>
          <w:rFonts w:ascii="Book Antiqua" w:hAnsi="Book Antiqua"/>
          <w:color w:val="000000" w:themeColor="text1"/>
          <w:sz w:val="24"/>
          <w:szCs w:val="24"/>
        </w:rPr>
        <w:t xml:space="preserve">, </w:t>
      </w:r>
      <w:r w:rsidR="00F81D26" w:rsidRPr="00AD5C42">
        <w:rPr>
          <w:rFonts w:ascii="Book Antiqua" w:hAnsi="Book Antiqua"/>
          <w:color w:val="000000" w:themeColor="text1"/>
          <w:sz w:val="24"/>
          <w:szCs w:val="24"/>
        </w:rPr>
        <w:t xml:space="preserve">a </w:t>
      </w:r>
      <w:r w:rsidR="00A66FEC" w:rsidRPr="00AD5C42">
        <w:rPr>
          <w:rFonts w:ascii="Book Antiqua" w:hAnsi="Book Antiqua"/>
          <w:color w:val="000000" w:themeColor="text1"/>
          <w:sz w:val="24"/>
          <w:szCs w:val="24"/>
        </w:rPr>
        <w:t>7</w:t>
      </w:r>
      <w:r w:rsidR="00F81D26" w:rsidRPr="00AD5C42">
        <w:rPr>
          <w:rFonts w:ascii="Book Antiqua" w:hAnsi="Book Antiqua"/>
          <w:color w:val="000000" w:themeColor="text1"/>
          <w:sz w:val="24"/>
          <w:szCs w:val="24"/>
        </w:rPr>
        <w:t>-</w:t>
      </w:r>
      <w:r w:rsidR="00A66FEC" w:rsidRPr="00AD5C42">
        <w:rPr>
          <w:rFonts w:ascii="Book Antiqua" w:hAnsi="Book Antiqua"/>
          <w:color w:val="000000" w:themeColor="text1"/>
          <w:sz w:val="24"/>
          <w:szCs w:val="24"/>
        </w:rPr>
        <w:t xml:space="preserve">d standard triple therapy consisting of a </w:t>
      </w:r>
      <w:bookmarkStart w:id="45" w:name="OLE_LINK618"/>
      <w:bookmarkStart w:id="46" w:name="OLE_LINK619"/>
      <w:r w:rsidR="00A66FEC" w:rsidRPr="00AD5C42">
        <w:rPr>
          <w:rFonts w:ascii="Book Antiqua" w:hAnsi="Book Antiqua"/>
          <w:color w:val="000000" w:themeColor="text1"/>
          <w:sz w:val="24"/>
          <w:szCs w:val="24"/>
        </w:rPr>
        <w:t>proton pump inhibitor</w:t>
      </w:r>
      <w:bookmarkEnd w:id="45"/>
      <w:bookmarkEnd w:id="46"/>
      <w:r w:rsidR="00A66FEC" w:rsidRPr="00AD5C42">
        <w:rPr>
          <w:rFonts w:ascii="Book Antiqua" w:hAnsi="Book Antiqua"/>
          <w:color w:val="000000" w:themeColor="text1"/>
          <w:sz w:val="24"/>
          <w:szCs w:val="24"/>
        </w:rPr>
        <w:t xml:space="preserve"> (PPI)</w:t>
      </w:r>
      <w:r w:rsidR="003B1002" w:rsidRPr="00AD5C42">
        <w:rPr>
          <w:rFonts w:ascii="Book Antiqua" w:hAnsi="Book Antiqua"/>
          <w:color w:val="000000" w:themeColor="text1"/>
          <w:sz w:val="24"/>
          <w:szCs w:val="24"/>
        </w:rPr>
        <w:t>,</w:t>
      </w:r>
      <w:r w:rsidR="00A66FEC" w:rsidRPr="00AD5C42">
        <w:rPr>
          <w:rFonts w:ascii="Book Antiqua" w:hAnsi="Book Antiqua"/>
          <w:color w:val="000000" w:themeColor="text1"/>
          <w:sz w:val="24"/>
          <w:szCs w:val="24"/>
        </w:rPr>
        <w:t xml:space="preserve"> amoxicillin (AMPC)</w:t>
      </w:r>
      <w:r w:rsidR="003B1002" w:rsidRPr="00AD5C42">
        <w:rPr>
          <w:rFonts w:ascii="Book Antiqua" w:hAnsi="Book Antiqua"/>
          <w:color w:val="000000" w:themeColor="text1"/>
          <w:sz w:val="24"/>
          <w:szCs w:val="24"/>
        </w:rPr>
        <w:t>, and clarithromycin (CAM)</w:t>
      </w:r>
      <w:r w:rsidR="008D4630" w:rsidRPr="00AD5C42">
        <w:rPr>
          <w:rFonts w:ascii="Book Antiqua" w:hAnsi="Book Antiqua"/>
          <w:color w:val="000000" w:themeColor="text1"/>
          <w:sz w:val="24"/>
          <w:szCs w:val="24"/>
        </w:rPr>
        <w:t xml:space="preserve"> was recommended for eradicating </w:t>
      </w:r>
      <w:r w:rsidR="008D4630" w:rsidRPr="00AD5C42">
        <w:rPr>
          <w:rFonts w:ascii="Book Antiqua" w:hAnsi="Book Antiqua"/>
          <w:i/>
          <w:color w:val="000000" w:themeColor="text1"/>
          <w:sz w:val="24"/>
          <w:szCs w:val="24"/>
        </w:rPr>
        <w:t xml:space="preserve">H. </w:t>
      </w:r>
      <w:proofErr w:type="gramStart"/>
      <w:r w:rsidR="008D4630" w:rsidRPr="00AD5C42">
        <w:rPr>
          <w:rFonts w:ascii="Book Antiqua" w:hAnsi="Book Antiqua"/>
          <w:i/>
          <w:color w:val="000000" w:themeColor="text1"/>
          <w:sz w:val="24"/>
          <w:szCs w:val="24"/>
        </w:rPr>
        <w:t>pylori</w:t>
      </w:r>
      <w:r w:rsidR="006C0F34" w:rsidRPr="00AD5C42">
        <w:rPr>
          <w:rFonts w:ascii="Book Antiqua" w:hAnsi="Book Antiqua"/>
          <w:color w:val="000000" w:themeColor="text1"/>
          <w:sz w:val="24"/>
          <w:szCs w:val="24"/>
          <w:vertAlign w:val="superscript"/>
        </w:rPr>
        <w:t>[</w:t>
      </w:r>
      <w:proofErr w:type="gramEnd"/>
      <w:r w:rsidR="006C0F34" w:rsidRPr="00AD5C42">
        <w:rPr>
          <w:rFonts w:ascii="Book Antiqua" w:hAnsi="Book Antiqua"/>
          <w:color w:val="000000" w:themeColor="text1"/>
          <w:sz w:val="24"/>
          <w:szCs w:val="24"/>
          <w:vertAlign w:val="superscript"/>
        </w:rPr>
        <w:t>6]</w:t>
      </w:r>
      <w:r w:rsidR="007F3E48" w:rsidRPr="00AD5C42">
        <w:rPr>
          <w:rFonts w:ascii="Book Antiqua" w:hAnsi="Book Antiqua"/>
          <w:color w:val="000000" w:themeColor="text1"/>
          <w:sz w:val="24"/>
          <w:szCs w:val="24"/>
        </w:rPr>
        <w:t>.</w:t>
      </w:r>
      <w:r w:rsidR="00A66FEC" w:rsidRPr="00AD5C42">
        <w:rPr>
          <w:rFonts w:ascii="Book Antiqua" w:hAnsi="Book Antiqua"/>
          <w:color w:val="000000" w:themeColor="text1"/>
          <w:sz w:val="24"/>
          <w:szCs w:val="24"/>
        </w:rPr>
        <w:t xml:space="preserve"> However, there has been a significant reduction in the eradication rate </w:t>
      </w:r>
      <w:r w:rsidR="00F81D26" w:rsidRPr="00AD5C42">
        <w:rPr>
          <w:rFonts w:ascii="Book Antiqua" w:hAnsi="Book Antiqua"/>
          <w:color w:val="000000" w:themeColor="text1"/>
          <w:sz w:val="24"/>
          <w:szCs w:val="24"/>
        </w:rPr>
        <w:t xml:space="preserve">achieved with </w:t>
      </w:r>
      <w:r w:rsidR="00A66FEC" w:rsidRPr="00AD5C42">
        <w:rPr>
          <w:rFonts w:ascii="Book Antiqua" w:hAnsi="Book Antiqua"/>
          <w:color w:val="000000" w:themeColor="text1"/>
          <w:sz w:val="24"/>
          <w:szCs w:val="24"/>
        </w:rPr>
        <w:t xml:space="preserve">this regimen due to the increase in </w:t>
      </w:r>
      <w:r w:rsidR="00B33DB5" w:rsidRPr="00AD5C42">
        <w:rPr>
          <w:rFonts w:ascii="Book Antiqua" w:hAnsi="Book Antiqua"/>
          <w:color w:val="000000" w:themeColor="text1"/>
          <w:sz w:val="24"/>
          <w:szCs w:val="24"/>
        </w:rPr>
        <w:t>antimicrobial</w:t>
      </w:r>
      <w:r w:rsidR="00A66FEC" w:rsidRPr="00AD5C42">
        <w:rPr>
          <w:rFonts w:ascii="Book Antiqua" w:hAnsi="Book Antiqua"/>
          <w:color w:val="000000" w:themeColor="text1"/>
          <w:sz w:val="24"/>
          <w:szCs w:val="24"/>
        </w:rPr>
        <w:t xml:space="preserve"> resistance of </w:t>
      </w:r>
      <w:r w:rsidR="00A66FEC" w:rsidRPr="00AD5C42">
        <w:rPr>
          <w:rFonts w:ascii="Book Antiqua" w:hAnsi="Book Antiqua"/>
          <w:i/>
          <w:color w:val="000000" w:themeColor="text1"/>
          <w:sz w:val="24"/>
          <w:szCs w:val="24"/>
        </w:rPr>
        <w:t>H. pylori</w:t>
      </w:r>
      <w:r w:rsidR="00A66FEC" w:rsidRPr="00AD5C42">
        <w:rPr>
          <w:rFonts w:ascii="Book Antiqua" w:hAnsi="Book Antiqua"/>
          <w:color w:val="000000" w:themeColor="text1"/>
          <w:sz w:val="24"/>
          <w:szCs w:val="24"/>
        </w:rPr>
        <w:t xml:space="preserve">. </w:t>
      </w:r>
      <w:r w:rsidR="00083E4A" w:rsidRPr="00AD5C42">
        <w:rPr>
          <w:rFonts w:ascii="Book Antiqua" w:hAnsi="Book Antiqua"/>
          <w:color w:val="000000" w:themeColor="text1"/>
          <w:sz w:val="24"/>
          <w:szCs w:val="24"/>
        </w:rPr>
        <w:t xml:space="preserve">Resistance of </w:t>
      </w:r>
      <w:r w:rsidR="00083E4A" w:rsidRPr="00AD5C42">
        <w:rPr>
          <w:rFonts w:ascii="Book Antiqua" w:hAnsi="Book Antiqua"/>
          <w:i/>
          <w:color w:val="000000" w:themeColor="text1"/>
          <w:sz w:val="24"/>
          <w:szCs w:val="24"/>
        </w:rPr>
        <w:t>H</w:t>
      </w:r>
      <w:r w:rsidR="00AC4BE2" w:rsidRPr="00AD5C42">
        <w:rPr>
          <w:rFonts w:ascii="Book Antiqua" w:hAnsi="Book Antiqua"/>
          <w:i/>
          <w:color w:val="000000" w:themeColor="text1"/>
          <w:sz w:val="24"/>
          <w:szCs w:val="24"/>
        </w:rPr>
        <w:t>.</w:t>
      </w:r>
      <w:r w:rsidR="00083E4A" w:rsidRPr="00AD5C42">
        <w:rPr>
          <w:rFonts w:ascii="Book Antiqua" w:hAnsi="Book Antiqua"/>
          <w:i/>
          <w:color w:val="000000" w:themeColor="text1"/>
          <w:sz w:val="24"/>
          <w:szCs w:val="24"/>
        </w:rPr>
        <w:t xml:space="preserve"> pylori</w:t>
      </w:r>
      <w:r w:rsidR="00083E4A" w:rsidRPr="00AD5C42">
        <w:rPr>
          <w:rFonts w:ascii="Book Antiqua" w:hAnsi="Book Antiqua"/>
          <w:color w:val="000000" w:themeColor="text1"/>
          <w:sz w:val="24"/>
          <w:szCs w:val="24"/>
        </w:rPr>
        <w:t xml:space="preserve"> has reached alarming levels worldwide, which </w:t>
      </w:r>
      <w:r w:rsidR="00F759AF" w:rsidRPr="00AD5C42">
        <w:rPr>
          <w:rFonts w:ascii="Book Antiqua" w:hAnsi="Book Antiqua"/>
          <w:color w:val="000000" w:themeColor="text1"/>
          <w:sz w:val="24"/>
          <w:szCs w:val="24"/>
        </w:rPr>
        <w:t>greatly a</w:t>
      </w:r>
      <w:r w:rsidR="00083E4A" w:rsidRPr="00AD5C42">
        <w:rPr>
          <w:rFonts w:ascii="Book Antiqua" w:hAnsi="Book Antiqua"/>
          <w:color w:val="000000" w:themeColor="text1"/>
          <w:sz w:val="24"/>
          <w:szCs w:val="24"/>
        </w:rPr>
        <w:t>ffect</w:t>
      </w:r>
      <w:r w:rsidR="00F759AF" w:rsidRPr="00AD5C42">
        <w:rPr>
          <w:rFonts w:ascii="Book Antiqua" w:hAnsi="Book Antiqua"/>
          <w:color w:val="000000" w:themeColor="text1"/>
          <w:sz w:val="24"/>
          <w:szCs w:val="24"/>
        </w:rPr>
        <w:t>s</w:t>
      </w:r>
      <w:r w:rsidR="00083E4A" w:rsidRPr="00AD5C42">
        <w:rPr>
          <w:rFonts w:ascii="Book Antiqua" w:hAnsi="Book Antiqua"/>
          <w:color w:val="000000" w:themeColor="text1"/>
          <w:sz w:val="24"/>
          <w:szCs w:val="24"/>
        </w:rPr>
        <w:t xml:space="preserve"> </w:t>
      </w:r>
      <w:r w:rsidR="00F759AF" w:rsidRPr="00AD5C42">
        <w:rPr>
          <w:rFonts w:ascii="Book Antiqua" w:hAnsi="Book Antiqua"/>
          <w:color w:val="000000" w:themeColor="text1"/>
          <w:sz w:val="24"/>
          <w:szCs w:val="24"/>
        </w:rPr>
        <w:t xml:space="preserve">the </w:t>
      </w:r>
      <w:r w:rsidR="00083E4A" w:rsidRPr="00AD5C42">
        <w:rPr>
          <w:rFonts w:ascii="Book Antiqua" w:hAnsi="Book Antiqua"/>
          <w:color w:val="000000" w:themeColor="text1"/>
          <w:sz w:val="24"/>
          <w:szCs w:val="24"/>
        </w:rPr>
        <w:t xml:space="preserve">efficacy of treatment. The World Health Organization </w:t>
      </w:r>
      <w:r w:rsidR="005F42EA" w:rsidRPr="00AD5C42">
        <w:rPr>
          <w:rFonts w:ascii="Book Antiqua" w:hAnsi="Book Antiqua"/>
          <w:color w:val="000000" w:themeColor="text1"/>
          <w:sz w:val="24"/>
          <w:szCs w:val="24"/>
        </w:rPr>
        <w:t xml:space="preserve">(WHO) </w:t>
      </w:r>
      <w:r w:rsidR="00083E4A" w:rsidRPr="00AD5C42">
        <w:rPr>
          <w:rFonts w:ascii="Book Antiqua" w:hAnsi="Book Antiqua"/>
          <w:color w:val="000000" w:themeColor="text1"/>
          <w:sz w:val="24"/>
          <w:szCs w:val="24"/>
        </w:rPr>
        <w:t xml:space="preserve">recently published its first ever list of </w:t>
      </w:r>
      <w:r w:rsidR="00B33DB5" w:rsidRPr="00AD5C42">
        <w:rPr>
          <w:rFonts w:ascii="Book Antiqua" w:hAnsi="Book Antiqua"/>
          <w:color w:val="000000" w:themeColor="text1"/>
          <w:sz w:val="24"/>
          <w:szCs w:val="24"/>
        </w:rPr>
        <w:t>antimicrobial</w:t>
      </w:r>
      <w:r w:rsidR="00083E4A" w:rsidRPr="00AD5C42">
        <w:rPr>
          <w:rFonts w:ascii="Book Antiqua" w:hAnsi="Book Antiqua"/>
          <w:color w:val="000000" w:themeColor="text1"/>
          <w:sz w:val="24"/>
          <w:szCs w:val="24"/>
        </w:rPr>
        <w:t xml:space="preserve"> resistant “priority pathogens</w:t>
      </w:r>
      <w:r w:rsidR="00F759AF" w:rsidRPr="00AD5C42">
        <w:rPr>
          <w:rFonts w:ascii="Book Antiqua" w:hAnsi="Book Antiqua"/>
          <w:color w:val="000000" w:themeColor="text1"/>
          <w:sz w:val="24"/>
          <w:szCs w:val="24"/>
        </w:rPr>
        <w:t>,</w:t>
      </w:r>
      <w:r w:rsidR="00083E4A" w:rsidRPr="00AD5C42">
        <w:rPr>
          <w:rFonts w:ascii="Book Antiqua" w:hAnsi="Book Antiqua"/>
          <w:color w:val="000000" w:themeColor="text1"/>
          <w:sz w:val="24"/>
          <w:szCs w:val="24"/>
        </w:rPr>
        <w:t xml:space="preserve">” </w:t>
      </w:r>
      <w:r w:rsidR="008D4630" w:rsidRPr="00AD5C42">
        <w:rPr>
          <w:rFonts w:ascii="Book Antiqua" w:hAnsi="Book Antiqua"/>
          <w:color w:val="000000" w:themeColor="text1"/>
          <w:sz w:val="24"/>
          <w:szCs w:val="24"/>
        </w:rPr>
        <w:t xml:space="preserve">which is </w:t>
      </w:r>
      <w:r w:rsidR="00083E4A" w:rsidRPr="00AD5C42">
        <w:rPr>
          <w:rFonts w:ascii="Book Antiqua" w:hAnsi="Book Antiqua"/>
          <w:color w:val="000000" w:themeColor="text1"/>
          <w:sz w:val="24"/>
          <w:szCs w:val="24"/>
        </w:rPr>
        <w:t>a catalogue of 12 families of bacteria pos</w:t>
      </w:r>
      <w:r w:rsidR="008D4630" w:rsidRPr="00AD5C42">
        <w:rPr>
          <w:rFonts w:ascii="Book Antiqua" w:hAnsi="Book Antiqua"/>
          <w:color w:val="000000" w:themeColor="text1"/>
          <w:sz w:val="24"/>
          <w:szCs w:val="24"/>
        </w:rPr>
        <w:t>ing</w:t>
      </w:r>
      <w:r w:rsidR="00083E4A" w:rsidRPr="00AD5C42">
        <w:rPr>
          <w:rFonts w:ascii="Book Antiqua" w:hAnsi="Book Antiqua"/>
          <w:color w:val="000000" w:themeColor="text1"/>
          <w:sz w:val="24"/>
          <w:szCs w:val="24"/>
        </w:rPr>
        <w:t xml:space="preserve"> the greatest threat to human health</w:t>
      </w:r>
      <w:r w:rsidR="007F3E48" w:rsidRPr="00AD5C42">
        <w:rPr>
          <w:rFonts w:ascii="Book Antiqua" w:hAnsi="Book Antiqua"/>
          <w:color w:val="000000" w:themeColor="text1"/>
          <w:sz w:val="24"/>
          <w:szCs w:val="24"/>
        </w:rPr>
        <w:t>.</w:t>
      </w:r>
      <w:r w:rsidR="00083E4A" w:rsidRPr="00AD5C42">
        <w:rPr>
          <w:rFonts w:ascii="Book Antiqua" w:hAnsi="Book Antiqua"/>
          <w:color w:val="000000" w:themeColor="text1"/>
          <w:sz w:val="24"/>
          <w:szCs w:val="24"/>
        </w:rPr>
        <w:t xml:space="preserve"> They indicated three </w:t>
      </w:r>
      <w:r w:rsidR="00AE7C2D" w:rsidRPr="00AD5C42">
        <w:rPr>
          <w:rFonts w:ascii="Book Antiqua" w:hAnsi="Book Antiqua"/>
          <w:color w:val="000000" w:themeColor="text1"/>
          <w:sz w:val="24"/>
          <w:szCs w:val="24"/>
        </w:rPr>
        <w:t xml:space="preserve">priority </w:t>
      </w:r>
      <w:r w:rsidR="00F759AF" w:rsidRPr="00AD5C42">
        <w:rPr>
          <w:rFonts w:ascii="Book Antiqua" w:hAnsi="Book Antiqua"/>
          <w:color w:val="000000" w:themeColor="text1"/>
          <w:sz w:val="24"/>
          <w:szCs w:val="24"/>
        </w:rPr>
        <w:t>statuses</w:t>
      </w:r>
      <w:r w:rsidRPr="00AD5C42">
        <w:rPr>
          <w:rFonts w:ascii="Book Antiqua" w:hAnsi="Book Antiqua"/>
          <w:color w:val="000000" w:themeColor="text1"/>
          <w:sz w:val="24"/>
          <w:szCs w:val="24"/>
        </w:rPr>
        <w:t>-</w:t>
      </w:r>
      <w:r w:rsidR="00083E4A" w:rsidRPr="00AD5C42">
        <w:rPr>
          <w:rFonts w:ascii="Book Antiqua" w:hAnsi="Book Antiqua"/>
          <w:color w:val="000000" w:themeColor="text1"/>
          <w:sz w:val="24"/>
          <w:szCs w:val="24"/>
        </w:rPr>
        <w:t>critical, high, and medium</w:t>
      </w:r>
      <w:r w:rsidRPr="00AD5C42">
        <w:rPr>
          <w:rFonts w:ascii="Book Antiqua" w:hAnsi="Book Antiqua"/>
          <w:color w:val="000000" w:themeColor="text1"/>
          <w:sz w:val="24"/>
          <w:szCs w:val="24"/>
        </w:rPr>
        <w:t>-</w:t>
      </w:r>
      <w:r w:rsidR="008D4630" w:rsidRPr="00AD5C42">
        <w:rPr>
          <w:rFonts w:ascii="Book Antiqua" w:hAnsi="Book Antiqua"/>
          <w:color w:val="000000" w:themeColor="text1"/>
          <w:sz w:val="24"/>
          <w:szCs w:val="24"/>
        </w:rPr>
        <w:t xml:space="preserve">with </w:t>
      </w:r>
      <w:r w:rsidR="00B33DB5" w:rsidRPr="00AD5C42">
        <w:rPr>
          <w:rFonts w:ascii="Book Antiqua" w:hAnsi="Book Antiqua"/>
          <w:color w:val="000000" w:themeColor="text1"/>
          <w:sz w:val="24"/>
          <w:szCs w:val="24"/>
        </w:rPr>
        <w:t>CAM</w:t>
      </w:r>
      <w:r w:rsidR="00F81D26" w:rsidRPr="00AD5C42">
        <w:rPr>
          <w:rFonts w:ascii="Book Antiqua" w:hAnsi="Book Antiqua"/>
          <w:color w:val="000000" w:themeColor="text1"/>
          <w:sz w:val="24"/>
          <w:szCs w:val="24"/>
        </w:rPr>
        <w:t>-</w:t>
      </w:r>
      <w:r w:rsidR="00083E4A" w:rsidRPr="00AD5C42">
        <w:rPr>
          <w:rFonts w:ascii="Book Antiqua" w:hAnsi="Book Antiqua"/>
          <w:color w:val="000000" w:themeColor="text1"/>
          <w:sz w:val="24"/>
          <w:szCs w:val="24"/>
        </w:rPr>
        <w:t xml:space="preserve">resistant </w:t>
      </w:r>
      <w:r w:rsidR="00083E4A" w:rsidRPr="00AD5C42">
        <w:rPr>
          <w:rFonts w:ascii="Book Antiqua" w:hAnsi="Book Antiqua"/>
          <w:i/>
          <w:color w:val="000000" w:themeColor="text1"/>
          <w:sz w:val="24"/>
          <w:szCs w:val="24"/>
        </w:rPr>
        <w:t>H. pylori</w:t>
      </w:r>
      <w:r w:rsidR="00083E4A" w:rsidRPr="00AD5C42">
        <w:rPr>
          <w:rFonts w:ascii="Book Antiqua" w:hAnsi="Book Antiqua"/>
          <w:color w:val="000000" w:themeColor="text1"/>
          <w:sz w:val="24"/>
          <w:szCs w:val="24"/>
        </w:rPr>
        <w:t xml:space="preserve"> </w:t>
      </w:r>
      <w:r w:rsidR="008D4630" w:rsidRPr="00AD5C42">
        <w:rPr>
          <w:rFonts w:ascii="Book Antiqua" w:hAnsi="Book Antiqua"/>
          <w:color w:val="000000" w:themeColor="text1"/>
          <w:sz w:val="24"/>
          <w:szCs w:val="24"/>
        </w:rPr>
        <w:t xml:space="preserve">being </w:t>
      </w:r>
      <w:r w:rsidR="00083E4A" w:rsidRPr="00AD5C42">
        <w:rPr>
          <w:rFonts w:ascii="Book Antiqua" w:hAnsi="Book Antiqua"/>
          <w:color w:val="000000" w:themeColor="text1"/>
          <w:sz w:val="24"/>
          <w:szCs w:val="24"/>
        </w:rPr>
        <w:t xml:space="preserve">categorized </w:t>
      </w:r>
      <w:bookmarkStart w:id="47" w:name="_Hlk535642716"/>
      <w:r w:rsidR="00083E4A" w:rsidRPr="00AD5C42">
        <w:rPr>
          <w:rFonts w:ascii="Book Antiqua" w:hAnsi="Book Antiqua"/>
          <w:color w:val="000000" w:themeColor="text1"/>
          <w:sz w:val="24"/>
          <w:szCs w:val="24"/>
        </w:rPr>
        <w:t xml:space="preserve">as a high priority bacterium </w:t>
      </w:r>
      <w:bookmarkEnd w:id="47"/>
      <w:r w:rsidR="00083E4A" w:rsidRPr="00AD5C42">
        <w:rPr>
          <w:rFonts w:ascii="Book Antiqua" w:hAnsi="Book Antiqua"/>
          <w:color w:val="000000" w:themeColor="text1"/>
          <w:sz w:val="24"/>
          <w:szCs w:val="24"/>
        </w:rPr>
        <w:t>in the same tier as vancomycin</w:t>
      </w:r>
      <w:r w:rsidR="00F81D26" w:rsidRPr="00AD5C42">
        <w:rPr>
          <w:rFonts w:ascii="Book Antiqua" w:hAnsi="Book Antiqua"/>
          <w:color w:val="000000" w:themeColor="text1"/>
          <w:sz w:val="24"/>
          <w:szCs w:val="24"/>
        </w:rPr>
        <w:t>-</w:t>
      </w:r>
      <w:r w:rsidR="00083E4A" w:rsidRPr="00AD5C42">
        <w:rPr>
          <w:rFonts w:ascii="Book Antiqua" w:hAnsi="Book Antiqua"/>
          <w:color w:val="000000" w:themeColor="text1"/>
          <w:sz w:val="24"/>
          <w:szCs w:val="24"/>
        </w:rPr>
        <w:t xml:space="preserve">resistant </w:t>
      </w:r>
      <w:r w:rsidR="00F55EBD" w:rsidRPr="00AD5C42">
        <w:rPr>
          <w:rFonts w:ascii="Book Antiqua" w:hAnsi="Book Antiqua"/>
          <w:i/>
          <w:color w:val="000000" w:themeColor="text1"/>
          <w:sz w:val="24"/>
          <w:szCs w:val="24"/>
        </w:rPr>
        <w:t>Enterococcus faecium</w:t>
      </w:r>
      <w:r w:rsidR="00F55EBD" w:rsidRPr="00AD5C42">
        <w:rPr>
          <w:rFonts w:ascii="Book Antiqua" w:hAnsi="Book Antiqua"/>
          <w:color w:val="000000" w:themeColor="text1"/>
          <w:sz w:val="24"/>
          <w:szCs w:val="24"/>
        </w:rPr>
        <w:t xml:space="preserve"> </w:t>
      </w:r>
      <w:r w:rsidR="00083E4A" w:rsidRPr="00AD5C42">
        <w:rPr>
          <w:rFonts w:ascii="Book Antiqua" w:hAnsi="Book Antiqua"/>
          <w:color w:val="000000" w:themeColor="text1"/>
          <w:sz w:val="24"/>
          <w:szCs w:val="24"/>
        </w:rPr>
        <w:t>and methicillin</w:t>
      </w:r>
      <w:r w:rsidR="00F81D26" w:rsidRPr="00AD5C42">
        <w:rPr>
          <w:rFonts w:ascii="Book Antiqua" w:hAnsi="Book Antiqua"/>
          <w:color w:val="000000" w:themeColor="text1"/>
          <w:sz w:val="24"/>
          <w:szCs w:val="24"/>
        </w:rPr>
        <w:t>-</w:t>
      </w:r>
      <w:r w:rsidR="00083E4A" w:rsidRPr="00AD5C42">
        <w:rPr>
          <w:rFonts w:ascii="Book Antiqua" w:hAnsi="Book Antiqua"/>
          <w:color w:val="000000" w:themeColor="text1"/>
          <w:sz w:val="24"/>
          <w:szCs w:val="24"/>
        </w:rPr>
        <w:t xml:space="preserve">resistant </w:t>
      </w:r>
      <w:r w:rsidR="00083E4A" w:rsidRPr="00AD5C42">
        <w:rPr>
          <w:rFonts w:ascii="Book Antiqua" w:hAnsi="Book Antiqua"/>
          <w:i/>
          <w:color w:val="000000" w:themeColor="text1"/>
          <w:sz w:val="24"/>
          <w:szCs w:val="24"/>
        </w:rPr>
        <w:t>Staphylococcus aureus</w:t>
      </w:r>
      <w:r w:rsidR="00083E4A" w:rsidRPr="00AD5C42">
        <w:rPr>
          <w:rFonts w:ascii="Book Antiqua" w:hAnsi="Book Antiqua"/>
          <w:color w:val="000000" w:themeColor="text1"/>
          <w:sz w:val="24"/>
          <w:szCs w:val="24"/>
        </w:rPr>
        <w:t xml:space="preserve">. </w:t>
      </w:r>
      <w:r w:rsidR="00A66FEC" w:rsidRPr="00AD5C42">
        <w:rPr>
          <w:rFonts w:ascii="Book Antiqua" w:hAnsi="Book Antiqua"/>
          <w:color w:val="000000" w:themeColor="text1"/>
          <w:sz w:val="24"/>
          <w:szCs w:val="24"/>
        </w:rPr>
        <w:t xml:space="preserve">Furthermore, resistance to </w:t>
      </w:r>
      <w:r w:rsidR="00A66FEC" w:rsidRPr="00AD5C42">
        <w:rPr>
          <w:rFonts w:ascii="Book Antiqua" w:hAnsi="Book Antiqua"/>
          <w:color w:val="000000" w:themeColor="text1"/>
          <w:sz w:val="24"/>
          <w:szCs w:val="24"/>
          <w:shd w:val="clear" w:color="auto" w:fill="FFFFFF"/>
        </w:rPr>
        <w:t>metronidazole</w:t>
      </w:r>
      <w:r w:rsidR="00A66FEC" w:rsidRPr="00AD5C42">
        <w:rPr>
          <w:rFonts w:ascii="Book Antiqua" w:hAnsi="Book Antiqua"/>
          <w:color w:val="000000" w:themeColor="text1"/>
          <w:sz w:val="24"/>
          <w:szCs w:val="24"/>
        </w:rPr>
        <w:t xml:space="preserve"> </w:t>
      </w:r>
      <w:r w:rsidR="00EC685B" w:rsidRPr="00AD5C42">
        <w:rPr>
          <w:rFonts w:ascii="Book Antiqua" w:hAnsi="Book Antiqua"/>
          <w:color w:val="000000" w:themeColor="text1"/>
          <w:sz w:val="24"/>
          <w:szCs w:val="24"/>
        </w:rPr>
        <w:t>(M</w:t>
      </w:r>
      <w:r w:rsidR="0056765B" w:rsidRPr="00AD5C42">
        <w:rPr>
          <w:rFonts w:ascii="Book Antiqua" w:hAnsi="Book Antiqua"/>
          <w:color w:val="000000" w:themeColor="text1"/>
          <w:sz w:val="24"/>
          <w:szCs w:val="24"/>
        </w:rPr>
        <w:t>N</w:t>
      </w:r>
      <w:r w:rsidR="00EC685B" w:rsidRPr="00AD5C42">
        <w:rPr>
          <w:rFonts w:ascii="Book Antiqua" w:hAnsi="Book Antiqua"/>
          <w:color w:val="000000" w:themeColor="text1"/>
          <w:sz w:val="24"/>
          <w:szCs w:val="24"/>
        </w:rPr>
        <w:t xml:space="preserve">Z) </w:t>
      </w:r>
      <w:r w:rsidR="00A66FEC" w:rsidRPr="00AD5C42">
        <w:rPr>
          <w:rFonts w:ascii="Book Antiqua" w:hAnsi="Book Antiqua"/>
          <w:color w:val="000000" w:themeColor="text1"/>
          <w:sz w:val="24"/>
          <w:szCs w:val="24"/>
        </w:rPr>
        <w:t>and fluoroquinolones</w:t>
      </w:r>
      <w:r w:rsidR="00F81D26" w:rsidRPr="00AD5C42">
        <w:rPr>
          <w:rFonts w:ascii="Book Antiqua" w:hAnsi="Book Antiqua"/>
          <w:color w:val="000000" w:themeColor="text1"/>
          <w:sz w:val="24"/>
          <w:szCs w:val="24"/>
        </w:rPr>
        <w:t>,</w:t>
      </w:r>
      <w:r w:rsidR="00A66FEC" w:rsidRPr="00AD5C42">
        <w:rPr>
          <w:rFonts w:ascii="Book Antiqua" w:hAnsi="Book Antiqua"/>
          <w:color w:val="000000" w:themeColor="text1"/>
          <w:sz w:val="24"/>
          <w:szCs w:val="24"/>
        </w:rPr>
        <w:t xml:space="preserve"> </w:t>
      </w:r>
      <w:r w:rsidR="0059163C" w:rsidRPr="00AD5C42">
        <w:rPr>
          <w:rFonts w:ascii="Book Antiqua" w:hAnsi="Book Antiqua"/>
          <w:color w:val="000000" w:themeColor="text1"/>
          <w:sz w:val="24"/>
          <w:szCs w:val="24"/>
        </w:rPr>
        <w:t xml:space="preserve">which </w:t>
      </w:r>
      <w:r w:rsidR="00F81D26" w:rsidRPr="00AD5C42">
        <w:rPr>
          <w:rFonts w:ascii="Book Antiqua" w:hAnsi="Book Antiqua"/>
          <w:color w:val="000000" w:themeColor="text1"/>
          <w:sz w:val="24"/>
          <w:szCs w:val="24"/>
        </w:rPr>
        <w:t>are</w:t>
      </w:r>
      <w:r w:rsidR="0059163C" w:rsidRPr="00AD5C42">
        <w:rPr>
          <w:rFonts w:ascii="Book Antiqua" w:hAnsi="Book Antiqua"/>
          <w:color w:val="000000" w:themeColor="text1"/>
          <w:sz w:val="24"/>
          <w:szCs w:val="24"/>
        </w:rPr>
        <w:t xml:space="preserve"> mainly used as rescue </w:t>
      </w:r>
      <w:proofErr w:type="gramStart"/>
      <w:r w:rsidR="0059163C" w:rsidRPr="00AD5C42">
        <w:rPr>
          <w:rFonts w:ascii="Book Antiqua" w:hAnsi="Book Antiqua"/>
          <w:color w:val="000000" w:themeColor="text1"/>
          <w:sz w:val="24"/>
          <w:szCs w:val="24"/>
        </w:rPr>
        <w:t>therapies</w:t>
      </w:r>
      <w:r w:rsidR="00F26A74" w:rsidRPr="00AD5C42">
        <w:rPr>
          <w:rFonts w:ascii="Book Antiqua" w:hAnsi="Book Antiqua"/>
          <w:color w:val="000000" w:themeColor="text1"/>
          <w:sz w:val="24"/>
          <w:szCs w:val="24"/>
          <w:vertAlign w:val="superscript"/>
        </w:rPr>
        <w:t>[</w:t>
      </w:r>
      <w:proofErr w:type="gramEnd"/>
      <w:r w:rsidR="00F26A74" w:rsidRPr="00AD5C42">
        <w:rPr>
          <w:rFonts w:ascii="Book Antiqua" w:hAnsi="Book Antiqua"/>
          <w:color w:val="000000" w:themeColor="text1"/>
          <w:sz w:val="24"/>
          <w:szCs w:val="24"/>
          <w:vertAlign w:val="superscript"/>
        </w:rPr>
        <w:t>7]</w:t>
      </w:r>
      <w:r w:rsidR="00F81D26" w:rsidRPr="00AD5C42">
        <w:rPr>
          <w:rFonts w:ascii="Book Antiqua" w:hAnsi="Book Antiqua"/>
          <w:color w:val="000000" w:themeColor="text1"/>
          <w:sz w:val="24"/>
          <w:szCs w:val="24"/>
        </w:rPr>
        <w:t>,</w:t>
      </w:r>
      <w:r w:rsidR="001027AF" w:rsidRPr="00AD5C42">
        <w:rPr>
          <w:rFonts w:ascii="Book Antiqua" w:hAnsi="Book Antiqua"/>
          <w:color w:val="000000" w:themeColor="text1"/>
          <w:sz w:val="24"/>
          <w:szCs w:val="24"/>
        </w:rPr>
        <w:t xml:space="preserve"> ha</w:t>
      </w:r>
      <w:r w:rsidR="00F759AF" w:rsidRPr="00AD5C42">
        <w:rPr>
          <w:rFonts w:ascii="Book Antiqua" w:hAnsi="Book Antiqua"/>
          <w:color w:val="000000" w:themeColor="text1"/>
          <w:sz w:val="24"/>
          <w:szCs w:val="24"/>
        </w:rPr>
        <w:t>s</w:t>
      </w:r>
      <w:r w:rsidR="001027AF" w:rsidRPr="00AD5C42">
        <w:rPr>
          <w:rFonts w:ascii="Book Antiqua" w:hAnsi="Book Antiqua"/>
          <w:color w:val="000000" w:themeColor="text1"/>
          <w:sz w:val="24"/>
          <w:szCs w:val="24"/>
        </w:rPr>
        <w:t xml:space="preserve"> also increased more recently</w:t>
      </w:r>
      <w:r w:rsidR="00F759AF" w:rsidRPr="00AD5C42">
        <w:rPr>
          <w:rFonts w:ascii="Book Antiqua" w:hAnsi="Book Antiqua"/>
          <w:color w:val="000000" w:themeColor="text1"/>
          <w:sz w:val="24"/>
          <w:szCs w:val="24"/>
        </w:rPr>
        <w:t xml:space="preserve"> to</w:t>
      </w:r>
      <w:r w:rsidR="001027AF" w:rsidRPr="00AD5C42">
        <w:rPr>
          <w:rFonts w:ascii="Book Antiqua" w:hAnsi="Book Antiqua"/>
          <w:color w:val="000000" w:themeColor="text1"/>
          <w:sz w:val="24"/>
          <w:szCs w:val="24"/>
        </w:rPr>
        <w:t xml:space="preserve"> over </w:t>
      </w:r>
      <w:r w:rsidR="00E16F09" w:rsidRPr="00AD5C42">
        <w:rPr>
          <w:rFonts w:ascii="Book Antiqua" w:hAnsi="Book Antiqua"/>
          <w:color w:val="000000" w:themeColor="text1"/>
          <w:sz w:val="24"/>
          <w:szCs w:val="24"/>
        </w:rPr>
        <w:t>15</w:t>
      </w:r>
      <w:r w:rsidR="001027AF" w:rsidRPr="00AD5C42">
        <w:rPr>
          <w:rFonts w:ascii="Book Antiqua" w:hAnsi="Book Antiqua"/>
          <w:color w:val="000000" w:themeColor="text1"/>
          <w:sz w:val="24"/>
          <w:szCs w:val="24"/>
        </w:rPr>
        <w:t xml:space="preserve">% in </w:t>
      </w:r>
      <w:r w:rsidR="00E16F09" w:rsidRPr="00AD5C42">
        <w:rPr>
          <w:rFonts w:ascii="Book Antiqua" w:hAnsi="Book Antiqua"/>
          <w:color w:val="000000" w:themeColor="text1"/>
          <w:sz w:val="24"/>
          <w:szCs w:val="24"/>
        </w:rPr>
        <w:t>many regions</w:t>
      </w:r>
      <w:r w:rsidR="001027AF" w:rsidRPr="00AD5C42">
        <w:rPr>
          <w:rFonts w:ascii="Book Antiqua" w:hAnsi="Book Antiqua"/>
          <w:color w:val="000000" w:themeColor="text1"/>
          <w:sz w:val="24"/>
          <w:szCs w:val="24"/>
        </w:rPr>
        <w:t xml:space="preserve"> of the world</w:t>
      </w:r>
      <w:r w:rsidRPr="00AD5C42">
        <w:rPr>
          <w:rFonts w:ascii="Book Antiqua" w:hAnsi="Book Antiqua"/>
          <w:color w:val="000000" w:themeColor="text1"/>
          <w:sz w:val="24"/>
          <w:szCs w:val="24"/>
          <w:vertAlign w:val="superscript"/>
        </w:rPr>
        <w:t>[8,</w:t>
      </w:r>
      <w:r w:rsidR="00F26A74" w:rsidRPr="00AD5C42">
        <w:rPr>
          <w:rFonts w:ascii="Book Antiqua" w:hAnsi="Book Antiqua"/>
          <w:color w:val="000000" w:themeColor="text1"/>
          <w:sz w:val="24"/>
          <w:szCs w:val="24"/>
          <w:vertAlign w:val="superscript"/>
        </w:rPr>
        <w:t>9]</w:t>
      </w:r>
      <w:r w:rsidR="007F3E48" w:rsidRPr="00AD5C42">
        <w:rPr>
          <w:rFonts w:ascii="Book Antiqua" w:hAnsi="Book Antiqua"/>
          <w:color w:val="000000" w:themeColor="text1"/>
          <w:sz w:val="24"/>
          <w:szCs w:val="24"/>
        </w:rPr>
        <w:t>.</w:t>
      </w:r>
      <w:r w:rsidR="00A66FEC" w:rsidRPr="00AD5C42">
        <w:rPr>
          <w:rFonts w:ascii="Book Antiqua" w:hAnsi="Book Antiqua"/>
          <w:color w:val="000000" w:themeColor="text1"/>
          <w:sz w:val="24"/>
          <w:szCs w:val="24"/>
        </w:rPr>
        <w:t xml:space="preserve"> </w:t>
      </w:r>
      <w:r w:rsidR="001027AF" w:rsidRPr="00AD5C42">
        <w:rPr>
          <w:rFonts w:ascii="Book Antiqua" w:hAnsi="Book Antiqua"/>
          <w:color w:val="000000" w:themeColor="text1"/>
          <w:sz w:val="24"/>
          <w:szCs w:val="24"/>
        </w:rPr>
        <w:t xml:space="preserve">Thus, </w:t>
      </w:r>
      <w:r w:rsidR="00F81D26" w:rsidRPr="00AD5C42">
        <w:rPr>
          <w:rFonts w:ascii="Book Antiqua" w:hAnsi="Book Antiqua"/>
          <w:color w:val="000000" w:themeColor="text1"/>
          <w:sz w:val="24"/>
          <w:szCs w:val="24"/>
        </w:rPr>
        <w:t>the mere avoidance</w:t>
      </w:r>
      <w:r w:rsidR="001027AF" w:rsidRPr="00AD5C42">
        <w:rPr>
          <w:rFonts w:ascii="Book Antiqua" w:hAnsi="Book Antiqua"/>
          <w:color w:val="000000" w:themeColor="text1"/>
          <w:sz w:val="24"/>
          <w:szCs w:val="24"/>
        </w:rPr>
        <w:t xml:space="preserve"> </w:t>
      </w:r>
      <w:r w:rsidR="00F81D26" w:rsidRPr="00AD5C42">
        <w:rPr>
          <w:rFonts w:ascii="Book Antiqua" w:hAnsi="Book Antiqua"/>
          <w:color w:val="000000" w:themeColor="text1"/>
          <w:sz w:val="24"/>
          <w:szCs w:val="24"/>
        </w:rPr>
        <w:t xml:space="preserve">of </w:t>
      </w:r>
      <w:r w:rsidR="001027AF" w:rsidRPr="00AD5C42">
        <w:rPr>
          <w:rFonts w:ascii="Book Antiqua" w:hAnsi="Book Antiqua"/>
          <w:color w:val="000000" w:themeColor="text1"/>
          <w:sz w:val="24"/>
          <w:szCs w:val="24"/>
        </w:rPr>
        <w:t xml:space="preserve">CAM in </w:t>
      </w:r>
      <w:r w:rsidR="001027AF" w:rsidRPr="00AD5C42">
        <w:rPr>
          <w:rFonts w:ascii="Book Antiqua" w:hAnsi="Book Antiqua"/>
          <w:i/>
          <w:color w:val="000000" w:themeColor="text1"/>
          <w:sz w:val="24"/>
          <w:szCs w:val="24"/>
        </w:rPr>
        <w:t>H. pylori</w:t>
      </w:r>
      <w:r w:rsidR="001027AF" w:rsidRPr="00AD5C42">
        <w:rPr>
          <w:rFonts w:ascii="Book Antiqua" w:hAnsi="Book Antiqua"/>
          <w:color w:val="000000" w:themeColor="text1"/>
          <w:sz w:val="24"/>
          <w:szCs w:val="24"/>
        </w:rPr>
        <w:t xml:space="preserve"> eradication treatment is not enough to prevent and decrease </w:t>
      </w:r>
      <w:r w:rsidR="00B33DB5" w:rsidRPr="00AD5C42">
        <w:rPr>
          <w:rFonts w:ascii="Book Antiqua" w:hAnsi="Book Antiqua"/>
          <w:color w:val="000000" w:themeColor="text1"/>
          <w:sz w:val="24"/>
          <w:szCs w:val="24"/>
        </w:rPr>
        <w:t>antimicrobial</w:t>
      </w:r>
      <w:r w:rsidR="001027AF" w:rsidRPr="00AD5C42">
        <w:rPr>
          <w:rFonts w:ascii="Book Antiqua" w:hAnsi="Book Antiqua"/>
          <w:color w:val="000000" w:themeColor="text1"/>
          <w:sz w:val="24"/>
          <w:szCs w:val="24"/>
        </w:rPr>
        <w:t xml:space="preserve"> resistance of </w:t>
      </w:r>
      <w:r w:rsidR="001027AF" w:rsidRPr="00AD5C42">
        <w:rPr>
          <w:rFonts w:ascii="Book Antiqua" w:hAnsi="Book Antiqua"/>
          <w:i/>
          <w:color w:val="000000" w:themeColor="text1"/>
          <w:sz w:val="24"/>
          <w:szCs w:val="24"/>
        </w:rPr>
        <w:t>H. pylori</w:t>
      </w:r>
      <w:r w:rsidR="001027AF" w:rsidRPr="00AD5C42">
        <w:rPr>
          <w:rFonts w:ascii="Book Antiqua" w:hAnsi="Book Antiqua"/>
          <w:color w:val="000000" w:themeColor="text1"/>
          <w:sz w:val="24"/>
          <w:szCs w:val="24"/>
        </w:rPr>
        <w:t xml:space="preserve">. </w:t>
      </w:r>
      <w:r w:rsidR="00A66FEC" w:rsidRPr="00AD5C42">
        <w:rPr>
          <w:rFonts w:ascii="Book Antiqua" w:hAnsi="Book Antiqua"/>
          <w:color w:val="000000" w:themeColor="text1"/>
          <w:sz w:val="24"/>
          <w:szCs w:val="24"/>
        </w:rPr>
        <w:t xml:space="preserve">Actually, a recent study </w:t>
      </w:r>
      <w:r w:rsidR="001E3ABA" w:rsidRPr="00AD5C42">
        <w:rPr>
          <w:rFonts w:ascii="Book Antiqua" w:hAnsi="Book Antiqua"/>
          <w:color w:val="000000" w:themeColor="text1"/>
          <w:sz w:val="24"/>
          <w:szCs w:val="24"/>
        </w:rPr>
        <w:t xml:space="preserve">of </w:t>
      </w:r>
      <w:r w:rsidR="00A66FEC" w:rsidRPr="00AD5C42">
        <w:rPr>
          <w:rFonts w:ascii="Book Antiqua" w:hAnsi="Book Antiqua"/>
          <w:color w:val="000000" w:themeColor="text1"/>
          <w:sz w:val="24"/>
          <w:szCs w:val="24"/>
        </w:rPr>
        <w:t xml:space="preserve">the </w:t>
      </w:r>
      <w:r w:rsidR="008D4630" w:rsidRPr="00AD5C42">
        <w:rPr>
          <w:rFonts w:ascii="Book Antiqua" w:hAnsi="Book Antiqua"/>
          <w:color w:val="000000" w:themeColor="text1"/>
          <w:sz w:val="24"/>
          <w:szCs w:val="24"/>
        </w:rPr>
        <w:t xml:space="preserve">influence </w:t>
      </w:r>
      <w:r w:rsidR="00A66FEC" w:rsidRPr="00AD5C42">
        <w:rPr>
          <w:rFonts w:ascii="Book Antiqua" w:hAnsi="Book Antiqua"/>
          <w:color w:val="000000" w:themeColor="text1"/>
          <w:sz w:val="24"/>
          <w:szCs w:val="24"/>
        </w:rPr>
        <w:t>of a government</w:t>
      </w:r>
      <w:r w:rsidR="001E3ABA" w:rsidRPr="00AD5C42">
        <w:rPr>
          <w:rFonts w:ascii="Book Antiqua" w:hAnsi="Book Antiqua"/>
          <w:color w:val="000000" w:themeColor="text1"/>
          <w:sz w:val="24"/>
          <w:szCs w:val="24"/>
        </w:rPr>
        <w:t>-</w:t>
      </w:r>
      <w:r w:rsidR="00A66FEC" w:rsidRPr="00AD5C42">
        <w:rPr>
          <w:rFonts w:ascii="Book Antiqua" w:hAnsi="Book Antiqua"/>
          <w:color w:val="000000" w:themeColor="text1"/>
          <w:sz w:val="24"/>
          <w:szCs w:val="24"/>
        </w:rPr>
        <w:t>introduced</w:t>
      </w:r>
      <w:r w:rsidR="001E3ABA" w:rsidRPr="00AD5C42">
        <w:rPr>
          <w:rFonts w:ascii="Book Antiqua" w:hAnsi="Book Antiqua"/>
          <w:color w:val="000000" w:themeColor="text1"/>
          <w:sz w:val="24"/>
          <w:szCs w:val="24"/>
        </w:rPr>
        <w:t>,</w:t>
      </w:r>
      <w:r w:rsidR="00A66FEC" w:rsidRPr="00AD5C42">
        <w:rPr>
          <w:rFonts w:ascii="Book Antiqua" w:hAnsi="Book Antiqua"/>
          <w:color w:val="000000" w:themeColor="text1"/>
          <w:sz w:val="24"/>
          <w:szCs w:val="24"/>
        </w:rPr>
        <w:t xml:space="preserve"> restrictive antibiotic policy on </w:t>
      </w:r>
      <w:r w:rsidR="004B2F02" w:rsidRPr="00AD5C42">
        <w:rPr>
          <w:rFonts w:ascii="Book Antiqua" w:hAnsi="Book Antiqua"/>
          <w:color w:val="000000" w:themeColor="text1"/>
          <w:sz w:val="24"/>
          <w:szCs w:val="24"/>
        </w:rPr>
        <w:t xml:space="preserve">the rates of resistance of </w:t>
      </w:r>
      <w:r w:rsidR="00A66FEC" w:rsidRPr="00AD5C42">
        <w:rPr>
          <w:rFonts w:ascii="Book Antiqua" w:hAnsi="Book Antiqua"/>
          <w:i/>
          <w:color w:val="000000" w:themeColor="text1"/>
          <w:sz w:val="24"/>
          <w:szCs w:val="24"/>
        </w:rPr>
        <w:t>H. pylori</w:t>
      </w:r>
      <w:r w:rsidR="00A66FEC" w:rsidRPr="00AD5C42">
        <w:rPr>
          <w:rFonts w:ascii="Book Antiqua" w:hAnsi="Book Antiqua"/>
          <w:color w:val="000000" w:themeColor="text1"/>
          <w:sz w:val="24"/>
          <w:szCs w:val="24"/>
        </w:rPr>
        <w:t xml:space="preserve"> </w:t>
      </w:r>
      <w:r w:rsidR="001E3ABA" w:rsidRPr="00AD5C42">
        <w:rPr>
          <w:rFonts w:ascii="Book Antiqua" w:hAnsi="Book Antiqua"/>
          <w:color w:val="000000" w:themeColor="text1"/>
          <w:sz w:val="24"/>
          <w:szCs w:val="24"/>
        </w:rPr>
        <w:t xml:space="preserve">in Taiwan </w:t>
      </w:r>
      <w:r w:rsidR="00A66FEC" w:rsidRPr="00AD5C42">
        <w:rPr>
          <w:rFonts w:ascii="Book Antiqua" w:hAnsi="Book Antiqua"/>
          <w:color w:val="000000" w:themeColor="text1"/>
          <w:sz w:val="24"/>
          <w:szCs w:val="24"/>
        </w:rPr>
        <w:t>indicat</w:t>
      </w:r>
      <w:r w:rsidR="001E3ABA" w:rsidRPr="00AD5C42">
        <w:rPr>
          <w:rFonts w:ascii="Book Antiqua" w:hAnsi="Book Antiqua"/>
          <w:color w:val="000000" w:themeColor="text1"/>
          <w:sz w:val="24"/>
          <w:szCs w:val="24"/>
        </w:rPr>
        <w:t>ed</w:t>
      </w:r>
      <w:r w:rsidR="00A66FEC" w:rsidRPr="00AD5C42">
        <w:rPr>
          <w:rFonts w:ascii="Book Antiqua" w:hAnsi="Book Antiqua"/>
          <w:color w:val="000000" w:themeColor="text1"/>
          <w:sz w:val="24"/>
          <w:szCs w:val="24"/>
        </w:rPr>
        <w:t xml:space="preserve"> </w:t>
      </w:r>
      <w:r w:rsidR="00F759AF" w:rsidRPr="00AD5C42">
        <w:rPr>
          <w:rFonts w:ascii="Book Antiqua" w:hAnsi="Book Antiqua"/>
          <w:color w:val="000000" w:themeColor="text1"/>
          <w:sz w:val="24"/>
          <w:szCs w:val="24"/>
        </w:rPr>
        <w:t>a</w:t>
      </w:r>
      <w:r w:rsidR="008D4630" w:rsidRPr="00AD5C42">
        <w:rPr>
          <w:rFonts w:ascii="Book Antiqua" w:hAnsi="Book Antiqua"/>
          <w:color w:val="000000" w:themeColor="text1"/>
          <w:sz w:val="24"/>
          <w:szCs w:val="24"/>
        </w:rPr>
        <w:t>n</w:t>
      </w:r>
      <w:r w:rsidR="00F759AF" w:rsidRPr="00AD5C42">
        <w:rPr>
          <w:rFonts w:ascii="Book Antiqua" w:hAnsi="Book Antiqua"/>
          <w:color w:val="000000" w:themeColor="text1"/>
          <w:sz w:val="24"/>
          <w:szCs w:val="24"/>
        </w:rPr>
        <w:t xml:space="preserve"> </w:t>
      </w:r>
      <w:r w:rsidR="008D4630" w:rsidRPr="00AD5C42">
        <w:rPr>
          <w:rFonts w:ascii="Book Antiqua" w:hAnsi="Book Antiqua"/>
          <w:color w:val="000000" w:themeColor="text1"/>
          <w:sz w:val="24"/>
          <w:szCs w:val="24"/>
        </w:rPr>
        <w:t xml:space="preserve">increase </w:t>
      </w:r>
      <w:r w:rsidR="00A66FEC" w:rsidRPr="00AD5C42">
        <w:rPr>
          <w:rFonts w:ascii="Book Antiqua" w:hAnsi="Book Antiqua"/>
          <w:color w:val="000000" w:themeColor="text1"/>
          <w:sz w:val="24"/>
          <w:szCs w:val="24"/>
        </w:rPr>
        <w:t xml:space="preserve">in levofloxacin resistance since the restriction of </w:t>
      </w:r>
      <w:proofErr w:type="gramStart"/>
      <w:r w:rsidR="00A66FEC" w:rsidRPr="00AD5C42">
        <w:rPr>
          <w:rFonts w:ascii="Book Antiqua" w:hAnsi="Book Antiqua"/>
          <w:color w:val="000000" w:themeColor="text1"/>
          <w:sz w:val="24"/>
          <w:szCs w:val="24"/>
        </w:rPr>
        <w:lastRenderedPageBreak/>
        <w:t>macrolides</w:t>
      </w:r>
      <w:r w:rsidR="00F26A74" w:rsidRPr="00AD5C42">
        <w:rPr>
          <w:rFonts w:ascii="Book Antiqua" w:hAnsi="Book Antiqua"/>
          <w:color w:val="000000" w:themeColor="text1"/>
          <w:sz w:val="24"/>
          <w:szCs w:val="24"/>
          <w:vertAlign w:val="superscript"/>
        </w:rPr>
        <w:t>[</w:t>
      </w:r>
      <w:proofErr w:type="gramEnd"/>
      <w:r w:rsidR="00F26A74" w:rsidRPr="00AD5C42">
        <w:rPr>
          <w:rFonts w:ascii="Book Antiqua" w:hAnsi="Book Antiqua"/>
          <w:color w:val="000000" w:themeColor="text1"/>
          <w:sz w:val="24"/>
          <w:szCs w:val="24"/>
          <w:vertAlign w:val="superscript"/>
        </w:rPr>
        <w:t>10]</w:t>
      </w:r>
      <w:r w:rsidR="007F3E48" w:rsidRPr="00AD5C42">
        <w:rPr>
          <w:rFonts w:ascii="Book Antiqua" w:hAnsi="Book Antiqua"/>
          <w:color w:val="000000" w:themeColor="text1"/>
          <w:sz w:val="24"/>
          <w:szCs w:val="24"/>
        </w:rPr>
        <w:t>.</w:t>
      </w:r>
    </w:p>
    <w:p w14:paraId="607B8FCD" w14:textId="77777777" w:rsidR="001C09DA" w:rsidRPr="00AD5C42" w:rsidRDefault="001C09DA" w:rsidP="00AF7B77">
      <w:pPr>
        <w:adjustRightInd w:val="0"/>
        <w:snapToGrid w:val="0"/>
        <w:spacing w:line="360" w:lineRule="auto"/>
        <w:rPr>
          <w:rFonts w:ascii="Book Antiqua" w:hAnsi="Book Antiqua"/>
          <w:color w:val="000000" w:themeColor="text1"/>
          <w:sz w:val="24"/>
          <w:szCs w:val="24"/>
        </w:rPr>
      </w:pPr>
    </w:p>
    <w:p w14:paraId="33159DB1" w14:textId="53499F9B" w:rsidR="000A0A65" w:rsidRPr="00AD5C42" w:rsidRDefault="00FF1C97" w:rsidP="00AF7B77">
      <w:pPr>
        <w:adjustRightInd w:val="0"/>
        <w:snapToGrid w:val="0"/>
        <w:spacing w:line="360" w:lineRule="auto"/>
        <w:rPr>
          <w:rFonts w:ascii="Book Antiqua" w:hAnsi="Book Antiqua"/>
          <w:b/>
          <w:color w:val="000000" w:themeColor="text1"/>
          <w:sz w:val="24"/>
          <w:szCs w:val="24"/>
        </w:rPr>
      </w:pPr>
      <w:r w:rsidRPr="00AD5C42">
        <w:rPr>
          <w:rFonts w:ascii="Book Antiqua" w:hAnsi="Book Antiqua"/>
          <w:b/>
          <w:color w:val="000000" w:themeColor="text1"/>
          <w:sz w:val="24"/>
          <w:szCs w:val="24"/>
        </w:rPr>
        <w:t xml:space="preserve">RECENT STANDARD </w:t>
      </w:r>
      <w:r w:rsidRPr="00AD5C42">
        <w:rPr>
          <w:rFonts w:ascii="Book Antiqua" w:hAnsi="Book Antiqua"/>
          <w:b/>
          <w:i/>
          <w:color w:val="000000" w:themeColor="text1"/>
          <w:sz w:val="24"/>
          <w:szCs w:val="24"/>
        </w:rPr>
        <w:t>H. PYLORI</w:t>
      </w:r>
      <w:r w:rsidRPr="00AD5C42">
        <w:rPr>
          <w:rFonts w:ascii="Book Antiqua" w:hAnsi="Book Antiqua"/>
          <w:b/>
          <w:color w:val="000000" w:themeColor="text1"/>
          <w:sz w:val="24"/>
          <w:szCs w:val="24"/>
        </w:rPr>
        <w:t xml:space="preserve"> THERAPIES AND </w:t>
      </w:r>
      <w:r w:rsidR="001E3ABA" w:rsidRPr="00AD5C42">
        <w:rPr>
          <w:rFonts w:ascii="Book Antiqua" w:hAnsi="Book Antiqua"/>
          <w:b/>
          <w:color w:val="000000" w:themeColor="text1"/>
          <w:sz w:val="24"/>
          <w:szCs w:val="24"/>
        </w:rPr>
        <w:t xml:space="preserve">THE </w:t>
      </w:r>
      <w:r w:rsidRPr="00AD5C42">
        <w:rPr>
          <w:rFonts w:ascii="Book Antiqua" w:hAnsi="Book Antiqua"/>
          <w:b/>
          <w:color w:val="000000" w:themeColor="text1"/>
          <w:sz w:val="24"/>
          <w:szCs w:val="24"/>
        </w:rPr>
        <w:t>CONCERN</w:t>
      </w:r>
      <w:r w:rsidR="00B77C80" w:rsidRPr="00AD5C42">
        <w:rPr>
          <w:rFonts w:ascii="Book Antiqua" w:hAnsi="Book Antiqua"/>
          <w:b/>
          <w:color w:val="000000" w:themeColor="text1"/>
          <w:sz w:val="24"/>
          <w:szCs w:val="24"/>
        </w:rPr>
        <w:t xml:space="preserve"> </w:t>
      </w:r>
      <w:r w:rsidRPr="00AD5C42">
        <w:rPr>
          <w:rFonts w:ascii="Book Antiqua" w:hAnsi="Book Antiqua"/>
          <w:b/>
          <w:color w:val="000000" w:themeColor="text1"/>
          <w:sz w:val="24"/>
          <w:szCs w:val="24"/>
        </w:rPr>
        <w:t>FOR ANTIMICROBIAL RESISTANCE</w:t>
      </w:r>
    </w:p>
    <w:p w14:paraId="40B8810C" w14:textId="337FB61C" w:rsidR="000A0A65" w:rsidRPr="00AD5C42" w:rsidRDefault="001E3ABA" w:rsidP="001C09DA">
      <w:pPr>
        <w:adjustRightInd w:val="0"/>
        <w:snapToGrid w:val="0"/>
        <w:spacing w:line="360" w:lineRule="auto"/>
        <w:rPr>
          <w:rFonts w:ascii="Book Antiqua" w:hAnsi="Book Antiqua"/>
          <w:color w:val="000000" w:themeColor="text1"/>
          <w:sz w:val="24"/>
          <w:szCs w:val="24"/>
        </w:rPr>
      </w:pPr>
      <w:r w:rsidRPr="00AD5C42">
        <w:rPr>
          <w:rFonts w:ascii="Book Antiqua" w:hAnsi="Book Antiqua"/>
          <w:color w:val="000000" w:themeColor="text1"/>
          <w:sz w:val="24"/>
          <w:szCs w:val="24"/>
          <w:shd w:val="clear" w:color="auto" w:fill="FFFFFF"/>
        </w:rPr>
        <w:t>Treatment</w:t>
      </w:r>
      <w:r w:rsidR="002332B3" w:rsidRPr="00AD5C42">
        <w:rPr>
          <w:rFonts w:ascii="Book Antiqua" w:hAnsi="Book Antiqua"/>
          <w:color w:val="000000" w:themeColor="text1"/>
          <w:sz w:val="24"/>
          <w:szCs w:val="24"/>
          <w:shd w:val="clear" w:color="auto" w:fill="FFFFFF"/>
        </w:rPr>
        <w:t xml:space="preserve"> regimens </w:t>
      </w:r>
      <w:r w:rsidRPr="00AD5C42">
        <w:rPr>
          <w:rFonts w:ascii="Book Antiqua" w:hAnsi="Book Antiqua"/>
          <w:color w:val="000000" w:themeColor="text1"/>
          <w:sz w:val="24"/>
          <w:szCs w:val="24"/>
          <w:shd w:val="clear" w:color="auto" w:fill="FFFFFF"/>
        </w:rPr>
        <w:t xml:space="preserve">are expected to </w:t>
      </w:r>
      <w:r w:rsidR="002332B3" w:rsidRPr="00AD5C42">
        <w:rPr>
          <w:rFonts w:ascii="Book Antiqua" w:hAnsi="Book Antiqua"/>
          <w:color w:val="000000" w:themeColor="text1"/>
          <w:sz w:val="24"/>
          <w:szCs w:val="24"/>
          <w:shd w:val="clear" w:color="auto" w:fill="FFFFFF"/>
        </w:rPr>
        <w:t xml:space="preserve">overcome the increasing prevalence of </w:t>
      </w:r>
      <w:r w:rsidR="00F759AF" w:rsidRPr="00AD5C42">
        <w:rPr>
          <w:rFonts w:ascii="Book Antiqua" w:hAnsi="Book Antiqua"/>
          <w:color w:val="000000" w:themeColor="text1"/>
          <w:sz w:val="24"/>
          <w:szCs w:val="24"/>
          <w:shd w:val="clear" w:color="auto" w:fill="FFFFFF"/>
        </w:rPr>
        <w:t xml:space="preserve">resistant </w:t>
      </w:r>
      <w:r w:rsidR="002332B3" w:rsidRPr="00AD5C42">
        <w:rPr>
          <w:rFonts w:ascii="Book Antiqua" w:hAnsi="Book Antiqua"/>
          <w:color w:val="000000" w:themeColor="text1"/>
          <w:sz w:val="24"/>
          <w:szCs w:val="24"/>
          <w:shd w:val="clear" w:color="auto" w:fill="FFFFFF"/>
        </w:rPr>
        <w:t>strains of </w:t>
      </w:r>
      <w:r w:rsidR="002332B3" w:rsidRPr="00AD5C42">
        <w:rPr>
          <w:rStyle w:val="a3"/>
          <w:rFonts w:ascii="Book Antiqua" w:hAnsi="Book Antiqua"/>
          <w:color w:val="000000" w:themeColor="text1"/>
          <w:sz w:val="24"/>
          <w:szCs w:val="24"/>
          <w:shd w:val="clear" w:color="auto" w:fill="FFFFFF"/>
        </w:rPr>
        <w:t>H. pylori</w:t>
      </w:r>
      <w:r w:rsidR="002332B3" w:rsidRPr="00AD5C42">
        <w:rPr>
          <w:rFonts w:ascii="Book Antiqua" w:hAnsi="Book Antiqua"/>
          <w:color w:val="000000" w:themeColor="text1"/>
          <w:sz w:val="24"/>
          <w:szCs w:val="24"/>
          <w:shd w:val="clear" w:color="auto" w:fill="FFFFFF"/>
        </w:rPr>
        <w:t> and achieve a &gt;</w:t>
      </w:r>
      <w:r w:rsidR="007F3E48" w:rsidRPr="00AD5C42">
        <w:rPr>
          <w:rFonts w:ascii="Book Antiqua" w:hAnsi="Book Antiqua"/>
          <w:color w:val="000000" w:themeColor="text1"/>
          <w:sz w:val="24"/>
          <w:szCs w:val="24"/>
          <w:shd w:val="clear" w:color="auto" w:fill="FFFFFF"/>
        </w:rPr>
        <w:t xml:space="preserve"> </w:t>
      </w:r>
      <w:r w:rsidR="002332B3" w:rsidRPr="00AD5C42">
        <w:rPr>
          <w:rFonts w:ascii="Book Antiqua" w:hAnsi="Book Antiqua"/>
          <w:color w:val="000000" w:themeColor="text1"/>
          <w:sz w:val="24"/>
          <w:szCs w:val="24"/>
          <w:shd w:val="clear" w:color="auto" w:fill="FFFFFF"/>
        </w:rPr>
        <w:t xml:space="preserve">90% eradication rate. </w:t>
      </w:r>
      <w:r w:rsidR="00E64D38" w:rsidRPr="00AD5C42">
        <w:rPr>
          <w:rFonts w:ascii="Book Antiqua" w:hAnsi="Book Antiqua"/>
          <w:color w:val="000000" w:themeColor="text1"/>
          <w:sz w:val="24"/>
          <w:szCs w:val="24"/>
          <w:shd w:val="clear" w:color="auto" w:fill="FFFFFF"/>
        </w:rPr>
        <w:t xml:space="preserve">The eradication rates </w:t>
      </w:r>
      <w:r w:rsidRPr="00AD5C42">
        <w:rPr>
          <w:rFonts w:ascii="Book Antiqua" w:hAnsi="Book Antiqua"/>
          <w:color w:val="000000" w:themeColor="text1"/>
          <w:sz w:val="24"/>
          <w:szCs w:val="24"/>
          <w:shd w:val="clear" w:color="auto" w:fill="FFFFFF"/>
        </w:rPr>
        <w:t>for</w:t>
      </w:r>
      <w:r w:rsidR="00E64D38" w:rsidRPr="00AD5C42">
        <w:rPr>
          <w:rFonts w:ascii="Book Antiqua" w:hAnsi="Book Antiqua"/>
          <w:color w:val="000000" w:themeColor="text1"/>
          <w:sz w:val="24"/>
          <w:szCs w:val="24"/>
          <w:shd w:val="clear" w:color="auto" w:fill="FFFFFF"/>
        </w:rPr>
        <w:t xml:space="preserve"> first-line </w:t>
      </w:r>
      <w:r w:rsidR="00E64D38" w:rsidRPr="00AD5C42">
        <w:rPr>
          <w:rFonts w:ascii="Book Antiqua" w:hAnsi="Book Antiqua"/>
          <w:i/>
          <w:color w:val="000000" w:themeColor="text1"/>
          <w:sz w:val="24"/>
          <w:szCs w:val="24"/>
          <w:shd w:val="clear" w:color="auto" w:fill="FFFFFF"/>
        </w:rPr>
        <w:t xml:space="preserve">H. pylori </w:t>
      </w:r>
      <w:r w:rsidR="00E64D38" w:rsidRPr="00AD5C42">
        <w:rPr>
          <w:rFonts w:ascii="Book Antiqua" w:hAnsi="Book Antiqua"/>
          <w:color w:val="000000" w:themeColor="text1"/>
          <w:sz w:val="24"/>
          <w:szCs w:val="24"/>
          <w:shd w:val="clear" w:color="auto" w:fill="FFFFFF"/>
        </w:rPr>
        <w:t>treatment regimens</w:t>
      </w:r>
      <w:r w:rsidR="000B50A0" w:rsidRPr="00AD5C42">
        <w:rPr>
          <w:rFonts w:ascii="Book Antiqua" w:hAnsi="Book Antiqua"/>
          <w:color w:val="000000" w:themeColor="text1"/>
          <w:sz w:val="24"/>
          <w:szCs w:val="24"/>
          <w:shd w:val="clear" w:color="auto" w:fill="FFFFFF"/>
        </w:rPr>
        <w:t xml:space="preserve"> published in meta-analysis and </w:t>
      </w:r>
      <w:r w:rsidR="004B2F02" w:rsidRPr="00AD5C42">
        <w:rPr>
          <w:rFonts w:ascii="Book Antiqua" w:hAnsi="Book Antiqua"/>
          <w:color w:val="000000" w:themeColor="text1"/>
          <w:sz w:val="24"/>
          <w:szCs w:val="24"/>
          <w:shd w:val="clear" w:color="auto" w:fill="FFFFFF"/>
        </w:rPr>
        <w:t xml:space="preserve">in a </w:t>
      </w:r>
      <w:r w:rsidR="000B50A0" w:rsidRPr="00AD5C42">
        <w:rPr>
          <w:rFonts w:ascii="Book Antiqua" w:hAnsi="Book Antiqua"/>
          <w:color w:val="000000" w:themeColor="text1"/>
          <w:sz w:val="24"/>
          <w:szCs w:val="24"/>
          <w:shd w:val="clear" w:color="auto" w:fill="FFFFFF"/>
        </w:rPr>
        <w:t>study of eradication rates of vonoprazan-based dual therapy</w:t>
      </w:r>
      <w:r w:rsidR="00E64D38" w:rsidRPr="00AD5C42">
        <w:rPr>
          <w:rFonts w:ascii="Book Antiqua" w:hAnsi="Book Antiqua"/>
          <w:color w:val="000000" w:themeColor="text1"/>
          <w:sz w:val="24"/>
          <w:szCs w:val="24"/>
          <w:shd w:val="clear" w:color="auto" w:fill="FFFFFF"/>
        </w:rPr>
        <w:t xml:space="preserve"> are shown in Table</w:t>
      </w:r>
      <w:r w:rsidRPr="00AD5C42">
        <w:rPr>
          <w:rFonts w:ascii="Book Antiqua" w:hAnsi="Book Antiqua"/>
          <w:color w:val="000000" w:themeColor="text1"/>
          <w:sz w:val="24"/>
          <w:szCs w:val="24"/>
          <w:shd w:val="clear" w:color="auto" w:fill="FFFFFF"/>
        </w:rPr>
        <w:t xml:space="preserve"> </w:t>
      </w:r>
      <w:r w:rsidR="00E64D38" w:rsidRPr="00AD5C42">
        <w:rPr>
          <w:rFonts w:ascii="Book Antiqua" w:hAnsi="Book Antiqua"/>
          <w:color w:val="000000" w:themeColor="text1"/>
          <w:sz w:val="24"/>
          <w:szCs w:val="24"/>
          <w:shd w:val="clear" w:color="auto" w:fill="FFFFFF"/>
        </w:rPr>
        <w:t>1.</w:t>
      </w:r>
      <w:r w:rsidR="001C09DA" w:rsidRPr="00AD5C42">
        <w:rPr>
          <w:rFonts w:ascii="Book Antiqua" w:hAnsi="Book Antiqua"/>
          <w:color w:val="000000" w:themeColor="text1"/>
          <w:sz w:val="24"/>
          <w:szCs w:val="24"/>
          <w:shd w:val="clear" w:color="auto" w:fill="FFFFFF"/>
        </w:rPr>
        <w:t xml:space="preserve"> </w:t>
      </w:r>
      <w:r w:rsidR="000F7011" w:rsidRPr="00AD5C42">
        <w:rPr>
          <w:rFonts w:ascii="Book Antiqua" w:hAnsi="Book Antiqua"/>
          <w:color w:val="000000" w:themeColor="text1"/>
          <w:sz w:val="24"/>
          <w:szCs w:val="24"/>
          <w:shd w:val="clear" w:color="auto" w:fill="FFFFFF"/>
        </w:rPr>
        <w:t xml:space="preserve">Recently, </w:t>
      </w:r>
      <w:r w:rsidR="000F7011" w:rsidRPr="00AD5C42">
        <w:rPr>
          <w:rFonts w:ascii="Book Antiqua" w:hAnsi="Book Antiqua"/>
          <w:color w:val="000000" w:themeColor="text1"/>
          <w:sz w:val="24"/>
          <w:szCs w:val="24"/>
        </w:rPr>
        <w:t>bismuth</w:t>
      </w:r>
      <w:r w:rsidRPr="00AD5C42">
        <w:rPr>
          <w:rFonts w:ascii="Book Antiqua" w:hAnsi="Book Antiqua"/>
          <w:color w:val="000000" w:themeColor="text1"/>
          <w:sz w:val="24"/>
          <w:szCs w:val="24"/>
        </w:rPr>
        <w:t>-</w:t>
      </w:r>
      <w:r w:rsidR="000F7011" w:rsidRPr="00AD5C42">
        <w:rPr>
          <w:rFonts w:ascii="Book Antiqua" w:hAnsi="Book Antiqua"/>
          <w:color w:val="000000" w:themeColor="text1"/>
          <w:sz w:val="24"/>
          <w:szCs w:val="24"/>
        </w:rPr>
        <w:t xml:space="preserve">containing quadruple therapy (BQT) </w:t>
      </w:r>
      <w:r w:rsidR="000A61A7" w:rsidRPr="00AD5C42">
        <w:rPr>
          <w:rFonts w:ascii="Book Antiqua" w:hAnsi="Book Antiqua"/>
          <w:color w:val="000000" w:themeColor="text1"/>
          <w:sz w:val="24"/>
          <w:szCs w:val="24"/>
        </w:rPr>
        <w:t xml:space="preserve">or non-bismuth concomitant quadruple therapy (CQT) </w:t>
      </w:r>
      <w:r w:rsidR="00DB1157" w:rsidRPr="00AD5C42">
        <w:rPr>
          <w:rFonts w:ascii="Book Antiqua" w:hAnsi="Book Antiqua"/>
          <w:color w:val="000000" w:themeColor="text1"/>
          <w:sz w:val="24"/>
          <w:szCs w:val="24"/>
        </w:rPr>
        <w:t>ha</w:t>
      </w:r>
      <w:r w:rsidRPr="00AD5C42">
        <w:rPr>
          <w:rFonts w:ascii="Book Antiqua" w:hAnsi="Book Antiqua"/>
          <w:color w:val="000000" w:themeColor="text1"/>
          <w:sz w:val="24"/>
          <w:szCs w:val="24"/>
        </w:rPr>
        <w:t>s</w:t>
      </w:r>
      <w:r w:rsidR="00DB1157" w:rsidRPr="00AD5C42">
        <w:rPr>
          <w:rFonts w:ascii="Book Antiqua" w:hAnsi="Book Antiqua"/>
          <w:color w:val="000000" w:themeColor="text1"/>
          <w:sz w:val="24"/>
          <w:szCs w:val="24"/>
        </w:rPr>
        <w:t xml:space="preserve"> been</w:t>
      </w:r>
      <w:r w:rsidR="000F7011" w:rsidRPr="00AD5C42">
        <w:rPr>
          <w:rFonts w:ascii="Book Antiqua" w:hAnsi="Book Antiqua"/>
          <w:color w:val="000000" w:themeColor="text1"/>
          <w:sz w:val="24"/>
          <w:szCs w:val="24"/>
        </w:rPr>
        <w:t xml:space="preserve"> recommended </w:t>
      </w:r>
      <w:r w:rsidR="00477960" w:rsidRPr="00AD5C42">
        <w:rPr>
          <w:rFonts w:ascii="Book Antiqua" w:hAnsi="Book Antiqua"/>
          <w:color w:val="000000" w:themeColor="text1"/>
          <w:sz w:val="24"/>
          <w:szCs w:val="24"/>
        </w:rPr>
        <w:t>by</w:t>
      </w:r>
      <w:r w:rsidR="009F487B" w:rsidRPr="00AD5C42">
        <w:rPr>
          <w:rFonts w:ascii="Book Antiqua" w:hAnsi="Book Antiqua"/>
          <w:color w:val="000000" w:themeColor="text1"/>
          <w:sz w:val="24"/>
          <w:szCs w:val="24"/>
        </w:rPr>
        <w:t xml:space="preserve"> international guidelines </w:t>
      </w:r>
      <w:r w:rsidR="000F7011" w:rsidRPr="00AD5C42">
        <w:rPr>
          <w:rFonts w:ascii="Book Antiqua" w:hAnsi="Book Antiqua"/>
          <w:color w:val="000000" w:themeColor="text1"/>
          <w:sz w:val="24"/>
          <w:szCs w:val="24"/>
        </w:rPr>
        <w:t xml:space="preserve">as </w:t>
      </w:r>
      <w:r w:rsidR="00F759AF" w:rsidRPr="00AD5C42">
        <w:rPr>
          <w:rFonts w:ascii="Book Antiqua" w:hAnsi="Book Antiqua"/>
          <w:color w:val="000000" w:themeColor="text1"/>
          <w:sz w:val="24"/>
          <w:szCs w:val="24"/>
        </w:rPr>
        <w:t xml:space="preserve">a </w:t>
      </w:r>
      <w:r w:rsidR="000F7011" w:rsidRPr="00AD5C42">
        <w:rPr>
          <w:rFonts w:ascii="Book Antiqua" w:hAnsi="Book Antiqua"/>
          <w:color w:val="000000" w:themeColor="text1"/>
          <w:sz w:val="24"/>
          <w:szCs w:val="24"/>
        </w:rPr>
        <w:t>first</w:t>
      </w:r>
      <w:r w:rsidR="00F759AF" w:rsidRPr="00AD5C42">
        <w:rPr>
          <w:rFonts w:ascii="Book Antiqua" w:hAnsi="Book Antiqua"/>
          <w:color w:val="000000" w:themeColor="text1"/>
          <w:sz w:val="24"/>
          <w:szCs w:val="24"/>
        </w:rPr>
        <w:t>-</w:t>
      </w:r>
      <w:r w:rsidR="000F7011" w:rsidRPr="00AD5C42">
        <w:rPr>
          <w:rFonts w:ascii="Book Antiqua" w:hAnsi="Book Antiqua"/>
          <w:color w:val="000000" w:themeColor="text1"/>
          <w:sz w:val="24"/>
          <w:szCs w:val="24"/>
        </w:rPr>
        <w:t xml:space="preserve">line treatment for </w:t>
      </w:r>
      <w:r w:rsidR="000F7011" w:rsidRPr="00AD5C42">
        <w:rPr>
          <w:rFonts w:ascii="Book Antiqua" w:hAnsi="Book Antiqua"/>
          <w:i/>
          <w:color w:val="000000" w:themeColor="text1"/>
          <w:sz w:val="24"/>
          <w:szCs w:val="24"/>
        </w:rPr>
        <w:t>H. pylori</w:t>
      </w:r>
      <w:r w:rsidR="000F7011" w:rsidRPr="00AD5C42">
        <w:rPr>
          <w:rFonts w:ascii="Book Antiqua" w:hAnsi="Book Antiqua"/>
          <w:color w:val="000000" w:themeColor="text1"/>
          <w:sz w:val="24"/>
          <w:szCs w:val="24"/>
        </w:rPr>
        <w:t xml:space="preserve"> in areas of high </w:t>
      </w:r>
      <w:r w:rsidR="008F4BA5" w:rsidRPr="00AD5C42">
        <w:rPr>
          <w:rFonts w:ascii="Book Antiqua" w:hAnsi="Book Antiqua"/>
          <w:color w:val="000000" w:themeColor="text1"/>
          <w:sz w:val="24"/>
          <w:szCs w:val="24"/>
        </w:rPr>
        <w:t>CAM</w:t>
      </w:r>
      <w:r w:rsidR="000F7011" w:rsidRPr="00AD5C42">
        <w:rPr>
          <w:rFonts w:ascii="Book Antiqua" w:hAnsi="Book Antiqua"/>
          <w:color w:val="000000" w:themeColor="text1"/>
          <w:sz w:val="24"/>
          <w:szCs w:val="24"/>
        </w:rPr>
        <w:t xml:space="preserve"> and/or</w:t>
      </w:r>
      <w:r w:rsidR="00EC685B" w:rsidRPr="00AD5C42">
        <w:rPr>
          <w:rFonts w:ascii="Book Antiqua" w:hAnsi="Book Antiqua"/>
          <w:color w:val="000000" w:themeColor="text1"/>
          <w:sz w:val="24"/>
          <w:szCs w:val="24"/>
        </w:rPr>
        <w:t xml:space="preserve"> M</w:t>
      </w:r>
      <w:r w:rsidR="0056765B" w:rsidRPr="00AD5C42">
        <w:rPr>
          <w:rFonts w:ascii="Book Antiqua" w:hAnsi="Book Antiqua"/>
          <w:color w:val="000000" w:themeColor="text1"/>
          <w:sz w:val="24"/>
          <w:szCs w:val="24"/>
        </w:rPr>
        <w:t>N</w:t>
      </w:r>
      <w:r w:rsidR="00EC685B" w:rsidRPr="00AD5C42">
        <w:rPr>
          <w:rFonts w:ascii="Book Antiqua" w:hAnsi="Book Antiqua"/>
          <w:color w:val="000000" w:themeColor="text1"/>
          <w:sz w:val="24"/>
          <w:szCs w:val="24"/>
        </w:rPr>
        <w:t>Z</w:t>
      </w:r>
      <w:r w:rsidR="007D4B39" w:rsidRPr="00AD5C42">
        <w:rPr>
          <w:rFonts w:ascii="Book Antiqua" w:hAnsi="Book Antiqua"/>
          <w:color w:val="000000" w:themeColor="text1"/>
          <w:sz w:val="24"/>
          <w:szCs w:val="24"/>
        </w:rPr>
        <w:t xml:space="preserve"> </w:t>
      </w:r>
      <w:proofErr w:type="gramStart"/>
      <w:r w:rsidR="000F7011" w:rsidRPr="00AD5C42">
        <w:rPr>
          <w:rFonts w:ascii="Book Antiqua" w:hAnsi="Book Antiqua"/>
          <w:color w:val="000000" w:themeColor="text1"/>
          <w:sz w:val="24"/>
          <w:szCs w:val="24"/>
        </w:rPr>
        <w:t>resistance</w:t>
      </w:r>
      <w:r w:rsidR="001C09DA" w:rsidRPr="00AD5C42">
        <w:rPr>
          <w:rFonts w:ascii="Book Antiqua" w:hAnsi="Book Antiqua"/>
          <w:color w:val="000000" w:themeColor="text1"/>
          <w:sz w:val="24"/>
          <w:szCs w:val="24"/>
          <w:vertAlign w:val="superscript"/>
        </w:rPr>
        <w:t>[</w:t>
      </w:r>
      <w:proofErr w:type="gramEnd"/>
      <w:r w:rsidR="001C09DA" w:rsidRPr="00AD5C42">
        <w:rPr>
          <w:rFonts w:ascii="Book Antiqua" w:hAnsi="Book Antiqua"/>
          <w:color w:val="000000" w:themeColor="text1"/>
          <w:sz w:val="24"/>
          <w:szCs w:val="24"/>
          <w:vertAlign w:val="superscript"/>
        </w:rPr>
        <w:t>5,11,</w:t>
      </w:r>
      <w:r w:rsidR="00F26A74" w:rsidRPr="00AD5C42">
        <w:rPr>
          <w:rFonts w:ascii="Book Antiqua" w:hAnsi="Book Antiqua"/>
          <w:color w:val="000000" w:themeColor="text1"/>
          <w:sz w:val="24"/>
          <w:szCs w:val="24"/>
          <w:vertAlign w:val="superscript"/>
        </w:rPr>
        <w:t>12]</w:t>
      </w:r>
      <w:r w:rsidR="007F3E48" w:rsidRPr="00AD5C42">
        <w:rPr>
          <w:rFonts w:ascii="Book Antiqua" w:hAnsi="Book Antiqua"/>
          <w:color w:val="000000" w:themeColor="text1"/>
          <w:sz w:val="24"/>
          <w:szCs w:val="24"/>
        </w:rPr>
        <w:t>.</w:t>
      </w:r>
      <w:r w:rsidR="007D4B39" w:rsidRPr="00AD5C42">
        <w:rPr>
          <w:rFonts w:ascii="Book Antiqua" w:hAnsi="Book Antiqua"/>
          <w:color w:val="000000" w:themeColor="text1"/>
          <w:sz w:val="24"/>
          <w:szCs w:val="24"/>
        </w:rPr>
        <w:t xml:space="preserve"> </w:t>
      </w:r>
      <w:r w:rsidR="000A61A7" w:rsidRPr="00AD5C42">
        <w:rPr>
          <w:rFonts w:ascii="Book Antiqua" w:hAnsi="Book Antiqua"/>
          <w:color w:val="000000" w:themeColor="text1"/>
          <w:sz w:val="24"/>
          <w:szCs w:val="24"/>
        </w:rPr>
        <w:t xml:space="preserve">Both BQT and CQT contain PPI and </w:t>
      </w:r>
      <w:r w:rsidR="00F759AF" w:rsidRPr="00AD5C42">
        <w:rPr>
          <w:rFonts w:ascii="Book Antiqua" w:hAnsi="Book Antiqua"/>
          <w:color w:val="000000" w:themeColor="text1"/>
          <w:sz w:val="24"/>
          <w:szCs w:val="24"/>
        </w:rPr>
        <w:t>two</w:t>
      </w:r>
      <w:r w:rsidR="000A61A7" w:rsidRPr="00AD5C42">
        <w:rPr>
          <w:rFonts w:ascii="Book Antiqua" w:hAnsi="Book Antiqua"/>
          <w:color w:val="000000" w:themeColor="text1"/>
          <w:sz w:val="24"/>
          <w:szCs w:val="24"/>
        </w:rPr>
        <w:t xml:space="preserve"> to </w:t>
      </w:r>
      <w:r w:rsidR="00F759AF" w:rsidRPr="00AD5C42">
        <w:rPr>
          <w:rFonts w:ascii="Book Antiqua" w:hAnsi="Book Antiqua"/>
          <w:color w:val="000000" w:themeColor="text1"/>
          <w:sz w:val="24"/>
          <w:szCs w:val="24"/>
        </w:rPr>
        <w:t>three</w:t>
      </w:r>
      <w:r w:rsidR="000A61A7" w:rsidRPr="00AD5C42">
        <w:rPr>
          <w:rFonts w:ascii="Book Antiqua" w:hAnsi="Book Antiqua"/>
          <w:color w:val="000000" w:themeColor="text1"/>
          <w:sz w:val="24"/>
          <w:szCs w:val="24"/>
        </w:rPr>
        <w:t xml:space="preserve"> kinds of antibiotic</w:t>
      </w:r>
      <w:r w:rsidR="00EE7071" w:rsidRPr="00AD5C42">
        <w:rPr>
          <w:rFonts w:ascii="Book Antiqua" w:hAnsi="Book Antiqua"/>
          <w:color w:val="000000" w:themeColor="text1"/>
          <w:sz w:val="24"/>
          <w:szCs w:val="24"/>
        </w:rPr>
        <w:t xml:space="preserve"> agents</w:t>
      </w:r>
      <w:r w:rsidR="000A61A7" w:rsidRPr="00AD5C42">
        <w:rPr>
          <w:rFonts w:ascii="Book Antiqua" w:hAnsi="Book Antiqua"/>
          <w:color w:val="000000" w:themeColor="text1"/>
          <w:sz w:val="24"/>
          <w:szCs w:val="24"/>
        </w:rPr>
        <w:t xml:space="preserve"> </w:t>
      </w:r>
      <w:r w:rsidRPr="00AD5C42">
        <w:rPr>
          <w:rFonts w:ascii="Book Antiqua" w:hAnsi="Book Antiqua"/>
          <w:color w:val="000000" w:themeColor="text1"/>
          <w:sz w:val="24"/>
          <w:szCs w:val="24"/>
        </w:rPr>
        <w:t xml:space="preserve">including </w:t>
      </w:r>
      <w:r w:rsidR="000A61A7" w:rsidRPr="00AD5C42">
        <w:rPr>
          <w:rFonts w:ascii="Book Antiqua" w:hAnsi="Book Antiqua"/>
          <w:color w:val="000000" w:themeColor="text1"/>
          <w:sz w:val="24"/>
          <w:szCs w:val="24"/>
        </w:rPr>
        <w:t xml:space="preserve">AMPC, CAM, </w:t>
      </w:r>
      <w:r w:rsidR="00EC685B" w:rsidRPr="00AD5C42">
        <w:rPr>
          <w:rFonts w:ascii="Book Antiqua" w:hAnsi="Book Antiqua"/>
          <w:color w:val="000000" w:themeColor="text1"/>
          <w:sz w:val="24"/>
          <w:szCs w:val="24"/>
        </w:rPr>
        <w:t>M</w:t>
      </w:r>
      <w:r w:rsidR="0056765B" w:rsidRPr="00AD5C42">
        <w:rPr>
          <w:rFonts w:ascii="Book Antiqua" w:hAnsi="Book Antiqua"/>
          <w:color w:val="000000" w:themeColor="text1"/>
          <w:sz w:val="24"/>
          <w:szCs w:val="24"/>
        </w:rPr>
        <w:t>N</w:t>
      </w:r>
      <w:r w:rsidR="00EC685B" w:rsidRPr="00AD5C42">
        <w:rPr>
          <w:rFonts w:ascii="Book Antiqua" w:hAnsi="Book Antiqua"/>
          <w:color w:val="000000" w:themeColor="text1"/>
          <w:sz w:val="24"/>
          <w:szCs w:val="24"/>
        </w:rPr>
        <w:t>Z</w:t>
      </w:r>
      <w:r w:rsidR="000A61A7" w:rsidRPr="00AD5C42">
        <w:rPr>
          <w:rFonts w:ascii="Book Antiqua" w:hAnsi="Book Antiqua"/>
          <w:color w:val="000000" w:themeColor="text1"/>
          <w:sz w:val="24"/>
          <w:szCs w:val="24"/>
        </w:rPr>
        <w:t>, nitroimidazole, and tetracycline with longer treatment duration</w:t>
      </w:r>
      <w:r w:rsidR="00F759AF" w:rsidRPr="00AD5C42">
        <w:rPr>
          <w:rFonts w:ascii="Book Antiqua" w:hAnsi="Book Antiqua"/>
          <w:color w:val="000000" w:themeColor="text1"/>
          <w:sz w:val="24"/>
          <w:szCs w:val="24"/>
        </w:rPr>
        <w:t>s</w:t>
      </w:r>
      <w:r w:rsidR="000A61A7" w:rsidRPr="00AD5C42">
        <w:rPr>
          <w:rFonts w:ascii="Book Antiqua" w:hAnsi="Book Antiqua"/>
          <w:color w:val="000000" w:themeColor="text1"/>
          <w:sz w:val="24"/>
          <w:szCs w:val="24"/>
        </w:rPr>
        <w:t xml:space="preserve"> of </w:t>
      </w:r>
      <w:r w:rsidR="00EE7071" w:rsidRPr="00AD5C42">
        <w:rPr>
          <w:rFonts w:ascii="Book Antiqua" w:hAnsi="Book Antiqua"/>
          <w:color w:val="000000" w:themeColor="text1"/>
          <w:sz w:val="24"/>
          <w:szCs w:val="24"/>
        </w:rPr>
        <w:t>10</w:t>
      </w:r>
      <w:r w:rsidR="001C09DA" w:rsidRPr="00AD5C42">
        <w:rPr>
          <w:rFonts w:ascii="Book Antiqua" w:hAnsi="Book Antiqua"/>
          <w:color w:val="000000" w:themeColor="text1"/>
          <w:sz w:val="24"/>
          <w:szCs w:val="24"/>
        </w:rPr>
        <w:t>-</w:t>
      </w:r>
      <w:r w:rsidR="000A61A7" w:rsidRPr="00AD5C42">
        <w:rPr>
          <w:rFonts w:ascii="Book Antiqua" w:hAnsi="Book Antiqua"/>
          <w:color w:val="000000" w:themeColor="text1"/>
          <w:sz w:val="24"/>
          <w:szCs w:val="24"/>
        </w:rPr>
        <w:t xml:space="preserve">14 d. </w:t>
      </w:r>
      <w:r w:rsidR="003E2636" w:rsidRPr="00AD5C42">
        <w:rPr>
          <w:rFonts w:ascii="Book Antiqua" w:hAnsi="Book Antiqua"/>
          <w:color w:val="000000" w:themeColor="text1"/>
          <w:sz w:val="24"/>
          <w:szCs w:val="24"/>
        </w:rPr>
        <w:t>It is reported that acceptable e</w:t>
      </w:r>
      <w:r w:rsidR="007D4B39" w:rsidRPr="00AD5C42">
        <w:rPr>
          <w:rFonts w:ascii="Book Antiqua" w:hAnsi="Book Antiqua"/>
          <w:color w:val="000000" w:themeColor="text1"/>
          <w:sz w:val="24"/>
          <w:szCs w:val="24"/>
        </w:rPr>
        <w:t xml:space="preserve">radication </w:t>
      </w:r>
      <w:r w:rsidR="003E2636" w:rsidRPr="00AD5C42">
        <w:rPr>
          <w:rFonts w:ascii="Book Antiqua" w:hAnsi="Book Antiqua"/>
          <w:color w:val="000000" w:themeColor="text1"/>
          <w:sz w:val="24"/>
          <w:szCs w:val="24"/>
        </w:rPr>
        <w:t xml:space="preserve">rates of &gt; 90% </w:t>
      </w:r>
      <w:r w:rsidR="00F759AF" w:rsidRPr="00AD5C42">
        <w:rPr>
          <w:rFonts w:ascii="Book Antiqua" w:hAnsi="Book Antiqua"/>
          <w:color w:val="000000" w:themeColor="text1"/>
          <w:sz w:val="24"/>
          <w:szCs w:val="24"/>
        </w:rPr>
        <w:t xml:space="preserve">have been </w:t>
      </w:r>
      <w:r w:rsidR="007D4B39" w:rsidRPr="00AD5C42">
        <w:rPr>
          <w:rFonts w:ascii="Book Antiqua" w:hAnsi="Book Antiqua"/>
          <w:color w:val="000000" w:themeColor="text1"/>
          <w:sz w:val="24"/>
          <w:szCs w:val="24"/>
        </w:rPr>
        <w:t xml:space="preserve">obtained by both </w:t>
      </w:r>
      <w:r w:rsidR="000A61A7" w:rsidRPr="00AD5C42">
        <w:rPr>
          <w:rFonts w:ascii="Book Antiqua" w:hAnsi="Book Antiqua"/>
          <w:color w:val="000000" w:themeColor="text1"/>
          <w:sz w:val="24"/>
          <w:szCs w:val="24"/>
        </w:rPr>
        <w:t>regimens</w:t>
      </w:r>
      <w:r w:rsidR="007D4B39" w:rsidRPr="00AD5C42">
        <w:rPr>
          <w:rFonts w:ascii="Book Antiqua" w:hAnsi="Book Antiqua"/>
          <w:color w:val="000000" w:themeColor="text1"/>
          <w:sz w:val="24"/>
          <w:szCs w:val="24"/>
        </w:rPr>
        <w:t>.</w:t>
      </w:r>
      <w:r w:rsidR="00032126" w:rsidRPr="00AD5C42">
        <w:rPr>
          <w:rFonts w:ascii="Book Antiqua" w:hAnsi="Book Antiqua"/>
          <w:color w:val="000000" w:themeColor="text1"/>
          <w:sz w:val="24"/>
          <w:szCs w:val="24"/>
        </w:rPr>
        <w:t xml:space="preserve"> </w:t>
      </w:r>
      <w:r w:rsidR="00552C7A" w:rsidRPr="00AD5C42">
        <w:rPr>
          <w:rFonts w:ascii="Book Antiqua" w:hAnsi="Book Antiqua"/>
          <w:color w:val="000000" w:themeColor="text1"/>
          <w:sz w:val="24"/>
          <w:szCs w:val="24"/>
        </w:rPr>
        <w:t xml:space="preserve">Although BQT </w:t>
      </w:r>
      <w:r w:rsidR="00770AF4" w:rsidRPr="00AD5C42">
        <w:rPr>
          <w:rFonts w:ascii="Book Antiqua" w:hAnsi="Book Antiqua"/>
          <w:color w:val="000000" w:themeColor="text1"/>
          <w:sz w:val="24"/>
          <w:szCs w:val="24"/>
        </w:rPr>
        <w:t xml:space="preserve">and CQT </w:t>
      </w:r>
      <w:r w:rsidR="00552C7A" w:rsidRPr="00AD5C42">
        <w:rPr>
          <w:rFonts w:ascii="Book Antiqua" w:hAnsi="Book Antiqua"/>
          <w:color w:val="000000" w:themeColor="text1"/>
          <w:sz w:val="24"/>
          <w:szCs w:val="24"/>
        </w:rPr>
        <w:t xml:space="preserve">provide acceptable </w:t>
      </w:r>
      <w:r w:rsidR="00552C7A" w:rsidRPr="00AD5C42">
        <w:rPr>
          <w:rFonts w:ascii="Book Antiqua" w:hAnsi="Book Antiqua"/>
          <w:i/>
          <w:color w:val="000000" w:themeColor="text1"/>
          <w:sz w:val="24"/>
          <w:szCs w:val="24"/>
        </w:rPr>
        <w:t>H. pylori</w:t>
      </w:r>
      <w:r w:rsidR="00552C7A" w:rsidRPr="00AD5C42">
        <w:rPr>
          <w:rFonts w:ascii="Book Antiqua" w:hAnsi="Book Antiqua"/>
          <w:color w:val="000000" w:themeColor="text1"/>
          <w:sz w:val="24"/>
          <w:szCs w:val="24"/>
        </w:rPr>
        <w:t xml:space="preserve"> eradication rates</w:t>
      </w:r>
      <w:r w:rsidR="00032126" w:rsidRPr="00AD5C42">
        <w:rPr>
          <w:rFonts w:ascii="Book Antiqua" w:hAnsi="Book Antiqua"/>
          <w:color w:val="000000" w:themeColor="text1"/>
          <w:sz w:val="24"/>
          <w:szCs w:val="24"/>
        </w:rPr>
        <w:t xml:space="preserve">, </w:t>
      </w:r>
      <w:r w:rsidR="00626F67" w:rsidRPr="00AD5C42">
        <w:rPr>
          <w:rFonts w:ascii="Book Antiqua" w:hAnsi="Book Antiqua"/>
          <w:color w:val="000000" w:themeColor="text1"/>
          <w:sz w:val="24"/>
          <w:szCs w:val="24"/>
        </w:rPr>
        <w:t>the</w:t>
      </w:r>
      <w:r w:rsidR="00354B28" w:rsidRPr="00AD5C42">
        <w:rPr>
          <w:rFonts w:ascii="Book Antiqua" w:hAnsi="Book Antiqua"/>
          <w:color w:val="000000" w:themeColor="text1"/>
          <w:sz w:val="24"/>
          <w:szCs w:val="24"/>
        </w:rPr>
        <w:t>y have</w:t>
      </w:r>
      <w:r w:rsidR="00626F67" w:rsidRPr="00AD5C42">
        <w:rPr>
          <w:rFonts w:ascii="Book Antiqua" w:hAnsi="Book Antiqua"/>
          <w:color w:val="000000" w:themeColor="text1"/>
          <w:sz w:val="24"/>
          <w:szCs w:val="24"/>
        </w:rPr>
        <w:t xml:space="preserve"> many limitations, such as</w:t>
      </w:r>
      <w:r w:rsidR="00B77601" w:rsidRPr="00AD5C42">
        <w:rPr>
          <w:rFonts w:ascii="Book Antiqua" w:hAnsi="Book Antiqua"/>
          <w:color w:val="000000" w:themeColor="text1"/>
          <w:sz w:val="24"/>
          <w:szCs w:val="24"/>
        </w:rPr>
        <w:t xml:space="preserve"> a</w:t>
      </w:r>
      <w:r w:rsidR="00626F67" w:rsidRPr="00AD5C42">
        <w:rPr>
          <w:rFonts w:ascii="Book Antiqua" w:hAnsi="Book Antiqua"/>
          <w:color w:val="000000" w:themeColor="text1"/>
          <w:sz w:val="24"/>
          <w:szCs w:val="24"/>
        </w:rPr>
        <w:t xml:space="preserve"> complicated protocol, high cost, adverse side effects, and poor patient compliance</w:t>
      </w:r>
      <w:r w:rsidR="001E6D7F" w:rsidRPr="00AD5C42">
        <w:rPr>
          <w:rFonts w:ascii="Book Antiqua" w:hAnsi="Book Antiqua"/>
          <w:color w:val="000000" w:themeColor="text1"/>
          <w:sz w:val="24"/>
          <w:szCs w:val="24"/>
        </w:rPr>
        <w:t xml:space="preserve"> due to multiple drug </w:t>
      </w:r>
      <w:proofErr w:type="gramStart"/>
      <w:r w:rsidR="001E6D7F" w:rsidRPr="00AD5C42">
        <w:rPr>
          <w:rFonts w:ascii="Book Antiqua" w:hAnsi="Book Antiqua"/>
          <w:color w:val="000000" w:themeColor="text1"/>
          <w:sz w:val="24"/>
          <w:szCs w:val="24"/>
        </w:rPr>
        <w:t>combinations</w:t>
      </w:r>
      <w:r w:rsidR="00F26A74" w:rsidRPr="00AD5C42">
        <w:rPr>
          <w:rFonts w:ascii="Book Antiqua" w:hAnsi="Book Antiqua"/>
          <w:color w:val="000000" w:themeColor="text1"/>
          <w:sz w:val="24"/>
          <w:szCs w:val="24"/>
          <w:vertAlign w:val="superscript"/>
        </w:rPr>
        <w:t>[</w:t>
      </w:r>
      <w:proofErr w:type="gramEnd"/>
      <w:r w:rsidR="00F26A74" w:rsidRPr="00AD5C42">
        <w:rPr>
          <w:rFonts w:ascii="Book Antiqua" w:hAnsi="Book Antiqua"/>
          <w:color w:val="000000" w:themeColor="text1"/>
          <w:sz w:val="24"/>
          <w:szCs w:val="24"/>
          <w:vertAlign w:val="superscript"/>
        </w:rPr>
        <w:t>13]</w:t>
      </w:r>
      <w:r w:rsidR="007F3E48" w:rsidRPr="00AD5C42">
        <w:rPr>
          <w:rFonts w:ascii="Book Antiqua" w:hAnsi="Book Antiqua"/>
          <w:color w:val="000000" w:themeColor="text1"/>
          <w:sz w:val="24"/>
          <w:szCs w:val="24"/>
        </w:rPr>
        <w:t>.</w:t>
      </w:r>
      <w:r w:rsidR="00690879" w:rsidRPr="00AD5C42">
        <w:rPr>
          <w:rFonts w:ascii="Book Antiqua" w:hAnsi="Book Antiqua"/>
          <w:color w:val="000000" w:themeColor="text1"/>
          <w:sz w:val="24"/>
          <w:szCs w:val="24"/>
        </w:rPr>
        <w:t xml:space="preserve"> </w:t>
      </w:r>
      <w:r w:rsidR="004F00B1" w:rsidRPr="00AD5C42">
        <w:rPr>
          <w:rFonts w:ascii="Book Antiqua" w:hAnsi="Book Antiqua"/>
          <w:color w:val="000000" w:themeColor="text1"/>
          <w:sz w:val="24"/>
          <w:szCs w:val="24"/>
        </w:rPr>
        <w:t xml:space="preserve">Furthermore, these regimens must not contribute to </w:t>
      </w:r>
      <w:r w:rsidR="00D65596" w:rsidRPr="00AD5C42">
        <w:rPr>
          <w:rFonts w:ascii="Book Antiqua" w:hAnsi="Book Antiqua"/>
          <w:color w:val="000000" w:themeColor="text1"/>
          <w:sz w:val="24"/>
          <w:szCs w:val="24"/>
        </w:rPr>
        <w:t xml:space="preserve">antimicrobial </w:t>
      </w:r>
      <w:r w:rsidR="004F00B1" w:rsidRPr="00AD5C42">
        <w:rPr>
          <w:rFonts w:ascii="Book Antiqua" w:hAnsi="Book Antiqua"/>
          <w:color w:val="000000" w:themeColor="text1"/>
          <w:sz w:val="24"/>
          <w:szCs w:val="24"/>
        </w:rPr>
        <w:t xml:space="preserve">resistance of </w:t>
      </w:r>
      <w:r w:rsidR="004F00B1" w:rsidRPr="00AD5C42">
        <w:rPr>
          <w:rFonts w:ascii="Book Antiqua" w:hAnsi="Book Antiqua"/>
          <w:i/>
          <w:color w:val="000000" w:themeColor="text1"/>
          <w:sz w:val="24"/>
          <w:szCs w:val="24"/>
        </w:rPr>
        <w:t>H. pylori</w:t>
      </w:r>
      <w:r w:rsidR="004F00B1" w:rsidRPr="00AD5C42">
        <w:rPr>
          <w:rFonts w:ascii="Book Antiqua" w:hAnsi="Book Antiqua"/>
          <w:color w:val="000000" w:themeColor="text1"/>
          <w:sz w:val="24"/>
          <w:szCs w:val="24"/>
        </w:rPr>
        <w:t xml:space="preserve">; moreover, they may promote future resistance because of the use of multiple antibiotics for a long duration. </w:t>
      </w:r>
      <w:r w:rsidR="00626F67" w:rsidRPr="00AD5C42">
        <w:rPr>
          <w:rFonts w:ascii="Book Antiqua" w:hAnsi="Book Antiqua"/>
          <w:color w:val="000000" w:themeColor="text1"/>
          <w:sz w:val="24"/>
          <w:szCs w:val="24"/>
        </w:rPr>
        <w:t xml:space="preserve">The alarming global </w:t>
      </w:r>
      <w:r w:rsidR="00B77601" w:rsidRPr="00AD5C42">
        <w:rPr>
          <w:rFonts w:ascii="Book Antiqua" w:hAnsi="Book Antiqua"/>
          <w:color w:val="000000" w:themeColor="text1"/>
          <w:sz w:val="24"/>
          <w:szCs w:val="24"/>
        </w:rPr>
        <w:t xml:space="preserve">rates </w:t>
      </w:r>
      <w:r w:rsidR="00626F67" w:rsidRPr="00AD5C42">
        <w:rPr>
          <w:rFonts w:ascii="Book Antiqua" w:hAnsi="Book Antiqua"/>
          <w:color w:val="000000" w:themeColor="text1"/>
          <w:sz w:val="24"/>
          <w:szCs w:val="24"/>
        </w:rPr>
        <w:t xml:space="preserve">of </w:t>
      </w:r>
      <w:r w:rsidR="005F03DB" w:rsidRPr="00AD5C42">
        <w:rPr>
          <w:rFonts w:ascii="Book Antiqua" w:hAnsi="Book Antiqua"/>
          <w:i/>
          <w:color w:val="000000" w:themeColor="text1"/>
          <w:sz w:val="24"/>
          <w:szCs w:val="24"/>
        </w:rPr>
        <w:t>H. pylori</w:t>
      </w:r>
      <w:r w:rsidR="00626F67" w:rsidRPr="00AD5C42">
        <w:rPr>
          <w:rFonts w:ascii="Book Antiqua" w:hAnsi="Book Antiqua"/>
          <w:color w:val="000000" w:themeColor="text1"/>
          <w:sz w:val="24"/>
          <w:szCs w:val="24"/>
        </w:rPr>
        <w:t xml:space="preserve"> resistance in treatment-naïve patients can be correlated with the increasing and uncontrolled </w:t>
      </w:r>
      <w:r w:rsidR="00354B28" w:rsidRPr="00AD5C42">
        <w:rPr>
          <w:rFonts w:ascii="Book Antiqua" w:hAnsi="Book Antiqua"/>
          <w:color w:val="000000" w:themeColor="text1"/>
          <w:sz w:val="24"/>
          <w:szCs w:val="24"/>
        </w:rPr>
        <w:t>use</w:t>
      </w:r>
      <w:r w:rsidR="00626F67" w:rsidRPr="00AD5C42">
        <w:rPr>
          <w:rFonts w:ascii="Book Antiqua" w:hAnsi="Book Antiqua"/>
          <w:color w:val="000000" w:themeColor="text1"/>
          <w:sz w:val="24"/>
          <w:szCs w:val="24"/>
        </w:rPr>
        <w:t xml:space="preserve"> of antibiotics that are commonly used in </w:t>
      </w:r>
      <w:r w:rsidR="005F03DB" w:rsidRPr="00AD5C42">
        <w:rPr>
          <w:rFonts w:ascii="Book Antiqua" w:hAnsi="Book Antiqua"/>
          <w:i/>
          <w:color w:val="000000" w:themeColor="text1"/>
          <w:sz w:val="24"/>
          <w:szCs w:val="24"/>
        </w:rPr>
        <w:t>H. pylori</w:t>
      </w:r>
      <w:r w:rsidR="005F03DB" w:rsidRPr="00AD5C42">
        <w:rPr>
          <w:rFonts w:ascii="Book Antiqua" w:hAnsi="Book Antiqua"/>
          <w:color w:val="000000" w:themeColor="text1"/>
          <w:sz w:val="24"/>
          <w:szCs w:val="24"/>
        </w:rPr>
        <w:t xml:space="preserve"> </w:t>
      </w:r>
      <w:r w:rsidR="00626F67" w:rsidRPr="00AD5C42">
        <w:rPr>
          <w:rFonts w:ascii="Book Antiqua" w:hAnsi="Book Antiqua"/>
          <w:color w:val="000000" w:themeColor="text1"/>
          <w:sz w:val="24"/>
          <w:szCs w:val="24"/>
        </w:rPr>
        <w:t>empirical therapy and</w:t>
      </w:r>
      <w:r w:rsidR="00354B28" w:rsidRPr="00AD5C42">
        <w:rPr>
          <w:rFonts w:ascii="Book Antiqua" w:hAnsi="Book Antiqua"/>
          <w:color w:val="000000" w:themeColor="text1"/>
          <w:sz w:val="24"/>
          <w:szCs w:val="24"/>
        </w:rPr>
        <w:t xml:space="preserve"> in</w:t>
      </w:r>
      <w:r w:rsidR="00626F67" w:rsidRPr="00AD5C42">
        <w:rPr>
          <w:rFonts w:ascii="Book Antiqua" w:hAnsi="Book Antiqua"/>
          <w:color w:val="000000" w:themeColor="text1"/>
          <w:sz w:val="24"/>
          <w:szCs w:val="24"/>
        </w:rPr>
        <w:t xml:space="preserve"> </w:t>
      </w:r>
      <w:r w:rsidR="00354B28" w:rsidRPr="00AD5C42">
        <w:rPr>
          <w:rFonts w:ascii="Book Antiqua" w:hAnsi="Book Antiqua"/>
          <w:color w:val="000000" w:themeColor="text1"/>
          <w:sz w:val="24"/>
          <w:szCs w:val="24"/>
        </w:rPr>
        <w:t xml:space="preserve">therapy for </w:t>
      </w:r>
      <w:r w:rsidR="00626F67" w:rsidRPr="00AD5C42">
        <w:rPr>
          <w:rFonts w:ascii="Book Antiqua" w:hAnsi="Book Antiqua"/>
          <w:color w:val="000000" w:themeColor="text1"/>
          <w:sz w:val="24"/>
          <w:szCs w:val="24"/>
        </w:rPr>
        <w:t xml:space="preserve">other common infections in the general </w:t>
      </w:r>
      <w:proofErr w:type="gramStart"/>
      <w:r w:rsidR="00626F67" w:rsidRPr="00AD5C42">
        <w:rPr>
          <w:rFonts w:ascii="Book Antiqua" w:hAnsi="Book Antiqua"/>
          <w:color w:val="000000" w:themeColor="text1"/>
          <w:sz w:val="24"/>
          <w:szCs w:val="24"/>
        </w:rPr>
        <w:t>population</w:t>
      </w:r>
      <w:r w:rsidR="00F26A74" w:rsidRPr="00AD5C42">
        <w:rPr>
          <w:rFonts w:ascii="Book Antiqua" w:hAnsi="Book Antiqua"/>
          <w:color w:val="000000" w:themeColor="text1"/>
          <w:sz w:val="24"/>
          <w:szCs w:val="24"/>
          <w:vertAlign w:val="superscript"/>
        </w:rPr>
        <w:t>[</w:t>
      </w:r>
      <w:proofErr w:type="gramEnd"/>
      <w:r w:rsidR="00F26A74" w:rsidRPr="00AD5C42">
        <w:rPr>
          <w:rFonts w:ascii="Book Antiqua" w:hAnsi="Book Antiqua"/>
          <w:color w:val="000000" w:themeColor="text1"/>
          <w:sz w:val="24"/>
          <w:szCs w:val="24"/>
          <w:vertAlign w:val="superscript"/>
        </w:rPr>
        <w:t>14]</w:t>
      </w:r>
      <w:r w:rsidR="007F3E48" w:rsidRPr="00AD5C42">
        <w:rPr>
          <w:rFonts w:ascii="Book Antiqua" w:hAnsi="Book Antiqua"/>
          <w:color w:val="000000" w:themeColor="text1"/>
          <w:sz w:val="24"/>
          <w:szCs w:val="24"/>
        </w:rPr>
        <w:t>.</w:t>
      </w:r>
      <w:r w:rsidR="00C468D8" w:rsidRPr="00AD5C42">
        <w:rPr>
          <w:rFonts w:ascii="Book Antiqua" w:hAnsi="Book Antiqua"/>
          <w:color w:val="000000" w:themeColor="text1"/>
          <w:sz w:val="24"/>
          <w:szCs w:val="24"/>
        </w:rPr>
        <w:t xml:space="preserve"> </w:t>
      </w:r>
      <w:r w:rsidR="00411AD6" w:rsidRPr="00AD5C42">
        <w:rPr>
          <w:rFonts w:ascii="Book Antiqua" w:hAnsi="Book Antiqua"/>
          <w:color w:val="000000" w:themeColor="text1"/>
          <w:sz w:val="24"/>
          <w:szCs w:val="24"/>
        </w:rPr>
        <w:t xml:space="preserve">Increased antibiotic usage worldwide has led to </w:t>
      </w:r>
      <w:r w:rsidR="00D65596" w:rsidRPr="00AD5C42">
        <w:rPr>
          <w:rFonts w:ascii="Book Antiqua" w:hAnsi="Book Antiqua"/>
          <w:color w:val="000000" w:themeColor="text1"/>
          <w:sz w:val="24"/>
          <w:szCs w:val="24"/>
        </w:rPr>
        <w:t>antimicrobial</w:t>
      </w:r>
      <w:r w:rsidR="00411AD6" w:rsidRPr="00AD5C42">
        <w:rPr>
          <w:rFonts w:ascii="Book Antiqua" w:hAnsi="Book Antiqua"/>
          <w:color w:val="000000" w:themeColor="text1"/>
          <w:sz w:val="24"/>
          <w:szCs w:val="24"/>
        </w:rPr>
        <w:t xml:space="preserve"> resistance among many bacteria, including </w:t>
      </w:r>
      <w:r w:rsidR="00411AD6" w:rsidRPr="00AD5C42">
        <w:rPr>
          <w:rFonts w:ascii="Book Antiqua" w:hAnsi="Book Antiqua"/>
          <w:i/>
          <w:color w:val="000000" w:themeColor="text1"/>
          <w:sz w:val="24"/>
          <w:szCs w:val="24"/>
        </w:rPr>
        <w:t>H. pylori</w:t>
      </w:r>
      <w:r w:rsidR="00411AD6" w:rsidRPr="00AD5C42">
        <w:rPr>
          <w:rFonts w:ascii="Book Antiqua" w:hAnsi="Book Antiqua"/>
          <w:color w:val="000000" w:themeColor="text1"/>
          <w:sz w:val="24"/>
          <w:szCs w:val="24"/>
        </w:rPr>
        <w:t xml:space="preserve">, resulting in falling success rates of </w:t>
      </w:r>
      <w:r w:rsidR="00411AD6" w:rsidRPr="00AD5C42">
        <w:rPr>
          <w:rFonts w:ascii="Book Antiqua" w:hAnsi="Book Antiqua"/>
          <w:i/>
          <w:color w:val="000000" w:themeColor="text1"/>
          <w:sz w:val="24"/>
          <w:szCs w:val="24"/>
        </w:rPr>
        <w:t>H. pylori</w:t>
      </w:r>
      <w:r w:rsidR="00411AD6" w:rsidRPr="00AD5C42">
        <w:rPr>
          <w:rFonts w:ascii="Book Antiqua" w:hAnsi="Book Antiqua"/>
          <w:color w:val="000000" w:themeColor="text1"/>
          <w:sz w:val="24"/>
          <w:szCs w:val="24"/>
        </w:rPr>
        <w:t xml:space="preserve"> eradication treatment.</w:t>
      </w:r>
      <w:r w:rsidR="0084022E" w:rsidRPr="00AD5C42">
        <w:rPr>
          <w:rFonts w:ascii="Book Antiqua" w:hAnsi="Book Antiqua"/>
          <w:color w:val="000000" w:themeColor="text1"/>
          <w:sz w:val="24"/>
          <w:szCs w:val="24"/>
        </w:rPr>
        <w:t xml:space="preserve"> </w:t>
      </w:r>
      <w:r w:rsidR="0061348C" w:rsidRPr="00AD5C42">
        <w:rPr>
          <w:rFonts w:ascii="Book Antiqua" w:hAnsi="Book Antiqua"/>
          <w:color w:val="000000" w:themeColor="text1"/>
          <w:sz w:val="24"/>
          <w:szCs w:val="24"/>
        </w:rPr>
        <w:t xml:space="preserve">These regimens </w:t>
      </w:r>
      <w:r w:rsidR="00B77601" w:rsidRPr="00AD5C42">
        <w:rPr>
          <w:rFonts w:ascii="Book Antiqua" w:hAnsi="Book Antiqua"/>
          <w:color w:val="000000" w:themeColor="text1"/>
          <w:sz w:val="24"/>
          <w:szCs w:val="24"/>
        </w:rPr>
        <w:t>could also be</w:t>
      </w:r>
      <w:r w:rsidR="0061348C" w:rsidRPr="00AD5C42">
        <w:rPr>
          <w:rFonts w:ascii="Book Antiqua" w:hAnsi="Book Antiqua"/>
          <w:color w:val="000000" w:themeColor="text1"/>
          <w:sz w:val="24"/>
          <w:szCs w:val="24"/>
        </w:rPr>
        <w:t xml:space="preserve"> improve</w:t>
      </w:r>
      <w:r w:rsidR="00B77601" w:rsidRPr="00AD5C42">
        <w:rPr>
          <w:rFonts w:ascii="Book Antiqua" w:hAnsi="Book Antiqua"/>
          <w:color w:val="000000" w:themeColor="text1"/>
          <w:sz w:val="24"/>
          <w:szCs w:val="24"/>
        </w:rPr>
        <w:t>d</w:t>
      </w:r>
      <w:r w:rsidR="0061348C" w:rsidRPr="00AD5C42">
        <w:rPr>
          <w:rFonts w:ascii="Book Antiqua" w:hAnsi="Book Antiqua"/>
          <w:color w:val="000000" w:themeColor="text1"/>
          <w:sz w:val="24"/>
          <w:szCs w:val="24"/>
        </w:rPr>
        <w:t xml:space="preserve"> to optimize antibiotic usage to prevent </w:t>
      </w:r>
      <w:r w:rsidR="00D65596" w:rsidRPr="00AD5C42">
        <w:rPr>
          <w:rFonts w:ascii="Book Antiqua" w:hAnsi="Book Antiqua"/>
          <w:color w:val="000000" w:themeColor="text1"/>
          <w:sz w:val="24"/>
          <w:szCs w:val="24"/>
        </w:rPr>
        <w:t>antimicrobial</w:t>
      </w:r>
      <w:r w:rsidR="0061348C" w:rsidRPr="00AD5C42">
        <w:rPr>
          <w:rFonts w:ascii="Book Antiqua" w:hAnsi="Book Antiqua"/>
          <w:color w:val="000000" w:themeColor="text1"/>
          <w:sz w:val="24"/>
          <w:szCs w:val="24"/>
        </w:rPr>
        <w:t xml:space="preserve"> resistance.</w:t>
      </w:r>
    </w:p>
    <w:p w14:paraId="670602EC" w14:textId="55CB0BAA" w:rsidR="00E3188D" w:rsidRPr="00AD5C42" w:rsidRDefault="001C09DA" w:rsidP="001C09DA">
      <w:pPr>
        <w:adjustRightInd w:val="0"/>
        <w:snapToGrid w:val="0"/>
        <w:spacing w:line="360" w:lineRule="auto"/>
        <w:rPr>
          <w:rFonts w:ascii="Book Antiqua" w:hAnsi="Book Antiqua"/>
          <w:color w:val="000000" w:themeColor="text1"/>
          <w:sz w:val="24"/>
          <w:szCs w:val="24"/>
        </w:rPr>
      </w:pPr>
      <w:r w:rsidRPr="00AD5C42">
        <w:rPr>
          <w:rFonts w:ascii="Book Antiqua" w:hAnsi="Book Antiqua"/>
          <w:color w:val="000000" w:themeColor="text1"/>
          <w:sz w:val="24"/>
          <w:szCs w:val="24"/>
        </w:rPr>
        <w:t xml:space="preserve">  </w:t>
      </w:r>
      <w:r w:rsidR="00E3188D" w:rsidRPr="00AD5C42">
        <w:rPr>
          <w:rFonts w:ascii="Book Antiqua" w:hAnsi="Book Antiqua"/>
          <w:color w:val="000000" w:themeColor="text1"/>
          <w:sz w:val="24"/>
          <w:szCs w:val="24"/>
        </w:rPr>
        <w:t xml:space="preserve">WHO launched the Global Action Plan on Antimicrobial Resistance to ensure, </w:t>
      </w:r>
      <w:r w:rsidR="00E3188D" w:rsidRPr="00AD5C42">
        <w:rPr>
          <w:rFonts w:ascii="Book Antiqua" w:hAnsi="Book Antiqua"/>
          <w:color w:val="000000" w:themeColor="text1"/>
          <w:sz w:val="24"/>
          <w:szCs w:val="24"/>
        </w:rPr>
        <w:lastRenderedPageBreak/>
        <w:t>for as long as possible,</w:t>
      </w:r>
      <w:r w:rsidR="00D41CFE" w:rsidRPr="00AD5C42">
        <w:rPr>
          <w:rFonts w:ascii="Book Antiqua" w:hAnsi="Book Antiqua"/>
          <w:color w:val="000000" w:themeColor="text1"/>
          <w:sz w:val="24"/>
          <w:szCs w:val="24"/>
        </w:rPr>
        <w:t xml:space="preserve"> the</w:t>
      </w:r>
      <w:r w:rsidR="00E3188D" w:rsidRPr="00AD5C42">
        <w:rPr>
          <w:rFonts w:ascii="Book Antiqua" w:hAnsi="Book Antiqua"/>
          <w:color w:val="000000" w:themeColor="text1"/>
          <w:sz w:val="24"/>
          <w:szCs w:val="24"/>
        </w:rPr>
        <w:t xml:space="preserve"> continuity of the ability to treat and prevent infectious diseases with effective and safe medicines that are quality-assured, used in a responsible way, and accessible to all who need them</w:t>
      </w:r>
      <w:r w:rsidR="007F3E48" w:rsidRPr="00AD5C42">
        <w:rPr>
          <w:rFonts w:ascii="Book Antiqua" w:hAnsi="Book Antiqua"/>
          <w:color w:val="000000" w:themeColor="text1"/>
          <w:sz w:val="24"/>
          <w:szCs w:val="24"/>
        </w:rPr>
        <w:t>.</w:t>
      </w:r>
      <w:r w:rsidR="00D56782" w:rsidRPr="00AD5C42">
        <w:rPr>
          <w:rFonts w:ascii="Book Antiqua" w:hAnsi="Book Antiqua"/>
          <w:color w:val="000000" w:themeColor="text1"/>
          <w:sz w:val="24"/>
          <w:szCs w:val="24"/>
        </w:rPr>
        <w:t xml:space="preserve"> </w:t>
      </w:r>
      <w:r w:rsidR="0025658D" w:rsidRPr="00AD5C42">
        <w:rPr>
          <w:rFonts w:ascii="Book Antiqua" w:hAnsi="Book Antiqua"/>
          <w:color w:val="000000" w:themeColor="text1"/>
          <w:sz w:val="24"/>
          <w:szCs w:val="24"/>
        </w:rPr>
        <w:t>Five objectives are listed in this document and the fourth objective is</w:t>
      </w:r>
      <w:r w:rsidR="00B77601" w:rsidRPr="00AD5C42">
        <w:rPr>
          <w:rFonts w:ascii="Book Antiqua" w:hAnsi="Book Antiqua"/>
          <w:color w:val="000000" w:themeColor="text1"/>
          <w:sz w:val="24"/>
          <w:szCs w:val="24"/>
        </w:rPr>
        <w:t xml:space="preserve"> </w:t>
      </w:r>
      <w:r w:rsidR="00754702" w:rsidRPr="00AD5C42">
        <w:rPr>
          <w:rFonts w:ascii="Book Antiqua" w:hAnsi="Book Antiqua"/>
          <w:color w:val="000000" w:themeColor="text1"/>
          <w:sz w:val="24"/>
          <w:szCs w:val="24"/>
        </w:rPr>
        <w:t>“</w:t>
      </w:r>
      <w:r w:rsidR="00B77601" w:rsidRPr="00AD5C42">
        <w:rPr>
          <w:rFonts w:ascii="Book Antiqua" w:hAnsi="Book Antiqua"/>
          <w:color w:val="000000" w:themeColor="text1"/>
          <w:sz w:val="24"/>
          <w:szCs w:val="24"/>
        </w:rPr>
        <w:t>t</w:t>
      </w:r>
      <w:r w:rsidR="00754702" w:rsidRPr="00AD5C42">
        <w:rPr>
          <w:rFonts w:ascii="Book Antiqua" w:hAnsi="Book Antiqua"/>
          <w:color w:val="000000" w:themeColor="text1"/>
          <w:sz w:val="24"/>
          <w:szCs w:val="24"/>
        </w:rPr>
        <w:t>o optimize the use of antimicrobial medicines in human and animal health</w:t>
      </w:r>
      <w:r w:rsidR="00B77601" w:rsidRPr="00AD5C42">
        <w:rPr>
          <w:rFonts w:ascii="Book Antiqua" w:hAnsi="Book Antiqua"/>
          <w:color w:val="000000" w:themeColor="text1"/>
          <w:sz w:val="24"/>
          <w:szCs w:val="24"/>
        </w:rPr>
        <w:t>.</w:t>
      </w:r>
      <w:r w:rsidR="00754702" w:rsidRPr="00AD5C42">
        <w:rPr>
          <w:rFonts w:ascii="Book Antiqua" w:hAnsi="Book Antiqua"/>
          <w:color w:val="000000" w:themeColor="text1"/>
          <w:sz w:val="24"/>
          <w:szCs w:val="24"/>
        </w:rPr>
        <w:t xml:space="preserve">” </w:t>
      </w:r>
      <w:r w:rsidR="001963AF" w:rsidRPr="00AD5C42">
        <w:rPr>
          <w:rFonts w:ascii="Book Antiqua" w:hAnsi="Book Antiqua"/>
          <w:color w:val="000000" w:themeColor="text1"/>
          <w:sz w:val="24"/>
          <w:szCs w:val="24"/>
        </w:rPr>
        <w:t xml:space="preserve">They </w:t>
      </w:r>
      <w:r w:rsidR="00AD0852" w:rsidRPr="00AD5C42">
        <w:rPr>
          <w:rFonts w:ascii="Book Antiqua" w:hAnsi="Book Antiqua"/>
          <w:color w:val="000000" w:themeColor="text1"/>
          <w:sz w:val="24"/>
          <w:szCs w:val="24"/>
        </w:rPr>
        <w:t>state</w:t>
      </w:r>
      <w:r w:rsidR="001963AF" w:rsidRPr="00AD5C42">
        <w:rPr>
          <w:rFonts w:ascii="Book Antiqua" w:hAnsi="Book Antiqua"/>
          <w:color w:val="000000" w:themeColor="text1"/>
          <w:sz w:val="24"/>
          <w:szCs w:val="24"/>
        </w:rPr>
        <w:t xml:space="preserve"> that </w:t>
      </w:r>
      <w:r w:rsidR="008C0DFB" w:rsidRPr="00AD5C42">
        <w:rPr>
          <w:rFonts w:ascii="Book Antiqua" w:hAnsi="Book Antiqua"/>
          <w:color w:val="000000" w:themeColor="text1"/>
          <w:sz w:val="24"/>
          <w:szCs w:val="24"/>
        </w:rPr>
        <w:t xml:space="preserve">“extent of reduction in global human consumption of antibiotics, the consumption of antibiotics used in food production, and the use of medical and veterinary antimicrobial agents for applications other than human and animal health” </w:t>
      </w:r>
      <w:r w:rsidR="00354B28" w:rsidRPr="00AD5C42">
        <w:rPr>
          <w:rFonts w:ascii="Book Antiqua" w:hAnsi="Book Antiqua"/>
          <w:color w:val="000000" w:themeColor="text1"/>
          <w:sz w:val="24"/>
          <w:szCs w:val="24"/>
        </w:rPr>
        <w:t>are</w:t>
      </w:r>
      <w:r w:rsidR="008C0DFB" w:rsidRPr="00AD5C42">
        <w:rPr>
          <w:rFonts w:ascii="Book Antiqua" w:hAnsi="Book Antiqua"/>
          <w:color w:val="000000" w:themeColor="text1"/>
          <w:sz w:val="24"/>
          <w:szCs w:val="24"/>
        </w:rPr>
        <w:t xml:space="preserve"> </w:t>
      </w:r>
      <w:r w:rsidR="00D65752" w:rsidRPr="00AD5C42">
        <w:rPr>
          <w:rFonts w:ascii="Book Antiqua" w:hAnsi="Book Antiqua"/>
          <w:color w:val="000000" w:themeColor="text1"/>
          <w:sz w:val="24"/>
          <w:szCs w:val="24"/>
        </w:rPr>
        <w:t xml:space="preserve">a </w:t>
      </w:r>
      <w:r w:rsidR="008C0DFB" w:rsidRPr="00AD5C42">
        <w:rPr>
          <w:rFonts w:ascii="Book Antiqua" w:hAnsi="Book Antiqua"/>
          <w:color w:val="000000" w:themeColor="text1"/>
          <w:sz w:val="24"/>
          <w:szCs w:val="24"/>
        </w:rPr>
        <w:t xml:space="preserve">potential measure of effectiveness </w:t>
      </w:r>
      <w:r w:rsidR="001535E7" w:rsidRPr="00AD5C42">
        <w:rPr>
          <w:rFonts w:ascii="Book Antiqua" w:hAnsi="Book Antiqua"/>
          <w:color w:val="000000" w:themeColor="text1"/>
          <w:sz w:val="24"/>
          <w:szCs w:val="24"/>
        </w:rPr>
        <w:t xml:space="preserve">for </w:t>
      </w:r>
      <w:r w:rsidR="00E3188D" w:rsidRPr="00AD5C42">
        <w:rPr>
          <w:rFonts w:ascii="Book Antiqua" w:hAnsi="Book Antiqua"/>
          <w:color w:val="000000" w:themeColor="text1"/>
          <w:sz w:val="24"/>
          <w:szCs w:val="24"/>
        </w:rPr>
        <w:t>optimiz</w:t>
      </w:r>
      <w:r w:rsidR="001535E7" w:rsidRPr="00AD5C42">
        <w:rPr>
          <w:rFonts w:ascii="Book Antiqua" w:hAnsi="Book Antiqua"/>
          <w:color w:val="000000" w:themeColor="text1"/>
          <w:sz w:val="24"/>
          <w:szCs w:val="24"/>
        </w:rPr>
        <w:t>ing</w:t>
      </w:r>
      <w:r w:rsidR="00E3188D" w:rsidRPr="00AD5C42">
        <w:rPr>
          <w:rFonts w:ascii="Book Antiqua" w:hAnsi="Book Antiqua"/>
          <w:color w:val="000000" w:themeColor="text1"/>
          <w:sz w:val="24"/>
          <w:szCs w:val="24"/>
        </w:rPr>
        <w:t xml:space="preserve"> the use of antimicrobial medicines in human and animal health.</w:t>
      </w:r>
      <w:r w:rsidR="001A7CE3" w:rsidRPr="00AD5C42">
        <w:rPr>
          <w:rFonts w:ascii="Book Antiqua" w:hAnsi="Book Antiqua"/>
          <w:color w:val="000000" w:themeColor="text1"/>
          <w:sz w:val="24"/>
          <w:szCs w:val="24"/>
        </w:rPr>
        <w:t xml:space="preserve"> </w:t>
      </w:r>
      <w:r w:rsidR="008C0DFB" w:rsidRPr="00AD5C42">
        <w:rPr>
          <w:rFonts w:ascii="Book Antiqua" w:hAnsi="Book Antiqua"/>
          <w:color w:val="000000" w:themeColor="text1"/>
          <w:sz w:val="24"/>
          <w:szCs w:val="24"/>
        </w:rPr>
        <w:t>Thus, t</w:t>
      </w:r>
      <w:r w:rsidR="00E3188D" w:rsidRPr="00AD5C42">
        <w:rPr>
          <w:rFonts w:ascii="Book Antiqua" w:hAnsi="Book Antiqua"/>
          <w:color w:val="000000" w:themeColor="text1"/>
          <w:sz w:val="24"/>
          <w:szCs w:val="24"/>
        </w:rPr>
        <w:t xml:space="preserve">he increase in resistance to </w:t>
      </w:r>
      <w:r w:rsidR="001A7CE3" w:rsidRPr="00AD5C42">
        <w:rPr>
          <w:rFonts w:ascii="Book Antiqua" w:hAnsi="Book Antiqua"/>
          <w:color w:val="000000" w:themeColor="text1"/>
          <w:sz w:val="24"/>
          <w:szCs w:val="24"/>
        </w:rPr>
        <w:t>CAM</w:t>
      </w:r>
      <w:r w:rsidR="00E3188D" w:rsidRPr="00AD5C42">
        <w:rPr>
          <w:rFonts w:ascii="Book Antiqua" w:hAnsi="Book Antiqua"/>
          <w:color w:val="000000" w:themeColor="text1"/>
          <w:sz w:val="24"/>
          <w:szCs w:val="24"/>
        </w:rPr>
        <w:t xml:space="preserve"> and the existence of multi</w:t>
      </w:r>
      <w:r w:rsidR="00D65752" w:rsidRPr="00AD5C42">
        <w:rPr>
          <w:rFonts w:ascii="Book Antiqua" w:hAnsi="Book Antiqua"/>
          <w:color w:val="000000" w:themeColor="text1"/>
          <w:sz w:val="24"/>
          <w:szCs w:val="24"/>
        </w:rPr>
        <w:t>-</w:t>
      </w:r>
      <w:r w:rsidR="00E3188D" w:rsidRPr="00AD5C42">
        <w:rPr>
          <w:rFonts w:ascii="Book Antiqua" w:hAnsi="Book Antiqua"/>
          <w:color w:val="000000" w:themeColor="text1"/>
          <w:sz w:val="24"/>
          <w:szCs w:val="24"/>
        </w:rPr>
        <w:t xml:space="preserve">resistance to various families of antibiotics </w:t>
      </w:r>
      <w:r w:rsidR="001535E7" w:rsidRPr="00AD5C42">
        <w:rPr>
          <w:rFonts w:ascii="Book Antiqua" w:hAnsi="Book Antiqua"/>
          <w:color w:val="000000" w:themeColor="text1"/>
          <w:sz w:val="24"/>
          <w:szCs w:val="24"/>
        </w:rPr>
        <w:t xml:space="preserve">must </w:t>
      </w:r>
      <w:r w:rsidR="00E3188D" w:rsidRPr="00AD5C42">
        <w:rPr>
          <w:rFonts w:ascii="Book Antiqua" w:hAnsi="Book Antiqua"/>
          <w:color w:val="000000" w:themeColor="text1"/>
          <w:sz w:val="24"/>
          <w:szCs w:val="24"/>
        </w:rPr>
        <w:t xml:space="preserve">be addressed by the appropriate use of antibiotics in </w:t>
      </w:r>
      <w:r w:rsidR="001A7CE3" w:rsidRPr="00AD5C42">
        <w:rPr>
          <w:rFonts w:ascii="Book Antiqua" w:hAnsi="Book Antiqua"/>
          <w:i/>
          <w:color w:val="000000" w:themeColor="text1"/>
          <w:sz w:val="24"/>
          <w:szCs w:val="24"/>
        </w:rPr>
        <w:t>H. pylori</w:t>
      </w:r>
      <w:r w:rsidR="001535E7" w:rsidRPr="00AD5C42">
        <w:rPr>
          <w:rFonts w:ascii="Book Antiqua" w:hAnsi="Book Antiqua"/>
          <w:i/>
          <w:color w:val="000000" w:themeColor="text1"/>
          <w:sz w:val="24"/>
          <w:szCs w:val="24"/>
        </w:rPr>
        <w:t xml:space="preserve"> </w:t>
      </w:r>
      <w:r w:rsidR="001535E7" w:rsidRPr="00AD5C42">
        <w:rPr>
          <w:rFonts w:ascii="Book Antiqua" w:hAnsi="Book Antiqua"/>
          <w:color w:val="000000" w:themeColor="text1"/>
          <w:sz w:val="24"/>
          <w:szCs w:val="24"/>
        </w:rPr>
        <w:t>treatment</w:t>
      </w:r>
      <w:r w:rsidR="00E3188D" w:rsidRPr="00AD5C42">
        <w:rPr>
          <w:rFonts w:ascii="Book Antiqua" w:hAnsi="Book Antiqua"/>
          <w:color w:val="000000" w:themeColor="text1"/>
          <w:sz w:val="24"/>
          <w:szCs w:val="24"/>
        </w:rPr>
        <w:t>.</w:t>
      </w:r>
      <w:r w:rsidR="00E718EA" w:rsidRPr="00AD5C42">
        <w:rPr>
          <w:rFonts w:ascii="Book Antiqua" w:hAnsi="Book Antiqua"/>
          <w:color w:val="000000" w:themeColor="text1"/>
          <w:sz w:val="24"/>
          <w:szCs w:val="24"/>
        </w:rPr>
        <w:t xml:space="preserve"> Antimicrobial susceptibility testing is</w:t>
      </w:r>
      <w:r w:rsidR="00E16A2C" w:rsidRPr="00AD5C42">
        <w:rPr>
          <w:rFonts w:ascii="Book Antiqua" w:hAnsi="Book Antiqua"/>
          <w:color w:val="000000" w:themeColor="text1"/>
          <w:sz w:val="24"/>
          <w:szCs w:val="24"/>
        </w:rPr>
        <w:t xml:space="preserve"> the</w:t>
      </w:r>
      <w:r w:rsidR="00E718EA" w:rsidRPr="00AD5C42">
        <w:rPr>
          <w:rFonts w:ascii="Book Antiqua" w:hAnsi="Book Antiqua"/>
          <w:color w:val="000000" w:themeColor="text1"/>
          <w:sz w:val="24"/>
          <w:szCs w:val="24"/>
        </w:rPr>
        <w:t xml:space="preserve"> best way to optimize and reduce antibiotics for </w:t>
      </w:r>
      <w:r w:rsidR="00E718EA" w:rsidRPr="00AD5C42">
        <w:rPr>
          <w:rFonts w:ascii="Book Antiqua" w:hAnsi="Book Antiqua"/>
          <w:i/>
          <w:color w:val="000000" w:themeColor="text1"/>
          <w:sz w:val="24"/>
          <w:szCs w:val="24"/>
        </w:rPr>
        <w:t>H. pylori</w:t>
      </w:r>
      <w:r w:rsidR="00E718EA" w:rsidRPr="00AD5C42">
        <w:rPr>
          <w:rFonts w:ascii="Book Antiqua" w:hAnsi="Book Antiqua"/>
          <w:color w:val="000000" w:themeColor="text1"/>
          <w:sz w:val="24"/>
          <w:szCs w:val="24"/>
        </w:rPr>
        <w:t xml:space="preserve"> eradication treatment as well as treating other common infections. </w:t>
      </w:r>
      <w:r w:rsidR="00E24B03" w:rsidRPr="00AD5C42">
        <w:rPr>
          <w:rFonts w:ascii="Book Antiqua" w:hAnsi="Book Antiqua"/>
          <w:color w:val="000000" w:themeColor="text1"/>
          <w:sz w:val="24"/>
          <w:szCs w:val="24"/>
        </w:rPr>
        <w:t>A</w:t>
      </w:r>
      <w:r w:rsidR="00E718EA" w:rsidRPr="00AD5C42">
        <w:rPr>
          <w:rFonts w:ascii="Book Antiqua" w:hAnsi="Book Antiqua"/>
          <w:color w:val="000000" w:themeColor="text1"/>
          <w:sz w:val="24"/>
          <w:szCs w:val="24"/>
        </w:rPr>
        <w:t xml:space="preserve">ntimicrobial susceptibility testing </w:t>
      </w:r>
      <w:r w:rsidR="00E24B03" w:rsidRPr="00AD5C42">
        <w:rPr>
          <w:rFonts w:ascii="Book Antiqua" w:hAnsi="Book Antiqua"/>
          <w:color w:val="000000" w:themeColor="text1"/>
          <w:sz w:val="24"/>
          <w:szCs w:val="24"/>
        </w:rPr>
        <w:t xml:space="preserve">is recommended </w:t>
      </w:r>
      <w:r w:rsidR="00E718EA" w:rsidRPr="00AD5C42">
        <w:rPr>
          <w:rFonts w:ascii="Book Antiqua" w:hAnsi="Book Antiqua"/>
          <w:color w:val="000000" w:themeColor="text1"/>
          <w:sz w:val="24"/>
          <w:szCs w:val="24"/>
        </w:rPr>
        <w:t>to enable tailoring of the eradication therapy</w:t>
      </w:r>
      <w:r w:rsidR="00E24B03" w:rsidRPr="00AD5C42">
        <w:rPr>
          <w:rFonts w:ascii="Book Antiqua" w:hAnsi="Book Antiqua"/>
          <w:color w:val="000000" w:themeColor="text1"/>
          <w:sz w:val="24"/>
          <w:szCs w:val="24"/>
        </w:rPr>
        <w:t xml:space="preserve"> </w:t>
      </w:r>
      <w:r w:rsidR="00E16A2C" w:rsidRPr="00AD5C42">
        <w:rPr>
          <w:rFonts w:ascii="Book Antiqua" w:hAnsi="Book Antiqua"/>
          <w:color w:val="000000" w:themeColor="text1"/>
          <w:sz w:val="24"/>
          <w:szCs w:val="24"/>
        </w:rPr>
        <w:t xml:space="preserve">presented </w:t>
      </w:r>
      <w:r w:rsidR="00E24B03" w:rsidRPr="00AD5C42">
        <w:rPr>
          <w:rFonts w:ascii="Book Antiqua" w:hAnsi="Book Antiqua"/>
          <w:color w:val="000000" w:themeColor="text1"/>
          <w:sz w:val="24"/>
          <w:szCs w:val="24"/>
        </w:rPr>
        <w:t xml:space="preserve">in the international </w:t>
      </w:r>
      <w:proofErr w:type="gramStart"/>
      <w:r w:rsidR="00E24B03" w:rsidRPr="00AD5C42">
        <w:rPr>
          <w:rFonts w:ascii="Book Antiqua" w:hAnsi="Book Antiqua"/>
          <w:color w:val="000000" w:themeColor="text1"/>
          <w:sz w:val="24"/>
          <w:szCs w:val="24"/>
        </w:rPr>
        <w:t>guideline</w:t>
      </w:r>
      <w:r w:rsidR="00E16A2C" w:rsidRPr="00AD5C42">
        <w:rPr>
          <w:rFonts w:ascii="Book Antiqua" w:hAnsi="Book Antiqua"/>
          <w:color w:val="000000" w:themeColor="text1"/>
          <w:sz w:val="24"/>
          <w:szCs w:val="24"/>
        </w:rPr>
        <w:t>s</w:t>
      </w:r>
      <w:r w:rsidR="006C0F34" w:rsidRPr="00AD5C42">
        <w:rPr>
          <w:rFonts w:ascii="Book Antiqua" w:hAnsi="Book Antiqua"/>
          <w:color w:val="000000" w:themeColor="text1"/>
          <w:sz w:val="24"/>
          <w:szCs w:val="24"/>
          <w:vertAlign w:val="superscript"/>
        </w:rPr>
        <w:t>[</w:t>
      </w:r>
      <w:proofErr w:type="gramEnd"/>
      <w:r w:rsidR="006C0F34" w:rsidRPr="00AD5C42">
        <w:rPr>
          <w:rFonts w:ascii="Book Antiqua" w:hAnsi="Book Antiqua"/>
          <w:color w:val="000000" w:themeColor="text1"/>
          <w:sz w:val="24"/>
          <w:szCs w:val="24"/>
          <w:vertAlign w:val="superscript"/>
        </w:rPr>
        <w:t>5]</w:t>
      </w:r>
      <w:r w:rsidR="00E24B03" w:rsidRPr="00AD5C42">
        <w:rPr>
          <w:rFonts w:ascii="Book Antiqua" w:hAnsi="Book Antiqua"/>
          <w:color w:val="000000" w:themeColor="text1"/>
          <w:sz w:val="24"/>
          <w:szCs w:val="24"/>
        </w:rPr>
        <w:t xml:space="preserve">, </w:t>
      </w:r>
      <w:r w:rsidR="00D26334" w:rsidRPr="00AD5C42">
        <w:rPr>
          <w:rFonts w:ascii="Book Antiqua" w:hAnsi="Book Antiqua"/>
          <w:color w:val="000000" w:themeColor="text1"/>
          <w:sz w:val="24"/>
          <w:szCs w:val="24"/>
        </w:rPr>
        <w:t>to ensure successful eradication</w:t>
      </w:r>
      <w:r w:rsidRPr="00AD5C42">
        <w:rPr>
          <w:rFonts w:ascii="Book Antiqua" w:hAnsi="Book Antiqua"/>
          <w:color w:val="000000" w:themeColor="text1"/>
          <w:sz w:val="24"/>
          <w:szCs w:val="24"/>
          <w:vertAlign w:val="superscript"/>
        </w:rPr>
        <w:t>[15,</w:t>
      </w:r>
      <w:r w:rsidR="00F26A74" w:rsidRPr="00AD5C42">
        <w:rPr>
          <w:rFonts w:ascii="Book Antiqua" w:hAnsi="Book Antiqua"/>
          <w:color w:val="000000" w:themeColor="text1"/>
          <w:sz w:val="24"/>
          <w:szCs w:val="24"/>
          <w:vertAlign w:val="superscript"/>
        </w:rPr>
        <w:t>16]</w:t>
      </w:r>
      <w:r w:rsidR="007F3E48" w:rsidRPr="00AD5C42">
        <w:rPr>
          <w:rFonts w:ascii="Book Antiqua" w:hAnsi="Book Antiqua"/>
          <w:color w:val="000000" w:themeColor="text1"/>
          <w:sz w:val="24"/>
          <w:szCs w:val="24"/>
        </w:rPr>
        <w:t>.</w:t>
      </w:r>
      <w:r w:rsidR="00E24B03" w:rsidRPr="00AD5C42">
        <w:rPr>
          <w:rFonts w:ascii="Book Antiqua" w:hAnsi="Book Antiqua"/>
          <w:color w:val="000000" w:themeColor="text1"/>
          <w:sz w:val="24"/>
          <w:szCs w:val="24"/>
        </w:rPr>
        <w:t xml:space="preserve"> </w:t>
      </w:r>
      <w:r w:rsidR="00E718EA" w:rsidRPr="00AD5C42">
        <w:rPr>
          <w:rFonts w:ascii="Book Antiqua" w:hAnsi="Book Antiqua"/>
          <w:color w:val="000000" w:themeColor="text1"/>
          <w:sz w:val="24"/>
          <w:szCs w:val="24"/>
        </w:rPr>
        <w:t xml:space="preserve">However, antimicrobial susceptibility testing is not </w:t>
      </w:r>
      <w:r w:rsidR="00493F90" w:rsidRPr="00AD5C42">
        <w:rPr>
          <w:rFonts w:ascii="Book Antiqua" w:hAnsi="Book Antiqua"/>
          <w:color w:val="000000" w:themeColor="text1"/>
          <w:sz w:val="24"/>
          <w:szCs w:val="24"/>
        </w:rPr>
        <w:t xml:space="preserve">a </w:t>
      </w:r>
      <w:r w:rsidR="00E718EA" w:rsidRPr="00AD5C42">
        <w:rPr>
          <w:rFonts w:ascii="Book Antiqua" w:hAnsi="Book Antiqua"/>
          <w:color w:val="000000" w:themeColor="text1"/>
          <w:sz w:val="24"/>
          <w:szCs w:val="24"/>
        </w:rPr>
        <w:t xml:space="preserve">routine clinical practice due to the invasiveness of the endoscopy procedure, </w:t>
      </w:r>
      <w:r w:rsidR="00B2768D" w:rsidRPr="00AD5C42">
        <w:rPr>
          <w:rFonts w:ascii="Book Antiqua" w:hAnsi="Book Antiqua"/>
          <w:color w:val="000000" w:themeColor="text1"/>
          <w:sz w:val="24"/>
          <w:szCs w:val="24"/>
        </w:rPr>
        <w:t>time con</w:t>
      </w:r>
      <w:r w:rsidR="00BC19AF" w:rsidRPr="00AD5C42">
        <w:rPr>
          <w:rFonts w:ascii="Book Antiqua" w:hAnsi="Book Antiqua"/>
          <w:color w:val="000000" w:themeColor="text1"/>
          <w:sz w:val="24"/>
          <w:szCs w:val="24"/>
        </w:rPr>
        <w:t>suming</w:t>
      </w:r>
      <w:r w:rsidR="0020410A" w:rsidRPr="00AD5C42">
        <w:rPr>
          <w:rFonts w:ascii="Book Antiqua" w:hAnsi="Book Antiqua"/>
          <w:color w:val="000000" w:themeColor="text1"/>
          <w:sz w:val="24"/>
          <w:szCs w:val="24"/>
        </w:rPr>
        <w:t xml:space="preserve"> nature</w:t>
      </w:r>
      <w:r w:rsidR="00BC19AF" w:rsidRPr="00AD5C42">
        <w:rPr>
          <w:rFonts w:ascii="Book Antiqua" w:hAnsi="Book Antiqua"/>
          <w:color w:val="000000" w:themeColor="text1"/>
          <w:sz w:val="24"/>
          <w:szCs w:val="24"/>
        </w:rPr>
        <w:t xml:space="preserve">, </w:t>
      </w:r>
      <w:r w:rsidR="00E718EA" w:rsidRPr="00AD5C42">
        <w:rPr>
          <w:rFonts w:ascii="Book Antiqua" w:hAnsi="Book Antiqua"/>
          <w:color w:val="000000" w:themeColor="text1"/>
          <w:sz w:val="24"/>
          <w:szCs w:val="24"/>
        </w:rPr>
        <w:t>the availability of laboratory culture facilities</w:t>
      </w:r>
      <w:r w:rsidR="00E16A2C" w:rsidRPr="00AD5C42">
        <w:rPr>
          <w:rFonts w:ascii="Book Antiqua" w:hAnsi="Book Antiqua"/>
          <w:color w:val="000000" w:themeColor="text1"/>
          <w:sz w:val="24"/>
          <w:szCs w:val="24"/>
        </w:rPr>
        <w:t>,</w:t>
      </w:r>
      <w:r w:rsidR="00E718EA" w:rsidRPr="00AD5C42">
        <w:rPr>
          <w:rFonts w:ascii="Book Antiqua" w:hAnsi="Book Antiqua"/>
          <w:color w:val="000000" w:themeColor="text1"/>
          <w:sz w:val="24"/>
          <w:szCs w:val="24"/>
        </w:rPr>
        <w:t xml:space="preserve"> and cost </w:t>
      </w:r>
      <w:proofErr w:type="gramStart"/>
      <w:r w:rsidR="00E718EA" w:rsidRPr="00AD5C42">
        <w:rPr>
          <w:rFonts w:ascii="Book Antiqua" w:hAnsi="Book Antiqua"/>
          <w:color w:val="000000" w:themeColor="text1"/>
          <w:sz w:val="24"/>
          <w:szCs w:val="24"/>
        </w:rPr>
        <w:t>considerations</w:t>
      </w:r>
      <w:r w:rsidR="00F26A74" w:rsidRPr="00AD5C42">
        <w:rPr>
          <w:rFonts w:ascii="Book Antiqua" w:hAnsi="Book Antiqua"/>
          <w:color w:val="000000" w:themeColor="text1"/>
          <w:sz w:val="24"/>
          <w:szCs w:val="24"/>
          <w:vertAlign w:val="superscript"/>
        </w:rPr>
        <w:t>[</w:t>
      </w:r>
      <w:proofErr w:type="gramEnd"/>
      <w:r w:rsidR="00F26A74" w:rsidRPr="00AD5C42">
        <w:rPr>
          <w:rFonts w:ascii="Book Antiqua" w:hAnsi="Book Antiqua"/>
          <w:color w:val="000000" w:themeColor="text1"/>
          <w:sz w:val="24"/>
          <w:szCs w:val="24"/>
          <w:vertAlign w:val="superscript"/>
        </w:rPr>
        <w:t>17]</w:t>
      </w:r>
      <w:r w:rsidR="007030AA" w:rsidRPr="00AD5C42">
        <w:rPr>
          <w:rFonts w:ascii="Book Antiqua" w:hAnsi="Book Antiqua"/>
          <w:color w:val="000000" w:themeColor="text1"/>
          <w:sz w:val="24"/>
          <w:szCs w:val="24"/>
        </w:rPr>
        <w:t>;</w:t>
      </w:r>
      <w:r w:rsidR="00E718EA" w:rsidRPr="00AD5C42">
        <w:rPr>
          <w:rFonts w:ascii="Book Antiqua" w:hAnsi="Book Antiqua"/>
          <w:color w:val="000000" w:themeColor="text1"/>
          <w:sz w:val="24"/>
          <w:szCs w:val="24"/>
        </w:rPr>
        <w:t xml:space="preserve"> non-invasive methods </w:t>
      </w:r>
      <w:r w:rsidR="00E16A2C" w:rsidRPr="00AD5C42">
        <w:rPr>
          <w:rFonts w:ascii="Book Antiqua" w:hAnsi="Book Antiqua"/>
          <w:color w:val="000000" w:themeColor="text1"/>
          <w:sz w:val="24"/>
          <w:szCs w:val="24"/>
        </w:rPr>
        <w:t xml:space="preserve">are </w:t>
      </w:r>
      <w:r w:rsidR="00E718EA" w:rsidRPr="00AD5C42">
        <w:rPr>
          <w:rFonts w:ascii="Book Antiqua" w:hAnsi="Book Antiqua"/>
          <w:color w:val="000000" w:themeColor="text1"/>
          <w:sz w:val="24"/>
          <w:szCs w:val="24"/>
        </w:rPr>
        <w:t>being developed</w:t>
      </w:r>
      <w:r w:rsidR="00F26A74" w:rsidRPr="00AD5C42">
        <w:rPr>
          <w:rFonts w:ascii="Book Antiqua" w:hAnsi="Book Antiqua"/>
          <w:color w:val="000000" w:themeColor="text1"/>
          <w:sz w:val="24"/>
          <w:szCs w:val="24"/>
          <w:vertAlign w:val="superscript"/>
        </w:rPr>
        <w:t>[18]</w:t>
      </w:r>
      <w:r w:rsidR="007F3E48" w:rsidRPr="00AD5C42">
        <w:rPr>
          <w:rFonts w:ascii="Book Antiqua" w:hAnsi="Book Antiqua"/>
          <w:color w:val="000000" w:themeColor="text1"/>
          <w:sz w:val="24"/>
          <w:szCs w:val="24"/>
        </w:rPr>
        <w:t>.</w:t>
      </w:r>
    </w:p>
    <w:p w14:paraId="32244A24" w14:textId="353D148E" w:rsidR="000A0A65" w:rsidRPr="00AD5C42" w:rsidRDefault="000A0A65" w:rsidP="00AF7B77">
      <w:pPr>
        <w:adjustRightInd w:val="0"/>
        <w:snapToGrid w:val="0"/>
        <w:spacing w:line="360" w:lineRule="auto"/>
        <w:rPr>
          <w:rFonts w:ascii="Book Antiqua" w:hAnsi="Book Antiqua"/>
          <w:color w:val="000000" w:themeColor="text1"/>
          <w:sz w:val="24"/>
          <w:szCs w:val="24"/>
        </w:rPr>
      </w:pPr>
    </w:p>
    <w:p w14:paraId="0C28CE4D" w14:textId="4EB3B113" w:rsidR="00FF1C97" w:rsidRPr="00AD5C42" w:rsidRDefault="00FF1C97" w:rsidP="00AF7B77">
      <w:pPr>
        <w:adjustRightInd w:val="0"/>
        <w:snapToGrid w:val="0"/>
        <w:spacing w:line="360" w:lineRule="auto"/>
        <w:rPr>
          <w:rFonts w:ascii="Book Antiqua" w:hAnsi="Book Antiqua"/>
          <w:b/>
          <w:color w:val="000000" w:themeColor="text1"/>
          <w:sz w:val="24"/>
          <w:szCs w:val="24"/>
        </w:rPr>
      </w:pPr>
      <w:r w:rsidRPr="00AD5C42">
        <w:rPr>
          <w:rFonts w:ascii="Book Antiqua" w:hAnsi="Book Antiqua"/>
          <w:b/>
          <w:color w:val="000000" w:themeColor="text1"/>
          <w:sz w:val="24"/>
          <w:szCs w:val="24"/>
        </w:rPr>
        <w:t>PROSPECTS OF NEW STRATEG</w:t>
      </w:r>
      <w:r w:rsidR="0020410A" w:rsidRPr="00AD5C42">
        <w:rPr>
          <w:rFonts w:ascii="Book Antiqua" w:hAnsi="Book Antiqua"/>
          <w:b/>
          <w:color w:val="000000" w:themeColor="text1"/>
          <w:sz w:val="24"/>
          <w:szCs w:val="24"/>
        </w:rPr>
        <w:t>IES</w:t>
      </w:r>
      <w:r w:rsidRPr="00AD5C42">
        <w:rPr>
          <w:rFonts w:ascii="Book Antiqua" w:hAnsi="Book Antiqua"/>
          <w:b/>
          <w:color w:val="000000" w:themeColor="text1"/>
          <w:sz w:val="24"/>
          <w:szCs w:val="24"/>
        </w:rPr>
        <w:t xml:space="preserve"> FOR ENSURING ERADICATION</w:t>
      </w:r>
      <w:r w:rsidR="004B7A9A" w:rsidRPr="00AD5C42">
        <w:rPr>
          <w:rFonts w:ascii="Book Antiqua" w:hAnsi="Book Antiqua"/>
          <w:b/>
          <w:color w:val="000000" w:themeColor="text1"/>
          <w:sz w:val="24"/>
          <w:szCs w:val="24"/>
        </w:rPr>
        <w:t xml:space="preserve"> </w:t>
      </w:r>
      <w:r w:rsidRPr="00AD5C42">
        <w:rPr>
          <w:rFonts w:ascii="Book Antiqua" w:hAnsi="Book Antiqua"/>
          <w:b/>
          <w:color w:val="000000" w:themeColor="text1"/>
          <w:sz w:val="24"/>
          <w:szCs w:val="24"/>
        </w:rPr>
        <w:t xml:space="preserve">OF </w:t>
      </w:r>
      <w:r w:rsidRPr="00AD5C42">
        <w:rPr>
          <w:rFonts w:ascii="Book Antiqua" w:hAnsi="Book Antiqua"/>
          <w:b/>
          <w:i/>
          <w:color w:val="000000" w:themeColor="text1"/>
          <w:sz w:val="24"/>
          <w:szCs w:val="24"/>
        </w:rPr>
        <w:t>H. PYLORI</w:t>
      </w:r>
      <w:r w:rsidRPr="00AD5C42">
        <w:rPr>
          <w:rFonts w:ascii="Book Antiqua" w:hAnsi="Book Antiqua"/>
          <w:b/>
          <w:color w:val="000000" w:themeColor="text1"/>
          <w:sz w:val="24"/>
          <w:szCs w:val="24"/>
        </w:rPr>
        <w:t xml:space="preserve"> AND </w:t>
      </w:r>
      <w:r w:rsidR="0020410A" w:rsidRPr="00AD5C42">
        <w:rPr>
          <w:rFonts w:ascii="Book Antiqua" w:hAnsi="Book Antiqua"/>
          <w:b/>
          <w:color w:val="000000" w:themeColor="text1"/>
          <w:sz w:val="24"/>
          <w:szCs w:val="24"/>
        </w:rPr>
        <w:t xml:space="preserve">PREVENTION OF </w:t>
      </w:r>
      <w:r w:rsidRPr="00AD5C42">
        <w:rPr>
          <w:rFonts w:ascii="Book Antiqua" w:hAnsi="Book Antiqua"/>
          <w:b/>
          <w:color w:val="000000" w:themeColor="text1"/>
          <w:sz w:val="24"/>
          <w:szCs w:val="24"/>
        </w:rPr>
        <w:t>ANTIMICROBIAL RESISTANCE</w:t>
      </w:r>
      <w:r w:rsidR="004B7A9A" w:rsidRPr="00AD5C42">
        <w:rPr>
          <w:rFonts w:ascii="Book Antiqua" w:hAnsi="Book Antiqua"/>
          <w:b/>
          <w:color w:val="000000" w:themeColor="text1"/>
          <w:sz w:val="24"/>
          <w:szCs w:val="24"/>
        </w:rPr>
        <w:t xml:space="preserve"> </w:t>
      </w:r>
    </w:p>
    <w:p w14:paraId="3FAA20DE" w14:textId="08C4DDCF" w:rsidR="00E74B75" w:rsidRPr="00AD5C42" w:rsidRDefault="007B28F4" w:rsidP="001C09DA">
      <w:pPr>
        <w:adjustRightInd w:val="0"/>
        <w:snapToGrid w:val="0"/>
        <w:spacing w:line="360" w:lineRule="auto"/>
        <w:rPr>
          <w:rFonts w:ascii="Book Antiqua" w:hAnsi="Book Antiqua"/>
          <w:color w:val="000000" w:themeColor="text1"/>
          <w:sz w:val="24"/>
          <w:szCs w:val="24"/>
        </w:rPr>
      </w:pPr>
      <w:r w:rsidRPr="00AD5C42">
        <w:rPr>
          <w:rFonts w:ascii="Book Antiqua" w:hAnsi="Book Antiqua"/>
          <w:color w:val="000000" w:themeColor="text1"/>
          <w:sz w:val="24"/>
          <w:szCs w:val="24"/>
        </w:rPr>
        <w:t>A</w:t>
      </w:r>
      <w:r w:rsidR="004F45FE" w:rsidRPr="00AD5C42">
        <w:rPr>
          <w:rFonts w:ascii="Book Antiqua" w:hAnsi="Book Antiqua"/>
          <w:color w:val="000000" w:themeColor="text1"/>
          <w:sz w:val="24"/>
          <w:szCs w:val="24"/>
        </w:rPr>
        <w:t xml:space="preserve"> new strategy </w:t>
      </w:r>
      <w:r w:rsidR="00AC69EB" w:rsidRPr="00AD5C42">
        <w:rPr>
          <w:rFonts w:ascii="Book Antiqua" w:hAnsi="Book Antiqua"/>
          <w:color w:val="000000" w:themeColor="text1"/>
          <w:sz w:val="24"/>
          <w:szCs w:val="24"/>
        </w:rPr>
        <w:t xml:space="preserve">that </w:t>
      </w:r>
      <w:r w:rsidR="004F45FE" w:rsidRPr="00AD5C42">
        <w:rPr>
          <w:rFonts w:ascii="Book Antiqua" w:hAnsi="Book Antiqua"/>
          <w:color w:val="000000" w:themeColor="text1"/>
          <w:sz w:val="24"/>
          <w:szCs w:val="24"/>
        </w:rPr>
        <w:t xml:space="preserve">could </w:t>
      </w:r>
      <w:r w:rsidR="000523B1" w:rsidRPr="00AD5C42">
        <w:rPr>
          <w:rFonts w:ascii="Book Antiqua" w:hAnsi="Book Antiqua"/>
          <w:color w:val="000000" w:themeColor="text1"/>
          <w:sz w:val="24"/>
          <w:szCs w:val="24"/>
        </w:rPr>
        <w:t>provide</w:t>
      </w:r>
      <w:r w:rsidR="004F45FE" w:rsidRPr="00AD5C42">
        <w:rPr>
          <w:rFonts w:ascii="Book Antiqua" w:hAnsi="Book Antiqua"/>
          <w:color w:val="000000" w:themeColor="text1"/>
          <w:sz w:val="24"/>
          <w:szCs w:val="24"/>
        </w:rPr>
        <w:t xml:space="preserve"> </w:t>
      </w:r>
      <w:r w:rsidR="0084022E" w:rsidRPr="00AD5C42">
        <w:rPr>
          <w:rFonts w:ascii="Book Antiqua" w:hAnsi="Book Antiqua"/>
          <w:color w:val="000000" w:themeColor="text1"/>
          <w:sz w:val="24"/>
          <w:szCs w:val="24"/>
        </w:rPr>
        <w:t xml:space="preserve">sufficient </w:t>
      </w:r>
      <w:r w:rsidR="004F45FE" w:rsidRPr="00AD5C42">
        <w:rPr>
          <w:rFonts w:ascii="Book Antiqua" w:hAnsi="Book Antiqua"/>
          <w:color w:val="000000" w:themeColor="text1"/>
          <w:sz w:val="24"/>
          <w:szCs w:val="24"/>
        </w:rPr>
        <w:t>eradication rate</w:t>
      </w:r>
      <w:r w:rsidR="00E16A2C" w:rsidRPr="00AD5C42">
        <w:rPr>
          <w:rFonts w:ascii="Book Antiqua" w:hAnsi="Book Antiqua"/>
          <w:color w:val="000000" w:themeColor="text1"/>
          <w:sz w:val="24"/>
          <w:szCs w:val="24"/>
        </w:rPr>
        <w:t>s</w:t>
      </w:r>
      <w:r w:rsidR="004F45FE" w:rsidRPr="00AD5C42">
        <w:rPr>
          <w:rFonts w:ascii="Book Antiqua" w:hAnsi="Book Antiqua"/>
          <w:color w:val="000000" w:themeColor="text1"/>
          <w:sz w:val="24"/>
          <w:szCs w:val="24"/>
        </w:rPr>
        <w:t xml:space="preserve"> as well as </w:t>
      </w:r>
      <w:r w:rsidRPr="00AD5C42">
        <w:rPr>
          <w:rFonts w:ascii="Book Antiqua" w:hAnsi="Book Antiqua"/>
          <w:color w:val="000000" w:themeColor="text1"/>
          <w:sz w:val="24"/>
          <w:szCs w:val="24"/>
        </w:rPr>
        <w:t>decrease</w:t>
      </w:r>
      <w:r w:rsidR="004F45FE" w:rsidRPr="00AD5C42">
        <w:rPr>
          <w:rFonts w:ascii="Book Antiqua" w:hAnsi="Book Antiqua"/>
          <w:color w:val="000000" w:themeColor="text1"/>
          <w:sz w:val="24"/>
          <w:szCs w:val="24"/>
        </w:rPr>
        <w:t xml:space="preserve"> the</w:t>
      </w:r>
      <w:r w:rsidR="00E16A2C" w:rsidRPr="00AD5C42">
        <w:rPr>
          <w:rFonts w:ascii="Book Antiqua" w:hAnsi="Book Antiqua"/>
          <w:color w:val="000000" w:themeColor="text1"/>
          <w:sz w:val="24"/>
          <w:szCs w:val="24"/>
        </w:rPr>
        <w:t xml:space="preserve"> amount of</w:t>
      </w:r>
      <w:r w:rsidR="004F45FE" w:rsidRPr="00AD5C42">
        <w:rPr>
          <w:rFonts w:ascii="Book Antiqua" w:hAnsi="Book Antiqua"/>
          <w:color w:val="000000" w:themeColor="text1"/>
          <w:sz w:val="24"/>
          <w:szCs w:val="24"/>
        </w:rPr>
        <w:t xml:space="preserve"> antibiotics is </w:t>
      </w:r>
      <w:r w:rsidR="00E66B3A" w:rsidRPr="00AD5C42">
        <w:rPr>
          <w:rFonts w:ascii="Book Antiqua" w:hAnsi="Book Antiqua"/>
          <w:color w:val="000000" w:themeColor="text1"/>
          <w:sz w:val="24"/>
          <w:szCs w:val="24"/>
        </w:rPr>
        <w:t>essential</w:t>
      </w:r>
      <w:r w:rsidR="000523B1" w:rsidRPr="00AD5C42">
        <w:rPr>
          <w:rFonts w:ascii="Book Antiqua" w:hAnsi="Book Antiqua"/>
          <w:color w:val="000000" w:themeColor="text1"/>
          <w:sz w:val="24"/>
          <w:szCs w:val="24"/>
        </w:rPr>
        <w:t xml:space="preserve"> </w:t>
      </w:r>
      <w:r w:rsidR="00552873" w:rsidRPr="00AD5C42">
        <w:rPr>
          <w:rFonts w:ascii="Book Antiqua" w:hAnsi="Book Antiqua"/>
          <w:color w:val="000000" w:themeColor="text1"/>
          <w:sz w:val="24"/>
          <w:szCs w:val="24"/>
        </w:rPr>
        <w:t>for</w:t>
      </w:r>
      <w:r w:rsidR="004F45FE" w:rsidRPr="00AD5C42">
        <w:rPr>
          <w:rFonts w:ascii="Book Antiqua" w:hAnsi="Book Antiqua"/>
          <w:color w:val="000000" w:themeColor="text1"/>
          <w:sz w:val="24"/>
          <w:szCs w:val="24"/>
        </w:rPr>
        <w:t xml:space="preserve"> </w:t>
      </w:r>
      <w:r w:rsidRPr="00AD5C42">
        <w:rPr>
          <w:rFonts w:ascii="Book Antiqua" w:hAnsi="Book Antiqua"/>
          <w:color w:val="000000" w:themeColor="text1"/>
          <w:sz w:val="24"/>
          <w:szCs w:val="24"/>
        </w:rPr>
        <w:t xml:space="preserve">the </w:t>
      </w:r>
      <w:r w:rsidR="00DD6276" w:rsidRPr="00AD5C42">
        <w:rPr>
          <w:rFonts w:ascii="Book Antiqua" w:hAnsi="Book Antiqua"/>
          <w:color w:val="000000" w:themeColor="text1"/>
          <w:sz w:val="24"/>
          <w:szCs w:val="24"/>
        </w:rPr>
        <w:t>prevent</w:t>
      </w:r>
      <w:r w:rsidR="00552873" w:rsidRPr="00AD5C42">
        <w:rPr>
          <w:rFonts w:ascii="Book Antiqua" w:hAnsi="Book Antiqua"/>
          <w:color w:val="000000" w:themeColor="text1"/>
          <w:sz w:val="24"/>
          <w:szCs w:val="24"/>
        </w:rPr>
        <w:t>i</w:t>
      </w:r>
      <w:r w:rsidRPr="00AD5C42">
        <w:rPr>
          <w:rFonts w:ascii="Book Antiqua" w:hAnsi="Book Antiqua"/>
          <w:color w:val="000000" w:themeColor="text1"/>
          <w:sz w:val="24"/>
          <w:szCs w:val="24"/>
        </w:rPr>
        <w:t>on</w:t>
      </w:r>
      <w:r w:rsidR="00DD6276" w:rsidRPr="00AD5C42">
        <w:rPr>
          <w:rFonts w:ascii="Book Antiqua" w:hAnsi="Book Antiqua"/>
          <w:color w:val="000000" w:themeColor="text1"/>
          <w:sz w:val="24"/>
          <w:szCs w:val="24"/>
        </w:rPr>
        <w:t xml:space="preserve"> </w:t>
      </w:r>
      <w:r w:rsidRPr="00AD5C42">
        <w:rPr>
          <w:rFonts w:ascii="Book Antiqua" w:hAnsi="Book Antiqua"/>
          <w:color w:val="000000" w:themeColor="text1"/>
          <w:sz w:val="24"/>
          <w:szCs w:val="24"/>
        </w:rPr>
        <w:t xml:space="preserve">of </w:t>
      </w:r>
      <w:r w:rsidR="004F2687" w:rsidRPr="00AD5C42">
        <w:rPr>
          <w:rFonts w:ascii="Book Antiqua" w:hAnsi="Book Antiqua"/>
          <w:color w:val="000000" w:themeColor="text1"/>
          <w:sz w:val="24"/>
          <w:szCs w:val="24"/>
        </w:rPr>
        <w:t xml:space="preserve">future </w:t>
      </w:r>
      <w:r w:rsidR="00D65596" w:rsidRPr="00AD5C42">
        <w:rPr>
          <w:rFonts w:ascii="Book Antiqua" w:hAnsi="Book Antiqua"/>
          <w:color w:val="000000" w:themeColor="text1"/>
          <w:sz w:val="24"/>
          <w:szCs w:val="24"/>
        </w:rPr>
        <w:t>antimicrobial</w:t>
      </w:r>
      <w:r w:rsidR="00DD6276" w:rsidRPr="00AD5C42">
        <w:rPr>
          <w:rFonts w:ascii="Book Antiqua" w:hAnsi="Book Antiqua"/>
          <w:color w:val="000000" w:themeColor="text1"/>
          <w:sz w:val="24"/>
          <w:szCs w:val="24"/>
        </w:rPr>
        <w:t xml:space="preserve"> resistance</w:t>
      </w:r>
      <w:r w:rsidR="003F7C2E" w:rsidRPr="00AD5C42">
        <w:rPr>
          <w:rFonts w:ascii="Book Antiqua" w:hAnsi="Book Antiqua"/>
          <w:color w:val="000000" w:themeColor="text1"/>
          <w:sz w:val="24"/>
          <w:szCs w:val="24"/>
        </w:rPr>
        <w:t xml:space="preserve"> of</w:t>
      </w:r>
      <w:r w:rsidR="00DD6276" w:rsidRPr="00AD5C42">
        <w:rPr>
          <w:rFonts w:ascii="Book Antiqua" w:hAnsi="Book Antiqua"/>
          <w:color w:val="000000" w:themeColor="text1"/>
          <w:sz w:val="24"/>
          <w:szCs w:val="24"/>
        </w:rPr>
        <w:t xml:space="preserve"> </w:t>
      </w:r>
      <w:r w:rsidR="00DD6276" w:rsidRPr="00AD5C42">
        <w:rPr>
          <w:rFonts w:ascii="Book Antiqua" w:hAnsi="Book Antiqua"/>
          <w:i/>
          <w:color w:val="000000" w:themeColor="text1"/>
          <w:sz w:val="24"/>
          <w:szCs w:val="24"/>
        </w:rPr>
        <w:t>H. pylori</w:t>
      </w:r>
      <w:r w:rsidR="004F45FE" w:rsidRPr="00AD5C42">
        <w:rPr>
          <w:rFonts w:ascii="Book Antiqua" w:hAnsi="Book Antiqua"/>
          <w:color w:val="000000" w:themeColor="text1"/>
          <w:sz w:val="24"/>
          <w:szCs w:val="24"/>
        </w:rPr>
        <w:t>.</w:t>
      </w:r>
      <w:r w:rsidR="00DD6276" w:rsidRPr="00AD5C42">
        <w:rPr>
          <w:rFonts w:ascii="Book Antiqua" w:hAnsi="Book Antiqua"/>
          <w:color w:val="000000" w:themeColor="text1"/>
          <w:sz w:val="24"/>
          <w:szCs w:val="24"/>
        </w:rPr>
        <w:t xml:space="preserve"> </w:t>
      </w:r>
      <w:r w:rsidR="009D3385" w:rsidRPr="00AD5C42">
        <w:rPr>
          <w:rFonts w:ascii="Book Antiqua" w:hAnsi="Book Antiqua"/>
          <w:color w:val="000000" w:themeColor="text1"/>
          <w:sz w:val="24"/>
          <w:szCs w:val="24"/>
        </w:rPr>
        <w:t xml:space="preserve">Dual therapy </w:t>
      </w:r>
      <w:r w:rsidR="00552873" w:rsidRPr="00AD5C42">
        <w:rPr>
          <w:rFonts w:ascii="Book Antiqua" w:hAnsi="Book Antiqua"/>
          <w:color w:val="000000" w:themeColor="text1"/>
          <w:sz w:val="24"/>
          <w:szCs w:val="24"/>
        </w:rPr>
        <w:t xml:space="preserve">with </w:t>
      </w:r>
      <w:r w:rsidR="00850087" w:rsidRPr="00AD5C42">
        <w:rPr>
          <w:rFonts w:ascii="Book Antiqua" w:hAnsi="Book Antiqua"/>
          <w:color w:val="000000" w:themeColor="text1"/>
          <w:sz w:val="24"/>
          <w:szCs w:val="24"/>
        </w:rPr>
        <w:t xml:space="preserve">AMPC and PPI </w:t>
      </w:r>
      <w:r w:rsidR="0084022E" w:rsidRPr="00AD5C42">
        <w:rPr>
          <w:rFonts w:ascii="Book Antiqua" w:hAnsi="Book Antiqua"/>
          <w:color w:val="000000" w:themeColor="text1"/>
          <w:sz w:val="24"/>
          <w:szCs w:val="24"/>
        </w:rPr>
        <w:t>could</w:t>
      </w:r>
      <w:r w:rsidR="00850087" w:rsidRPr="00AD5C42">
        <w:rPr>
          <w:rFonts w:ascii="Book Antiqua" w:hAnsi="Book Antiqua"/>
          <w:color w:val="000000" w:themeColor="text1"/>
          <w:sz w:val="24"/>
          <w:szCs w:val="24"/>
        </w:rPr>
        <w:t xml:space="preserve"> be</w:t>
      </w:r>
      <w:r w:rsidR="009D3385" w:rsidRPr="00AD5C42">
        <w:rPr>
          <w:rFonts w:ascii="Book Antiqua" w:hAnsi="Book Antiqua"/>
          <w:color w:val="000000" w:themeColor="text1"/>
          <w:sz w:val="24"/>
          <w:szCs w:val="24"/>
        </w:rPr>
        <w:t xml:space="preserve"> </w:t>
      </w:r>
      <w:r w:rsidR="00CB6254" w:rsidRPr="00AD5C42">
        <w:rPr>
          <w:rFonts w:ascii="Book Antiqua" w:hAnsi="Book Antiqua"/>
          <w:color w:val="000000" w:themeColor="text1"/>
          <w:sz w:val="24"/>
          <w:szCs w:val="24"/>
        </w:rPr>
        <w:t xml:space="preserve">a possible solution </w:t>
      </w:r>
      <w:r w:rsidR="003C04AF" w:rsidRPr="00AD5C42">
        <w:rPr>
          <w:rFonts w:ascii="Book Antiqua" w:hAnsi="Book Antiqua"/>
          <w:color w:val="000000" w:themeColor="text1"/>
          <w:sz w:val="24"/>
          <w:szCs w:val="24"/>
        </w:rPr>
        <w:t>because</w:t>
      </w:r>
      <w:r w:rsidR="009D3385" w:rsidRPr="00AD5C42">
        <w:rPr>
          <w:rFonts w:ascii="Book Antiqua" w:hAnsi="Book Antiqua"/>
          <w:color w:val="000000" w:themeColor="text1"/>
          <w:sz w:val="24"/>
          <w:szCs w:val="24"/>
        </w:rPr>
        <w:t xml:space="preserve"> </w:t>
      </w:r>
      <w:r w:rsidR="003C04AF" w:rsidRPr="00AD5C42">
        <w:rPr>
          <w:rFonts w:ascii="Book Antiqua" w:hAnsi="Book Antiqua"/>
          <w:color w:val="000000" w:themeColor="text1"/>
          <w:sz w:val="24"/>
          <w:szCs w:val="24"/>
        </w:rPr>
        <w:t>this regimen is</w:t>
      </w:r>
      <w:r w:rsidR="00E16A2C" w:rsidRPr="00AD5C42">
        <w:rPr>
          <w:rFonts w:ascii="Book Antiqua" w:hAnsi="Book Antiqua"/>
          <w:color w:val="000000" w:themeColor="text1"/>
          <w:sz w:val="24"/>
          <w:szCs w:val="24"/>
        </w:rPr>
        <w:t xml:space="preserve"> a</w:t>
      </w:r>
      <w:r w:rsidR="003C04AF" w:rsidRPr="00AD5C42">
        <w:rPr>
          <w:rFonts w:ascii="Book Antiqua" w:hAnsi="Book Antiqua"/>
          <w:color w:val="000000" w:themeColor="text1"/>
          <w:sz w:val="24"/>
          <w:szCs w:val="24"/>
        </w:rPr>
        <w:t xml:space="preserve"> single</w:t>
      </w:r>
      <w:r w:rsidR="00E16A2C" w:rsidRPr="00AD5C42">
        <w:rPr>
          <w:rFonts w:ascii="Book Antiqua" w:hAnsi="Book Antiqua"/>
          <w:color w:val="000000" w:themeColor="text1"/>
          <w:sz w:val="24"/>
          <w:szCs w:val="24"/>
        </w:rPr>
        <w:t>-</w:t>
      </w:r>
      <w:r w:rsidR="003C04AF" w:rsidRPr="00AD5C42">
        <w:rPr>
          <w:rFonts w:ascii="Book Antiqua" w:hAnsi="Book Antiqua"/>
          <w:color w:val="000000" w:themeColor="text1"/>
          <w:sz w:val="24"/>
          <w:szCs w:val="24"/>
        </w:rPr>
        <w:t>antibiotic therapy</w:t>
      </w:r>
      <w:r w:rsidR="00552873" w:rsidRPr="00AD5C42">
        <w:rPr>
          <w:rFonts w:ascii="Book Antiqua" w:hAnsi="Book Antiqua"/>
          <w:color w:val="000000" w:themeColor="text1"/>
          <w:sz w:val="24"/>
          <w:szCs w:val="24"/>
        </w:rPr>
        <w:t>,</w:t>
      </w:r>
      <w:r w:rsidR="000523B1" w:rsidRPr="00AD5C42">
        <w:rPr>
          <w:rFonts w:ascii="Book Antiqua" w:hAnsi="Book Antiqua"/>
          <w:color w:val="000000" w:themeColor="text1"/>
          <w:sz w:val="24"/>
          <w:szCs w:val="24"/>
        </w:rPr>
        <w:t xml:space="preserve"> and</w:t>
      </w:r>
      <w:r w:rsidR="003C04AF" w:rsidRPr="00AD5C42">
        <w:rPr>
          <w:rFonts w:ascii="Book Antiqua" w:hAnsi="Book Antiqua"/>
          <w:color w:val="000000" w:themeColor="text1"/>
          <w:sz w:val="24"/>
          <w:szCs w:val="24"/>
        </w:rPr>
        <w:t xml:space="preserve"> </w:t>
      </w:r>
      <w:r w:rsidR="00E16A2C" w:rsidRPr="00AD5C42">
        <w:rPr>
          <w:rFonts w:ascii="Book Antiqua" w:hAnsi="Book Antiqua"/>
          <w:color w:val="000000" w:themeColor="text1"/>
          <w:sz w:val="24"/>
          <w:szCs w:val="24"/>
        </w:rPr>
        <w:t xml:space="preserve">it is well known that </w:t>
      </w:r>
      <w:r w:rsidR="00577CB7" w:rsidRPr="00AD5C42">
        <w:rPr>
          <w:rFonts w:ascii="Book Antiqua" w:hAnsi="Book Antiqua"/>
          <w:i/>
          <w:color w:val="000000" w:themeColor="text1"/>
          <w:sz w:val="24"/>
          <w:szCs w:val="24"/>
        </w:rPr>
        <w:t>H. pylori</w:t>
      </w:r>
      <w:r w:rsidR="00577CB7" w:rsidRPr="00AD5C42">
        <w:rPr>
          <w:rFonts w:ascii="Book Antiqua" w:hAnsi="Book Antiqua"/>
          <w:color w:val="000000" w:themeColor="text1"/>
          <w:sz w:val="24"/>
          <w:szCs w:val="24"/>
        </w:rPr>
        <w:t xml:space="preserve"> is hardly resistant to AMPC. Currently, the resistance rates of </w:t>
      </w:r>
      <w:r w:rsidR="00577CB7" w:rsidRPr="00AD5C42">
        <w:rPr>
          <w:rFonts w:ascii="Book Antiqua" w:hAnsi="Book Antiqua"/>
          <w:i/>
          <w:color w:val="000000" w:themeColor="text1"/>
          <w:sz w:val="24"/>
          <w:szCs w:val="24"/>
        </w:rPr>
        <w:t>H. pylori</w:t>
      </w:r>
      <w:r w:rsidR="00577CB7" w:rsidRPr="00AD5C42">
        <w:rPr>
          <w:rFonts w:ascii="Book Antiqua" w:hAnsi="Book Antiqua"/>
          <w:color w:val="000000" w:themeColor="text1"/>
          <w:sz w:val="24"/>
          <w:szCs w:val="24"/>
        </w:rPr>
        <w:t xml:space="preserve"> to </w:t>
      </w:r>
      <w:r w:rsidR="00132F3C" w:rsidRPr="00AD5C42">
        <w:rPr>
          <w:rFonts w:ascii="Book Antiqua" w:hAnsi="Book Antiqua"/>
          <w:color w:val="000000" w:themeColor="text1"/>
          <w:sz w:val="24"/>
          <w:szCs w:val="24"/>
        </w:rPr>
        <w:t>A</w:t>
      </w:r>
      <w:r w:rsidR="00577CB7" w:rsidRPr="00AD5C42">
        <w:rPr>
          <w:rFonts w:ascii="Book Antiqua" w:hAnsi="Book Antiqua"/>
          <w:color w:val="000000" w:themeColor="text1"/>
          <w:sz w:val="24"/>
          <w:szCs w:val="24"/>
        </w:rPr>
        <w:t>MPC remain low (0</w:t>
      </w:r>
      <w:r w:rsidR="001C09DA" w:rsidRPr="00AD5C42">
        <w:rPr>
          <w:rFonts w:ascii="Book Antiqua" w:hAnsi="Book Antiqua"/>
          <w:color w:val="000000" w:themeColor="text1"/>
          <w:sz w:val="24"/>
          <w:szCs w:val="24"/>
        </w:rPr>
        <w:t>%</w:t>
      </w:r>
      <w:r w:rsidR="00D65596" w:rsidRPr="00AD5C42">
        <w:rPr>
          <w:rFonts w:ascii="Book Antiqua" w:hAnsi="Book Antiqua"/>
          <w:color w:val="000000" w:themeColor="text1"/>
          <w:sz w:val="24"/>
          <w:szCs w:val="24"/>
        </w:rPr>
        <w:t>-</w:t>
      </w:r>
      <w:r w:rsidR="00577CB7" w:rsidRPr="00AD5C42">
        <w:rPr>
          <w:rFonts w:ascii="Book Antiqua" w:hAnsi="Book Antiqua"/>
          <w:color w:val="000000" w:themeColor="text1"/>
          <w:sz w:val="24"/>
          <w:szCs w:val="24"/>
        </w:rPr>
        <w:t>5</w:t>
      </w:r>
      <w:proofErr w:type="gramStart"/>
      <w:r w:rsidR="00577CB7" w:rsidRPr="00AD5C42">
        <w:rPr>
          <w:rFonts w:ascii="Book Antiqua" w:hAnsi="Book Antiqua"/>
          <w:color w:val="000000" w:themeColor="text1"/>
          <w:sz w:val="24"/>
          <w:szCs w:val="24"/>
        </w:rPr>
        <w:t>%)</w:t>
      </w:r>
      <w:r w:rsidR="001C09DA" w:rsidRPr="00AD5C42">
        <w:rPr>
          <w:rFonts w:ascii="Book Antiqua" w:hAnsi="Book Antiqua"/>
          <w:color w:val="000000" w:themeColor="text1"/>
          <w:sz w:val="24"/>
          <w:szCs w:val="24"/>
          <w:vertAlign w:val="superscript"/>
        </w:rPr>
        <w:t>[</w:t>
      </w:r>
      <w:proofErr w:type="gramEnd"/>
      <w:r w:rsidR="001C09DA" w:rsidRPr="00AD5C42">
        <w:rPr>
          <w:rFonts w:ascii="Book Antiqua" w:hAnsi="Book Antiqua"/>
          <w:color w:val="000000" w:themeColor="text1"/>
          <w:sz w:val="24"/>
          <w:szCs w:val="24"/>
          <w:vertAlign w:val="superscript"/>
        </w:rPr>
        <w:t>19,</w:t>
      </w:r>
      <w:r w:rsidR="00F26A74" w:rsidRPr="00AD5C42">
        <w:rPr>
          <w:rFonts w:ascii="Book Antiqua" w:hAnsi="Book Antiqua"/>
          <w:color w:val="000000" w:themeColor="text1"/>
          <w:sz w:val="24"/>
          <w:szCs w:val="24"/>
          <w:vertAlign w:val="superscript"/>
        </w:rPr>
        <w:t>20]</w:t>
      </w:r>
      <w:r w:rsidR="007F3E48" w:rsidRPr="00AD5C42">
        <w:rPr>
          <w:rFonts w:ascii="Book Antiqua" w:hAnsi="Book Antiqua"/>
          <w:color w:val="000000" w:themeColor="text1"/>
          <w:sz w:val="24"/>
          <w:szCs w:val="24"/>
        </w:rPr>
        <w:t>.</w:t>
      </w:r>
      <w:r w:rsidR="00577CB7" w:rsidRPr="00AD5C42">
        <w:rPr>
          <w:rFonts w:ascii="Book Antiqua" w:hAnsi="Book Antiqua"/>
          <w:color w:val="000000" w:themeColor="text1"/>
          <w:sz w:val="24"/>
          <w:szCs w:val="24"/>
        </w:rPr>
        <w:t xml:space="preserve"> </w:t>
      </w:r>
      <w:r w:rsidR="0066046E" w:rsidRPr="00AD5C42">
        <w:rPr>
          <w:rFonts w:ascii="Book Antiqua" w:hAnsi="Book Antiqua"/>
          <w:color w:val="000000" w:themeColor="text1"/>
          <w:sz w:val="24"/>
          <w:szCs w:val="24"/>
        </w:rPr>
        <w:t xml:space="preserve">A dual therapy </w:t>
      </w:r>
      <w:r w:rsidRPr="00AD5C42">
        <w:rPr>
          <w:rFonts w:ascii="Book Antiqua" w:hAnsi="Book Antiqua"/>
          <w:color w:val="000000" w:themeColor="text1"/>
          <w:sz w:val="24"/>
          <w:szCs w:val="24"/>
        </w:rPr>
        <w:t xml:space="preserve">comprising </w:t>
      </w:r>
      <w:r w:rsidR="0066046E" w:rsidRPr="00AD5C42">
        <w:rPr>
          <w:rFonts w:ascii="Book Antiqua" w:hAnsi="Book Antiqua"/>
          <w:color w:val="000000" w:themeColor="text1"/>
          <w:sz w:val="24"/>
          <w:szCs w:val="24"/>
        </w:rPr>
        <w:t xml:space="preserve">a PPI and </w:t>
      </w:r>
      <w:r w:rsidR="0066046E" w:rsidRPr="00AD5C42">
        <w:rPr>
          <w:rFonts w:ascii="Book Antiqua" w:hAnsi="Book Antiqua"/>
          <w:color w:val="000000" w:themeColor="text1"/>
          <w:sz w:val="24"/>
          <w:szCs w:val="24"/>
        </w:rPr>
        <w:lastRenderedPageBreak/>
        <w:t>AMPC was first introduced in the 1990s as a first</w:t>
      </w:r>
      <w:r w:rsidR="00E16A2C" w:rsidRPr="00AD5C42">
        <w:rPr>
          <w:rFonts w:ascii="Book Antiqua" w:hAnsi="Book Antiqua"/>
          <w:color w:val="000000" w:themeColor="text1"/>
          <w:sz w:val="24"/>
          <w:szCs w:val="24"/>
        </w:rPr>
        <w:t>-</w:t>
      </w:r>
      <w:r w:rsidR="0066046E" w:rsidRPr="00AD5C42">
        <w:rPr>
          <w:rFonts w:ascii="Book Antiqua" w:hAnsi="Book Antiqua"/>
          <w:color w:val="000000" w:themeColor="text1"/>
          <w:sz w:val="24"/>
          <w:szCs w:val="24"/>
        </w:rPr>
        <w:t xml:space="preserve">line regimen </w:t>
      </w:r>
      <w:r w:rsidRPr="00AD5C42">
        <w:rPr>
          <w:rFonts w:ascii="Book Antiqua" w:hAnsi="Book Antiqua"/>
          <w:color w:val="000000" w:themeColor="text1"/>
          <w:sz w:val="24"/>
          <w:szCs w:val="24"/>
        </w:rPr>
        <w:t>for</w:t>
      </w:r>
      <w:r w:rsidR="0066046E" w:rsidRPr="00AD5C42">
        <w:rPr>
          <w:rFonts w:ascii="Book Antiqua" w:hAnsi="Book Antiqua"/>
          <w:color w:val="000000" w:themeColor="text1"/>
          <w:sz w:val="24"/>
          <w:szCs w:val="24"/>
        </w:rPr>
        <w:t xml:space="preserve"> </w:t>
      </w:r>
      <w:r w:rsidR="0066046E" w:rsidRPr="00AD5C42">
        <w:rPr>
          <w:rFonts w:ascii="Book Antiqua" w:hAnsi="Book Antiqua"/>
          <w:i/>
          <w:color w:val="000000" w:themeColor="text1"/>
          <w:sz w:val="24"/>
          <w:szCs w:val="24"/>
        </w:rPr>
        <w:t>H. pylori</w:t>
      </w:r>
      <w:r w:rsidR="0066046E" w:rsidRPr="00AD5C42">
        <w:rPr>
          <w:rFonts w:ascii="Book Antiqua" w:hAnsi="Book Antiqua"/>
          <w:color w:val="000000" w:themeColor="text1"/>
          <w:sz w:val="24"/>
          <w:szCs w:val="24"/>
        </w:rPr>
        <w:t xml:space="preserve"> </w:t>
      </w:r>
      <w:proofErr w:type="gramStart"/>
      <w:r w:rsidR="0066046E" w:rsidRPr="00AD5C42">
        <w:rPr>
          <w:rFonts w:ascii="Book Antiqua" w:hAnsi="Book Antiqua"/>
          <w:color w:val="000000" w:themeColor="text1"/>
          <w:sz w:val="24"/>
          <w:szCs w:val="24"/>
        </w:rPr>
        <w:t>infection</w:t>
      </w:r>
      <w:r w:rsidR="00F26A74" w:rsidRPr="00AD5C42">
        <w:rPr>
          <w:rFonts w:ascii="Book Antiqua" w:hAnsi="Book Antiqua"/>
          <w:color w:val="000000" w:themeColor="text1"/>
          <w:sz w:val="24"/>
          <w:szCs w:val="24"/>
          <w:vertAlign w:val="superscript"/>
        </w:rPr>
        <w:t>[</w:t>
      </w:r>
      <w:proofErr w:type="gramEnd"/>
      <w:r w:rsidR="00F26A74" w:rsidRPr="00AD5C42">
        <w:rPr>
          <w:rFonts w:ascii="Book Antiqua" w:hAnsi="Book Antiqua"/>
          <w:color w:val="000000" w:themeColor="text1"/>
          <w:sz w:val="24"/>
          <w:szCs w:val="24"/>
          <w:vertAlign w:val="superscript"/>
        </w:rPr>
        <w:t>21]</w:t>
      </w:r>
      <w:r w:rsidR="007F3E48" w:rsidRPr="00AD5C42">
        <w:rPr>
          <w:rFonts w:ascii="Book Antiqua" w:hAnsi="Book Antiqua"/>
          <w:color w:val="000000" w:themeColor="text1"/>
          <w:sz w:val="24"/>
          <w:szCs w:val="24"/>
        </w:rPr>
        <w:t>.</w:t>
      </w:r>
      <w:r w:rsidR="0066046E" w:rsidRPr="00AD5C42">
        <w:rPr>
          <w:rFonts w:ascii="Book Antiqua" w:hAnsi="Book Antiqua"/>
          <w:color w:val="000000" w:themeColor="text1"/>
          <w:sz w:val="24"/>
          <w:szCs w:val="24"/>
        </w:rPr>
        <w:t xml:space="preserve"> </w:t>
      </w:r>
      <w:r w:rsidR="00D65596" w:rsidRPr="00AD5C42">
        <w:rPr>
          <w:rFonts w:ascii="Book Antiqua" w:hAnsi="Book Antiqua"/>
          <w:color w:val="000000" w:themeColor="text1"/>
          <w:sz w:val="24"/>
          <w:szCs w:val="24"/>
        </w:rPr>
        <w:t>A</w:t>
      </w:r>
      <w:r w:rsidR="0066046E" w:rsidRPr="00AD5C42">
        <w:rPr>
          <w:rFonts w:ascii="Book Antiqua" w:hAnsi="Book Antiqua"/>
          <w:color w:val="000000" w:themeColor="text1"/>
          <w:sz w:val="24"/>
          <w:szCs w:val="24"/>
        </w:rPr>
        <w:t xml:space="preserve">s </w:t>
      </w:r>
      <w:r w:rsidR="00D629E4" w:rsidRPr="00AD5C42">
        <w:rPr>
          <w:rFonts w:ascii="Book Antiqua" w:hAnsi="Book Antiqua"/>
          <w:color w:val="000000" w:themeColor="text1"/>
          <w:kern w:val="0"/>
          <w:sz w:val="24"/>
          <w:szCs w:val="24"/>
        </w:rPr>
        <w:t xml:space="preserve">dual therapy of PPI and AMPC </w:t>
      </w:r>
      <w:r w:rsidR="00552873" w:rsidRPr="00AD5C42">
        <w:rPr>
          <w:rFonts w:ascii="Book Antiqua" w:hAnsi="Book Antiqua"/>
          <w:color w:val="000000" w:themeColor="text1"/>
          <w:kern w:val="0"/>
          <w:sz w:val="24"/>
          <w:szCs w:val="24"/>
        </w:rPr>
        <w:t>administered</w:t>
      </w:r>
      <w:r w:rsidR="00D629E4" w:rsidRPr="00AD5C42">
        <w:rPr>
          <w:rFonts w:ascii="Book Antiqua" w:hAnsi="Book Antiqua"/>
          <w:color w:val="000000" w:themeColor="text1"/>
          <w:kern w:val="0"/>
          <w:sz w:val="24"/>
          <w:szCs w:val="24"/>
        </w:rPr>
        <w:t xml:space="preserve"> at standard doses did not achieve satisfactory treatment </w:t>
      </w:r>
      <w:proofErr w:type="gramStart"/>
      <w:r w:rsidR="00D629E4" w:rsidRPr="00AD5C42">
        <w:rPr>
          <w:rFonts w:ascii="Book Antiqua" w:hAnsi="Book Antiqua"/>
          <w:color w:val="000000" w:themeColor="text1"/>
          <w:kern w:val="0"/>
          <w:sz w:val="24"/>
          <w:szCs w:val="24"/>
        </w:rPr>
        <w:t>outcomes</w:t>
      </w:r>
      <w:r w:rsidR="001C09DA" w:rsidRPr="00AD5C42">
        <w:rPr>
          <w:rFonts w:ascii="Book Antiqua" w:hAnsi="Book Antiqua"/>
          <w:color w:val="000000" w:themeColor="text1"/>
          <w:kern w:val="0"/>
          <w:sz w:val="24"/>
          <w:szCs w:val="24"/>
          <w:vertAlign w:val="superscript"/>
        </w:rPr>
        <w:t>[</w:t>
      </w:r>
      <w:proofErr w:type="gramEnd"/>
      <w:r w:rsidR="001C09DA" w:rsidRPr="00AD5C42">
        <w:rPr>
          <w:rFonts w:ascii="Book Antiqua" w:hAnsi="Book Antiqua"/>
          <w:color w:val="000000" w:themeColor="text1"/>
          <w:kern w:val="0"/>
          <w:sz w:val="24"/>
          <w:szCs w:val="24"/>
          <w:vertAlign w:val="superscript"/>
        </w:rPr>
        <w:t>22,</w:t>
      </w:r>
      <w:r w:rsidR="00F26A74" w:rsidRPr="00AD5C42">
        <w:rPr>
          <w:rFonts w:ascii="Book Antiqua" w:hAnsi="Book Antiqua"/>
          <w:color w:val="000000" w:themeColor="text1"/>
          <w:kern w:val="0"/>
          <w:sz w:val="24"/>
          <w:szCs w:val="24"/>
          <w:vertAlign w:val="superscript"/>
        </w:rPr>
        <w:t>23]</w:t>
      </w:r>
      <w:r w:rsidR="00D629E4" w:rsidRPr="00AD5C42">
        <w:rPr>
          <w:rFonts w:ascii="Book Antiqua" w:hAnsi="Book Antiqua"/>
          <w:color w:val="000000" w:themeColor="text1"/>
          <w:kern w:val="0"/>
          <w:sz w:val="24"/>
          <w:szCs w:val="24"/>
        </w:rPr>
        <w:t xml:space="preserve">, </w:t>
      </w:r>
      <w:r w:rsidR="0066046E" w:rsidRPr="00AD5C42">
        <w:rPr>
          <w:rFonts w:ascii="Book Antiqua" w:hAnsi="Book Antiqua"/>
          <w:color w:val="000000" w:themeColor="text1"/>
          <w:sz w:val="24"/>
          <w:szCs w:val="24"/>
        </w:rPr>
        <w:t>it was subsequently used as a salvage treatment.</w:t>
      </w:r>
      <w:r w:rsidR="00391BCD" w:rsidRPr="00AD5C42">
        <w:rPr>
          <w:rFonts w:ascii="Book Antiqua" w:hAnsi="Book Antiqua"/>
          <w:color w:val="000000" w:themeColor="text1"/>
          <w:sz w:val="24"/>
          <w:szCs w:val="24"/>
        </w:rPr>
        <w:t xml:space="preserve"> </w:t>
      </w:r>
      <w:r w:rsidR="001C09DA" w:rsidRPr="00AD5C42">
        <w:rPr>
          <w:rFonts w:ascii="Book Antiqua" w:hAnsi="Book Antiqua"/>
          <w:color w:val="000000" w:themeColor="text1"/>
          <w:sz w:val="24"/>
          <w:szCs w:val="24"/>
        </w:rPr>
        <w:t xml:space="preserve">Recently, Yang </w:t>
      </w:r>
      <w:r w:rsidR="001C09DA" w:rsidRPr="00AD5C42">
        <w:rPr>
          <w:rFonts w:ascii="Book Antiqua" w:hAnsi="Book Antiqua"/>
          <w:i/>
          <w:color w:val="000000" w:themeColor="text1"/>
          <w:sz w:val="24"/>
          <w:szCs w:val="24"/>
        </w:rPr>
        <w:t xml:space="preserve">et </w:t>
      </w:r>
      <w:proofErr w:type="gramStart"/>
      <w:r w:rsidR="001C09DA" w:rsidRPr="00AD5C42">
        <w:rPr>
          <w:rFonts w:ascii="Book Antiqua" w:hAnsi="Book Antiqua"/>
          <w:i/>
          <w:color w:val="000000" w:themeColor="text1"/>
          <w:sz w:val="24"/>
          <w:szCs w:val="24"/>
        </w:rPr>
        <w:t>al</w:t>
      </w:r>
      <w:r w:rsidR="001C09DA" w:rsidRPr="00AD5C42">
        <w:rPr>
          <w:rFonts w:ascii="Book Antiqua" w:hAnsi="Book Antiqua"/>
          <w:color w:val="000000" w:themeColor="text1"/>
          <w:sz w:val="24"/>
          <w:szCs w:val="24"/>
          <w:vertAlign w:val="superscript"/>
        </w:rPr>
        <w:t>[</w:t>
      </w:r>
      <w:proofErr w:type="gramEnd"/>
      <w:r w:rsidR="001C09DA" w:rsidRPr="00AD5C42">
        <w:rPr>
          <w:rFonts w:ascii="Book Antiqua" w:hAnsi="Book Antiqua"/>
          <w:color w:val="000000" w:themeColor="text1"/>
          <w:sz w:val="24"/>
          <w:szCs w:val="24"/>
          <w:vertAlign w:val="superscript"/>
        </w:rPr>
        <w:t>24]</w:t>
      </w:r>
      <w:r w:rsidR="009076F0" w:rsidRPr="00AD5C42">
        <w:rPr>
          <w:rFonts w:ascii="Book Antiqua" w:hAnsi="Book Antiqua"/>
          <w:color w:val="000000" w:themeColor="text1"/>
          <w:sz w:val="24"/>
          <w:szCs w:val="24"/>
        </w:rPr>
        <w:t xml:space="preserve"> reported that a high-dose dual therapy consisting of AMPC and rabeprazole achieved an eradication rate of 95.3% </w:t>
      </w:r>
      <w:r w:rsidR="00552873" w:rsidRPr="00AD5C42">
        <w:rPr>
          <w:rFonts w:ascii="Book Antiqua" w:hAnsi="Book Antiqua"/>
          <w:color w:val="000000" w:themeColor="text1"/>
          <w:sz w:val="24"/>
          <w:szCs w:val="24"/>
        </w:rPr>
        <w:t xml:space="preserve">in </w:t>
      </w:r>
      <w:r w:rsidR="009076F0" w:rsidRPr="00AD5C42">
        <w:rPr>
          <w:rFonts w:ascii="Book Antiqua" w:hAnsi="Book Antiqua"/>
          <w:color w:val="000000" w:themeColor="text1"/>
          <w:sz w:val="24"/>
          <w:szCs w:val="24"/>
        </w:rPr>
        <w:t>first-line therapy, and 89.3% in rescue therapy</w:t>
      </w:r>
      <w:r w:rsidR="007F3E48" w:rsidRPr="00AD5C42">
        <w:rPr>
          <w:rFonts w:ascii="Book Antiqua" w:hAnsi="Book Antiqua"/>
          <w:color w:val="000000" w:themeColor="text1"/>
          <w:sz w:val="24"/>
          <w:szCs w:val="24"/>
        </w:rPr>
        <w:t>.</w:t>
      </w:r>
      <w:r w:rsidR="009076F0" w:rsidRPr="00AD5C42">
        <w:rPr>
          <w:rFonts w:ascii="Book Antiqua" w:hAnsi="Book Antiqua"/>
          <w:color w:val="000000" w:themeColor="text1"/>
          <w:sz w:val="24"/>
          <w:szCs w:val="24"/>
        </w:rPr>
        <w:t xml:space="preserve"> However, </w:t>
      </w:r>
      <w:r w:rsidR="00E16A2C" w:rsidRPr="00AD5C42">
        <w:rPr>
          <w:rFonts w:ascii="Book Antiqua" w:hAnsi="Book Antiqua"/>
          <w:color w:val="000000" w:themeColor="text1"/>
          <w:sz w:val="24"/>
          <w:szCs w:val="24"/>
        </w:rPr>
        <w:t>this method</w:t>
      </w:r>
      <w:r w:rsidR="009076F0" w:rsidRPr="00AD5C42">
        <w:rPr>
          <w:rFonts w:ascii="Book Antiqua" w:hAnsi="Book Antiqua"/>
          <w:color w:val="000000" w:themeColor="text1"/>
          <w:sz w:val="24"/>
          <w:szCs w:val="24"/>
        </w:rPr>
        <w:t xml:space="preserve"> need</w:t>
      </w:r>
      <w:r w:rsidR="00E16A2C" w:rsidRPr="00AD5C42">
        <w:rPr>
          <w:rFonts w:ascii="Book Antiqua" w:hAnsi="Book Antiqua"/>
          <w:color w:val="000000" w:themeColor="text1"/>
          <w:sz w:val="24"/>
          <w:szCs w:val="24"/>
        </w:rPr>
        <w:t>ed</w:t>
      </w:r>
      <w:r w:rsidR="009076F0" w:rsidRPr="00AD5C42">
        <w:rPr>
          <w:rFonts w:ascii="Book Antiqua" w:hAnsi="Book Antiqua"/>
          <w:color w:val="000000" w:themeColor="text1"/>
          <w:sz w:val="24"/>
          <w:szCs w:val="24"/>
        </w:rPr>
        <w:t xml:space="preserve"> </w:t>
      </w:r>
      <w:r w:rsidR="00E16A2C" w:rsidRPr="00AD5C42">
        <w:rPr>
          <w:rFonts w:ascii="Book Antiqua" w:hAnsi="Book Antiqua"/>
          <w:color w:val="000000" w:themeColor="text1"/>
          <w:sz w:val="24"/>
          <w:szCs w:val="24"/>
        </w:rPr>
        <w:t xml:space="preserve">a </w:t>
      </w:r>
      <w:r w:rsidR="009076F0" w:rsidRPr="00AD5C42">
        <w:rPr>
          <w:rFonts w:ascii="Book Antiqua" w:hAnsi="Book Antiqua"/>
          <w:color w:val="000000" w:themeColor="text1"/>
          <w:sz w:val="24"/>
          <w:szCs w:val="24"/>
        </w:rPr>
        <w:t>high frequency and</w:t>
      </w:r>
      <w:r w:rsidR="00E16A2C" w:rsidRPr="00AD5C42">
        <w:rPr>
          <w:rFonts w:ascii="Book Antiqua" w:hAnsi="Book Antiqua"/>
          <w:color w:val="000000" w:themeColor="text1"/>
          <w:sz w:val="24"/>
          <w:szCs w:val="24"/>
        </w:rPr>
        <w:t xml:space="preserve"> a</w:t>
      </w:r>
      <w:r w:rsidR="009076F0" w:rsidRPr="00AD5C42">
        <w:rPr>
          <w:rFonts w:ascii="Book Antiqua" w:hAnsi="Book Antiqua"/>
          <w:color w:val="000000" w:themeColor="text1"/>
          <w:sz w:val="24"/>
          <w:szCs w:val="24"/>
        </w:rPr>
        <w:t xml:space="preserve"> high dose of AMPC and PPI </w:t>
      </w:r>
      <w:r w:rsidR="00840900" w:rsidRPr="00AD5C42">
        <w:rPr>
          <w:rFonts w:ascii="Book Antiqua" w:hAnsi="Book Antiqua"/>
          <w:color w:val="000000" w:themeColor="text1"/>
          <w:sz w:val="24"/>
          <w:szCs w:val="24"/>
        </w:rPr>
        <w:t>for</w:t>
      </w:r>
      <w:r w:rsidR="00E16A2C" w:rsidRPr="00AD5C42">
        <w:rPr>
          <w:rFonts w:ascii="Book Antiqua" w:hAnsi="Book Antiqua"/>
          <w:color w:val="000000" w:themeColor="text1"/>
          <w:sz w:val="24"/>
          <w:szCs w:val="24"/>
        </w:rPr>
        <w:t xml:space="preserve"> a </w:t>
      </w:r>
      <w:r w:rsidR="00840900" w:rsidRPr="00AD5C42">
        <w:rPr>
          <w:rFonts w:ascii="Book Antiqua" w:hAnsi="Book Antiqua"/>
          <w:color w:val="000000" w:themeColor="text1"/>
          <w:sz w:val="24"/>
          <w:szCs w:val="24"/>
        </w:rPr>
        <w:t xml:space="preserve">longer duration </w:t>
      </w:r>
      <w:r w:rsidR="009076F0" w:rsidRPr="00AD5C42">
        <w:rPr>
          <w:rFonts w:ascii="Book Antiqua" w:hAnsi="Book Antiqua"/>
          <w:color w:val="000000" w:themeColor="text1"/>
          <w:sz w:val="24"/>
          <w:szCs w:val="24"/>
        </w:rPr>
        <w:t>(</w:t>
      </w:r>
      <w:r w:rsidR="009076F0" w:rsidRPr="00AD5C42">
        <w:rPr>
          <w:rFonts w:ascii="Book Antiqua" w:hAnsi="Book Antiqua"/>
          <w:i/>
          <w:color w:val="000000" w:themeColor="text1"/>
          <w:sz w:val="24"/>
          <w:szCs w:val="24"/>
        </w:rPr>
        <w:t>e</w:t>
      </w:r>
      <w:r w:rsidR="00E16A2C" w:rsidRPr="00AD5C42">
        <w:rPr>
          <w:rFonts w:ascii="Book Antiqua" w:hAnsi="Book Antiqua"/>
          <w:i/>
          <w:color w:val="000000" w:themeColor="text1"/>
          <w:sz w:val="24"/>
          <w:szCs w:val="24"/>
        </w:rPr>
        <w:t>.</w:t>
      </w:r>
      <w:r w:rsidR="009076F0" w:rsidRPr="00AD5C42">
        <w:rPr>
          <w:rFonts w:ascii="Book Antiqua" w:hAnsi="Book Antiqua"/>
          <w:i/>
          <w:color w:val="000000" w:themeColor="text1"/>
          <w:sz w:val="24"/>
          <w:szCs w:val="24"/>
        </w:rPr>
        <w:t>g</w:t>
      </w:r>
      <w:r w:rsidR="00E16A2C" w:rsidRPr="00AD5C42">
        <w:rPr>
          <w:rFonts w:ascii="Book Antiqua" w:hAnsi="Book Antiqua"/>
          <w:i/>
          <w:color w:val="000000" w:themeColor="text1"/>
          <w:sz w:val="24"/>
          <w:szCs w:val="24"/>
        </w:rPr>
        <w:t>.</w:t>
      </w:r>
      <w:r w:rsidR="009076F0" w:rsidRPr="00AD5C42">
        <w:rPr>
          <w:rFonts w:ascii="Book Antiqua" w:hAnsi="Book Antiqua"/>
          <w:color w:val="000000" w:themeColor="text1"/>
          <w:sz w:val="24"/>
          <w:szCs w:val="24"/>
        </w:rPr>
        <w:t>, rabeprazole 20 mg and amoxicillin 750 mg 4 times/d</w:t>
      </w:r>
      <w:r w:rsidR="00E1379F" w:rsidRPr="00AD5C42">
        <w:rPr>
          <w:rFonts w:ascii="Book Antiqua" w:hAnsi="Book Antiqua"/>
          <w:color w:val="000000" w:themeColor="text1"/>
          <w:sz w:val="24"/>
          <w:szCs w:val="24"/>
        </w:rPr>
        <w:t xml:space="preserve"> </w:t>
      </w:r>
      <w:r w:rsidR="00840900" w:rsidRPr="00AD5C42">
        <w:rPr>
          <w:rFonts w:ascii="Book Antiqua" w:hAnsi="Book Antiqua"/>
          <w:color w:val="000000" w:themeColor="text1"/>
          <w:sz w:val="24"/>
          <w:szCs w:val="24"/>
        </w:rPr>
        <w:t>for 14 d</w:t>
      </w:r>
      <w:r w:rsidR="009076F0" w:rsidRPr="00AD5C42">
        <w:rPr>
          <w:rFonts w:ascii="Book Antiqua" w:hAnsi="Book Antiqua"/>
          <w:color w:val="000000" w:themeColor="text1"/>
          <w:sz w:val="24"/>
          <w:szCs w:val="24"/>
        </w:rPr>
        <w:t xml:space="preserve">) to </w:t>
      </w:r>
      <w:r w:rsidR="00552873" w:rsidRPr="00AD5C42">
        <w:rPr>
          <w:rFonts w:ascii="Book Antiqua" w:hAnsi="Book Antiqua"/>
          <w:color w:val="000000" w:themeColor="text1"/>
          <w:sz w:val="24"/>
          <w:szCs w:val="24"/>
        </w:rPr>
        <w:t>attain</w:t>
      </w:r>
      <w:r w:rsidR="00E16A2C" w:rsidRPr="00AD5C42">
        <w:rPr>
          <w:rFonts w:ascii="Book Antiqua" w:hAnsi="Book Antiqua"/>
          <w:color w:val="000000" w:themeColor="text1"/>
          <w:sz w:val="24"/>
          <w:szCs w:val="24"/>
        </w:rPr>
        <w:t xml:space="preserve"> an</w:t>
      </w:r>
      <w:r w:rsidR="009076F0" w:rsidRPr="00AD5C42">
        <w:rPr>
          <w:rFonts w:ascii="Book Antiqua" w:hAnsi="Book Antiqua"/>
          <w:color w:val="000000" w:themeColor="text1"/>
          <w:sz w:val="24"/>
          <w:szCs w:val="24"/>
        </w:rPr>
        <w:t xml:space="preserve"> acceptable eradication rate of &gt;</w:t>
      </w:r>
      <w:r w:rsidR="007F3E48" w:rsidRPr="00AD5C42">
        <w:rPr>
          <w:rFonts w:ascii="Book Antiqua" w:hAnsi="Book Antiqua"/>
          <w:color w:val="000000" w:themeColor="text1"/>
          <w:sz w:val="24"/>
          <w:szCs w:val="24"/>
        </w:rPr>
        <w:t xml:space="preserve"> </w:t>
      </w:r>
      <w:r w:rsidR="009076F0" w:rsidRPr="00AD5C42">
        <w:rPr>
          <w:rFonts w:ascii="Book Antiqua" w:hAnsi="Book Antiqua"/>
          <w:color w:val="000000" w:themeColor="text1"/>
          <w:sz w:val="24"/>
          <w:szCs w:val="24"/>
        </w:rPr>
        <w:t xml:space="preserve">90%, </w:t>
      </w:r>
      <w:r w:rsidR="00552873" w:rsidRPr="00AD5C42">
        <w:rPr>
          <w:rFonts w:ascii="Book Antiqua" w:hAnsi="Book Antiqua"/>
          <w:color w:val="000000" w:themeColor="text1"/>
          <w:sz w:val="24"/>
          <w:szCs w:val="24"/>
        </w:rPr>
        <w:t xml:space="preserve">which led to </w:t>
      </w:r>
      <w:r w:rsidR="00E701E3" w:rsidRPr="00AD5C42">
        <w:rPr>
          <w:rFonts w:ascii="Book Antiqua" w:hAnsi="Book Antiqua"/>
          <w:color w:val="000000" w:themeColor="text1"/>
          <w:sz w:val="24"/>
          <w:szCs w:val="24"/>
        </w:rPr>
        <w:t>high cost, adverse side effects, and poor patient compliance.</w:t>
      </w:r>
      <w:r w:rsidR="00F26069" w:rsidRPr="00AD5C42">
        <w:rPr>
          <w:rFonts w:ascii="Book Antiqua" w:hAnsi="Book Antiqua"/>
          <w:color w:val="000000" w:themeColor="text1"/>
          <w:sz w:val="24"/>
          <w:szCs w:val="24"/>
        </w:rPr>
        <w:t xml:space="preserve"> </w:t>
      </w:r>
    </w:p>
    <w:p w14:paraId="4579067F" w14:textId="52184EBC" w:rsidR="00E3188D" w:rsidRPr="00AD5C42" w:rsidRDefault="001C09DA" w:rsidP="001C09DA">
      <w:pPr>
        <w:adjustRightInd w:val="0"/>
        <w:snapToGrid w:val="0"/>
        <w:spacing w:line="360" w:lineRule="auto"/>
        <w:rPr>
          <w:rFonts w:ascii="Book Antiqua" w:hAnsi="Book Antiqua"/>
          <w:color w:val="000000" w:themeColor="text1"/>
          <w:sz w:val="24"/>
          <w:szCs w:val="24"/>
        </w:rPr>
      </w:pPr>
      <w:r w:rsidRPr="00AD5C42">
        <w:rPr>
          <w:rFonts w:ascii="Book Antiqua" w:hAnsi="Book Antiqua"/>
          <w:color w:val="000000" w:themeColor="text1"/>
          <w:sz w:val="24"/>
          <w:szCs w:val="24"/>
        </w:rPr>
        <w:t xml:space="preserve">  </w:t>
      </w:r>
      <w:r w:rsidR="007A4EB7" w:rsidRPr="00AD5C42">
        <w:rPr>
          <w:rFonts w:ascii="Book Antiqua" w:hAnsi="Book Antiqua"/>
          <w:color w:val="000000" w:themeColor="text1"/>
          <w:sz w:val="24"/>
          <w:szCs w:val="24"/>
        </w:rPr>
        <w:t xml:space="preserve">One interesting possibility is to substitute conventional PPIs with vonoprazan for use in dual therapies. </w:t>
      </w:r>
      <w:r w:rsidR="00511BDF" w:rsidRPr="00AD5C42">
        <w:rPr>
          <w:rFonts w:ascii="Book Antiqua" w:hAnsi="Book Antiqua"/>
          <w:color w:val="000000" w:themeColor="text1"/>
          <w:sz w:val="24"/>
          <w:szCs w:val="24"/>
        </w:rPr>
        <w:t>V</w:t>
      </w:r>
      <w:r w:rsidR="0050229E" w:rsidRPr="00AD5C42">
        <w:rPr>
          <w:rFonts w:ascii="Book Antiqua" w:hAnsi="Book Antiqua"/>
          <w:color w:val="000000" w:themeColor="text1"/>
          <w:sz w:val="24"/>
          <w:szCs w:val="24"/>
        </w:rPr>
        <w:t>onoprazan</w:t>
      </w:r>
      <w:r w:rsidR="00E16A2C" w:rsidRPr="00AD5C42">
        <w:rPr>
          <w:rFonts w:ascii="Book Antiqua" w:hAnsi="Book Antiqua"/>
          <w:color w:val="000000" w:themeColor="text1"/>
          <w:sz w:val="24"/>
          <w:szCs w:val="24"/>
        </w:rPr>
        <w:t>-</w:t>
      </w:r>
      <w:r w:rsidR="0050229E" w:rsidRPr="00AD5C42">
        <w:rPr>
          <w:rFonts w:ascii="Book Antiqua" w:hAnsi="Book Antiqua"/>
          <w:color w:val="000000" w:themeColor="text1"/>
          <w:sz w:val="24"/>
          <w:szCs w:val="24"/>
        </w:rPr>
        <w:t>based dual</w:t>
      </w:r>
      <w:r w:rsidR="00E16A2C" w:rsidRPr="00AD5C42">
        <w:rPr>
          <w:rFonts w:ascii="Book Antiqua" w:hAnsi="Book Antiqua"/>
          <w:color w:val="000000" w:themeColor="text1"/>
          <w:sz w:val="24"/>
          <w:szCs w:val="24"/>
        </w:rPr>
        <w:t xml:space="preserve"> </w:t>
      </w:r>
      <w:r w:rsidR="0050229E" w:rsidRPr="00AD5C42">
        <w:rPr>
          <w:rFonts w:ascii="Book Antiqua" w:hAnsi="Book Antiqua"/>
          <w:color w:val="000000" w:themeColor="text1"/>
          <w:sz w:val="24"/>
          <w:szCs w:val="24"/>
        </w:rPr>
        <w:t>therapy</w:t>
      </w:r>
      <w:r w:rsidR="00511BDF" w:rsidRPr="00AD5C42">
        <w:rPr>
          <w:rFonts w:ascii="Book Antiqua" w:hAnsi="Book Antiqua"/>
          <w:color w:val="000000" w:themeColor="text1"/>
          <w:sz w:val="24"/>
          <w:szCs w:val="24"/>
        </w:rPr>
        <w:t xml:space="preserve"> </w:t>
      </w:r>
      <w:r w:rsidR="00E16A2C" w:rsidRPr="00AD5C42">
        <w:rPr>
          <w:rFonts w:ascii="Book Antiqua" w:hAnsi="Book Antiqua"/>
          <w:color w:val="000000" w:themeColor="text1"/>
          <w:sz w:val="24"/>
          <w:szCs w:val="24"/>
        </w:rPr>
        <w:t>could be an</w:t>
      </w:r>
      <w:r w:rsidR="000942FF" w:rsidRPr="00AD5C42">
        <w:rPr>
          <w:rFonts w:ascii="Book Antiqua" w:hAnsi="Book Antiqua"/>
          <w:color w:val="000000" w:themeColor="text1"/>
          <w:sz w:val="24"/>
          <w:szCs w:val="24"/>
        </w:rPr>
        <w:t xml:space="preserve"> </w:t>
      </w:r>
      <w:r w:rsidR="00875709" w:rsidRPr="00AD5C42">
        <w:rPr>
          <w:rFonts w:ascii="Book Antiqua" w:hAnsi="Book Antiqua"/>
          <w:color w:val="000000" w:themeColor="text1"/>
          <w:sz w:val="24"/>
          <w:szCs w:val="24"/>
        </w:rPr>
        <w:t>alternative treatment regimen</w:t>
      </w:r>
      <w:r w:rsidR="00EC34D5" w:rsidRPr="00AD5C42">
        <w:rPr>
          <w:rFonts w:ascii="Book Antiqua" w:hAnsi="Book Antiqua"/>
          <w:color w:val="000000" w:themeColor="text1"/>
          <w:sz w:val="24"/>
          <w:szCs w:val="24"/>
        </w:rPr>
        <w:t xml:space="preserve"> </w:t>
      </w:r>
      <w:r w:rsidR="00875709" w:rsidRPr="00AD5C42">
        <w:rPr>
          <w:rFonts w:ascii="Book Antiqua" w:hAnsi="Book Antiqua"/>
          <w:color w:val="000000" w:themeColor="text1"/>
          <w:sz w:val="24"/>
          <w:szCs w:val="24"/>
        </w:rPr>
        <w:t xml:space="preserve">for </w:t>
      </w:r>
      <w:r w:rsidR="00875709" w:rsidRPr="00AD5C42">
        <w:rPr>
          <w:rFonts w:ascii="Book Antiqua" w:hAnsi="Book Antiqua"/>
          <w:i/>
          <w:color w:val="000000" w:themeColor="text1"/>
          <w:sz w:val="24"/>
          <w:szCs w:val="24"/>
        </w:rPr>
        <w:t>H. pylori</w:t>
      </w:r>
      <w:r w:rsidR="00875709" w:rsidRPr="00AD5C42">
        <w:rPr>
          <w:rFonts w:ascii="Book Antiqua" w:hAnsi="Book Antiqua"/>
          <w:color w:val="000000" w:themeColor="text1"/>
          <w:sz w:val="24"/>
          <w:szCs w:val="24"/>
        </w:rPr>
        <w:t xml:space="preserve"> eradication</w:t>
      </w:r>
      <w:r w:rsidR="001A2AF3" w:rsidRPr="00AD5C42">
        <w:rPr>
          <w:rFonts w:ascii="Book Antiqua" w:hAnsi="Book Antiqua"/>
          <w:color w:val="000000" w:themeColor="text1"/>
          <w:sz w:val="24"/>
          <w:szCs w:val="24"/>
        </w:rPr>
        <w:t xml:space="preserve">, </w:t>
      </w:r>
      <w:r w:rsidR="000942FF" w:rsidRPr="00AD5C42">
        <w:rPr>
          <w:rFonts w:ascii="Book Antiqua" w:hAnsi="Book Antiqua"/>
          <w:color w:val="000000" w:themeColor="text1"/>
          <w:sz w:val="24"/>
          <w:szCs w:val="24"/>
        </w:rPr>
        <w:t>which could provide sufficient eradication rate</w:t>
      </w:r>
      <w:r w:rsidR="00E16A2C" w:rsidRPr="00AD5C42">
        <w:rPr>
          <w:rFonts w:ascii="Book Antiqua" w:hAnsi="Book Antiqua"/>
          <w:color w:val="000000" w:themeColor="text1"/>
          <w:sz w:val="24"/>
          <w:szCs w:val="24"/>
        </w:rPr>
        <w:t>s</w:t>
      </w:r>
      <w:r w:rsidR="000942FF" w:rsidRPr="00AD5C42">
        <w:rPr>
          <w:rFonts w:ascii="Book Antiqua" w:hAnsi="Book Antiqua"/>
          <w:color w:val="000000" w:themeColor="text1"/>
          <w:sz w:val="24"/>
          <w:szCs w:val="24"/>
        </w:rPr>
        <w:t xml:space="preserve"> of </w:t>
      </w:r>
      <w:r w:rsidR="000942FF" w:rsidRPr="00AD5C42">
        <w:rPr>
          <w:rFonts w:ascii="Book Antiqua" w:hAnsi="Book Antiqua"/>
          <w:i/>
          <w:color w:val="000000" w:themeColor="text1"/>
          <w:sz w:val="24"/>
          <w:szCs w:val="24"/>
        </w:rPr>
        <w:t>H. pylori</w:t>
      </w:r>
      <w:r w:rsidR="000942FF" w:rsidRPr="00AD5C42">
        <w:rPr>
          <w:rFonts w:ascii="Book Antiqua" w:hAnsi="Book Antiqua"/>
          <w:color w:val="000000" w:themeColor="text1"/>
          <w:sz w:val="24"/>
          <w:szCs w:val="24"/>
        </w:rPr>
        <w:t xml:space="preserve"> and </w:t>
      </w:r>
      <w:r w:rsidR="001A2AF3" w:rsidRPr="00AD5C42">
        <w:rPr>
          <w:rFonts w:ascii="Book Antiqua" w:hAnsi="Book Antiqua"/>
          <w:color w:val="000000" w:themeColor="text1"/>
          <w:sz w:val="24"/>
          <w:szCs w:val="24"/>
        </w:rPr>
        <w:t xml:space="preserve">minimize </w:t>
      </w:r>
      <w:r w:rsidR="00D65596" w:rsidRPr="00AD5C42">
        <w:rPr>
          <w:rFonts w:ascii="Book Antiqua" w:hAnsi="Book Antiqua"/>
          <w:color w:val="000000" w:themeColor="text1"/>
          <w:sz w:val="24"/>
          <w:szCs w:val="24"/>
        </w:rPr>
        <w:t>antimicrobial</w:t>
      </w:r>
      <w:r w:rsidR="001A2AF3" w:rsidRPr="00AD5C42">
        <w:rPr>
          <w:rFonts w:ascii="Book Antiqua" w:hAnsi="Book Antiqua"/>
          <w:color w:val="000000" w:themeColor="text1"/>
          <w:sz w:val="24"/>
          <w:szCs w:val="24"/>
        </w:rPr>
        <w:t xml:space="preserve"> resistance. </w:t>
      </w:r>
      <w:r w:rsidR="004847B4" w:rsidRPr="00AD5C42">
        <w:rPr>
          <w:rFonts w:ascii="Book Antiqua" w:hAnsi="Book Antiqua"/>
          <w:color w:val="000000" w:themeColor="text1"/>
          <w:sz w:val="24"/>
          <w:szCs w:val="24"/>
        </w:rPr>
        <w:t>The key to a successful dual therapy regimen is a PPI-generated neutral environment suitable for bacterial growth</w:t>
      </w:r>
      <w:r w:rsidR="008C2E90" w:rsidRPr="00AD5C42">
        <w:rPr>
          <w:rFonts w:ascii="Book Antiqua" w:hAnsi="Book Antiqua"/>
          <w:color w:val="000000" w:themeColor="text1"/>
          <w:sz w:val="24"/>
          <w:szCs w:val="24"/>
        </w:rPr>
        <w:t xml:space="preserve">; this causes </w:t>
      </w:r>
      <w:r w:rsidR="004847B4" w:rsidRPr="00AD5C42">
        <w:rPr>
          <w:rFonts w:ascii="Book Antiqua" w:hAnsi="Book Antiqua"/>
          <w:color w:val="000000" w:themeColor="text1"/>
          <w:sz w:val="24"/>
          <w:szCs w:val="24"/>
        </w:rPr>
        <w:t xml:space="preserve">dormant </w:t>
      </w:r>
      <w:r w:rsidR="004847B4" w:rsidRPr="00AD5C42">
        <w:rPr>
          <w:rFonts w:ascii="Book Antiqua" w:hAnsi="Book Antiqua"/>
          <w:i/>
          <w:color w:val="000000" w:themeColor="text1"/>
          <w:sz w:val="24"/>
          <w:szCs w:val="24"/>
        </w:rPr>
        <w:t>H. pylori</w:t>
      </w:r>
      <w:r w:rsidR="004847B4" w:rsidRPr="00AD5C42">
        <w:rPr>
          <w:rFonts w:ascii="Book Antiqua" w:hAnsi="Book Antiqua"/>
          <w:color w:val="000000" w:themeColor="text1"/>
          <w:sz w:val="24"/>
          <w:szCs w:val="24"/>
        </w:rPr>
        <w:t xml:space="preserve"> </w:t>
      </w:r>
      <w:r w:rsidR="008C2E90" w:rsidRPr="00AD5C42">
        <w:rPr>
          <w:rFonts w:ascii="Book Antiqua" w:hAnsi="Book Antiqua"/>
          <w:color w:val="000000" w:themeColor="text1"/>
          <w:sz w:val="24"/>
          <w:szCs w:val="24"/>
        </w:rPr>
        <w:t xml:space="preserve">to enter a replicative state and makes </w:t>
      </w:r>
      <w:r w:rsidR="004847B4" w:rsidRPr="00AD5C42">
        <w:rPr>
          <w:rFonts w:ascii="Book Antiqua" w:hAnsi="Book Antiqua"/>
          <w:i/>
          <w:color w:val="000000" w:themeColor="text1"/>
          <w:sz w:val="24"/>
          <w:szCs w:val="24"/>
        </w:rPr>
        <w:t>H. pylori</w:t>
      </w:r>
      <w:r w:rsidR="004847B4" w:rsidRPr="00AD5C42">
        <w:rPr>
          <w:rFonts w:ascii="Book Antiqua" w:hAnsi="Book Antiqua"/>
          <w:color w:val="000000" w:themeColor="text1"/>
          <w:sz w:val="24"/>
          <w:szCs w:val="24"/>
        </w:rPr>
        <w:t xml:space="preserve"> sensitive to AMPC. </w:t>
      </w:r>
      <w:r w:rsidR="00DF48A2" w:rsidRPr="00AD5C42">
        <w:rPr>
          <w:rFonts w:ascii="Book Antiqua" w:hAnsi="Book Antiqua"/>
          <w:color w:val="000000" w:themeColor="text1"/>
          <w:sz w:val="24"/>
          <w:szCs w:val="24"/>
        </w:rPr>
        <w:t>Vonoprazan is a n</w:t>
      </w:r>
      <w:r w:rsidR="005D06D1" w:rsidRPr="00AD5C42">
        <w:rPr>
          <w:rFonts w:ascii="Book Antiqua" w:hAnsi="Book Antiqua"/>
          <w:color w:val="000000" w:themeColor="text1"/>
          <w:sz w:val="24"/>
          <w:szCs w:val="24"/>
        </w:rPr>
        <w:t>ovel potassium competitive acid blocker</w:t>
      </w:r>
      <w:r w:rsidR="00DF48A2" w:rsidRPr="00AD5C42">
        <w:rPr>
          <w:rFonts w:ascii="Book Antiqua" w:hAnsi="Book Antiqua"/>
          <w:color w:val="000000" w:themeColor="text1"/>
          <w:sz w:val="24"/>
          <w:szCs w:val="24"/>
        </w:rPr>
        <w:t xml:space="preserve"> </w:t>
      </w:r>
      <w:r w:rsidR="00E935FC" w:rsidRPr="00AD5C42">
        <w:rPr>
          <w:rFonts w:ascii="Book Antiqua" w:hAnsi="Book Antiqua"/>
          <w:color w:val="000000" w:themeColor="text1"/>
          <w:sz w:val="24"/>
          <w:szCs w:val="24"/>
        </w:rPr>
        <w:t xml:space="preserve">that </w:t>
      </w:r>
      <w:r w:rsidR="005D06D1" w:rsidRPr="00AD5C42">
        <w:rPr>
          <w:rFonts w:ascii="Book Antiqua" w:hAnsi="Book Antiqua"/>
          <w:color w:val="000000" w:themeColor="text1"/>
          <w:sz w:val="24"/>
          <w:szCs w:val="24"/>
        </w:rPr>
        <w:t xml:space="preserve">has a strong and long-lasting effect on inhibition of acid </w:t>
      </w:r>
      <w:proofErr w:type="gramStart"/>
      <w:r w:rsidR="005D06D1" w:rsidRPr="00AD5C42">
        <w:rPr>
          <w:rFonts w:ascii="Book Antiqua" w:hAnsi="Book Antiqua"/>
          <w:color w:val="000000" w:themeColor="text1"/>
          <w:sz w:val="24"/>
          <w:szCs w:val="24"/>
        </w:rPr>
        <w:t>secretion</w:t>
      </w:r>
      <w:r w:rsidRPr="00AD5C42">
        <w:rPr>
          <w:rFonts w:ascii="Book Antiqua" w:hAnsi="Book Antiqua"/>
          <w:color w:val="000000" w:themeColor="text1"/>
          <w:sz w:val="24"/>
          <w:szCs w:val="24"/>
          <w:vertAlign w:val="superscript"/>
        </w:rPr>
        <w:t>[</w:t>
      </w:r>
      <w:proofErr w:type="gramEnd"/>
      <w:r w:rsidRPr="00AD5C42">
        <w:rPr>
          <w:rFonts w:ascii="Book Antiqua" w:hAnsi="Book Antiqua"/>
          <w:color w:val="000000" w:themeColor="text1"/>
          <w:sz w:val="24"/>
          <w:szCs w:val="24"/>
          <w:vertAlign w:val="superscript"/>
        </w:rPr>
        <w:t>25,</w:t>
      </w:r>
      <w:r w:rsidR="00F26A74" w:rsidRPr="00AD5C42">
        <w:rPr>
          <w:rFonts w:ascii="Book Antiqua" w:hAnsi="Book Antiqua"/>
          <w:color w:val="000000" w:themeColor="text1"/>
          <w:sz w:val="24"/>
          <w:szCs w:val="24"/>
          <w:vertAlign w:val="superscript"/>
        </w:rPr>
        <w:t>26]</w:t>
      </w:r>
      <w:r w:rsidR="007F3E48" w:rsidRPr="00AD5C42">
        <w:rPr>
          <w:rFonts w:ascii="Book Antiqua" w:hAnsi="Book Antiqua"/>
          <w:color w:val="000000" w:themeColor="text1"/>
          <w:sz w:val="24"/>
          <w:szCs w:val="24"/>
        </w:rPr>
        <w:t>.</w:t>
      </w:r>
      <w:r w:rsidR="005D06D1" w:rsidRPr="00AD5C42">
        <w:rPr>
          <w:rFonts w:ascii="Book Antiqua" w:hAnsi="Book Antiqua"/>
          <w:color w:val="000000" w:themeColor="text1"/>
          <w:sz w:val="24"/>
          <w:szCs w:val="24"/>
        </w:rPr>
        <w:t xml:space="preserve"> </w:t>
      </w:r>
      <w:r w:rsidR="00000633" w:rsidRPr="00AD5C42">
        <w:rPr>
          <w:rFonts w:ascii="Book Antiqua" w:hAnsi="Book Antiqua"/>
          <w:color w:val="000000" w:themeColor="text1"/>
          <w:sz w:val="24"/>
          <w:szCs w:val="24"/>
        </w:rPr>
        <w:t xml:space="preserve">In addition, the pharmacokinetic features of vonoprazan are not affected by CYP2C19 </w:t>
      </w:r>
      <w:proofErr w:type="gramStart"/>
      <w:r w:rsidR="00000633" w:rsidRPr="00AD5C42">
        <w:rPr>
          <w:rFonts w:ascii="Book Antiqua" w:hAnsi="Book Antiqua"/>
          <w:color w:val="000000" w:themeColor="text1"/>
          <w:sz w:val="24"/>
          <w:szCs w:val="24"/>
        </w:rPr>
        <w:t>polymorphism</w:t>
      </w:r>
      <w:r w:rsidR="0024095F" w:rsidRPr="00AD5C42">
        <w:rPr>
          <w:rFonts w:ascii="Book Antiqua" w:hAnsi="Book Antiqua"/>
          <w:color w:val="000000" w:themeColor="text1"/>
          <w:sz w:val="24"/>
          <w:szCs w:val="24"/>
        </w:rPr>
        <w:t>s</w:t>
      </w:r>
      <w:r w:rsidRPr="00AD5C42">
        <w:rPr>
          <w:rFonts w:ascii="Book Antiqua" w:hAnsi="Book Antiqua"/>
          <w:color w:val="000000" w:themeColor="text1"/>
          <w:sz w:val="24"/>
          <w:szCs w:val="24"/>
          <w:vertAlign w:val="superscript"/>
        </w:rPr>
        <w:t>[</w:t>
      </w:r>
      <w:proofErr w:type="gramEnd"/>
      <w:r w:rsidRPr="00AD5C42">
        <w:rPr>
          <w:rFonts w:ascii="Book Antiqua" w:hAnsi="Book Antiqua"/>
          <w:color w:val="000000" w:themeColor="text1"/>
          <w:sz w:val="24"/>
          <w:szCs w:val="24"/>
          <w:vertAlign w:val="superscript"/>
        </w:rPr>
        <w:t>27,</w:t>
      </w:r>
      <w:r w:rsidR="00F26A74" w:rsidRPr="00AD5C42">
        <w:rPr>
          <w:rFonts w:ascii="Book Antiqua" w:hAnsi="Book Antiqua"/>
          <w:color w:val="000000" w:themeColor="text1"/>
          <w:sz w:val="24"/>
          <w:szCs w:val="24"/>
          <w:vertAlign w:val="superscript"/>
        </w:rPr>
        <w:t>28]</w:t>
      </w:r>
      <w:r w:rsidR="007F3E48" w:rsidRPr="00AD5C42">
        <w:rPr>
          <w:rFonts w:ascii="Book Antiqua" w:hAnsi="Book Antiqua"/>
          <w:color w:val="000000" w:themeColor="text1"/>
          <w:sz w:val="24"/>
          <w:szCs w:val="24"/>
        </w:rPr>
        <w:t>.</w:t>
      </w:r>
      <w:r w:rsidR="00000633" w:rsidRPr="00AD5C42">
        <w:rPr>
          <w:rFonts w:ascii="Book Antiqua" w:hAnsi="Book Antiqua"/>
          <w:color w:val="000000" w:themeColor="text1"/>
          <w:sz w:val="24"/>
          <w:szCs w:val="24"/>
        </w:rPr>
        <w:t xml:space="preserve"> </w:t>
      </w:r>
      <w:r w:rsidR="00767D03" w:rsidRPr="00AD5C42">
        <w:rPr>
          <w:rFonts w:ascii="Book Antiqua" w:hAnsi="Book Antiqua"/>
          <w:color w:val="000000" w:themeColor="text1"/>
          <w:sz w:val="24"/>
          <w:szCs w:val="24"/>
        </w:rPr>
        <w:t>I</w:t>
      </w:r>
      <w:r w:rsidR="000D0BA7" w:rsidRPr="00AD5C42">
        <w:rPr>
          <w:rFonts w:ascii="Book Antiqua" w:hAnsi="Book Antiqua"/>
          <w:color w:val="000000" w:themeColor="text1"/>
          <w:sz w:val="24"/>
          <w:szCs w:val="24"/>
        </w:rPr>
        <w:t xml:space="preserve">t is reported that </w:t>
      </w:r>
      <w:r w:rsidR="001C2498" w:rsidRPr="00AD5C42">
        <w:rPr>
          <w:rFonts w:ascii="Book Antiqua" w:hAnsi="Book Antiqua"/>
          <w:color w:val="000000" w:themeColor="text1"/>
          <w:sz w:val="24"/>
          <w:szCs w:val="24"/>
        </w:rPr>
        <w:t>seven days of standard triple therapy containing vonoprazan provided approximately</w:t>
      </w:r>
      <w:r w:rsidR="0050229E" w:rsidRPr="00AD5C42">
        <w:rPr>
          <w:rFonts w:ascii="Book Antiqua" w:hAnsi="Book Antiqua"/>
          <w:color w:val="000000" w:themeColor="text1"/>
          <w:sz w:val="24"/>
          <w:szCs w:val="24"/>
        </w:rPr>
        <w:t xml:space="preserve"> 90%</w:t>
      </w:r>
      <w:r w:rsidR="00000633" w:rsidRPr="00AD5C42">
        <w:rPr>
          <w:rFonts w:ascii="Book Antiqua" w:hAnsi="Book Antiqua"/>
          <w:color w:val="000000" w:themeColor="text1"/>
          <w:sz w:val="24"/>
          <w:szCs w:val="24"/>
        </w:rPr>
        <w:t xml:space="preserve"> eradication rate attributable to effective gastric acid inhibition and the maintenance of </w:t>
      </w:r>
      <w:r w:rsidR="00552873" w:rsidRPr="00AD5C42">
        <w:rPr>
          <w:rFonts w:ascii="Book Antiqua" w:hAnsi="Book Antiqua"/>
          <w:color w:val="000000" w:themeColor="text1"/>
          <w:sz w:val="24"/>
          <w:szCs w:val="24"/>
        </w:rPr>
        <w:t xml:space="preserve">a </w:t>
      </w:r>
      <w:r w:rsidR="00000633" w:rsidRPr="00AD5C42">
        <w:rPr>
          <w:rFonts w:ascii="Book Antiqua" w:hAnsi="Book Antiqua"/>
          <w:color w:val="000000" w:themeColor="text1"/>
          <w:sz w:val="24"/>
          <w:szCs w:val="24"/>
        </w:rPr>
        <w:t>high gastric pH</w:t>
      </w:r>
      <w:r w:rsidR="00552873" w:rsidRPr="00AD5C42">
        <w:rPr>
          <w:rFonts w:ascii="Book Antiqua" w:hAnsi="Book Antiqua"/>
          <w:color w:val="000000" w:themeColor="text1"/>
          <w:sz w:val="24"/>
          <w:szCs w:val="24"/>
        </w:rPr>
        <w:t>,</w:t>
      </w:r>
      <w:r w:rsidR="001C2498" w:rsidRPr="00AD5C42">
        <w:rPr>
          <w:rFonts w:ascii="Book Antiqua" w:hAnsi="Book Antiqua"/>
          <w:color w:val="000000" w:themeColor="text1"/>
          <w:sz w:val="24"/>
          <w:szCs w:val="24"/>
        </w:rPr>
        <w:t xml:space="preserve"> and had </w:t>
      </w:r>
      <w:r w:rsidR="00552873" w:rsidRPr="00AD5C42">
        <w:rPr>
          <w:rFonts w:ascii="Book Antiqua" w:hAnsi="Book Antiqua"/>
          <w:color w:val="000000" w:themeColor="text1"/>
          <w:sz w:val="24"/>
          <w:szCs w:val="24"/>
        </w:rPr>
        <w:t xml:space="preserve">a </w:t>
      </w:r>
      <w:r w:rsidR="001C2498" w:rsidRPr="00AD5C42">
        <w:rPr>
          <w:rFonts w:ascii="Book Antiqua" w:hAnsi="Book Antiqua"/>
          <w:color w:val="000000" w:themeColor="text1"/>
          <w:sz w:val="24"/>
          <w:szCs w:val="24"/>
        </w:rPr>
        <w:t>high safety profile</w:t>
      </w:r>
      <w:r w:rsidR="00C8029D" w:rsidRPr="00AD5C42">
        <w:rPr>
          <w:rFonts w:ascii="Book Antiqua" w:hAnsi="Book Antiqua"/>
          <w:color w:val="000000" w:themeColor="text1"/>
          <w:sz w:val="24"/>
          <w:szCs w:val="24"/>
        </w:rPr>
        <w:t xml:space="preserve"> </w:t>
      </w:r>
      <w:r w:rsidR="007B28F4" w:rsidRPr="00AD5C42">
        <w:rPr>
          <w:rFonts w:ascii="Book Antiqua" w:hAnsi="Book Antiqua"/>
          <w:color w:val="000000" w:themeColor="text1"/>
          <w:sz w:val="24"/>
          <w:szCs w:val="24"/>
        </w:rPr>
        <w:t xml:space="preserve">irrespective </w:t>
      </w:r>
      <w:r w:rsidR="00C8029D" w:rsidRPr="00AD5C42">
        <w:rPr>
          <w:rFonts w:ascii="Book Antiqua" w:hAnsi="Book Antiqua"/>
          <w:color w:val="000000" w:themeColor="text1"/>
          <w:sz w:val="24"/>
          <w:szCs w:val="24"/>
        </w:rPr>
        <w:t xml:space="preserve">of </w:t>
      </w:r>
      <w:proofErr w:type="gramStart"/>
      <w:r w:rsidR="00C8029D" w:rsidRPr="00AD5C42">
        <w:rPr>
          <w:rFonts w:ascii="Book Antiqua" w:hAnsi="Book Antiqua"/>
          <w:color w:val="000000" w:themeColor="text1"/>
          <w:sz w:val="24"/>
          <w:szCs w:val="24"/>
        </w:rPr>
        <w:t>age</w:t>
      </w:r>
      <w:r w:rsidR="00F26A74" w:rsidRPr="00AD5C42">
        <w:rPr>
          <w:rFonts w:ascii="Book Antiqua" w:hAnsi="Book Antiqua"/>
          <w:color w:val="000000" w:themeColor="text1"/>
          <w:sz w:val="24"/>
          <w:szCs w:val="24"/>
          <w:vertAlign w:val="superscript"/>
        </w:rPr>
        <w:t>[</w:t>
      </w:r>
      <w:proofErr w:type="gramEnd"/>
      <w:r w:rsidR="00F26A74" w:rsidRPr="00AD5C42">
        <w:rPr>
          <w:rFonts w:ascii="Book Antiqua" w:hAnsi="Book Antiqua"/>
          <w:color w:val="000000" w:themeColor="text1"/>
          <w:sz w:val="24"/>
          <w:szCs w:val="24"/>
          <w:vertAlign w:val="superscript"/>
        </w:rPr>
        <w:t>29-31]</w:t>
      </w:r>
      <w:r w:rsidR="007F3E48" w:rsidRPr="00AD5C42">
        <w:rPr>
          <w:rFonts w:ascii="Book Antiqua" w:hAnsi="Book Antiqua"/>
          <w:color w:val="000000" w:themeColor="text1"/>
          <w:sz w:val="24"/>
          <w:szCs w:val="24"/>
        </w:rPr>
        <w:t>.</w:t>
      </w:r>
      <w:r w:rsidR="001C2498" w:rsidRPr="00AD5C42">
        <w:rPr>
          <w:rFonts w:ascii="Book Antiqua" w:hAnsi="Book Antiqua"/>
          <w:color w:val="000000" w:themeColor="text1"/>
          <w:sz w:val="24"/>
          <w:szCs w:val="24"/>
        </w:rPr>
        <w:t xml:space="preserve"> </w:t>
      </w:r>
      <w:r w:rsidR="00D82E8C" w:rsidRPr="00AD5C42">
        <w:rPr>
          <w:rFonts w:ascii="Book Antiqua" w:hAnsi="Book Antiqua"/>
          <w:color w:val="000000" w:themeColor="text1"/>
          <w:sz w:val="24"/>
          <w:szCs w:val="24"/>
        </w:rPr>
        <w:t xml:space="preserve">To </w:t>
      </w:r>
      <w:r w:rsidR="001535E7" w:rsidRPr="00AD5C42">
        <w:rPr>
          <w:rFonts w:ascii="Book Antiqua" w:hAnsi="Book Antiqua"/>
          <w:color w:val="000000" w:themeColor="text1"/>
          <w:sz w:val="24"/>
          <w:szCs w:val="24"/>
        </w:rPr>
        <w:t xml:space="preserve">the best of </w:t>
      </w:r>
      <w:r w:rsidR="00D82E8C" w:rsidRPr="00AD5C42">
        <w:rPr>
          <w:rFonts w:ascii="Book Antiqua" w:hAnsi="Book Antiqua"/>
          <w:color w:val="000000" w:themeColor="text1"/>
          <w:sz w:val="24"/>
          <w:szCs w:val="24"/>
        </w:rPr>
        <w:t xml:space="preserve">our knowledge, there is </w:t>
      </w:r>
      <w:r w:rsidR="001535E7" w:rsidRPr="00AD5C42">
        <w:rPr>
          <w:rFonts w:ascii="Book Antiqua" w:hAnsi="Book Antiqua"/>
          <w:color w:val="000000" w:themeColor="text1"/>
          <w:sz w:val="24"/>
          <w:szCs w:val="24"/>
        </w:rPr>
        <w:t xml:space="preserve">only </w:t>
      </w:r>
      <w:r w:rsidR="00D82E8C" w:rsidRPr="00AD5C42">
        <w:rPr>
          <w:rFonts w:ascii="Book Antiqua" w:hAnsi="Book Antiqua"/>
          <w:color w:val="000000" w:themeColor="text1"/>
          <w:sz w:val="24"/>
          <w:szCs w:val="24"/>
        </w:rPr>
        <w:t xml:space="preserve">one </w:t>
      </w:r>
      <w:r w:rsidR="002F43AF" w:rsidRPr="00AD5C42">
        <w:rPr>
          <w:rFonts w:ascii="Book Antiqua" w:hAnsi="Book Antiqua"/>
          <w:color w:val="000000" w:themeColor="text1"/>
          <w:sz w:val="24"/>
          <w:szCs w:val="24"/>
        </w:rPr>
        <w:t>study</w:t>
      </w:r>
      <w:r w:rsidR="00D82E8C" w:rsidRPr="00AD5C42">
        <w:rPr>
          <w:rFonts w:ascii="Book Antiqua" w:hAnsi="Book Antiqua"/>
          <w:color w:val="000000" w:themeColor="text1"/>
          <w:sz w:val="24"/>
          <w:szCs w:val="24"/>
        </w:rPr>
        <w:t xml:space="preserve"> </w:t>
      </w:r>
      <w:r w:rsidR="001535E7" w:rsidRPr="00AD5C42">
        <w:rPr>
          <w:rFonts w:ascii="Book Antiqua" w:hAnsi="Book Antiqua"/>
          <w:color w:val="000000" w:themeColor="text1"/>
          <w:sz w:val="24"/>
          <w:szCs w:val="24"/>
        </w:rPr>
        <w:t xml:space="preserve">on </w:t>
      </w:r>
      <w:proofErr w:type="spellStart"/>
      <w:r w:rsidR="001535E7" w:rsidRPr="00AD5C42">
        <w:rPr>
          <w:rFonts w:ascii="Book Antiqua" w:hAnsi="Book Antiqua"/>
          <w:color w:val="000000" w:themeColor="text1"/>
          <w:sz w:val="24"/>
          <w:szCs w:val="24"/>
        </w:rPr>
        <w:t>v</w:t>
      </w:r>
      <w:r w:rsidR="00D82E8C" w:rsidRPr="00AD5C42">
        <w:rPr>
          <w:rFonts w:ascii="Book Antiqua" w:hAnsi="Book Antiqua"/>
          <w:color w:val="000000" w:themeColor="text1"/>
          <w:sz w:val="24"/>
          <w:szCs w:val="24"/>
        </w:rPr>
        <w:t>onoprazan</w:t>
      </w:r>
      <w:proofErr w:type="spellEnd"/>
      <w:r w:rsidR="00D82E8C" w:rsidRPr="00AD5C42">
        <w:rPr>
          <w:rFonts w:ascii="Book Antiqua" w:hAnsi="Book Antiqua"/>
          <w:color w:val="000000" w:themeColor="text1"/>
          <w:sz w:val="24"/>
          <w:szCs w:val="24"/>
        </w:rPr>
        <w:t xml:space="preserve"> and AMPC dual therapy</w:t>
      </w:r>
      <w:r w:rsidR="007B28F4" w:rsidRPr="00AD5C42">
        <w:rPr>
          <w:rFonts w:ascii="Book Antiqua" w:hAnsi="Book Antiqua"/>
          <w:color w:val="000000" w:themeColor="text1"/>
          <w:sz w:val="24"/>
          <w:szCs w:val="24"/>
        </w:rPr>
        <w:t>; t</w:t>
      </w:r>
      <w:r w:rsidR="00D82E8C" w:rsidRPr="00AD5C42">
        <w:rPr>
          <w:rFonts w:ascii="Book Antiqua" w:hAnsi="Book Antiqua"/>
          <w:color w:val="000000" w:themeColor="text1"/>
          <w:sz w:val="24"/>
          <w:szCs w:val="24"/>
        </w:rPr>
        <w:t>his study show</w:t>
      </w:r>
      <w:r w:rsidR="007B28F4" w:rsidRPr="00AD5C42">
        <w:rPr>
          <w:rFonts w:ascii="Book Antiqua" w:hAnsi="Book Antiqua"/>
          <w:color w:val="000000" w:themeColor="text1"/>
          <w:sz w:val="24"/>
          <w:szCs w:val="24"/>
        </w:rPr>
        <w:t>ed</w:t>
      </w:r>
      <w:r w:rsidR="00D82E8C" w:rsidRPr="00AD5C42">
        <w:rPr>
          <w:rFonts w:ascii="Book Antiqua" w:hAnsi="Book Antiqua"/>
          <w:color w:val="000000" w:themeColor="text1"/>
          <w:sz w:val="24"/>
          <w:szCs w:val="24"/>
        </w:rPr>
        <w:t xml:space="preserve"> that </w:t>
      </w:r>
      <w:r w:rsidR="007B28F4" w:rsidRPr="00AD5C42">
        <w:rPr>
          <w:rFonts w:ascii="Book Antiqua" w:hAnsi="Book Antiqua"/>
          <w:color w:val="000000" w:themeColor="text1"/>
          <w:sz w:val="24"/>
          <w:szCs w:val="24"/>
        </w:rPr>
        <w:t xml:space="preserve">a </w:t>
      </w:r>
      <w:r w:rsidR="00D82E8C" w:rsidRPr="00AD5C42">
        <w:rPr>
          <w:rFonts w:ascii="Book Antiqua" w:hAnsi="Book Antiqua"/>
          <w:color w:val="000000" w:themeColor="text1"/>
          <w:sz w:val="24"/>
          <w:szCs w:val="24"/>
        </w:rPr>
        <w:t>regimen</w:t>
      </w:r>
      <w:r w:rsidR="008C2E90" w:rsidRPr="00AD5C42">
        <w:rPr>
          <w:rFonts w:ascii="Book Antiqua" w:hAnsi="Book Antiqua"/>
          <w:color w:val="000000" w:themeColor="text1"/>
          <w:sz w:val="24"/>
          <w:szCs w:val="24"/>
        </w:rPr>
        <w:t xml:space="preserve"> </w:t>
      </w:r>
      <w:r w:rsidR="00552873" w:rsidRPr="00AD5C42">
        <w:rPr>
          <w:rFonts w:ascii="Book Antiqua" w:hAnsi="Book Antiqua"/>
          <w:color w:val="000000" w:themeColor="text1"/>
          <w:sz w:val="24"/>
          <w:szCs w:val="24"/>
        </w:rPr>
        <w:t>c</w:t>
      </w:r>
      <w:r w:rsidR="00D82E8C" w:rsidRPr="00AD5C42">
        <w:rPr>
          <w:rFonts w:ascii="Book Antiqua" w:hAnsi="Book Antiqua"/>
          <w:color w:val="000000" w:themeColor="text1"/>
          <w:sz w:val="24"/>
          <w:szCs w:val="24"/>
        </w:rPr>
        <w:t>onsist</w:t>
      </w:r>
      <w:r w:rsidR="007B28F4" w:rsidRPr="00AD5C42">
        <w:rPr>
          <w:rFonts w:ascii="Book Antiqua" w:hAnsi="Book Antiqua"/>
          <w:color w:val="000000" w:themeColor="text1"/>
          <w:sz w:val="24"/>
          <w:szCs w:val="24"/>
        </w:rPr>
        <w:t xml:space="preserve">ing </w:t>
      </w:r>
      <w:r w:rsidR="00D82E8C" w:rsidRPr="00AD5C42">
        <w:rPr>
          <w:rFonts w:ascii="Book Antiqua" w:hAnsi="Book Antiqua"/>
          <w:color w:val="000000" w:themeColor="text1"/>
          <w:sz w:val="24"/>
          <w:szCs w:val="24"/>
        </w:rPr>
        <w:t>of</w:t>
      </w:r>
      <w:r w:rsidR="00736D7E" w:rsidRPr="00AD5C42">
        <w:rPr>
          <w:rFonts w:ascii="Book Antiqua" w:hAnsi="Book Antiqua"/>
          <w:color w:val="000000" w:themeColor="text1"/>
          <w:sz w:val="24"/>
          <w:szCs w:val="24"/>
        </w:rPr>
        <w:t xml:space="preserve"> </w:t>
      </w:r>
      <w:proofErr w:type="spellStart"/>
      <w:r w:rsidR="00736D7E" w:rsidRPr="00AD5C42">
        <w:rPr>
          <w:rFonts w:ascii="Book Antiqua" w:hAnsi="Book Antiqua"/>
          <w:color w:val="000000" w:themeColor="text1"/>
          <w:sz w:val="24"/>
          <w:szCs w:val="24"/>
        </w:rPr>
        <w:t>vonoprazan</w:t>
      </w:r>
      <w:proofErr w:type="spellEnd"/>
      <w:r w:rsidR="00736D7E" w:rsidRPr="00AD5C42">
        <w:rPr>
          <w:rFonts w:ascii="Book Antiqua" w:hAnsi="Book Antiqua"/>
          <w:color w:val="000000" w:themeColor="text1"/>
          <w:sz w:val="24"/>
          <w:szCs w:val="24"/>
        </w:rPr>
        <w:t xml:space="preserve"> 20</w:t>
      </w:r>
      <w:r w:rsidR="008A4F7B" w:rsidRPr="00AD5C42">
        <w:rPr>
          <w:rFonts w:ascii="Book Antiqua" w:hAnsi="Book Antiqua"/>
          <w:color w:val="000000" w:themeColor="text1"/>
          <w:sz w:val="24"/>
          <w:szCs w:val="24"/>
        </w:rPr>
        <w:t xml:space="preserve"> </w:t>
      </w:r>
      <w:r w:rsidRPr="00AD5C42">
        <w:rPr>
          <w:rFonts w:ascii="Book Antiqua" w:hAnsi="Book Antiqua"/>
          <w:color w:val="000000" w:themeColor="text1"/>
          <w:sz w:val="24"/>
          <w:szCs w:val="24"/>
        </w:rPr>
        <w:t xml:space="preserve">mg twice per </w:t>
      </w:r>
      <w:r w:rsidR="00736D7E" w:rsidRPr="00AD5C42">
        <w:rPr>
          <w:rFonts w:ascii="Book Antiqua" w:hAnsi="Book Antiqua"/>
          <w:color w:val="000000" w:themeColor="text1"/>
          <w:sz w:val="24"/>
          <w:szCs w:val="24"/>
        </w:rPr>
        <w:t xml:space="preserve">day and AMPC </w:t>
      </w:r>
      <w:r w:rsidR="008A4F7B" w:rsidRPr="00AD5C42">
        <w:rPr>
          <w:rFonts w:ascii="Book Antiqua" w:hAnsi="Book Antiqua"/>
          <w:color w:val="000000" w:themeColor="text1"/>
          <w:sz w:val="24"/>
          <w:szCs w:val="24"/>
        </w:rPr>
        <w:t>500 mg</w:t>
      </w:r>
      <w:r w:rsidR="00736D7E" w:rsidRPr="00AD5C42">
        <w:rPr>
          <w:rFonts w:ascii="Book Antiqua" w:hAnsi="Book Antiqua"/>
          <w:color w:val="000000" w:themeColor="text1"/>
          <w:sz w:val="24"/>
          <w:szCs w:val="24"/>
        </w:rPr>
        <w:t xml:space="preserve"> </w:t>
      </w:r>
      <w:r w:rsidR="008C2E90" w:rsidRPr="00AD5C42">
        <w:rPr>
          <w:rFonts w:ascii="Book Antiqua" w:hAnsi="Book Antiqua"/>
          <w:color w:val="000000" w:themeColor="text1"/>
          <w:sz w:val="24"/>
          <w:szCs w:val="24"/>
        </w:rPr>
        <w:t xml:space="preserve">three </w:t>
      </w:r>
      <w:r w:rsidR="00736D7E" w:rsidRPr="00AD5C42">
        <w:rPr>
          <w:rFonts w:ascii="Book Antiqua" w:hAnsi="Book Antiqua"/>
          <w:color w:val="000000" w:themeColor="text1"/>
          <w:sz w:val="24"/>
          <w:szCs w:val="24"/>
        </w:rPr>
        <w:t xml:space="preserve">times/d for </w:t>
      </w:r>
      <w:r w:rsidR="008C2E90" w:rsidRPr="00AD5C42">
        <w:rPr>
          <w:rFonts w:ascii="Book Antiqua" w:hAnsi="Book Antiqua"/>
          <w:color w:val="000000" w:themeColor="text1"/>
          <w:sz w:val="24"/>
          <w:szCs w:val="24"/>
        </w:rPr>
        <w:t>seven</w:t>
      </w:r>
      <w:r w:rsidR="00736D7E" w:rsidRPr="00AD5C42">
        <w:rPr>
          <w:rFonts w:ascii="Book Antiqua" w:hAnsi="Book Antiqua"/>
          <w:color w:val="000000" w:themeColor="text1"/>
          <w:sz w:val="24"/>
          <w:szCs w:val="24"/>
        </w:rPr>
        <w:t xml:space="preserve"> days </w:t>
      </w:r>
      <w:r w:rsidR="002B79EF" w:rsidRPr="00AD5C42">
        <w:rPr>
          <w:rFonts w:ascii="Book Antiqua" w:hAnsi="Book Antiqua"/>
          <w:color w:val="000000" w:themeColor="text1"/>
          <w:sz w:val="24"/>
          <w:szCs w:val="24"/>
        </w:rPr>
        <w:t xml:space="preserve">provided </w:t>
      </w:r>
      <w:r w:rsidR="00E74B75" w:rsidRPr="00AD5C42">
        <w:rPr>
          <w:rFonts w:ascii="Book Antiqua" w:hAnsi="Book Antiqua"/>
          <w:color w:val="000000" w:themeColor="text1"/>
          <w:sz w:val="24"/>
          <w:szCs w:val="24"/>
        </w:rPr>
        <w:t>sufficient</w:t>
      </w:r>
      <w:r w:rsidR="002B79EF" w:rsidRPr="00AD5C42">
        <w:rPr>
          <w:rFonts w:ascii="Book Antiqua" w:hAnsi="Book Antiqua"/>
          <w:color w:val="000000" w:themeColor="text1"/>
          <w:sz w:val="24"/>
          <w:szCs w:val="24"/>
        </w:rPr>
        <w:t xml:space="preserve"> eradication rates of </w:t>
      </w:r>
      <w:r w:rsidR="007B28F4" w:rsidRPr="00AD5C42">
        <w:rPr>
          <w:rFonts w:ascii="Book Antiqua" w:hAnsi="Book Antiqua"/>
          <w:color w:val="000000" w:themeColor="text1"/>
          <w:sz w:val="24"/>
          <w:szCs w:val="24"/>
        </w:rPr>
        <w:t xml:space="preserve">93.8% of </w:t>
      </w:r>
      <w:r w:rsidR="002B79EF" w:rsidRPr="00AD5C42">
        <w:rPr>
          <w:rFonts w:ascii="Book Antiqua" w:hAnsi="Book Antiqua"/>
          <w:i/>
          <w:color w:val="000000" w:themeColor="text1"/>
          <w:sz w:val="24"/>
          <w:szCs w:val="24"/>
        </w:rPr>
        <w:t>H. pylori</w:t>
      </w:r>
      <w:r w:rsidR="002B79EF" w:rsidRPr="00AD5C42">
        <w:rPr>
          <w:rFonts w:ascii="Book Antiqua" w:hAnsi="Book Antiqua"/>
          <w:color w:val="000000" w:themeColor="text1"/>
          <w:sz w:val="24"/>
          <w:szCs w:val="24"/>
        </w:rPr>
        <w:t xml:space="preserve"> </w:t>
      </w:r>
      <w:proofErr w:type="gramStart"/>
      <w:r w:rsidR="002B79EF" w:rsidRPr="00AD5C42">
        <w:rPr>
          <w:rFonts w:ascii="Book Antiqua" w:hAnsi="Book Antiqua"/>
          <w:color w:val="000000" w:themeColor="text1"/>
          <w:sz w:val="24"/>
          <w:szCs w:val="24"/>
        </w:rPr>
        <w:t>infection</w:t>
      </w:r>
      <w:r w:rsidR="00F26A74" w:rsidRPr="00AD5C42">
        <w:rPr>
          <w:rFonts w:ascii="Book Antiqua" w:hAnsi="Book Antiqua"/>
          <w:color w:val="000000" w:themeColor="text1"/>
          <w:sz w:val="24"/>
          <w:szCs w:val="24"/>
          <w:vertAlign w:val="superscript"/>
        </w:rPr>
        <w:t>[</w:t>
      </w:r>
      <w:proofErr w:type="gramEnd"/>
      <w:r w:rsidR="00F26A74" w:rsidRPr="00AD5C42">
        <w:rPr>
          <w:rFonts w:ascii="Book Antiqua" w:hAnsi="Book Antiqua"/>
          <w:color w:val="000000" w:themeColor="text1"/>
          <w:sz w:val="24"/>
          <w:szCs w:val="24"/>
          <w:vertAlign w:val="superscript"/>
        </w:rPr>
        <w:t>32]</w:t>
      </w:r>
      <w:r w:rsidR="007F3E48" w:rsidRPr="00AD5C42">
        <w:rPr>
          <w:rFonts w:ascii="Book Antiqua" w:hAnsi="Book Antiqua"/>
          <w:color w:val="000000" w:themeColor="text1"/>
          <w:sz w:val="24"/>
          <w:szCs w:val="24"/>
        </w:rPr>
        <w:t>.</w:t>
      </w:r>
      <w:r w:rsidR="001452E6" w:rsidRPr="00AD5C42">
        <w:rPr>
          <w:rFonts w:ascii="Book Antiqua" w:hAnsi="Book Antiqua"/>
          <w:color w:val="000000" w:themeColor="text1"/>
          <w:sz w:val="24"/>
          <w:szCs w:val="24"/>
        </w:rPr>
        <w:t xml:space="preserve"> T</w:t>
      </w:r>
      <w:r w:rsidR="00736D7E" w:rsidRPr="00AD5C42">
        <w:rPr>
          <w:rFonts w:ascii="Book Antiqua" w:hAnsi="Book Antiqua"/>
          <w:color w:val="000000" w:themeColor="text1"/>
          <w:sz w:val="24"/>
          <w:szCs w:val="24"/>
        </w:rPr>
        <w:t xml:space="preserve">his </w:t>
      </w:r>
      <w:r w:rsidR="008C2E90" w:rsidRPr="00AD5C42">
        <w:rPr>
          <w:rFonts w:ascii="Book Antiqua" w:hAnsi="Book Antiqua"/>
          <w:color w:val="000000" w:themeColor="text1"/>
          <w:sz w:val="24"/>
          <w:szCs w:val="24"/>
        </w:rPr>
        <w:t>seven</w:t>
      </w:r>
      <w:r w:rsidR="000D35A0" w:rsidRPr="00AD5C42">
        <w:rPr>
          <w:rFonts w:ascii="Book Antiqua" w:hAnsi="Book Antiqua"/>
          <w:color w:val="000000" w:themeColor="text1"/>
          <w:sz w:val="24"/>
          <w:szCs w:val="24"/>
        </w:rPr>
        <w:t>-</w:t>
      </w:r>
      <w:r w:rsidR="00736D7E" w:rsidRPr="00AD5C42">
        <w:rPr>
          <w:rFonts w:ascii="Book Antiqua" w:hAnsi="Book Antiqua"/>
          <w:color w:val="000000" w:themeColor="text1"/>
          <w:sz w:val="24"/>
          <w:szCs w:val="24"/>
        </w:rPr>
        <w:t>day</w:t>
      </w:r>
      <w:r w:rsidR="000D35A0" w:rsidRPr="00AD5C42">
        <w:rPr>
          <w:rFonts w:ascii="Book Antiqua" w:hAnsi="Book Antiqua"/>
          <w:color w:val="000000" w:themeColor="text1"/>
          <w:sz w:val="24"/>
          <w:szCs w:val="24"/>
        </w:rPr>
        <w:t>,</w:t>
      </w:r>
      <w:r w:rsidR="00190755" w:rsidRPr="00AD5C42">
        <w:rPr>
          <w:rFonts w:ascii="Book Antiqua" w:hAnsi="Book Antiqua"/>
          <w:color w:val="000000" w:themeColor="text1"/>
          <w:sz w:val="24"/>
          <w:szCs w:val="24"/>
        </w:rPr>
        <w:t xml:space="preserve"> vonoprazan</w:t>
      </w:r>
      <w:r w:rsidR="008C2E90" w:rsidRPr="00AD5C42">
        <w:rPr>
          <w:rFonts w:ascii="Book Antiqua" w:hAnsi="Book Antiqua"/>
          <w:color w:val="000000" w:themeColor="text1"/>
          <w:sz w:val="24"/>
          <w:szCs w:val="24"/>
        </w:rPr>
        <w:t>-</w:t>
      </w:r>
      <w:r w:rsidR="00190755" w:rsidRPr="00AD5C42">
        <w:rPr>
          <w:rFonts w:ascii="Book Antiqua" w:hAnsi="Book Antiqua"/>
          <w:color w:val="000000" w:themeColor="text1"/>
          <w:sz w:val="24"/>
          <w:szCs w:val="24"/>
        </w:rPr>
        <w:t>based dual therapy</w:t>
      </w:r>
      <w:r w:rsidR="0067146A" w:rsidRPr="00AD5C42">
        <w:rPr>
          <w:rFonts w:ascii="Book Antiqua" w:hAnsi="Book Antiqua"/>
          <w:color w:val="000000" w:themeColor="text1"/>
          <w:sz w:val="24"/>
          <w:szCs w:val="24"/>
        </w:rPr>
        <w:t xml:space="preserve"> </w:t>
      </w:r>
      <w:r w:rsidR="003576E9" w:rsidRPr="00AD5C42">
        <w:rPr>
          <w:rFonts w:ascii="Book Antiqua" w:hAnsi="Book Antiqua"/>
          <w:color w:val="000000" w:themeColor="text1"/>
          <w:sz w:val="24"/>
          <w:szCs w:val="24"/>
        </w:rPr>
        <w:t xml:space="preserve">may </w:t>
      </w:r>
      <w:r w:rsidR="0067146A" w:rsidRPr="00AD5C42">
        <w:rPr>
          <w:rFonts w:ascii="Book Antiqua" w:hAnsi="Book Antiqua"/>
          <w:color w:val="000000" w:themeColor="text1"/>
          <w:sz w:val="24"/>
          <w:szCs w:val="24"/>
        </w:rPr>
        <w:t>ha</w:t>
      </w:r>
      <w:r w:rsidR="003576E9" w:rsidRPr="00AD5C42">
        <w:rPr>
          <w:rFonts w:ascii="Book Antiqua" w:hAnsi="Book Antiqua"/>
          <w:color w:val="000000" w:themeColor="text1"/>
          <w:sz w:val="24"/>
          <w:szCs w:val="24"/>
        </w:rPr>
        <w:t>ve</w:t>
      </w:r>
      <w:r w:rsidR="0067146A" w:rsidRPr="00AD5C42">
        <w:rPr>
          <w:rFonts w:ascii="Book Antiqua" w:hAnsi="Book Antiqua"/>
          <w:color w:val="000000" w:themeColor="text1"/>
          <w:sz w:val="24"/>
          <w:szCs w:val="24"/>
        </w:rPr>
        <w:t xml:space="preserve"> additional advantages </w:t>
      </w:r>
      <w:r w:rsidR="007B28F4" w:rsidRPr="00AD5C42">
        <w:rPr>
          <w:rFonts w:ascii="Book Antiqua" w:hAnsi="Book Antiqua"/>
          <w:color w:val="000000" w:themeColor="text1"/>
          <w:sz w:val="24"/>
          <w:szCs w:val="24"/>
        </w:rPr>
        <w:t xml:space="preserve">in terms of </w:t>
      </w:r>
      <w:r w:rsidR="0067146A" w:rsidRPr="00AD5C42">
        <w:rPr>
          <w:rFonts w:ascii="Book Antiqua" w:hAnsi="Book Antiqua"/>
          <w:color w:val="000000" w:themeColor="text1"/>
          <w:sz w:val="24"/>
          <w:szCs w:val="24"/>
        </w:rPr>
        <w:t>treatment compliance and medical cost</w:t>
      </w:r>
      <w:r w:rsidR="008C2E90" w:rsidRPr="00AD5C42">
        <w:rPr>
          <w:rFonts w:ascii="Book Antiqua" w:hAnsi="Book Antiqua"/>
          <w:color w:val="000000" w:themeColor="text1"/>
          <w:sz w:val="24"/>
          <w:szCs w:val="24"/>
        </w:rPr>
        <w:t>s</w:t>
      </w:r>
      <w:r w:rsidR="007B28F4" w:rsidRPr="00AD5C42">
        <w:rPr>
          <w:rFonts w:ascii="Book Antiqua" w:hAnsi="Book Antiqua"/>
          <w:color w:val="000000" w:themeColor="text1"/>
          <w:sz w:val="24"/>
          <w:szCs w:val="24"/>
        </w:rPr>
        <w:t xml:space="preserve"> as </w:t>
      </w:r>
      <w:r w:rsidR="0067146A" w:rsidRPr="00AD5C42">
        <w:rPr>
          <w:rFonts w:ascii="Book Antiqua" w:hAnsi="Book Antiqua"/>
          <w:color w:val="000000" w:themeColor="text1"/>
          <w:sz w:val="24"/>
          <w:szCs w:val="24"/>
        </w:rPr>
        <w:t xml:space="preserve">fewer agents are used and the </w:t>
      </w:r>
      <w:r w:rsidR="0067146A" w:rsidRPr="00AD5C42">
        <w:rPr>
          <w:rFonts w:ascii="Book Antiqua" w:hAnsi="Book Antiqua"/>
          <w:color w:val="000000" w:themeColor="text1"/>
          <w:sz w:val="24"/>
          <w:szCs w:val="24"/>
        </w:rPr>
        <w:lastRenderedPageBreak/>
        <w:t>duration of the therapy is shorter than that of</w:t>
      </w:r>
      <w:r w:rsidR="008C2E90" w:rsidRPr="00AD5C42">
        <w:rPr>
          <w:rFonts w:ascii="Book Antiqua" w:hAnsi="Book Antiqua"/>
          <w:color w:val="000000" w:themeColor="text1"/>
          <w:sz w:val="24"/>
          <w:szCs w:val="24"/>
        </w:rPr>
        <w:t xml:space="preserve"> other</w:t>
      </w:r>
      <w:r w:rsidR="0067146A" w:rsidRPr="00AD5C42">
        <w:rPr>
          <w:rFonts w:ascii="Book Antiqua" w:hAnsi="Book Antiqua"/>
          <w:color w:val="000000" w:themeColor="text1"/>
          <w:sz w:val="24"/>
          <w:szCs w:val="24"/>
        </w:rPr>
        <w:t xml:space="preserve"> </w:t>
      </w:r>
      <w:r w:rsidR="00190755" w:rsidRPr="00AD5C42">
        <w:rPr>
          <w:rFonts w:ascii="Book Antiqua" w:hAnsi="Book Antiqua"/>
          <w:color w:val="000000" w:themeColor="text1"/>
          <w:sz w:val="24"/>
          <w:szCs w:val="24"/>
        </w:rPr>
        <w:t>recent standard treatment</w:t>
      </w:r>
      <w:r w:rsidR="000D35A0" w:rsidRPr="00AD5C42">
        <w:rPr>
          <w:rFonts w:ascii="Book Antiqua" w:hAnsi="Book Antiqua"/>
          <w:color w:val="000000" w:themeColor="text1"/>
          <w:sz w:val="24"/>
          <w:szCs w:val="24"/>
        </w:rPr>
        <w:t xml:space="preserve"> regimens</w:t>
      </w:r>
      <w:r w:rsidR="008C2E90" w:rsidRPr="00AD5C42">
        <w:rPr>
          <w:rFonts w:ascii="Book Antiqua" w:hAnsi="Book Antiqua"/>
          <w:color w:val="000000" w:themeColor="text1"/>
          <w:sz w:val="24"/>
          <w:szCs w:val="24"/>
        </w:rPr>
        <w:t xml:space="preserve"> (</w:t>
      </w:r>
      <w:r w:rsidR="00190755" w:rsidRPr="00AD5C42">
        <w:rPr>
          <w:rFonts w:ascii="Book Antiqua" w:hAnsi="Book Antiqua"/>
          <w:color w:val="000000" w:themeColor="text1"/>
          <w:sz w:val="24"/>
          <w:szCs w:val="24"/>
        </w:rPr>
        <w:t>such as BQT</w:t>
      </w:r>
      <w:r w:rsidR="00E74B75" w:rsidRPr="00AD5C42">
        <w:rPr>
          <w:rFonts w:ascii="Book Antiqua" w:hAnsi="Book Antiqua"/>
          <w:color w:val="000000" w:themeColor="text1"/>
          <w:sz w:val="24"/>
          <w:szCs w:val="24"/>
        </w:rPr>
        <w:t xml:space="preserve">, </w:t>
      </w:r>
      <w:r w:rsidR="00736D7E" w:rsidRPr="00AD5C42">
        <w:rPr>
          <w:rFonts w:ascii="Book Antiqua" w:hAnsi="Book Antiqua"/>
          <w:color w:val="000000" w:themeColor="text1"/>
          <w:sz w:val="24"/>
          <w:szCs w:val="24"/>
        </w:rPr>
        <w:t xml:space="preserve">CQT, </w:t>
      </w:r>
      <w:r w:rsidR="00E74B75" w:rsidRPr="00AD5C42">
        <w:rPr>
          <w:rFonts w:ascii="Book Antiqua" w:hAnsi="Book Antiqua"/>
          <w:color w:val="000000" w:themeColor="text1"/>
          <w:sz w:val="24"/>
          <w:szCs w:val="24"/>
        </w:rPr>
        <w:t>and sequential therapies</w:t>
      </w:r>
      <w:r w:rsidR="008C2E90" w:rsidRPr="00AD5C42">
        <w:rPr>
          <w:rFonts w:ascii="Book Antiqua" w:hAnsi="Book Antiqua"/>
          <w:color w:val="000000" w:themeColor="text1"/>
          <w:sz w:val="24"/>
          <w:szCs w:val="24"/>
        </w:rPr>
        <w:t>)</w:t>
      </w:r>
      <w:r w:rsidR="00190755" w:rsidRPr="00AD5C42">
        <w:rPr>
          <w:rFonts w:ascii="Book Antiqua" w:hAnsi="Book Antiqua"/>
          <w:color w:val="000000" w:themeColor="text1"/>
          <w:sz w:val="24"/>
          <w:szCs w:val="24"/>
        </w:rPr>
        <w:t xml:space="preserve">. </w:t>
      </w:r>
      <w:r w:rsidR="00F270A3" w:rsidRPr="00AD5C42">
        <w:rPr>
          <w:rFonts w:ascii="Book Antiqua" w:hAnsi="Book Antiqua"/>
          <w:color w:val="000000" w:themeColor="text1"/>
          <w:sz w:val="24"/>
          <w:szCs w:val="24"/>
        </w:rPr>
        <w:t>Vonoprazan</w:t>
      </w:r>
      <w:r w:rsidR="008C2E90" w:rsidRPr="00AD5C42">
        <w:rPr>
          <w:rFonts w:ascii="Book Antiqua" w:hAnsi="Book Antiqua"/>
          <w:color w:val="000000" w:themeColor="text1"/>
          <w:sz w:val="24"/>
          <w:szCs w:val="24"/>
        </w:rPr>
        <w:t>-</w:t>
      </w:r>
      <w:r w:rsidR="00F270A3" w:rsidRPr="00AD5C42">
        <w:rPr>
          <w:rFonts w:ascii="Book Antiqua" w:hAnsi="Book Antiqua"/>
          <w:color w:val="000000" w:themeColor="text1"/>
          <w:sz w:val="24"/>
          <w:szCs w:val="24"/>
        </w:rPr>
        <w:t xml:space="preserve">based dual therapy </w:t>
      </w:r>
      <w:r w:rsidR="00D478A8" w:rsidRPr="00AD5C42">
        <w:rPr>
          <w:rFonts w:ascii="Book Antiqua" w:hAnsi="Book Antiqua"/>
          <w:color w:val="000000" w:themeColor="text1"/>
          <w:sz w:val="24"/>
          <w:szCs w:val="24"/>
        </w:rPr>
        <w:t>may be</w:t>
      </w:r>
      <w:r w:rsidR="00190755" w:rsidRPr="00AD5C42">
        <w:rPr>
          <w:rFonts w:ascii="Book Antiqua" w:hAnsi="Book Antiqua"/>
          <w:color w:val="000000" w:themeColor="text1"/>
          <w:sz w:val="24"/>
          <w:szCs w:val="24"/>
        </w:rPr>
        <w:t xml:space="preserve"> </w:t>
      </w:r>
      <w:r w:rsidR="008C2E90" w:rsidRPr="00AD5C42">
        <w:rPr>
          <w:rFonts w:ascii="Book Antiqua" w:hAnsi="Book Antiqua"/>
          <w:color w:val="000000" w:themeColor="text1"/>
          <w:sz w:val="24"/>
          <w:szCs w:val="24"/>
        </w:rPr>
        <w:t xml:space="preserve">a </w:t>
      </w:r>
      <w:r w:rsidR="00190755" w:rsidRPr="00AD5C42">
        <w:rPr>
          <w:rFonts w:ascii="Book Antiqua" w:hAnsi="Book Antiqua"/>
          <w:color w:val="000000" w:themeColor="text1"/>
          <w:sz w:val="24"/>
          <w:szCs w:val="24"/>
        </w:rPr>
        <w:t xml:space="preserve">recent breakthrough </w:t>
      </w:r>
      <w:r w:rsidR="008A4F7B" w:rsidRPr="00AD5C42">
        <w:rPr>
          <w:rFonts w:ascii="Book Antiqua" w:hAnsi="Book Antiqua"/>
          <w:color w:val="000000" w:themeColor="text1"/>
          <w:sz w:val="24"/>
          <w:szCs w:val="24"/>
        </w:rPr>
        <w:t xml:space="preserve">that could ensure a </w:t>
      </w:r>
      <w:r w:rsidR="00F21F9B" w:rsidRPr="00AD5C42">
        <w:rPr>
          <w:rFonts w:ascii="Book Antiqua" w:hAnsi="Book Antiqua"/>
          <w:color w:val="000000" w:themeColor="text1"/>
          <w:sz w:val="24"/>
          <w:szCs w:val="24"/>
        </w:rPr>
        <w:t>satisfactory</w:t>
      </w:r>
      <w:r w:rsidR="008A4F7B" w:rsidRPr="00AD5C42">
        <w:rPr>
          <w:rFonts w:ascii="Book Antiqua" w:hAnsi="Book Antiqua"/>
          <w:color w:val="000000" w:themeColor="text1"/>
          <w:sz w:val="24"/>
          <w:szCs w:val="24"/>
        </w:rPr>
        <w:t xml:space="preserve"> </w:t>
      </w:r>
      <w:r w:rsidR="00581BC2" w:rsidRPr="00AD5C42">
        <w:rPr>
          <w:rFonts w:ascii="Book Antiqua" w:hAnsi="Book Antiqua"/>
          <w:color w:val="000000" w:themeColor="text1"/>
          <w:sz w:val="24"/>
          <w:szCs w:val="24"/>
        </w:rPr>
        <w:t>eradication rate with</w:t>
      </w:r>
      <w:r w:rsidR="00421321" w:rsidRPr="00AD5C42">
        <w:rPr>
          <w:rFonts w:ascii="Book Antiqua" w:hAnsi="Book Antiqua"/>
          <w:color w:val="000000" w:themeColor="text1"/>
          <w:sz w:val="24"/>
          <w:szCs w:val="24"/>
        </w:rPr>
        <w:t xml:space="preserve"> </w:t>
      </w:r>
      <w:r w:rsidR="000D35A0" w:rsidRPr="00AD5C42">
        <w:rPr>
          <w:rFonts w:ascii="Book Antiqua" w:hAnsi="Book Antiqua"/>
          <w:color w:val="000000" w:themeColor="text1"/>
          <w:sz w:val="24"/>
          <w:szCs w:val="24"/>
        </w:rPr>
        <w:t xml:space="preserve">the </w:t>
      </w:r>
      <w:r w:rsidR="00421321" w:rsidRPr="00AD5C42">
        <w:rPr>
          <w:rFonts w:ascii="Book Antiqua" w:hAnsi="Book Antiqua"/>
          <w:color w:val="000000" w:themeColor="text1"/>
          <w:sz w:val="24"/>
          <w:szCs w:val="24"/>
        </w:rPr>
        <w:t>use of</w:t>
      </w:r>
      <w:r w:rsidR="00581BC2" w:rsidRPr="00AD5C42">
        <w:rPr>
          <w:rFonts w:ascii="Book Antiqua" w:hAnsi="Book Antiqua"/>
          <w:color w:val="000000" w:themeColor="text1"/>
          <w:sz w:val="24"/>
          <w:szCs w:val="24"/>
        </w:rPr>
        <w:t xml:space="preserve"> minimum antibiotic agent</w:t>
      </w:r>
      <w:r w:rsidR="008C2E90" w:rsidRPr="00AD5C42">
        <w:rPr>
          <w:rFonts w:ascii="Book Antiqua" w:hAnsi="Book Antiqua"/>
          <w:color w:val="000000" w:themeColor="text1"/>
          <w:sz w:val="24"/>
          <w:szCs w:val="24"/>
        </w:rPr>
        <w:t>s</w:t>
      </w:r>
      <w:r w:rsidR="00581BC2" w:rsidRPr="00AD5C42">
        <w:rPr>
          <w:rFonts w:ascii="Book Antiqua" w:hAnsi="Book Antiqua"/>
          <w:color w:val="000000" w:themeColor="text1"/>
          <w:sz w:val="24"/>
          <w:szCs w:val="24"/>
        </w:rPr>
        <w:t xml:space="preserve"> and</w:t>
      </w:r>
      <w:r w:rsidR="008C2E90" w:rsidRPr="00AD5C42">
        <w:rPr>
          <w:rFonts w:ascii="Book Antiqua" w:hAnsi="Book Antiqua"/>
          <w:color w:val="000000" w:themeColor="text1"/>
          <w:sz w:val="24"/>
          <w:szCs w:val="24"/>
        </w:rPr>
        <w:t xml:space="preserve"> a</w:t>
      </w:r>
      <w:r w:rsidR="00581BC2" w:rsidRPr="00AD5C42">
        <w:rPr>
          <w:rFonts w:ascii="Book Antiqua" w:hAnsi="Book Antiqua"/>
          <w:color w:val="000000" w:themeColor="text1"/>
          <w:sz w:val="24"/>
          <w:szCs w:val="24"/>
        </w:rPr>
        <w:t xml:space="preserve"> short treatment duration. </w:t>
      </w:r>
      <w:r w:rsidR="00C575FD" w:rsidRPr="00AD5C42">
        <w:rPr>
          <w:rFonts w:ascii="Book Antiqua" w:hAnsi="Book Antiqua"/>
          <w:color w:val="000000" w:themeColor="text1"/>
          <w:sz w:val="24"/>
          <w:szCs w:val="24"/>
        </w:rPr>
        <w:t>Furthermore, reducing antibiotics may prevent changes and dysbiosis in gut microbiota composition</w:t>
      </w:r>
      <w:r w:rsidR="000D35A0" w:rsidRPr="00AD5C42">
        <w:rPr>
          <w:rFonts w:ascii="Book Antiqua" w:hAnsi="Book Antiqua"/>
          <w:color w:val="000000" w:themeColor="text1"/>
          <w:sz w:val="24"/>
          <w:szCs w:val="24"/>
        </w:rPr>
        <w:t>,</w:t>
      </w:r>
      <w:r w:rsidR="00C575FD" w:rsidRPr="00AD5C42">
        <w:rPr>
          <w:rFonts w:ascii="Book Antiqua" w:hAnsi="Book Antiqua"/>
          <w:color w:val="000000" w:themeColor="text1"/>
          <w:sz w:val="24"/>
          <w:szCs w:val="24"/>
        </w:rPr>
        <w:t xml:space="preserve"> which are caused by antibiotics </w:t>
      </w:r>
      <w:r w:rsidR="000D35A0" w:rsidRPr="00AD5C42">
        <w:rPr>
          <w:rFonts w:ascii="Book Antiqua" w:hAnsi="Book Antiqua"/>
          <w:color w:val="000000" w:themeColor="text1"/>
          <w:sz w:val="24"/>
          <w:szCs w:val="24"/>
        </w:rPr>
        <w:t xml:space="preserve">used </w:t>
      </w:r>
      <w:r w:rsidR="00C575FD" w:rsidRPr="00AD5C42">
        <w:rPr>
          <w:rFonts w:ascii="Book Antiqua" w:hAnsi="Book Antiqua"/>
          <w:color w:val="000000" w:themeColor="text1"/>
          <w:sz w:val="24"/>
          <w:szCs w:val="24"/>
        </w:rPr>
        <w:t xml:space="preserve">in </w:t>
      </w:r>
      <w:r w:rsidR="00C575FD" w:rsidRPr="00AD5C42">
        <w:rPr>
          <w:rFonts w:ascii="Book Antiqua" w:hAnsi="Book Antiqua"/>
          <w:i/>
          <w:color w:val="000000" w:themeColor="text1"/>
          <w:sz w:val="24"/>
          <w:szCs w:val="24"/>
        </w:rPr>
        <w:t>H. pylori</w:t>
      </w:r>
      <w:r w:rsidR="00C575FD" w:rsidRPr="00AD5C42">
        <w:rPr>
          <w:rFonts w:ascii="Book Antiqua" w:hAnsi="Book Antiqua"/>
          <w:color w:val="000000" w:themeColor="text1"/>
          <w:sz w:val="24"/>
          <w:szCs w:val="24"/>
        </w:rPr>
        <w:t xml:space="preserve"> eradication </w:t>
      </w:r>
      <w:proofErr w:type="gramStart"/>
      <w:r w:rsidR="00C575FD" w:rsidRPr="00AD5C42">
        <w:rPr>
          <w:rFonts w:ascii="Book Antiqua" w:hAnsi="Book Antiqua"/>
          <w:color w:val="000000" w:themeColor="text1"/>
          <w:sz w:val="24"/>
          <w:szCs w:val="24"/>
        </w:rPr>
        <w:t>therapy</w:t>
      </w:r>
      <w:r w:rsidR="00F26A74" w:rsidRPr="00AD5C42">
        <w:rPr>
          <w:rFonts w:ascii="Book Antiqua" w:hAnsi="Book Antiqua"/>
          <w:color w:val="000000" w:themeColor="text1"/>
          <w:sz w:val="24"/>
          <w:szCs w:val="24"/>
          <w:vertAlign w:val="superscript"/>
        </w:rPr>
        <w:t>[</w:t>
      </w:r>
      <w:proofErr w:type="gramEnd"/>
      <w:r w:rsidR="00F26A74" w:rsidRPr="00AD5C42">
        <w:rPr>
          <w:rFonts w:ascii="Book Antiqua" w:hAnsi="Book Antiqua"/>
          <w:color w:val="000000" w:themeColor="text1"/>
          <w:sz w:val="24"/>
          <w:szCs w:val="24"/>
          <w:vertAlign w:val="superscript"/>
        </w:rPr>
        <w:t>33]</w:t>
      </w:r>
      <w:r w:rsidR="007F3E48" w:rsidRPr="00AD5C42">
        <w:rPr>
          <w:rFonts w:ascii="Book Antiqua" w:hAnsi="Book Antiqua"/>
          <w:color w:val="000000" w:themeColor="text1"/>
          <w:sz w:val="24"/>
          <w:szCs w:val="24"/>
        </w:rPr>
        <w:t>.</w:t>
      </w:r>
      <w:r w:rsidR="00C575FD" w:rsidRPr="00AD5C42">
        <w:rPr>
          <w:rFonts w:ascii="Book Antiqua" w:hAnsi="Book Antiqua"/>
          <w:color w:val="000000" w:themeColor="text1"/>
          <w:sz w:val="24"/>
          <w:szCs w:val="24"/>
        </w:rPr>
        <w:t xml:space="preserve"> </w:t>
      </w:r>
      <w:r w:rsidR="00EA6A15" w:rsidRPr="00AD5C42">
        <w:rPr>
          <w:rFonts w:ascii="Book Antiqua" w:hAnsi="Book Antiqua"/>
          <w:color w:val="000000" w:themeColor="text1"/>
          <w:sz w:val="24"/>
          <w:szCs w:val="24"/>
        </w:rPr>
        <w:t xml:space="preserve">Although </w:t>
      </w:r>
      <w:r w:rsidR="005C7F66" w:rsidRPr="00AD5C42">
        <w:rPr>
          <w:rFonts w:ascii="Book Antiqua" w:hAnsi="Book Antiqua"/>
          <w:color w:val="000000" w:themeColor="text1"/>
          <w:sz w:val="24"/>
          <w:szCs w:val="24"/>
        </w:rPr>
        <w:t>vonoprazan</w:t>
      </w:r>
      <w:r w:rsidR="00DB4646" w:rsidRPr="00AD5C42">
        <w:rPr>
          <w:rFonts w:ascii="Book Antiqua" w:hAnsi="Book Antiqua"/>
          <w:color w:val="000000" w:themeColor="text1"/>
          <w:sz w:val="24"/>
          <w:szCs w:val="24"/>
        </w:rPr>
        <w:t>-</w:t>
      </w:r>
      <w:r w:rsidR="005C7F66" w:rsidRPr="00AD5C42">
        <w:rPr>
          <w:rFonts w:ascii="Book Antiqua" w:hAnsi="Book Antiqua"/>
          <w:color w:val="000000" w:themeColor="text1"/>
          <w:sz w:val="24"/>
          <w:szCs w:val="24"/>
        </w:rPr>
        <w:t>based dual therapy</w:t>
      </w:r>
      <w:r w:rsidR="00DB4646" w:rsidRPr="00AD5C42">
        <w:rPr>
          <w:rFonts w:ascii="Book Antiqua" w:hAnsi="Book Antiqua"/>
          <w:color w:val="000000" w:themeColor="text1"/>
          <w:sz w:val="24"/>
          <w:szCs w:val="24"/>
        </w:rPr>
        <w:t xml:space="preserve"> </w:t>
      </w:r>
      <w:r w:rsidR="00560FBB" w:rsidRPr="00AD5C42">
        <w:rPr>
          <w:rFonts w:ascii="Book Antiqua" w:hAnsi="Book Antiqua"/>
          <w:color w:val="000000" w:themeColor="text1"/>
          <w:sz w:val="24"/>
          <w:szCs w:val="24"/>
        </w:rPr>
        <w:t xml:space="preserve">potentially </w:t>
      </w:r>
      <w:r w:rsidR="00DB4646" w:rsidRPr="00AD5C42">
        <w:rPr>
          <w:rFonts w:ascii="Book Antiqua" w:hAnsi="Book Antiqua"/>
          <w:color w:val="000000" w:themeColor="text1"/>
          <w:sz w:val="24"/>
          <w:szCs w:val="24"/>
        </w:rPr>
        <w:t>has these advantages</w:t>
      </w:r>
      <w:r w:rsidR="005C7F66" w:rsidRPr="00AD5C42">
        <w:rPr>
          <w:rFonts w:ascii="Book Antiqua" w:hAnsi="Book Antiqua"/>
          <w:color w:val="000000" w:themeColor="text1"/>
          <w:sz w:val="24"/>
          <w:szCs w:val="24"/>
        </w:rPr>
        <w:t xml:space="preserve">, </w:t>
      </w:r>
      <w:r w:rsidR="00560FBB" w:rsidRPr="00AD5C42">
        <w:rPr>
          <w:rFonts w:ascii="Book Antiqua" w:hAnsi="Book Antiqua"/>
          <w:color w:val="000000" w:themeColor="text1"/>
          <w:sz w:val="24"/>
          <w:szCs w:val="24"/>
        </w:rPr>
        <w:t xml:space="preserve">it also </w:t>
      </w:r>
      <w:r w:rsidR="00DB4646" w:rsidRPr="00AD5C42">
        <w:rPr>
          <w:rFonts w:ascii="Book Antiqua" w:hAnsi="Book Antiqua"/>
          <w:color w:val="000000" w:themeColor="text1"/>
          <w:sz w:val="24"/>
          <w:szCs w:val="24"/>
        </w:rPr>
        <w:t>ha</w:t>
      </w:r>
      <w:r w:rsidR="00B05700" w:rsidRPr="00AD5C42">
        <w:rPr>
          <w:rFonts w:ascii="Book Antiqua" w:hAnsi="Book Antiqua"/>
          <w:color w:val="000000" w:themeColor="text1"/>
          <w:sz w:val="24"/>
          <w:szCs w:val="24"/>
        </w:rPr>
        <w:t>s</w:t>
      </w:r>
      <w:r w:rsidR="00DB4646" w:rsidRPr="00AD5C42">
        <w:rPr>
          <w:rFonts w:ascii="Book Antiqua" w:hAnsi="Book Antiqua"/>
          <w:color w:val="000000" w:themeColor="text1"/>
          <w:sz w:val="24"/>
          <w:szCs w:val="24"/>
        </w:rPr>
        <w:t xml:space="preserve"> several limitations for implementation in clinical setting. </w:t>
      </w:r>
      <w:r w:rsidR="005C7F66" w:rsidRPr="00AD5C42">
        <w:rPr>
          <w:rFonts w:ascii="Book Antiqua" w:hAnsi="Book Antiqua"/>
          <w:color w:val="000000" w:themeColor="text1"/>
          <w:sz w:val="24"/>
          <w:szCs w:val="24"/>
        </w:rPr>
        <w:t>First,</w:t>
      </w:r>
      <w:r w:rsidR="00CE3E60" w:rsidRPr="00AD5C42">
        <w:rPr>
          <w:rFonts w:ascii="Book Antiqua" w:hAnsi="Book Antiqua"/>
          <w:color w:val="000000" w:themeColor="text1"/>
          <w:sz w:val="24"/>
          <w:szCs w:val="24"/>
        </w:rPr>
        <w:t xml:space="preserve"> vonoprazan is available in a few countries</w:t>
      </w:r>
      <w:r w:rsidR="00CA4DCE" w:rsidRPr="00AD5C42">
        <w:rPr>
          <w:rFonts w:ascii="Book Antiqua" w:hAnsi="Book Antiqua"/>
          <w:color w:val="000000" w:themeColor="text1"/>
          <w:sz w:val="24"/>
          <w:szCs w:val="24"/>
        </w:rPr>
        <w:t>.</w:t>
      </w:r>
      <w:r w:rsidR="00560FBB" w:rsidRPr="00AD5C42">
        <w:rPr>
          <w:rFonts w:ascii="Book Antiqua" w:hAnsi="Book Antiqua"/>
          <w:color w:val="000000" w:themeColor="text1"/>
          <w:sz w:val="24"/>
          <w:szCs w:val="24"/>
        </w:rPr>
        <w:t xml:space="preserve"> </w:t>
      </w:r>
      <w:proofErr w:type="spellStart"/>
      <w:r w:rsidR="00CA4DCE" w:rsidRPr="00AD5C42">
        <w:rPr>
          <w:rFonts w:ascii="Book Antiqua" w:hAnsi="Book Antiqua"/>
          <w:color w:val="000000" w:themeColor="text1"/>
          <w:sz w:val="24"/>
          <w:szCs w:val="24"/>
        </w:rPr>
        <w:t>Vonoprazan</w:t>
      </w:r>
      <w:proofErr w:type="spellEnd"/>
      <w:r w:rsidR="00560FBB" w:rsidRPr="00AD5C42">
        <w:rPr>
          <w:rFonts w:ascii="Book Antiqua" w:hAnsi="Book Antiqua"/>
          <w:color w:val="000000" w:themeColor="text1"/>
          <w:sz w:val="24"/>
          <w:szCs w:val="24"/>
        </w:rPr>
        <w:t xml:space="preserve"> </w:t>
      </w:r>
      <w:r w:rsidR="00CE3E60" w:rsidRPr="00AD5C42">
        <w:rPr>
          <w:rFonts w:ascii="Book Antiqua" w:hAnsi="Book Antiqua"/>
          <w:color w:val="000000" w:themeColor="text1"/>
          <w:sz w:val="24"/>
          <w:szCs w:val="24"/>
        </w:rPr>
        <w:t xml:space="preserve">was developed and launched in Japan </w:t>
      </w:r>
      <w:r w:rsidR="00560FBB" w:rsidRPr="00AD5C42">
        <w:rPr>
          <w:rFonts w:ascii="Book Antiqua" w:hAnsi="Book Antiqua"/>
          <w:color w:val="000000" w:themeColor="text1"/>
          <w:sz w:val="24"/>
          <w:szCs w:val="24"/>
        </w:rPr>
        <w:t xml:space="preserve">in </w:t>
      </w:r>
      <w:r w:rsidR="00CE3E60" w:rsidRPr="00AD5C42">
        <w:rPr>
          <w:rFonts w:ascii="Book Antiqua" w:hAnsi="Book Antiqua"/>
          <w:color w:val="000000" w:themeColor="text1"/>
          <w:sz w:val="24"/>
          <w:szCs w:val="24"/>
        </w:rPr>
        <w:t xml:space="preserve">2015. </w:t>
      </w:r>
      <w:r w:rsidR="00560FBB" w:rsidRPr="00AD5C42">
        <w:rPr>
          <w:rFonts w:ascii="Book Antiqua" w:hAnsi="Book Antiqua"/>
          <w:color w:val="000000" w:themeColor="text1"/>
          <w:sz w:val="24"/>
          <w:szCs w:val="24"/>
        </w:rPr>
        <w:t xml:space="preserve">However, it is </w:t>
      </w:r>
      <w:r w:rsidR="004449CA" w:rsidRPr="00AD5C42">
        <w:rPr>
          <w:rFonts w:ascii="Book Antiqua" w:hAnsi="Book Antiqua"/>
          <w:color w:val="000000" w:themeColor="text1"/>
          <w:sz w:val="24"/>
          <w:szCs w:val="24"/>
        </w:rPr>
        <w:t xml:space="preserve">now </w:t>
      </w:r>
      <w:r w:rsidR="00CE3E60" w:rsidRPr="00AD5C42">
        <w:rPr>
          <w:rFonts w:ascii="Book Antiqua" w:hAnsi="Book Antiqua"/>
          <w:color w:val="000000" w:themeColor="text1"/>
          <w:sz w:val="24"/>
          <w:szCs w:val="24"/>
        </w:rPr>
        <w:t>available in several Asian countries including Philippine, Singapore, and Thailand, and has been approved in other regions</w:t>
      </w:r>
      <w:r w:rsidR="00560FBB" w:rsidRPr="00AD5C42">
        <w:rPr>
          <w:rFonts w:ascii="Book Antiqua" w:hAnsi="Book Antiqua"/>
          <w:color w:val="000000" w:themeColor="text1"/>
          <w:sz w:val="24"/>
          <w:szCs w:val="24"/>
        </w:rPr>
        <w:t xml:space="preserve">, including </w:t>
      </w:r>
      <w:r w:rsidR="00A3437D" w:rsidRPr="00AD5C42">
        <w:rPr>
          <w:rFonts w:ascii="Book Antiqua" w:hAnsi="Book Antiqua"/>
          <w:color w:val="000000" w:themeColor="text1"/>
          <w:sz w:val="24"/>
          <w:szCs w:val="24"/>
        </w:rPr>
        <w:t>S</w:t>
      </w:r>
      <w:r w:rsidR="00CE3E60" w:rsidRPr="00AD5C42">
        <w:rPr>
          <w:rFonts w:ascii="Book Antiqua" w:hAnsi="Book Antiqua"/>
          <w:color w:val="000000" w:themeColor="text1"/>
          <w:sz w:val="24"/>
          <w:szCs w:val="24"/>
        </w:rPr>
        <w:t xml:space="preserve">outh </w:t>
      </w:r>
      <w:r w:rsidR="00560FBB" w:rsidRPr="00AD5C42">
        <w:rPr>
          <w:rFonts w:ascii="Book Antiqua" w:hAnsi="Book Antiqua"/>
          <w:color w:val="000000" w:themeColor="text1"/>
          <w:sz w:val="24"/>
          <w:szCs w:val="24"/>
        </w:rPr>
        <w:t>America</w:t>
      </w:r>
      <w:r w:rsidR="00CE3E60" w:rsidRPr="00AD5C42">
        <w:rPr>
          <w:rFonts w:ascii="Book Antiqua" w:hAnsi="Book Antiqua"/>
          <w:color w:val="000000" w:themeColor="text1"/>
          <w:sz w:val="24"/>
          <w:szCs w:val="24"/>
        </w:rPr>
        <w:t xml:space="preserve"> </w:t>
      </w:r>
      <w:r w:rsidR="00560FBB" w:rsidRPr="00AD5C42">
        <w:rPr>
          <w:rFonts w:ascii="Book Antiqua" w:hAnsi="Book Antiqua"/>
          <w:color w:val="000000" w:themeColor="text1"/>
          <w:sz w:val="24"/>
          <w:szCs w:val="24"/>
        </w:rPr>
        <w:t xml:space="preserve">(countries such as </w:t>
      </w:r>
      <w:r w:rsidR="00CE3E60" w:rsidRPr="00AD5C42">
        <w:rPr>
          <w:rFonts w:ascii="Book Antiqua" w:hAnsi="Book Antiqua"/>
          <w:color w:val="000000" w:themeColor="text1"/>
          <w:sz w:val="24"/>
          <w:szCs w:val="24"/>
        </w:rPr>
        <w:t>Argentina and Peru</w:t>
      </w:r>
      <w:r w:rsidR="00560FBB" w:rsidRPr="00AD5C42">
        <w:rPr>
          <w:rFonts w:ascii="Book Antiqua" w:hAnsi="Book Antiqua"/>
          <w:color w:val="000000" w:themeColor="text1"/>
          <w:sz w:val="24"/>
          <w:szCs w:val="24"/>
        </w:rPr>
        <w:t>)</w:t>
      </w:r>
      <w:r w:rsidR="00CE3E60" w:rsidRPr="00AD5C42">
        <w:rPr>
          <w:rFonts w:ascii="Book Antiqua" w:hAnsi="Book Antiqua"/>
          <w:color w:val="000000" w:themeColor="text1"/>
          <w:sz w:val="24"/>
          <w:szCs w:val="24"/>
        </w:rPr>
        <w:t xml:space="preserve">. Thus, vonoprazan may become available </w:t>
      </w:r>
      <w:r w:rsidR="00673E5D" w:rsidRPr="00AD5C42">
        <w:rPr>
          <w:rFonts w:ascii="Book Antiqua" w:hAnsi="Book Antiqua"/>
          <w:color w:val="000000" w:themeColor="text1"/>
          <w:sz w:val="24"/>
          <w:szCs w:val="24"/>
        </w:rPr>
        <w:t xml:space="preserve">and can be used for </w:t>
      </w:r>
      <w:r w:rsidR="00673E5D" w:rsidRPr="00AD5C42">
        <w:rPr>
          <w:rFonts w:ascii="Book Antiqua" w:hAnsi="Book Antiqua"/>
          <w:i/>
          <w:color w:val="000000" w:themeColor="text1"/>
          <w:sz w:val="24"/>
          <w:szCs w:val="24"/>
        </w:rPr>
        <w:t xml:space="preserve">H. pylori </w:t>
      </w:r>
      <w:r w:rsidR="00673E5D" w:rsidRPr="00AD5C42">
        <w:rPr>
          <w:rFonts w:ascii="Book Antiqua" w:hAnsi="Book Antiqua"/>
          <w:color w:val="000000" w:themeColor="text1"/>
          <w:sz w:val="24"/>
          <w:szCs w:val="24"/>
        </w:rPr>
        <w:t xml:space="preserve">eradication therapy </w:t>
      </w:r>
      <w:r w:rsidR="00CE3E60" w:rsidRPr="00AD5C42">
        <w:rPr>
          <w:rFonts w:ascii="Book Antiqua" w:hAnsi="Book Antiqua"/>
          <w:color w:val="000000" w:themeColor="text1"/>
          <w:sz w:val="24"/>
          <w:szCs w:val="24"/>
        </w:rPr>
        <w:t xml:space="preserve">worldwide in the near future. </w:t>
      </w:r>
      <w:r w:rsidR="005C7F66" w:rsidRPr="00AD5C42">
        <w:rPr>
          <w:rFonts w:ascii="Book Antiqua" w:hAnsi="Book Antiqua"/>
          <w:color w:val="000000" w:themeColor="text1"/>
          <w:sz w:val="24"/>
          <w:szCs w:val="24"/>
        </w:rPr>
        <w:t>Second, this regimen</w:t>
      </w:r>
      <w:r w:rsidR="00E33FBB" w:rsidRPr="00AD5C42">
        <w:rPr>
          <w:rFonts w:ascii="Book Antiqua" w:hAnsi="Book Antiqua"/>
          <w:color w:val="000000" w:themeColor="text1"/>
          <w:sz w:val="24"/>
          <w:szCs w:val="24"/>
        </w:rPr>
        <w:t xml:space="preserve"> cannot be used in </w:t>
      </w:r>
      <w:r w:rsidR="005C7F66" w:rsidRPr="00AD5C42">
        <w:rPr>
          <w:rFonts w:ascii="Book Antiqua" w:hAnsi="Book Antiqua"/>
          <w:color w:val="000000" w:themeColor="text1"/>
          <w:sz w:val="24"/>
          <w:szCs w:val="24"/>
        </w:rPr>
        <w:t xml:space="preserve">patients </w:t>
      </w:r>
      <w:r w:rsidR="00560FBB" w:rsidRPr="00AD5C42">
        <w:rPr>
          <w:rFonts w:ascii="Book Antiqua" w:hAnsi="Book Antiqua"/>
          <w:color w:val="000000" w:themeColor="text1"/>
          <w:sz w:val="24"/>
          <w:szCs w:val="24"/>
        </w:rPr>
        <w:t>with</w:t>
      </w:r>
      <w:r w:rsidR="005C7F66" w:rsidRPr="00AD5C42">
        <w:rPr>
          <w:rFonts w:ascii="Book Antiqua" w:hAnsi="Book Antiqua"/>
          <w:color w:val="000000" w:themeColor="text1"/>
          <w:sz w:val="24"/>
          <w:szCs w:val="24"/>
        </w:rPr>
        <w:t xml:space="preserve"> penicillin allerg</w:t>
      </w:r>
      <w:r w:rsidR="00E33FBB" w:rsidRPr="00AD5C42">
        <w:rPr>
          <w:rFonts w:ascii="Book Antiqua" w:hAnsi="Book Antiqua"/>
          <w:color w:val="000000" w:themeColor="text1"/>
          <w:sz w:val="24"/>
          <w:szCs w:val="24"/>
        </w:rPr>
        <w:t>y</w:t>
      </w:r>
      <w:r w:rsidR="00884BB5" w:rsidRPr="00AD5C42">
        <w:rPr>
          <w:rFonts w:ascii="Book Antiqua" w:hAnsi="Book Antiqua"/>
          <w:color w:val="000000" w:themeColor="text1"/>
          <w:sz w:val="24"/>
          <w:szCs w:val="24"/>
        </w:rPr>
        <w:t xml:space="preserve"> and thus a</w:t>
      </w:r>
      <w:r w:rsidR="00ED6237" w:rsidRPr="00AD5C42">
        <w:rPr>
          <w:rFonts w:ascii="Book Antiqua" w:hAnsi="Book Antiqua"/>
          <w:color w:val="000000" w:themeColor="text1"/>
          <w:sz w:val="24"/>
          <w:szCs w:val="24"/>
        </w:rPr>
        <w:t>ntimicrobial susceptibility testing</w:t>
      </w:r>
      <w:r w:rsidR="00A62F21" w:rsidRPr="00AD5C42">
        <w:rPr>
          <w:rFonts w:ascii="Book Antiqua" w:hAnsi="Book Antiqua"/>
          <w:color w:val="000000" w:themeColor="text1"/>
          <w:sz w:val="24"/>
          <w:szCs w:val="24"/>
        </w:rPr>
        <w:t xml:space="preserve"> should be perf</w:t>
      </w:r>
      <w:r w:rsidR="00884BB5" w:rsidRPr="00AD5C42">
        <w:rPr>
          <w:rFonts w:ascii="Book Antiqua" w:hAnsi="Book Antiqua"/>
          <w:color w:val="000000" w:themeColor="text1"/>
          <w:sz w:val="24"/>
          <w:szCs w:val="24"/>
        </w:rPr>
        <w:t xml:space="preserve">ormed </w:t>
      </w:r>
      <w:r w:rsidR="00A62F21" w:rsidRPr="00AD5C42">
        <w:rPr>
          <w:rFonts w:ascii="Book Antiqua" w:hAnsi="Book Antiqua"/>
          <w:color w:val="000000" w:themeColor="text1"/>
          <w:sz w:val="24"/>
          <w:szCs w:val="24"/>
        </w:rPr>
        <w:t xml:space="preserve">in </w:t>
      </w:r>
      <w:r w:rsidR="00884BB5" w:rsidRPr="00AD5C42">
        <w:rPr>
          <w:rFonts w:ascii="Book Antiqua" w:hAnsi="Book Antiqua"/>
          <w:color w:val="000000" w:themeColor="text1"/>
          <w:sz w:val="24"/>
          <w:szCs w:val="24"/>
        </w:rPr>
        <w:t xml:space="preserve">these </w:t>
      </w:r>
      <w:r w:rsidR="005C7F66" w:rsidRPr="00AD5C42">
        <w:rPr>
          <w:rFonts w:ascii="Book Antiqua" w:hAnsi="Book Antiqua"/>
          <w:color w:val="000000" w:themeColor="text1"/>
          <w:sz w:val="24"/>
          <w:szCs w:val="24"/>
        </w:rPr>
        <w:t xml:space="preserve">patients </w:t>
      </w:r>
      <w:r w:rsidR="00A62F21" w:rsidRPr="00AD5C42">
        <w:rPr>
          <w:rFonts w:ascii="Book Antiqua" w:hAnsi="Book Antiqua"/>
          <w:color w:val="000000" w:themeColor="text1"/>
          <w:sz w:val="24"/>
          <w:szCs w:val="24"/>
        </w:rPr>
        <w:t>to optimize</w:t>
      </w:r>
      <w:r w:rsidR="00CB290C" w:rsidRPr="00AD5C42">
        <w:rPr>
          <w:rFonts w:ascii="Book Antiqua" w:hAnsi="Book Antiqua"/>
          <w:color w:val="000000" w:themeColor="text1"/>
          <w:sz w:val="24"/>
          <w:szCs w:val="24"/>
        </w:rPr>
        <w:t xml:space="preserve"> </w:t>
      </w:r>
      <w:r w:rsidR="00CB290C" w:rsidRPr="00AD5C42">
        <w:rPr>
          <w:rFonts w:ascii="Book Antiqua" w:hAnsi="Book Antiqua"/>
          <w:i/>
          <w:color w:val="000000" w:themeColor="text1"/>
          <w:sz w:val="24"/>
          <w:szCs w:val="24"/>
        </w:rPr>
        <w:t>H. pylori</w:t>
      </w:r>
      <w:r w:rsidR="00CB290C" w:rsidRPr="00AD5C42">
        <w:rPr>
          <w:rFonts w:ascii="Book Antiqua" w:hAnsi="Book Antiqua"/>
          <w:color w:val="000000" w:themeColor="text1"/>
          <w:sz w:val="24"/>
          <w:szCs w:val="24"/>
        </w:rPr>
        <w:t xml:space="preserve"> eradication therapy. </w:t>
      </w:r>
      <w:r w:rsidR="00593995" w:rsidRPr="00AD5C42">
        <w:rPr>
          <w:rFonts w:ascii="Book Antiqua" w:hAnsi="Book Antiqua"/>
          <w:color w:val="000000" w:themeColor="text1"/>
          <w:sz w:val="24"/>
          <w:szCs w:val="24"/>
        </w:rPr>
        <w:t xml:space="preserve">Although </w:t>
      </w:r>
      <w:r w:rsidR="00A3437D" w:rsidRPr="00AD5C42">
        <w:rPr>
          <w:rFonts w:ascii="Book Antiqua" w:hAnsi="Book Antiqua"/>
          <w:color w:val="000000" w:themeColor="text1"/>
          <w:sz w:val="24"/>
          <w:szCs w:val="24"/>
        </w:rPr>
        <w:t xml:space="preserve">the </w:t>
      </w:r>
      <w:r w:rsidR="00212112" w:rsidRPr="00AD5C42">
        <w:rPr>
          <w:rFonts w:ascii="Book Antiqua" w:hAnsi="Book Antiqua"/>
          <w:color w:val="000000" w:themeColor="text1"/>
          <w:sz w:val="24"/>
          <w:szCs w:val="24"/>
        </w:rPr>
        <w:t xml:space="preserve">conventional </w:t>
      </w:r>
      <w:bookmarkStart w:id="48" w:name="_Hlk3738207"/>
      <w:r w:rsidR="00593995" w:rsidRPr="00AD5C42">
        <w:rPr>
          <w:rFonts w:ascii="Book Antiqua" w:hAnsi="Book Antiqua"/>
          <w:color w:val="000000" w:themeColor="text1"/>
          <w:sz w:val="24"/>
          <w:szCs w:val="24"/>
        </w:rPr>
        <w:t>a</w:t>
      </w:r>
      <w:r w:rsidR="00ED6237" w:rsidRPr="00AD5C42">
        <w:rPr>
          <w:rFonts w:ascii="Book Antiqua" w:hAnsi="Book Antiqua"/>
          <w:color w:val="000000" w:themeColor="text1"/>
          <w:sz w:val="24"/>
          <w:szCs w:val="24"/>
        </w:rPr>
        <w:t xml:space="preserve">ntimicrobial susceptibility </w:t>
      </w:r>
      <w:bookmarkEnd w:id="48"/>
      <w:r w:rsidR="00ED6237" w:rsidRPr="00AD5C42">
        <w:rPr>
          <w:rFonts w:ascii="Book Antiqua" w:hAnsi="Book Antiqua"/>
          <w:color w:val="000000" w:themeColor="text1"/>
          <w:sz w:val="24"/>
          <w:szCs w:val="24"/>
        </w:rPr>
        <w:t xml:space="preserve">testing is invasive </w:t>
      </w:r>
      <w:r w:rsidR="00884BB5" w:rsidRPr="00AD5C42">
        <w:rPr>
          <w:rFonts w:ascii="Book Antiqua" w:hAnsi="Book Antiqua"/>
          <w:color w:val="000000" w:themeColor="text1"/>
          <w:sz w:val="24"/>
          <w:szCs w:val="24"/>
        </w:rPr>
        <w:t xml:space="preserve">due </w:t>
      </w:r>
      <w:r w:rsidR="00794D46" w:rsidRPr="00AD5C42">
        <w:rPr>
          <w:rFonts w:ascii="Book Antiqua" w:hAnsi="Book Antiqua"/>
          <w:color w:val="000000" w:themeColor="text1"/>
          <w:sz w:val="24"/>
          <w:szCs w:val="24"/>
        </w:rPr>
        <w:t>to</w:t>
      </w:r>
      <w:r w:rsidR="00884BB5" w:rsidRPr="00AD5C42">
        <w:rPr>
          <w:rFonts w:ascii="Book Antiqua" w:hAnsi="Book Antiqua"/>
          <w:color w:val="000000" w:themeColor="text1"/>
          <w:sz w:val="24"/>
          <w:szCs w:val="24"/>
        </w:rPr>
        <w:t xml:space="preserve"> the</w:t>
      </w:r>
      <w:r w:rsidR="00794D46" w:rsidRPr="00AD5C42">
        <w:rPr>
          <w:rFonts w:ascii="Book Antiqua" w:hAnsi="Book Antiqua"/>
          <w:color w:val="000000" w:themeColor="text1"/>
          <w:sz w:val="24"/>
          <w:szCs w:val="24"/>
        </w:rPr>
        <w:t xml:space="preserve"> need </w:t>
      </w:r>
      <w:r w:rsidR="00884BB5" w:rsidRPr="00AD5C42">
        <w:rPr>
          <w:rFonts w:ascii="Book Antiqua" w:hAnsi="Book Antiqua"/>
          <w:color w:val="000000" w:themeColor="text1"/>
          <w:sz w:val="24"/>
          <w:szCs w:val="24"/>
        </w:rPr>
        <w:t xml:space="preserve">of </w:t>
      </w:r>
      <w:r w:rsidR="00794D46" w:rsidRPr="00AD5C42">
        <w:rPr>
          <w:rFonts w:ascii="Book Antiqua" w:hAnsi="Book Antiqua"/>
          <w:color w:val="000000" w:themeColor="text1"/>
          <w:sz w:val="24"/>
          <w:szCs w:val="24"/>
        </w:rPr>
        <w:t xml:space="preserve">endoscopy </w:t>
      </w:r>
      <w:r w:rsidR="00CA4DCE" w:rsidRPr="00AD5C42">
        <w:rPr>
          <w:rFonts w:ascii="Book Antiqua" w:hAnsi="Book Antiqua"/>
          <w:color w:val="000000" w:themeColor="text1"/>
          <w:sz w:val="24"/>
          <w:szCs w:val="24"/>
        </w:rPr>
        <w:t xml:space="preserve">and biopsy </w:t>
      </w:r>
      <w:r w:rsidR="00593995" w:rsidRPr="00AD5C42">
        <w:rPr>
          <w:rFonts w:ascii="Book Antiqua" w:hAnsi="Book Antiqua"/>
          <w:color w:val="000000" w:themeColor="text1"/>
          <w:sz w:val="24"/>
          <w:szCs w:val="24"/>
        </w:rPr>
        <w:t>a</w:t>
      </w:r>
      <w:r w:rsidR="005C7F66" w:rsidRPr="00AD5C42">
        <w:rPr>
          <w:rFonts w:ascii="Book Antiqua" w:hAnsi="Book Antiqua"/>
          <w:color w:val="000000" w:themeColor="text1"/>
          <w:sz w:val="24"/>
          <w:szCs w:val="24"/>
        </w:rPr>
        <w:t xml:space="preserve">s mentioned above, </w:t>
      </w:r>
      <w:r w:rsidR="00884BB5" w:rsidRPr="00AD5C42">
        <w:rPr>
          <w:rFonts w:ascii="Book Antiqua" w:hAnsi="Book Antiqua"/>
          <w:color w:val="000000" w:themeColor="text1"/>
          <w:sz w:val="24"/>
          <w:szCs w:val="24"/>
        </w:rPr>
        <w:t xml:space="preserve">a </w:t>
      </w:r>
      <w:r w:rsidR="00593995" w:rsidRPr="00AD5C42">
        <w:rPr>
          <w:rFonts w:ascii="Book Antiqua" w:hAnsi="Book Antiqua"/>
          <w:color w:val="000000" w:themeColor="text1"/>
          <w:sz w:val="24"/>
          <w:szCs w:val="24"/>
        </w:rPr>
        <w:t xml:space="preserve">non-invasive </w:t>
      </w:r>
      <w:r w:rsidR="00092C6A" w:rsidRPr="00AD5C42">
        <w:rPr>
          <w:rFonts w:ascii="Book Antiqua" w:hAnsi="Book Antiqua"/>
          <w:color w:val="000000" w:themeColor="text1"/>
          <w:sz w:val="24"/>
          <w:szCs w:val="24"/>
        </w:rPr>
        <w:t>molecular test</w:t>
      </w:r>
      <w:r w:rsidR="00593995" w:rsidRPr="00AD5C42">
        <w:rPr>
          <w:rFonts w:ascii="Book Antiqua" w:hAnsi="Book Antiqua"/>
          <w:color w:val="000000" w:themeColor="text1"/>
          <w:sz w:val="24"/>
          <w:szCs w:val="24"/>
        </w:rPr>
        <w:t xml:space="preserve"> </w:t>
      </w:r>
      <w:r w:rsidR="00794D46" w:rsidRPr="00AD5C42">
        <w:rPr>
          <w:rFonts w:ascii="Book Antiqua" w:hAnsi="Book Antiqua"/>
          <w:color w:val="000000" w:themeColor="text1"/>
          <w:sz w:val="24"/>
          <w:szCs w:val="24"/>
        </w:rPr>
        <w:t xml:space="preserve">using fecal sample has </w:t>
      </w:r>
      <w:r w:rsidR="00593995" w:rsidRPr="00AD5C42">
        <w:rPr>
          <w:rFonts w:ascii="Book Antiqua" w:hAnsi="Book Antiqua"/>
          <w:color w:val="000000" w:themeColor="text1"/>
          <w:sz w:val="24"/>
          <w:szCs w:val="24"/>
        </w:rPr>
        <w:t>also</w:t>
      </w:r>
      <w:r w:rsidR="00794D46" w:rsidRPr="00AD5C42">
        <w:rPr>
          <w:rFonts w:ascii="Book Antiqua" w:hAnsi="Book Antiqua"/>
          <w:color w:val="000000" w:themeColor="text1"/>
          <w:sz w:val="24"/>
          <w:szCs w:val="24"/>
        </w:rPr>
        <w:t xml:space="preserve"> been</w:t>
      </w:r>
      <w:r w:rsidR="00593995" w:rsidRPr="00AD5C42">
        <w:rPr>
          <w:rFonts w:ascii="Book Antiqua" w:hAnsi="Book Antiqua"/>
          <w:color w:val="000000" w:themeColor="text1"/>
          <w:sz w:val="24"/>
          <w:szCs w:val="24"/>
        </w:rPr>
        <w:t xml:space="preserve"> </w:t>
      </w:r>
      <w:r w:rsidR="00884BB5" w:rsidRPr="00AD5C42">
        <w:rPr>
          <w:rFonts w:ascii="Book Antiqua" w:hAnsi="Book Antiqua"/>
          <w:color w:val="000000" w:themeColor="text1"/>
          <w:sz w:val="24"/>
          <w:szCs w:val="24"/>
        </w:rPr>
        <w:t xml:space="preserve">recently </w:t>
      </w:r>
      <w:proofErr w:type="gramStart"/>
      <w:r w:rsidR="00794D46" w:rsidRPr="00AD5C42">
        <w:rPr>
          <w:rFonts w:ascii="Book Antiqua" w:hAnsi="Book Antiqua"/>
          <w:color w:val="000000" w:themeColor="text1"/>
          <w:sz w:val="24"/>
          <w:szCs w:val="24"/>
        </w:rPr>
        <w:t>developed</w:t>
      </w:r>
      <w:r w:rsidR="00F26A74" w:rsidRPr="00AD5C42">
        <w:rPr>
          <w:rFonts w:ascii="Book Antiqua" w:hAnsi="Book Antiqua"/>
          <w:color w:val="000000" w:themeColor="text1"/>
          <w:sz w:val="24"/>
          <w:szCs w:val="24"/>
          <w:vertAlign w:val="superscript"/>
        </w:rPr>
        <w:t>[</w:t>
      </w:r>
      <w:proofErr w:type="gramEnd"/>
      <w:r w:rsidR="00F26A74" w:rsidRPr="00AD5C42">
        <w:rPr>
          <w:rFonts w:ascii="Book Antiqua" w:hAnsi="Book Antiqua"/>
          <w:color w:val="000000" w:themeColor="text1"/>
          <w:sz w:val="24"/>
          <w:szCs w:val="24"/>
          <w:vertAlign w:val="superscript"/>
        </w:rPr>
        <w:t>34]</w:t>
      </w:r>
      <w:r w:rsidR="00884BB5" w:rsidRPr="00AD5C42">
        <w:rPr>
          <w:rFonts w:ascii="Book Antiqua" w:hAnsi="Book Antiqua"/>
          <w:color w:val="000000" w:themeColor="text1"/>
          <w:sz w:val="24"/>
          <w:szCs w:val="24"/>
        </w:rPr>
        <w:t xml:space="preserve">. </w:t>
      </w:r>
      <w:r w:rsidR="00092C6A" w:rsidRPr="00AD5C42">
        <w:rPr>
          <w:rFonts w:ascii="Book Antiqua" w:hAnsi="Book Antiqua"/>
          <w:color w:val="000000" w:themeColor="text1"/>
          <w:sz w:val="24"/>
          <w:szCs w:val="24"/>
        </w:rPr>
        <w:t xml:space="preserve">This method </w:t>
      </w:r>
      <w:r w:rsidR="00884BB5" w:rsidRPr="00AD5C42">
        <w:rPr>
          <w:rFonts w:ascii="Book Antiqua" w:hAnsi="Book Antiqua"/>
          <w:color w:val="000000" w:themeColor="text1"/>
          <w:sz w:val="24"/>
          <w:szCs w:val="24"/>
        </w:rPr>
        <w:t xml:space="preserve">involves the isolation of </w:t>
      </w:r>
      <w:r w:rsidR="00092C6A" w:rsidRPr="00AD5C42">
        <w:rPr>
          <w:rFonts w:ascii="Book Antiqua" w:hAnsi="Book Antiqua"/>
          <w:i/>
          <w:color w:val="000000" w:themeColor="text1"/>
          <w:sz w:val="24"/>
          <w:szCs w:val="24"/>
        </w:rPr>
        <w:t>H. pylori</w:t>
      </w:r>
      <w:r w:rsidR="00092C6A" w:rsidRPr="00AD5C42">
        <w:rPr>
          <w:rFonts w:ascii="Book Antiqua" w:hAnsi="Book Antiqua"/>
          <w:color w:val="000000" w:themeColor="text1"/>
          <w:sz w:val="24"/>
          <w:szCs w:val="24"/>
        </w:rPr>
        <w:t xml:space="preserve"> DNA from stool and </w:t>
      </w:r>
      <w:r w:rsidR="00884BB5" w:rsidRPr="00AD5C42">
        <w:rPr>
          <w:rFonts w:ascii="Book Antiqua" w:hAnsi="Book Antiqua"/>
          <w:color w:val="000000" w:themeColor="text1"/>
          <w:sz w:val="24"/>
          <w:szCs w:val="24"/>
        </w:rPr>
        <w:t xml:space="preserve">detection of </w:t>
      </w:r>
      <w:r w:rsidR="00BF2F03" w:rsidRPr="00AD5C42">
        <w:rPr>
          <w:rFonts w:ascii="Book Antiqua" w:hAnsi="Book Antiqua"/>
          <w:color w:val="000000" w:themeColor="text1"/>
          <w:sz w:val="24"/>
          <w:szCs w:val="24"/>
        </w:rPr>
        <w:t xml:space="preserve">point mutations conferring antimicrobial resistance by polymerase chain reaction. </w:t>
      </w:r>
      <w:r w:rsidR="00562E1C" w:rsidRPr="00AD5C42">
        <w:rPr>
          <w:rFonts w:ascii="Book Antiqua" w:hAnsi="Book Antiqua"/>
          <w:color w:val="000000" w:themeColor="text1"/>
          <w:sz w:val="24"/>
          <w:szCs w:val="24"/>
        </w:rPr>
        <w:t xml:space="preserve">This method should be considered </w:t>
      </w:r>
      <w:r w:rsidR="00884BB5" w:rsidRPr="00AD5C42">
        <w:rPr>
          <w:rFonts w:ascii="Book Antiqua" w:hAnsi="Book Antiqua"/>
          <w:color w:val="000000" w:themeColor="text1"/>
          <w:sz w:val="24"/>
          <w:szCs w:val="24"/>
        </w:rPr>
        <w:t xml:space="preserve">for testing antimicrobial susceptibility in </w:t>
      </w:r>
      <w:r w:rsidR="003D3C7A" w:rsidRPr="00AD5C42">
        <w:rPr>
          <w:rFonts w:ascii="Book Antiqua" w:hAnsi="Book Antiqua"/>
          <w:color w:val="000000" w:themeColor="text1"/>
          <w:sz w:val="24"/>
          <w:szCs w:val="24"/>
        </w:rPr>
        <w:t xml:space="preserve">patients </w:t>
      </w:r>
      <w:r w:rsidR="00884BB5" w:rsidRPr="00AD5C42">
        <w:rPr>
          <w:rFonts w:ascii="Book Antiqua" w:hAnsi="Book Antiqua"/>
          <w:color w:val="000000" w:themeColor="text1"/>
          <w:sz w:val="24"/>
          <w:szCs w:val="24"/>
        </w:rPr>
        <w:t xml:space="preserve">with </w:t>
      </w:r>
      <w:r w:rsidR="003D3C7A" w:rsidRPr="00AD5C42">
        <w:rPr>
          <w:rFonts w:ascii="Book Antiqua" w:hAnsi="Book Antiqua"/>
          <w:color w:val="000000" w:themeColor="text1"/>
          <w:sz w:val="24"/>
          <w:szCs w:val="24"/>
        </w:rPr>
        <w:t xml:space="preserve">penicillin allergy before </w:t>
      </w:r>
      <w:r w:rsidR="003D3C7A" w:rsidRPr="00AD5C42">
        <w:rPr>
          <w:rFonts w:ascii="Book Antiqua" w:hAnsi="Book Antiqua"/>
          <w:i/>
          <w:color w:val="000000" w:themeColor="text1"/>
          <w:sz w:val="24"/>
          <w:szCs w:val="24"/>
        </w:rPr>
        <w:t>H. pylori</w:t>
      </w:r>
      <w:r w:rsidR="003D3C7A" w:rsidRPr="00AD5C42">
        <w:rPr>
          <w:rFonts w:ascii="Book Antiqua" w:hAnsi="Book Antiqua"/>
          <w:color w:val="000000" w:themeColor="text1"/>
          <w:sz w:val="24"/>
          <w:szCs w:val="24"/>
        </w:rPr>
        <w:t xml:space="preserve"> eradication therapy. </w:t>
      </w:r>
      <w:r w:rsidR="00D82E8C" w:rsidRPr="00AD5C42">
        <w:rPr>
          <w:rFonts w:ascii="Book Antiqua" w:hAnsi="Book Antiqua"/>
          <w:color w:val="000000" w:themeColor="text1"/>
          <w:sz w:val="24"/>
          <w:szCs w:val="24"/>
        </w:rPr>
        <w:t>Finally,</w:t>
      </w:r>
      <w:r w:rsidR="00F270A3" w:rsidRPr="00AD5C42">
        <w:rPr>
          <w:rFonts w:ascii="Book Antiqua" w:hAnsi="Book Antiqua"/>
          <w:color w:val="000000" w:themeColor="text1"/>
          <w:sz w:val="24"/>
          <w:szCs w:val="24"/>
        </w:rPr>
        <w:t xml:space="preserve"> there are few data and stud</w:t>
      </w:r>
      <w:r w:rsidR="008C2E90" w:rsidRPr="00AD5C42">
        <w:rPr>
          <w:rFonts w:ascii="Book Antiqua" w:hAnsi="Book Antiqua"/>
          <w:color w:val="000000" w:themeColor="text1"/>
          <w:sz w:val="24"/>
          <w:szCs w:val="24"/>
        </w:rPr>
        <w:t>ies</w:t>
      </w:r>
      <w:r w:rsidR="00F270A3" w:rsidRPr="00AD5C42">
        <w:rPr>
          <w:rFonts w:ascii="Book Antiqua" w:hAnsi="Book Antiqua"/>
          <w:color w:val="000000" w:themeColor="text1"/>
          <w:sz w:val="24"/>
          <w:szCs w:val="24"/>
        </w:rPr>
        <w:t xml:space="preserve"> regarding this regimen. Further stud</w:t>
      </w:r>
      <w:r w:rsidR="008C2E90" w:rsidRPr="00AD5C42">
        <w:rPr>
          <w:rFonts w:ascii="Book Antiqua" w:hAnsi="Book Antiqua"/>
          <w:color w:val="000000" w:themeColor="text1"/>
          <w:sz w:val="24"/>
          <w:szCs w:val="24"/>
        </w:rPr>
        <w:t>ies</w:t>
      </w:r>
      <w:r w:rsidR="00F270A3" w:rsidRPr="00AD5C42">
        <w:rPr>
          <w:rFonts w:ascii="Book Antiqua" w:hAnsi="Book Antiqua"/>
          <w:color w:val="000000" w:themeColor="text1"/>
          <w:sz w:val="24"/>
          <w:szCs w:val="24"/>
        </w:rPr>
        <w:t xml:space="preserve"> should be </w:t>
      </w:r>
      <w:r w:rsidR="008C2E90" w:rsidRPr="00AD5C42">
        <w:rPr>
          <w:rFonts w:ascii="Book Antiqua" w:hAnsi="Book Antiqua"/>
          <w:color w:val="000000" w:themeColor="text1"/>
          <w:sz w:val="24"/>
          <w:szCs w:val="24"/>
        </w:rPr>
        <w:t xml:space="preserve">conducted </w:t>
      </w:r>
      <w:r w:rsidR="00F270A3" w:rsidRPr="00AD5C42">
        <w:rPr>
          <w:rFonts w:ascii="Book Antiqua" w:hAnsi="Book Antiqua"/>
          <w:color w:val="000000" w:themeColor="text1"/>
          <w:sz w:val="24"/>
          <w:szCs w:val="24"/>
        </w:rPr>
        <w:t xml:space="preserve">to prove </w:t>
      </w:r>
      <w:r w:rsidR="000D35A0" w:rsidRPr="00AD5C42">
        <w:rPr>
          <w:rFonts w:ascii="Book Antiqua" w:hAnsi="Book Antiqua"/>
          <w:color w:val="000000" w:themeColor="text1"/>
          <w:sz w:val="24"/>
          <w:szCs w:val="24"/>
        </w:rPr>
        <w:t>its</w:t>
      </w:r>
      <w:r w:rsidR="00F270A3" w:rsidRPr="00AD5C42">
        <w:rPr>
          <w:rFonts w:ascii="Book Antiqua" w:hAnsi="Book Antiqua"/>
          <w:color w:val="000000" w:themeColor="text1"/>
          <w:sz w:val="24"/>
          <w:szCs w:val="24"/>
        </w:rPr>
        <w:t xml:space="preserve"> efficacy and safety profile.</w:t>
      </w:r>
      <w:r w:rsidR="00726725" w:rsidRPr="00AD5C42">
        <w:rPr>
          <w:rFonts w:ascii="Book Antiqua" w:hAnsi="Book Antiqua"/>
          <w:color w:val="000000" w:themeColor="text1"/>
          <w:sz w:val="24"/>
          <w:szCs w:val="24"/>
        </w:rPr>
        <w:t xml:space="preserve"> </w:t>
      </w:r>
    </w:p>
    <w:p w14:paraId="7E150FE0" w14:textId="77777777" w:rsidR="00FF1C97" w:rsidRPr="00AD5C42" w:rsidRDefault="00FF1C97" w:rsidP="00AF7B77">
      <w:pPr>
        <w:adjustRightInd w:val="0"/>
        <w:snapToGrid w:val="0"/>
        <w:spacing w:line="360" w:lineRule="auto"/>
        <w:rPr>
          <w:rFonts w:ascii="Book Antiqua" w:hAnsi="Book Antiqua"/>
          <w:color w:val="000000" w:themeColor="text1"/>
          <w:sz w:val="24"/>
          <w:szCs w:val="24"/>
        </w:rPr>
      </w:pPr>
    </w:p>
    <w:p w14:paraId="41061FB2" w14:textId="77168887" w:rsidR="000A0A65" w:rsidRPr="00AD5C42" w:rsidRDefault="00FF1C97" w:rsidP="00B12275">
      <w:pPr>
        <w:adjustRightInd w:val="0"/>
        <w:snapToGrid w:val="0"/>
        <w:spacing w:line="360" w:lineRule="auto"/>
        <w:outlineLvl w:val="0"/>
        <w:rPr>
          <w:rFonts w:ascii="Book Antiqua" w:hAnsi="Book Antiqua"/>
          <w:b/>
          <w:color w:val="000000" w:themeColor="text1"/>
          <w:sz w:val="24"/>
          <w:szCs w:val="24"/>
        </w:rPr>
      </w:pPr>
      <w:r w:rsidRPr="00AD5C42">
        <w:rPr>
          <w:rFonts w:ascii="Book Antiqua" w:hAnsi="Book Antiqua"/>
          <w:b/>
          <w:color w:val="000000" w:themeColor="text1"/>
          <w:sz w:val="24"/>
          <w:szCs w:val="24"/>
        </w:rPr>
        <w:t>CONCLUSION</w:t>
      </w:r>
    </w:p>
    <w:p w14:paraId="39A5F12C" w14:textId="61A7A7E0" w:rsidR="007A5127" w:rsidRPr="00AD5C42" w:rsidRDefault="0067146A" w:rsidP="001C09DA">
      <w:pPr>
        <w:adjustRightInd w:val="0"/>
        <w:snapToGrid w:val="0"/>
        <w:spacing w:line="360" w:lineRule="auto"/>
        <w:rPr>
          <w:rFonts w:ascii="Book Antiqua" w:hAnsi="Book Antiqua"/>
          <w:color w:val="000000" w:themeColor="text1"/>
          <w:sz w:val="24"/>
          <w:szCs w:val="24"/>
        </w:rPr>
      </w:pPr>
      <w:r w:rsidRPr="00AD5C42">
        <w:rPr>
          <w:rFonts w:ascii="Book Antiqua" w:hAnsi="Book Antiqua"/>
          <w:color w:val="000000" w:themeColor="text1"/>
          <w:sz w:val="24"/>
          <w:szCs w:val="24"/>
        </w:rPr>
        <w:t xml:space="preserve">In this review, we outline the </w:t>
      </w:r>
      <w:r w:rsidR="00B97261" w:rsidRPr="00AD5C42">
        <w:rPr>
          <w:rFonts w:ascii="Book Antiqua" w:hAnsi="Book Antiqua"/>
          <w:color w:val="000000" w:themeColor="text1"/>
          <w:sz w:val="24"/>
          <w:szCs w:val="24"/>
        </w:rPr>
        <w:t>urgent</w:t>
      </w:r>
      <w:r w:rsidR="008C2E90" w:rsidRPr="00AD5C42">
        <w:rPr>
          <w:rFonts w:ascii="Book Antiqua" w:hAnsi="Book Antiqua"/>
          <w:color w:val="000000" w:themeColor="text1"/>
          <w:sz w:val="24"/>
          <w:szCs w:val="24"/>
        </w:rPr>
        <w:t>,</w:t>
      </w:r>
      <w:r w:rsidR="00B97261" w:rsidRPr="00AD5C42">
        <w:rPr>
          <w:rFonts w:ascii="Book Antiqua" w:hAnsi="Book Antiqua"/>
          <w:color w:val="000000" w:themeColor="text1"/>
          <w:sz w:val="24"/>
          <w:szCs w:val="24"/>
        </w:rPr>
        <w:t xml:space="preserve"> </w:t>
      </w:r>
      <w:r w:rsidR="008C2E90" w:rsidRPr="00AD5C42">
        <w:rPr>
          <w:rFonts w:ascii="Book Antiqua" w:hAnsi="Book Antiqua"/>
          <w:color w:val="000000" w:themeColor="text1"/>
          <w:sz w:val="24"/>
          <w:szCs w:val="24"/>
        </w:rPr>
        <w:t xml:space="preserve">global </w:t>
      </w:r>
      <w:r w:rsidR="00B97261" w:rsidRPr="00AD5C42">
        <w:rPr>
          <w:rFonts w:ascii="Book Antiqua" w:hAnsi="Book Antiqua"/>
          <w:color w:val="000000" w:themeColor="text1"/>
          <w:sz w:val="24"/>
          <w:szCs w:val="24"/>
        </w:rPr>
        <w:t xml:space="preserve">issue of </w:t>
      </w:r>
      <w:r w:rsidR="00B81F41" w:rsidRPr="00AD5C42">
        <w:rPr>
          <w:rFonts w:ascii="Book Antiqua" w:hAnsi="Book Antiqua"/>
          <w:i/>
          <w:color w:val="000000" w:themeColor="text1"/>
          <w:sz w:val="24"/>
          <w:szCs w:val="24"/>
        </w:rPr>
        <w:t>H. pylori</w:t>
      </w:r>
      <w:r w:rsidR="00B81F41" w:rsidRPr="00AD5C42">
        <w:rPr>
          <w:rFonts w:ascii="Book Antiqua" w:hAnsi="Book Antiqua"/>
          <w:color w:val="000000" w:themeColor="text1"/>
          <w:sz w:val="24"/>
          <w:szCs w:val="24"/>
        </w:rPr>
        <w:t xml:space="preserve"> </w:t>
      </w:r>
      <w:r w:rsidR="00D65596" w:rsidRPr="00AD5C42">
        <w:rPr>
          <w:rFonts w:ascii="Book Antiqua" w:hAnsi="Book Antiqua"/>
          <w:color w:val="000000" w:themeColor="text1"/>
          <w:sz w:val="24"/>
          <w:szCs w:val="24"/>
        </w:rPr>
        <w:t>antimicrobial</w:t>
      </w:r>
      <w:r w:rsidR="00B81F41" w:rsidRPr="00AD5C42">
        <w:rPr>
          <w:rFonts w:ascii="Book Antiqua" w:hAnsi="Book Antiqua"/>
          <w:color w:val="000000" w:themeColor="text1"/>
          <w:sz w:val="24"/>
          <w:szCs w:val="24"/>
        </w:rPr>
        <w:t xml:space="preserve"> resistance and propose our </w:t>
      </w:r>
      <w:r w:rsidR="008C2E90" w:rsidRPr="00AD5C42">
        <w:rPr>
          <w:rFonts w:ascii="Book Antiqua" w:hAnsi="Book Antiqua"/>
          <w:color w:val="000000" w:themeColor="text1"/>
          <w:sz w:val="24"/>
          <w:szCs w:val="24"/>
        </w:rPr>
        <w:t>prospects</w:t>
      </w:r>
      <w:r w:rsidR="00B81F41" w:rsidRPr="00AD5C42">
        <w:rPr>
          <w:rFonts w:ascii="Book Antiqua" w:hAnsi="Book Antiqua"/>
          <w:color w:val="000000" w:themeColor="text1"/>
          <w:sz w:val="24"/>
          <w:szCs w:val="24"/>
        </w:rPr>
        <w:t xml:space="preserve"> of approach for the issue. </w:t>
      </w:r>
      <w:r w:rsidR="00000D77" w:rsidRPr="00AD5C42">
        <w:rPr>
          <w:rFonts w:ascii="Book Antiqua" w:hAnsi="Book Antiqua"/>
          <w:i/>
          <w:color w:val="000000" w:themeColor="text1"/>
          <w:sz w:val="24"/>
          <w:szCs w:val="24"/>
        </w:rPr>
        <w:t>H. pylori</w:t>
      </w:r>
      <w:r w:rsidR="00000D77" w:rsidRPr="00AD5C42">
        <w:rPr>
          <w:rFonts w:ascii="Book Antiqua" w:hAnsi="Book Antiqua"/>
          <w:color w:val="000000" w:themeColor="text1"/>
          <w:sz w:val="24"/>
          <w:szCs w:val="24"/>
        </w:rPr>
        <w:t xml:space="preserve"> </w:t>
      </w:r>
      <w:r w:rsidR="00884BB5" w:rsidRPr="00AD5C42">
        <w:rPr>
          <w:rFonts w:ascii="Book Antiqua" w:hAnsi="Book Antiqua"/>
          <w:color w:val="000000" w:themeColor="text1"/>
          <w:sz w:val="24"/>
          <w:szCs w:val="24"/>
        </w:rPr>
        <w:lastRenderedPageBreak/>
        <w:t xml:space="preserve">treatment </w:t>
      </w:r>
      <w:r w:rsidR="00000D77" w:rsidRPr="00AD5C42">
        <w:rPr>
          <w:rFonts w:ascii="Book Antiqua" w:hAnsi="Book Antiqua"/>
          <w:color w:val="000000" w:themeColor="text1"/>
          <w:sz w:val="24"/>
          <w:szCs w:val="24"/>
        </w:rPr>
        <w:t xml:space="preserve">is becoming more challenging </w:t>
      </w:r>
      <w:r w:rsidR="00A3437D" w:rsidRPr="00AD5C42">
        <w:rPr>
          <w:rFonts w:ascii="Book Antiqua" w:hAnsi="Book Antiqua"/>
          <w:color w:val="000000" w:themeColor="text1"/>
          <w:sz w:val="24"/>
          <w:szCs w:val="24"/>
        </w:rPr>
        <w:t xml:space="preserve">because of the </w:t>
      </w:r>
      <w:r w:rsidR="00000D77" w:rsidRPr="00AD5C42">
        <w:rPr>
          <w:rFonts w:ascii="Book Antiqua" w:hAnsi="Book Antiqua"/>
          <w:color w:val="000000" w:themeColor="text1"/>
          <w:sz w:val="24"/>
          <w:szCs w:val="24"/>
        </w:rPr>
        <w:t xml:space="preserve">increasing </w:t>
      </w:r>
      <w:r w:rsidR="00D65596" w:rsidRPr="00AD5C42">
        <w:rPr>
          <w:rFonts w:ascii="Book Antiqua" w:hAnsi="Book Antiqua"/>
          <w:color w:val="000000" w:themeColor="text1"/>
          <w:sz w:val="24"/>
          <w:szCs w:val="24"/>
        </w:rPr>
        <w:t>antimicrobial</w:t>
      </w:r>
      <w:r w:rsidR="00000D77" w:rsidRPr="00AD5C42">
        <w:rPr>
          <w:rFonts w:ascii="Book Antiqua" w:hAnsi="Book Antiqua"/>
          <w:color w:val="000000" w:themeColor="text1"/>
          <w:sz w:val="24"/>
          <w:szCs w:val="24"/>
        </w:rPr>
        <w:t xml:space="preserve"> resistance </w:t>
      </w:r>
      <w:r w:rsidR="00426B6F" w:rsidRPr="00AD5C42">
        <w:rPr>
          <w:rFonts w:ascii="Book Antiqua" w:hAnsi="Book Antiqua"/>
          <w:color w:val="000000" w:themeColor="text1"/>
          <w:sz w:val="24"/>
          <w:szCs w:val="24"/>
        </w:rPr>
        <w:t xml:space="preserve">to </w:t>
      </w:r>
      <w:r w:rsidR="009F64BA" w:rsidRPr="00AD5C42">
        <w:rPr>
          <w:rFonts w:ascii="Book Antiqua" w:hAnsi="Book Antiqua"/>
          <w:color w:val="000000" w:themeColor="text1"/>
          <w:sz w:val="24"/>
          <w:szCs w:val="24"/>
        </w:rPr>
        <w:t xml:space="preserve">not only </w:t>
      </w:r>
      <w:r w:rsidR="00000D77" w:rsidRPr="00AD5C42">
        <w:rPr>
          <w:rFonts w:ascii="Book Antiqua" w:hAnsi="Book Antiqua"/>
          <w:color w:val="000000" w:themeColor="text1"/>
          <w:sz w:val="24"/>
          <w:szCs w:val="24"/>
        </w:rPr>
        <w:t>CAM</w:t>
      </w:r>
      <w:r w:rsidR="009F64BA" w:rsidRPr="00AD5C42">
        <w:rPr>
          <w:rFonts w:ascii="Book Antiqua" w:hAnsi="Book Antiqua"/>
          <w:color w:val="000000" w:themeColor="text1"/>
          <w:sz w:val="24"/>
          <w:szCs w:val="24"/>
        </w:rPr>
        <w:t xml:space="preserve"> but also </w:t>
      </w:r>
      <w:r w:rsidR="00426B6F" w:rsidRPr="00AD5C42">
        <w:rPr>
          <w:rFonts w:ascii="Book Antiqua" w:hAnsi="Book Antiqua"/>
          <w:color w:val="000000" w:themeColor="text1"/>
          <w:sz w:val="24"/>
          <w:szCs w:val="24"/>
        </w:rPr>
        <w:t xml:space="preserve">to </w:t>
      </w:r>
      <w:r w:rsidR="00596F12" w:rsidRPr="00AD5C42">
        <w:rPr>
          <w:rFonts w:ascii="Book Antiqua" w:hAnsi="Book Antiqua"/>
          <w:color w:val="000000" w:themeColor="text1"/>
          <w:sz w:val="24"/>
          <w:szCs w:val="24"/>
        </w:rPr>
        <w:t>M</w:t>
      </w:r>
      <w:r w:rsidR="0056765B" w:rsidRPr="00AD5C42">
        <w:rPr>
          <w:rFonts w:ascii="Book Antiqua" w:hAnsi="Book Antiqua"/>
          <w:color w:val="000000" w:themeColor="text1"/>
          <w:sz w:val="24"/>
          <w:szCs w:val="24"/>
        </w:rPr>
        <w:t>N</w:t>
      </w:r>
      <w:r w:rsidR="00596F12" w:rsidRPr="00AD5C42">
        <w:rPr>
          <w:rFonts w:ascii="Book Antiqua" w:hAnsi="Book Antiqua"/>
          <w:color w:val="000000" w:themeColor="text1"/>
          <w:sz w:val="24"/>
          <w:szCs w:val="24"/>
        </w:rPr>
        <w:t>Z</w:t>
      </w:r>
      <w:r w:rsidR="00000D77" w:rsidRPr="00AD5C42">
        <w:rPr>
          <w:rFonts w:ascii="Book Antiqua" w:hAnsi="Book Antiqua"/>
          <w:color w:val="000000" w:themeColor="text1"/>
          <w:sz w:val="24"/>
          <w:szCs w:val="24"/>
        </w:rPr>
        <w:t xml:space="preserve"> and fluoroquinolones. Thus, </w:t>
      </w:r>
      <w:r w:rsidR="006C78A3" w:rsidRPr="00AD5C42">
        <w:rPr>
          <w:rFonts w:ascii="Book Antiqua" w:hAnsi="Book Antiqua"/>
          <w:color w:val="000000" w:themeColor="text1"/>
          <w:sz w:val="24"/>
          <w:szCs w:val="24"/>
        </w:rPr>
        <w:t xml:space="preserve">there is a need to </w:t>
      </w:r>
      <w:r w:rsidR="007A5127" w:rsidRPr="00AD5C42">
        <w:rPr>
          <w:rFonts w:ascii="Book Antiqua" w:hAnsi="Book Antiqua"/>
          <w:color w:val="000000" w:themeColor="text1"/>
          <w:sz w:val="24"/>
          <w:szCs w:val="24"/>
        </w:rPr>
        <w:t xml:space="preserve">develop </w:t>
      </w:r>
      <w:r w:rsidR="00B364B5" w:rsidRPr="00AD5C42">
        <w:rPr>
          <w:rFonts w:ascii="Book Antiqua" w:hAnsi="Book Antiqua"/>
          <w:color w:val="000000" w:themeColor="text1"/>
          <w:sz w:val="24"/>
          <w:szCs w:val="24"/>
        </w:rPr>
        <w:t>new</w:t>
      </w:r>
      <w:r w:rsidR="00205C70" w:rsidRPr="00AD5C42">
        <w:rPr>
          <w:rFonts w:ascii="Book Antiqua" w:hAnsi="Book Antiqua"/>
          <w:color w:val="000000" w:themeColor="text1"/>
          <w:sz w:val="24"/>
          <w:szCs w:val="24"/>
        </w:rPr>
        <w:t xml:space="preserve"> </w:t>
      </w:r>
      <w:r w:rsidR="007A5127" w:rsidRPr="00AD5C42">
        <w:rPr>
          <w:rFonts w:ascii="Book Antiqua" w:hAnsi="Book Antiqua"/>
          <w:i/>
          <w:color w:val="000000" w:themeColor="text1"/>
          <w:sz w:val="24"/>
          <w:szCs w:val="24"/>
        </w:rPr>
        <w:t>H. pylori</w:t>
      </w:r>
      <w:r w:rsidR="007A5127" w:rsidRPr="00AD5C42">
        <w:rPr>
          <w:rFonts w:ascii="Book Antiqua" w:hAnsi="Book Antiqua"/>
          <w:color w:val="000000" w:themeColor="text1"/>
          <w:sz w:val="24"/>
          <w:szCs w:val="24"/>
        </w:rPr>
        <w:t xml:space="preserve"> eradication therap</w:t>
      </w:r>
      <w:r w:rsidR="008C2E90" w:rsidRPr="00AD5C42">
        <w:rPr>
          <w:rFonts w:ascii="Book Antiqua" w:hAnsi="Book Antiqua"/>
          <w:color w:val="000000" w:themeColor="text1"/>
          <w:sz w:val="24"/>
          <w:szCs w:val="24"/>
        </w:rPr>
        <w:t>ies</w:t>
      </w:r>
      <w:r w:rsidR="007A5127" w:rsidRPr="00AD5C42">
        <w:rPr>
          <w:rFonts w:ascii="Book Antiqua" w:hAnsi="Book Antiqua"/>
          <w:color w:val="000000" w:themeColor="text1"/>
          <w:sz w:val="24"/>
          <w:szCs w:val="24"/>
        </w:rPr>
        <w:t xml:space="preserve"> that provide </w:t>
      </w:r>
      <w:r w:rsidR="00221A47" w:rsidRPr="00AD5C42">
        <w:rPr>
          <w:rFonts w:ascii="Book Antiqua" w:hAnsi="Book Antiqua"/>
          <w:color w:val="000000" w:themeColor="text1"/>
          <w:sz w:val="24"/>
          <w:szCs w:val="24"/>
        </w:rPr>
        <w:t>a</w:t>
      </w:r>
      <w:r w:rsidR="00930C08" w:rsidRPr="00AD5C42">
        <w:rPr>
          <w:rFonts w:ascii="Book Antiqua" w:hAnsi="Book Antiqua"/>
          <w:color w:val="000000" w:themeColor="text1"/>
          <w:sz w:val="24"/>
          <w:szCs w:val="24"/>
        </w:rPr>
        <w:t>n</w:t>
      </w:r>
      <w:r w:rsidR="00221A47" w:rsidRPr="00AD5C42">
        <w:rPr>
          <w:rFonts w:ascii="Book Antiqua" w:hAnsi="Book Antiqua"/>
          <w:color w:val="000000" w:themeColor="text1"/>
          <w:sz w:val="24"/>
          <w:szCs w:val="24"/>
        </w:rPr>
        <w:t xml:space="preserve"> acceptable </w:t>
      </w:r>
      <w:r w:rsidR="007A5127" w:rsidRPr="00AD5C42">
        <w:rPr>
          <w:rFonts w:ascii="Book Antiqua" w:hAnsi="Book Antiqua"/>
          <w:color w:val="000000" w:themeColor="text1"/>
          <w:sz w:val="24"/>
          <w:szCs w:val="24"/>
        </w:rPr>
        <w:t xml:space="preserve">eradication rate, </w:t>
      </w:r>
      <w:r w:rsidR="008955C7" w:rsidRPr="00AD5C42">
        <w:rPr>
          <w:rFonts w:ascii="Book Antiqua" w:hAnsi="Book Antiqua"/>
          <w:color w:val="000000" w:themeColor="text1"/>
          <w:sz w:val="24"/>
          <w:szCs w:val="24"/>
        </w:rPr>
        <w:t xml:space="preserve">better </w:t>
      </w:r>
      <w:r w:rsidR="007A5127" w:rsidRPr="00AD5C42">
        <w:rPr>
          <w:rFonts w:ascii="Book Antiqua" w:hAnsi="Book Antiqua"/>
          <w:color w:val="000000" w:themeColor="text1"/>
          <w:sz w:val="24"/>
          <w:szCs w:val="24"/>
        </w:rPr>
        <w:t xml:space="preserve">safety and tolerability profile, </w:t>
      </w:r>
      <w:r w:rsidR="00A74683" w:rsidRPr="00AD5C42">
        <w:rPr>
          <w:rFonts w:ascii="Book Antiqua" w:hAnsi="Book Antiqua"/>
          <w:color w:val="000000" w:themeColor="text1"/>
          <w:sz w:val="24"/>
          <w:szCs w:val="24"/>
        </w:rPr>
        <w:t xml:space="preserve">and </w:t>
      </w:r>
      <w:r w:rsidR="007A5127" w:rsidRPr="00AD5C42">
        <w:rPr>
          <w:rFonts w:ascii="Book Antiqua" w:hAnsi="Book Antiqua"/>
          <w:color w:val="000000" w:themeColor="text1"/>
          <w:sz w:val="24"/>
          <w:szCs w:val="24"/>
        </w:rPr>
        <w:t>good patient compliance,</w:t>
      </w:r>
      <w:r w:rsidR="007A5127" w:rsidRPr="00AD5C42">
        <w:rPr>
          <w:rFonts w:ascii="Book Antiqua" w:hAnsi="Book Antiqua"/>
          <w:color w:val="000000" w:themeColor="text1"/>
          <w:sz w:val="24"/>
          <w:szCs w:val="24"/>
          <w:shd w:val="clear" w:color="auto" w:fill="FFFFFF"/>
        </w:rPr>
        <w:t xml:space="preserve"> while </w:t>
      </w:r>
      <w:r w:rsidR="0090463D" w:rsidRPr="00AD5C42">
        <w:rPr>
          <w:rFonts w:ascii="Book Antiqua" w:hAnsi="Book Antiqua"/>
          <w:color w:val="000000" w:themeColor="text1"/>
          <w:sz w:val="24"/>
          <w:szCs w:val="24"/>
          <w:shd w:val="clear" w:color="auto" w:fill="FFFFFF"/>
        </w:rPr>
        <w:t xml:space="preserve">preventing the increase in </w:t>
      </w:r>
      <w:r w:rsidR="00D478A8" w:rsidRPr="00AD5C42">
        <w:rPr>
          <w:rFonts w:ascii="Book Antiqua" w:hAnsi="Book Antiqua"/>
          <w:i/>
          <w:color w:val="000000" w:themeColor="text1"/>
          <w:sz w:val="24"/>
          <w:szCs w:val="24"/>
          <w:shd w:val="clear" w:color="auto" w:fill="FFFFFF"/>
        </w:rPr>
        <w:t>H. pylori</w:t>
      </w:r>
      <w:r w:rsidR="00D478A8" w:rsidRPr="00AD5C42">
        <w:rPr>
          <w:rFonts w:ascii="Book Antiqua" w:hAnsi="Book Antiqua"/>
          <w:color w:val="000000" w:themeColor="text1"/>
          <w:sz w:val="24"/>
          <w:szCs w:val="24"/>
          <w:shd w:val="clear" w:color="auto" w:fill="FFFFFF"/>
        </w:rPr>
        <w:t xml:space="preserve"> </w:t>
      </w:r>
      <w:r w:rsidR="00D65596" w:rsidRPr="00AD5C42">
        <w:rPr>
          <w:rFonts w:ascii="Book Antiqua" w:hAnsi="Book Antiqua"/>
          <w:color w:val="000000" w:themeColor="text1"/>
          <w:sz w:val="24"/>
          <w:szCs w:val="24"/>
        </w:rPr>
        <w:t>antimicrobial</w:t>
      </w:r>
      <w:r w:rsidR="00D478A8" w:rsidRPr="00AD5C42">
        <w:rPr>
          <w:rFonts w:ascii="Book Antiqua" w:hAnsi="Book Antiqua"/>
          <w:color w:val="000000" w:themeColor="text1"/>
          <w:sz w:val="24"/>
          <w:szCs w:val="24"/>
          <w:shd w:val="clear" w:color="auto" w:fill="FFFFFF"/>
        </w:rPr>
        <w:t xml:space="preserve"> resistance. </w:t>
      </w:r>
      <w:r w:rsidR="00000D77" w:rsidRPr="00AD5C42">
        <w:rPr>
          <w:rFonts w:ascii="Book Antiqua" w:hAnsi="Book Antiqua"/>
          <w:color w:val="000000" w:themeColor="text1"/>
          <w:sz w:val="24"/>
          <w:szCs w:val="24"/>
        </w:rPr>
        <w:t xml:space="preserve">One interesting possibility </w:t>
      </w:r>
      <w:r w:rsidR="008C2E90" w:rsidRPr="00AD5C42">
        <w:rPr>
          <w:rFonts w:ascii="Book Antiqua" w:hAnsi="Book Antiqua"/>
          <w:color w:val="000000" w:themeColor="text1"/>
          <w:sz w:val="24"/>
          <w:szCs w:val="24"/>
        </w:rPr>
        <w:t>is</w:t>
      </w:r>
      <w:r w:rsidR="00000D77" w:rsidRPr="00AD5C42">
        <w:rPr>
          <w:rFonts w:ascii="Book Antiqua" w:hAnsi="Book Antiqua"/>
          <w:color w:val="000000" w:themeColor="text1"/>
          <w:sz w:val="24"/>
          <w:szCs w:val="24"/>
        </w:rPr>
        <w:t xml:space="preserve"> </w:t>
      </w:r>
      <w:r w:rsidR="008C2E90" w:rsidRPr="00AD5C42">
        <w:rPr>
          <w:rFonts w:ascii="Book Antiqua" w:hAnsi="Book Antiqua"/>
          <w:color w:val="000000" w:themeColor="text1"/>
          <w:sz w:val="24"/>
          <w:szCs w:val="24"/>
        </w:rPr>
        <w:t xml:space="preserve">the </w:t>
      </w:r>
      <w:r w:rsidR="00691FAF" w:rsidRPr="00AD5C42">
        <w:rPr>
          <w:rFonts w:ascii="Book Antiqua" w:hAnsi="Book Antiqua"/>
          <w:color w:val="000000" w:themeColor="text1"/>
          <w:sz w:val="24"/>
          <w:szCs w:val="24"/>
        </w:rPr>
        <w:t>use of</w:t>
      </w:r>
      <w:r w:rsidR="00000D77" w:rsidRPr="00AD5C42">
        <w:rPr>
          <w:rFonts w:ascii="Book Antiqua" w:hAnsi="Book Antiqua"/>
          <w:color w:val="000000" w:themeColor="text1"/>
          <w:sz w:val="24"/>
          <w:szCs w:val="24"/>
        </w:rPr>
        <w:t xml:space="preserve"> vonoprazan</w:t>
      </w:r>
      <w:r w:rsidR="0067093F" w:rsidRPr="00AD5C42">
        <w:rPr>
          <w:rFonts w:ascii="Book Antiqua" w:hAnsi="Book Antiqua"/>
          <w:color w:val="000000" w:themeColor="text1"/>
          <w:sz w:val="24"/>
          <w:szCs w:val="24"/>
        </w:rPr>
        <w:t xml:space="preserve"> in</w:t>
      </w:r>
      <w:r w:rsidR="00000D77" w:rsidRPr="00AD5C42">
        <w:rPr>
          <w:rFonts w:ascii="Book Antiqua" w:hAnsi="Book Antiqua"/>
          <w:color w:val="000000" w:themeColor="text1"/>
          <w:sz w:val="24"/>
          <w:szCs w:val="24"/>
        </w:rPr>
        <w:t xml:space="preserve"> dual therapy</w:t>
      </w:r>
      <w:r w:rsidR="001812AA" w:rsidRPr="00AD5C42">
        <w:rPr>
          <w:rFonts w:ascii="Book Antiqua" w:hAnsi="Book Antiqua"/>
          <w:color w:val="000000" w:themeColor="text1"/>
          <w:sz w:val="24"/>
          <w:szCs w:val="24"/>
        </w:rPr>
        <w:t xml:space="preserve"> with AMPC, which </w:t>
      </w:r>
      <w:r w:rsidR="008C2E90" w:rsidRPr="00AD5C42">
        <w:rPr>
          <w:rFonts w:ascii="Book Antiqua" w:hAnsi="Book Antiqua"/>
          <w:color w:val="000000" w:themeColor="text1"/>
          <w:sz w:val="24"/>
          <w:szCs w:val="24"/>
        </w:rPr>
        <w:t xml:space="preserve">has been shown to </w:t>
      </w:r>
      <w:r w:rsidR="00321FF9" w:rsidRPr="00AD5C42">
        <w:rPr>
          <w:rFonts w:ascii="Book Antiqua" w:hAnsi="Book Antiqua"/>
          <w:color w:val="000000" w:themeColor="text1"/>
          <w:sz w:val="24"/>
          <w:szCs w:val="24"/>
        </w:rPr>
        <w:t>have</w:t>
      </w:r>
      <w:r w:rsidR="001812AA" w:rsidRPr="00AD5C42">
        <w:rPr>
          <w:rFonts w:ascii="Book Antiqua" w:hAnsi="Book Antiqua"/>
          <w:color w:val="000000" w:themeColor="text1"/>
          <w:sz w:val="24"/>
          <w:szCs w:val="24"/>
        </w:rPr>
        <w:t xml:space="preserve"> over</w:t>
      </w:r>
      <w:r w:rsidR="00321FF9" w:rsidRPr="00AD5C42">
        <w:rPr>
          <w:rFonts w:ascii="Book Antiqua" w:hAnsi="Book Antiqua"/>
          <w:color w:val="000000" w:themeColor="text1"/>
          <w:sz w:val="24"/>
          <w:szCs w:val="24"/>
        </w:rPr>
        <w:t xml:space="preserve"> a</w:t>
      </w:r>
      <w:r w:rsidR="001812AA" w:rsidRPr="00AD5C42">
        <w:rPr>
          <w:rFonts w:ascii="Book Antiqua" w:hAnsi="Book Antiqua"/>
          <w:color w:val="000000" w:themeColor="text1"/>
          <w:sz w:val="24"/>
          <w:szCs w:val="24"/>
        </w:rPr>
        <w:t xml:space="preserve"> 90% eradication rate. </w:t>
      </w:r>
      <w:r w:rsidR="003C233A" w:rsidRPr="00AD5C42">
        <w:rPr>
          <w:rFonts w:ascii="Book Antiqua" w:hAnsi="Book Antiqua"/>
          <w:color w:val="000000" w:themeColor="text1"/>
          <w:sz w:val="24"/>
          <w:szCs w:val="24"/>
        </w:rPr>
        <w:t>L</w:t>
      </w:r>
      <w:r w:rsidR="00196133" w:rsidRPr="00AD5C42">
        <w:rPr>
          <w:rFonts w:ascii="Book Antiqua" w:hAnsi="Book Antiqua"/>
          <w:color w:val="000000" w:themeColor="text1"/>
          <w:sz w:val="24"/>
          <w:szCs w:val="24"/>
        </w:rPr>
        <w:t>arge scale, randomized control trial</w:t>
      </w:r>
      <w:r w:rsidR="00807F07" w:rsidRPr="00AD5C42">
        <w:rPr>
          <w:rFonts w:ascii="Book Antiqua" w:hAnsi="Book Antiqua"/>
          <w:color w:val="000000" w:themeColor="text1"/>
          <w:sz w:val="24"/>
          <w:szCs w:val="24"/>
        </w:rPr>
        <w:t>s</w:t>
      </w:r>
      <w:r w:rsidR="00196133" w:rsidRPr="00AD5C42">
        <w:rPr>
          <w:rFonts w:ascii="Book Antiqua" w:hAnsi="Book Antiqua"/>
          <w:color w:val="000000" w:themeColor="text1"/>
          <w:sz w:val="24"/>
          <w:szCs w:val="24"/>
        </w:rPr>
        <w:t xml:space="preserve"> </w:t>
      </w:r>
      <w:r w:rsidR="009242B8" w:rsidRPr="00AD5C42">
        <w:rPr>
          <w:rFonts w:ascii="Book Antiqua" w:hAnsi="Book Antiqua"/>
          <w:color w:val="000000" w:themeColor="text1"/>
          <w:sz w:val="24"/>
          <w:szCs w:val="24"/>
        </w:rPr>
        <w:t xml:space="preserve">should be </w:t>
      </w:r>
      <w:r w:rsidR="00426B6F" w:rsidRPr="00AD5C42">
        <w:rPr>
          <w:rFonts w:ascii="Book Antiqua" w:hAnsi="Book Antiqua"/>
          <w:color w:val="000000" w:themeColor="text1"/>
          <w:sz w:val="24"/>
          <w:szCs w:val="24"/>
        </w:rPr>
        <w:t xml:space="preserve">conducted </w:t>
      </w:r>
      <w:r w:rsidR="009242B8" w:rsidRPr="00AD5C42">
        <w:rPr>
          <w:rFonts w:ascii="Book Antiqua" w:hAnsi="Book Antiqua"/>
          <w:color w:val="000000" w:themeColor="text1"/>
          <w:sz w:val="24"/>
          <w:szCs w:val="24"/>
        </w:rPr>
        <w:t>to verify and estab</w:t>
      </w:r>
      <w:r w:rsidR="00F379D0" w:rsidRPr="00AD5C42">
        <w:rPr>
          <w:rFonts w:ascii="Book Antiqua" w:hAnsi="Book Antiqua"/>
          <w:color w:val="000000" w:themeColor="text1"/>
          <w:sz w:val="24"/>
          <w:szCs w:val="24"/>
        </w:rPr>
        <w:t xml:space="preserve">lish </w:t>
      </w:r>
      <w:r w:rsidR="009242B8" w:rsidRPr="00AD5C42">
        <w:rPr>
          <w:rFonts w:ascii="Book Antiqua" w:hAnsi="Book Antiqua"/>
          <w:color w:val="000000" w:themeColor="text1"/>
          <w:sz w:val="24"/>
          <w:szCs w:val="24"/>
        </w:rPr>
        <w:t>this finding</w:t>
      </w:r>
      <w:r w:rsidR="00F379D0" w:rsidRPr="00AD5C42">
        <w:rPr>
          <w:rFonts w:ascii="Book Antiqua" w:hAnsi="Book Antiqua"/>
          <w:color w:val="000000" w:themeColor="text1"/>
          <w:sz w:val="24"/>
          <w:szCs w:val="24"/>
        </w:rPr>
        <w:t xml:space="preserve"> in the future</w:t>
      </w:r>
      <w:r w:rsidR="009242B8" w:rsidRPr="00AD5C42">
        <w:rPr>
          <w:rFonts w:ascii="Book Antiqua" w:hAnsi="Book Antiqua"/>
          <w:color w:val="000000" w:themeColor="text1"/>
          <w:sz w:val="24"/>
          <w:szCs w:val="24"/>
        </w:rPr>
        <w:t>.</w:t>
      </w:r>
    </w:p>
    <w:p w14:paraId="0ACB3DC1" w14:textId="1AB1C173" w:rsidR="00000633" w:rsidRPr="00AD5C42" w:rsidRDefault="00000633" w:rsidP="00AF7B77">
      <w:pPr>
        <w:adjustRightInd w:val="0"/>
        <w:snapToGrid w:val="0"/>
        <w:spacing w:line="360" w:lineRule="auto"/>
        <w:rPr>
          <w:rFonts w:ascii="Book Antiqua" w:hAnsi="Book Antiqua"/>
          <w:color w:val="000000" w:themeColor="text1"/>
          <w:sz w:val="24"/>
          <w:szCs w:val="24"/>
        </w:rPr>
      </w:pPr>
    </w:p>
    <w:p w14:paraId="3A6EC39B" w14:textId="416D84A3" w:rsidR="006A31DF" w:rsidRPr="00AD5C42" w:rsidRDefault="006A31DF" w:rsidP="00AF7B77">
      <w:pPr>
        <w:widowControl/>
        <w:adjustRightInd w:val="0"/>
        <w:snapToGrid w:val="0"/>
        <w:spacing w:line="360" w:lineRule="auto"/>
        <w:rPr>
          <w:rFonts w:ascii="Book Antiqua" w:hAnsi="Book Antiqua"/>
          <w:color w:val="000000" w:themeColor="text1"/>
          <w:sz w:val="24"/>
          <w:szCs w:val="24"/>
        </w:rPr>
      </w:pPr>
      <w:r w:rsidRPr="00AD5C42">
        <w:rPr>
          <w:rFonts w:ascii="Book Antiqua" w:hAnsi="Book Antiqua"/>
          <w:color w:val="000000" w:themeColor="text1"/>
          <w:sz w:val="24"/>
          <w:szCs w:val="24"/>
        </w:rPr>
        <w:br w:type="page"/>
      </w:r>
    </w:p>
    <w:p w14:paraId="218636DC" w14:textId="451BE1E3" w:rsidR="002F5344" w:rsidRPr="00AD5C42" w:rsidRDefault="006B7845" w:rsidP="00B12275">
      <w:pPr>
        <w:adjustRightInd w:val="0"/>
        <w:snapToGrid w:val="0"/>
        <w:spacing w:line="360" w:lineRule="auto"/>
        <w:outlineLvl w:val="0"/>
        <w:rPr>
          <w:rFonts w:ascii="Book Antiqua" w:hAnsi="Book Antiqua"/>
          <w:b/>
          <w:color w:val="000000" w:themeColor="text1"/>
          <w:sz w:val="24"/>
          <w:szCs w:val="24"/>
        </w:rPr>
      </w:pPr>
      <w:r w:rsidRPr="00AD5C42">
        <w:rPr>
          <w:rFonts w:ascii="Book Antiqua" w:hAnsi="Book Antiqua"/>
          <w:b/>
          <w:color w:val="000000" w:themeColor="text1"/>
          <w:sz w:val="24"/>
          <w:szCs w:val="24"/>
        </w:rPr>
        <w:lastRenderedPageBreak/>
        <w:t>REFERENCES</w:t>
      </w:r>
    </w:p>
    <w:p w14:paraId="2A1D7BAB" w14:textId="6666F904" w:rsidR="000522A5" w:rsidRPr="00AD5C42" w:rsidRDefault="000522A5" w:rsidP="000522A5">
      <w:pPr>
        <w:pStyle w:val="EndNoteBibliography"/>
        <w:adjustRightInd w:val="0"/>
        <w:snapToGrid w:val="0"/>
        <w:rPr>
          <w:color w:val="000000" w:themeColor="text1"/>
        </w:rPr>
      </w:pPr>
      <w:r w:rsidRPr="00AD5C42">
        <w:rPr>
          <w:color w:val="000000" w:themeColor="text1"/>
        </w:rPr>
        <w:t>1 </w:t>
      </w:r>
      <w:r w:rsidRPr="00AD5C42">
        <w:rPr>
          <w:b/>
          <w:bCs/>
          <w:color w:val="000000" w:themeColor="text1"/>
        </w:rPr>
        <w:t>Hooi JKY</w:t>
      </w:r>
      <w:r w:rsidRPr="00AD5C42">
        <w:rPr>
          <w:color w:val="000000" w:themeColor="text1"/>
        </w:rPr>
        <w:t>, Lai WY, Ng WK, Suen MMY, Underwood FE, Tanyingoh D, Malfertheiner P, Graham DY, Wong VWS, Wu JCY, Chan FKL, Sung JJY, Kaplan GG, Ng SC. Global Prevalence of Helicobacter pylori Infection: Systematic Review and Meta-Analysis. </w:t>
      </w:r>
      <w:r w:rsidRPr="00AD5C42">
        <w:rPr>
          <w:i/>
          <w:iCs/>
          <w:color w:val="000000" w:themeColor="text1"/>
        </w:rPr>
        <w:t>Gastroenterology</w:t>
      </w:r>
      <w:r w:rsidRPr="00AD5C42">
        <w:rPr>
          <w:color w:val="000000" w:themeColor="text1"/>
        </w:rPr>
        <w:t> 2017; </w:t>
      </w:r>
      <w:r w:rsidRPr="00AD5C42">
        <w:rPr>
          <w:b/>
          <w:bCs/>
          <w:color w:val="000000" w:themeColor="text1"/>
        </w:rPr>
        <w:t>153</w:t>
      </w:r>
      <w:r w:rsidRPr="00AD5C42">
        <w:rPr>
          <w:color w:val="000000" w:themeColor="text1"/>
        </w:rPr>
        <w:t>: 420-429 [PMID: 28456631 DOI: 10.1053/j.gastro.2017.04.022]</w:t>
      </w:r>
    </w:p>
    <w:p w14:paraId="481E213E"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2 </w:t>
      </w:r>
      <w:r w:rsidRPr="00AD5C42">
        <w:rPr>
          <w:b/>
          <w:bCs/>
          <w:color w:val="000000" w:themeColor="text1"/>
          <w:szCs w:val="24"/>
        </w:rPr>
        <w:t>McColl KE</w:t>
      </w:r>
      <w:r w:rsidRPr="00AD5C42">
        <w:rPr>
          <w:color w:val="000000" w:themeColor="text1"/>
          <w:szCs w:val="24"/>
        </w:rPr>
        <w:t>. Clinical practice. Helicobacter pylori infection. </w:t>
      </w:r>
      <w:r w:rsidRPr="00AD5C42">
        <w:rPr>
          <w:i/>
          <w:iCs/>
          <w:color w:val="000000" w:themeColor="text1"/>
          <w:szCs w:val="24"/>
        </w:rPr>
        <w:t>N Engl J Med</w:t>
      </w:r>
      <w:r w:rsidRPr="00AD5C42">
        <w:rPr>
          <w:color w:val="000000" w:themeColor="text1"/>
          <w:szCs w:val="24"/>
        </w:rPr>
        <w:t> 2010; </w:t>
      </w:r>
      <w:r w:rsidRPr="00AD5C42">
        <w:rPr>
          <w:b/>
          <w:bCs/>
          <w:color w:val="000000" w:themeColor="text1"/>
          <w:szCs w:val="24"/>
        </w:rPr>
        <w:t>362</w:t>
      </w:r>
      <w:r w:rsidRPr="00AD5C42">
        <w:rPr>
          <w:color w:val="000000" w:themeColor="text1"/>
          <w:szCs w:val="24"/>
        </w:rPr>
        <w:t>: 1597-1604 [PMID: 20427808 DOI: 10.1056/NEJMcp1001110]</w:t>
      </w:r>
    </w:p>
    <w:p w14:paraId="46EE245C" w14:textId="66F65F51"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3 </w:t>
      </w:r>
      <w:r w:rsidRPr="00AD5C42">
        <w:rPr>
          <w:b/>
          <w:bCs/>
          <w:color w:val="000000" w:themeColor="text1"/>
          <w:szCs w:val="24"/>
        </w:rPr>
        <w:t>Doorakkers E</w:t>
      </w:r>
      <w:r w:rsidRPr="00AD5C42">
        <w:rPr>
          <w:color w:val="000000" w:themeColor="text1"/>
          <w:szCs w:val="24"/>
        </w:rPr>
        <w:t xml:space="preserve">, Lagergren J, Engstrand L, Brusselaers N. </w:t>
      </w:r>
      <w:r w:rsidRPr="00AD5C42">
        <w:rPr>
          <w:i/>
          <w:color w:val="000000" w:themeColor="text1"/>
          <w:szCs w:val="24"/>
        </w:rPr>
        <w:t xml:space="preserve">Helicobacter pylori </w:t>
      </w:r>
      <w:r w:rsidRPr="00AD5C42">
        <w:rPr>
          <w:color w:val="000000" w:themeColor="text1"/>
          <w:szCs w:val="24"/>
        </w:rPr>
        <w:t>eradication treatment and the risk of gastric adenocarcinoma in a Western population. </w:t>
      </w:r>
      <w:r w:rsidRPr="00AD5C42">
        <w:rPr>
          <w:i/>
          <w:iCs/>
          <w:color w:val="000000" w:themeColor="text1"/>
          <w:szCs w:val="24"/>
        </w:rPr>
        <w:t>Gut</w:t>
      </w:r>
      <w:r w:rsidR="00E6642A" w:rsidRPr="00AD5C42">
        <w:rPr>
          <w:i/>
          <w:iCs/>
          <w:color w:val="000000" w:themeColor="text1"/>
          <w:szCs w:val="24"/>
        </w:rPr>
        <w:t xml:space="preserve"> </w:t>
      </w:r>
      <w:r w:rsidRPr="00AD5C42">
        <w:rPr>
          <w:color w:val="000000" w:themeColor="text1"/>
          <w:szCs w:val="24"/>
        </w:rPr>
        <w:t>2018; </w:t>
      </w:r>
      <w:r w:rsidRPr="00AD5C42">
        <w:rPr>
          <w:b/>
          <w:bCs/>
          <w:color w:val="000000" w:themeColor="text1"/>
          <w:szCs w:val="24"/>
        </w:rPr>
        <w:t>67</w:t>
      </w:r>
      <w:r w:rsidRPr="00AD5C42">
        <w:rPr>
          <w:color w:val="000000" w:themeColor="text1"/>
          <w:szCs w:val="24"/>
        </w:rPr>
        <w:t>: 2092-2096 [PMID: 29382776 DOI: 10.1136/gutjnl-2017-315363]</w:t>
      </w:r>
    </w:p>
    <w:p w14:paraId="38F5B949"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4 </w:t>
      </w:r>
      <w:r w:rsidRPr="00AD5C42">
        <w:rPr>
          <w:b/>
          <w:bCs/>
          <w:color w:val="000000" w:themeColor="text1"/>
          <w:szCs w:val="24"/>
        </w:rPr>
        <w:t>Choi IJ</w:t>
      </w:r>
      <w:r w:rsidRPr="00AD5C42">
        <w:rPr>
          <w:color w:val="000000" w:themeColor="text1"/>
          <w:szCs w:val="24"/>
        </w:rPr>
        <w:t>, Kook MC, Kim YI, Cho SJ, Lee JY, Kim CG, Park B, Nam BH. Helicobacter pylori Therapy for the Prevention of Metachronous Gastric Cancer. </w:t>
      </w:r>
      <w:r w:rsidRPr="00AD5C42">
        <w:rPr>
          <w:i/>
          <w:iCs/>
          <w:color w:val="000000" w:themeColor="text1"/>
          <w:szCs w:val="24"/>
        </w:rPr>
        <w:t>N Engl J Med</w:t>
      </w:r>
      <w:r w:rsidRPr="00AD5C42">
        <w:rPr>
          <w:color w:val="000000" w:themeColor="text1"/>
          <w:szCs w:val="24"/>
        </w:rPr>
        <w:t> 2018; </w:t>
      </w:r>
      <w:r w:rsidRPr="00AD5C42">
        <w:rPr>
          <w:b/>
          <w:bCs/>
          <w:color w:val="000000" w:themeColor="text1"/>
          <w:szCs w:val="24"/>
        </w:rPr>
        <w:t>378</w:t>
      </w:r>
      <w:r w:rsidRPr="00AD5C42">
        <w:rPr>
          <w:color w:val="000000" w:themeColor="text1"/>
          <w:szCs w:val="24"/>
        </w:rPr>
        <w:t>: 1085-1095 [PMID: 29562147 DOI: 10.1056/NEJMoa1708423]</w:t>
      </w:r>
    </w:p>
    <w:p w14:paraId="45D1F385"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5 </w:t>
      </w:r>
      <w:r w:rsidRPr="00AD5C42">
        <w:rPr>
          <w:b/>
          <w:bCs/>
          <w:color w:val="000000" w:themeColor="text1"/>
          <w:szCs w:val="24"/>
        </w:rPr>
        <w:t>Malfertheiner P</w:t>
      </w:r>
      <w:r w:rsidRPr="00AD5C42">
        <w:rPr>
          <w:color w:val="000000" w:themeColor="text1"/>
          <w:szCs w:val="24"/>
        </w:rPr>
        <w:t>, Megraud F, O'Morain CA, Gisbert JP, Kuipers EJ, Axon AT, Bazzoli F, Gasbarrini A, Atherton J, Graham DY, Hunt R, Moayyedi P, Rokkas T, Rugge M, Selgrad M, Suerbaum S, Sugano K, El-Omar EM; European Helicobacter and Microbiota Study Group and Consensus panel. Management of Helicobacter pylori infection-the Maastricht V/Florence Consensus Report. </w:t>
      </w:r>
      <w:r w:rsidRPr="00AD5C42">
        <w:rPr>
          <w:i/>
          <w:iCs/>
          <w:color w:val="000000" w:themeColor="text1"/>
          <w:szCs w:val="24"/>
        </w:rPr>
        <w:t>Gut</w:t>
      </w:r>
      <w:r w:rsidRPr="00AD5C42">
        <w:rPr>
          <w:color w:val="000000" w:themeColor="text1"/>
          <w:szCs w:val="24"/>
        </w:rPr>
        <w:t> 2017; </w:t>
      </w:r>
      <w:r w:rsidRPr="00AD5C42">
        <w:rPr>
          <w:b/>
          <w:bCs/>
          <w:color w:val="000000" w:themeColor="text1"/>
          <w:szCs w:val="24"/>
        </w:rPr>
        <w:t>66</w:t>
      </w:r>
      <w:r w:rsidRPr="00AD5C42">
        <w:rPr>
          <w:color w:val="000000" w:themeColor="text1"/>
          <w:szCs w:val="24"/>
        </w:rPr>
        <w:t>: 6-30 [PMID: 27707777 DOI: 10.1136/gutjnl-2016-312288]</w:t>
      </w:r>
    </w:p>
    <w:p w14:paraId="22781288"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6 </w:t>
      </w:r>
      <w:r w:rsidRPr="00AD5C42">
        <w:rPr>
          <w:b/>
          <w:bCs/>
          <w:color w:val="000000" w:themeColor="text1"/>
          <w:szCs w:val="24"/>
        </w:rPr>
        <w:t>Malfertheiner P</w:t>
      </w:r>
      <w:r w:rsidRPr="00AD5C42">
        <w:rPr>
          <w:color w:val="000000" w:themeColor="text1"/>
          <w:szCs w:val="24"/>
        </w:rPr>
        <w:t>, Megraud F, O'Morain C, Bazzoli F, El-Omar E, Graham D, Hunt R, Rokkas T, Vakil N, Kuipers EJ. Current concepts in the management of Helicobacter pylori infection: the Maastricht III Consensus Report. </w:t>
      </w:r>
      <w:r w:rsidRPr="00AD5C42">
        <w:rPr>
          <w:i/>
          <w:iCs/>
          <w:color w:val="000000" w:themeColor="text1"/>
          <w:szCs w:val="24"/>
        </w:rPr>
        <w:t>Gut</w:t>
      </w:r>
      <w:r w:rsidRPr="00AD5C42">
        <w:rPr>
          <w:color w:val="000000" w:themeColor="text1"/>
          <w:szCs w:val="24"/>
        </w:rPr>
        <w:t> 2007; </w:t>
      </w:r>
      <w:r w:rsidRPr="00AD5C42">
        <w:rPr>
          <w:b/>
          <w:bCs/>
          <w:color w:val="000000" w:themeColor="text1"/>
          <w:szCs w:val="24"/>
        </w:rPr>
        <w:t>56</w:t>
      </w:r>
      <w:r w:rsidRPr="00AD5C42">
        <w:rPr>
          <w:color w:val="000000" w:themeColor="text1"/>
          <w:szCs w:val="24"/>
        </w:rPr>
        <w:t>: 772-781 [PMID: 17170018 DOI: 10.1136/gut.2006.101634]</w:t>
      </w:r>
    </w:p>
    <w:p w14:paraId="736B9D61" w14:textId="49C76EC6"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7 </w:t>
      </w:r>
      <w:r w:rsidRPr="00AD5C42">
        <w:rPr>
          <w:b/>
          <w:bCs/>
          <w:color w:val="000000" w:themeColor="text1"/>
          <w:szCs w:val="24"/>
        </w:rPr>
        <w:t>Lin TF</w:t>
      </w:r>
      <w:r w:rsidRPr="00AD5C42">
        <w:rPr>
          <w:color w:val="000000" w:themeColor="text1"/>
          <w:szCs w:val="24"/>
        </w:rPr>
        <w:t xml:space="preserve">, Hsu PI. Second-line rescue treatment of </w:t>
      </w:r>
      <w:r w:rsidRPr="00AD5C42">
        <w:rPr>
          <w:i/>
          <w:color w:val="000000" w:themeColor="text1"/>
          <w:szCs w:val="24"/>
        </w:rPr>
        <w:t xml:space="preserve">Helicobacter pylori </w:t>
      </w:r>
      <w:r w:rsidRPr="00AD5C42">
        <w:rPr>
          <w:color w:val="000000" w:themeColor="text1"/>
          <w:szCs w:val="24"/>
        </w:rPr>
        <w:t>infection: Where are we now? </w:t>
      </w:r>
      <w:r w:rsidRPr="00AD5C42">
        <w:rPr>
          <w:i/>
          <w:iCs/>
          <w:color w:val="000000" w:themeColor="text1"/>
          <w:szCs w:val="24"/>
        </w:rPr>
        <w:t>World J Gastroenterol</w:t>
      </w:r>
      <w:r w:rsidRPr="00AD5C42">
        <w:rPr>
          <w:color w:val="000000" w:themeColor="text1"/>
          <w:szCs w:val="24"/>
        </w:rPr>
        <w:t> 2018; </w:t>
      </w:r>
      <w:r w:rsidRPr="00AD5C42">
        <w:rPr>
          <w:b/>
          <w:bCs/>
          <w:color w:val="000000" w:themeColor="text1"/>
          <w:szCs w:val="24"/>
        </w:rPr>
        <w:t>24</w:t>
      </w:r>
      <w:r w:rsidRPr="00AD5C42">
        <w:rPr>
          <w:color w:val="000000" w:themeColor="text1"/>
          <w:szCs w:val="24"/>
        </w:rPr>
        <w:t>: 4548-4553 [PMID: 30386104 DOI: 10.3748/wjg.v24.i40.4548]</w:t>
      </w:r>
    </w:p>
    <w:p w14:paraId="0281985D"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lastRenderedPageBreak/>
        <w:t>8 </w:t>
      </w:r>
      <w:r w:rsidRPr="00AD5C42">
        <w:rPr>
          <w:b/>
          <w:bCs/>
          <w:color w:val="000000" w:themeColor="text1"/>
          <w:szCs w:val="24"/>
        </w:rPr>
        <w:t>Thung I</w:t>
      </w:r>
      <w:r w:rsidRPr="00AD5C42">
        <w:rPr>
          <w:color w:val="000000" w:themeColor="text1"/>
          <w:szCs w:val="24"/>
        </w:rPr>
        <w:t>, Aramin H, Vavinskaya V, Gupta S, Park JY, Crowe SE, Valasek MA. Review article: the global emergence of Helicobacter pylori antibiotic resistance. </w:t>
      </w:r>
      <w:r w:rsidRPr="00AD5C42">
        <w:rPr>
          <w:i/>
          <w:iCs/>
          <w:color w:val="000000" w:themeColor="text1"/>
          <w:szCs w:val="24"/>
        </w:rPr>
        <w:t>Aliment Pharmacol Ther</w:t>
      </w:r>
      <w:r w:rsidRPr="00AD5C42">
        <w:rPr>
          <w:color w:val="000000" w:themeColor="text1"/>
          <w:szCs w:val="24"/>
        </w:rPr>
        <w:t> 2016; </w:t>
      </w:r>
      <w:r w:rsidRPr="00AD5C42">
        <w:rPr>
          <w:b/>
          <w:bCs/>
          <w:color w:val="000000" w:themeColor="text1"/>
          <w:szCs w:val="24"/>
        </w:rPr>
        <w:t>43</w:t>
      </w:r>
      <w:r w:rsidRPr="00AD5C42">
        <w:rPr>
          <w:color w:val="000000" w:themeColor="text1"/>
          <w:szCs w:val="24"/>
        </w:rPr>
        <w:t>: 514-533 [PMID: 26694080 DOI: 10.1111/apt.13497]</w:t>
      </w:r>
    </w:p>
    <w:p w14:paraId="40BEE0A8"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9 </w:t>
      </w:r>
      <w:r w:rsidRPr="00AD5C42">
        <w:rPr>
          <w:b/>
          <w:bCs/>
          <w:color w:val="000000" w:themeColor="text1"/>
          <w:szCs w:val="24"/>
        </w:rPr>
        <w:t>Savoldi A</w:t>
      </w:r>
      <w:r w:rsidRPr="00AD5C42">
        <w:rPr>
          <w:color w:val="000000" w:themeColor="text1"/>
          <w:szCs w:val="24"/>
        </w:rPr>
        <w:t>, Carrara E, Graham DY, Conti M, Tacconelli E. Prevalence of Antibiotic Resistance in Helicobacter pylori: A Systematic Review and Meta-analysis in World Health Organization Regions. </w:t>
      </w:r>
      <w:r w:rsidRPr="00AD5C42">
        <w:rPr>
          <w:i/>
          <w:iCs/>
          <w:color w:val="000000" w:themeColor="text1"/>
          <w:szCs w:val="24"/>
        </w:rPr>
        <w:t>Gastroenterology</w:t>
      </w:r>
      <w:r w:rsidRPr="00AD5C42">
        <w:rPr>
          <w:color w:val="000000" w:themeColor="text1"/>
          <w:szCs w:val="24"/>
        </w:rPr>
        <w:t> 2018; </w:t>
      </w:r>
      <w:r w:rsidRPr="00AD5C42">
        <w:rPr>
          <w:b/>
          <w:bCs/>
          <w:color w:val="000000" w:themeColor="text1"/>
          <w:szCs w:val="24"/>
        </w:rPr>
        <w:t>155</w:t>
      </w:r>
      <w:r w:rsidRPr="00AD5C42">
        <w:rPr>
          <w:color w:val="000000" w:themeColor="text1"/>
          <w:szCs w:val="24"/>
        </w:rPr>
        <w:t>: 1372-1382.e17 [PMID: 29990487 DOI: 10.1053/j.gastro.2018.07.007]</w:t>
      </w:r>
    </w:p>
    <w:p w14:paraId="75BD61B3"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10 </w:t>
      </w:r>
      <w:r w:rsidRPr="00AD5C42">
        <w:rPr>
          <w:b/>
          <w:bCs/>
          <w:color w:val="000000" w:themeColor="text1"/>
          <w:szCs w:val="24"/>
        </w:rPr>
        <w:t>Liou JM</w:t>
      </w:r>
      <w:r w:rsidRPr="00AD5C42">
        <w:rPr>
          <w:color w:val="000000" w:themeColor="text1"/>
          <w:szCs w:val="24"/>
        </w:rPr>
        <w:t>, Chang CY, Chen MJ, Chen CC, Fang YJ, Lee JY, Wu JY, Luo JC, Liou TC, Chang WH, Tseng CH, Wu CY, Yang TH, Chang CC, Wang HP, Sheu BS, Lin JT, Bair MJ, Wu MS; Taiwan Gastrointestinal Disease and Helicobacter Consortium. The Primary Resistance of Helicobacter pylori in Taiwan after the National Policy to Restrict Antibiotic Consumption and Its Relation to Virulence Factors-A Nationwide Study. </w:t>
      </w:r>
      <w:r w:rsidRPr="00AD5C42">
        <w:rPr>
          <w:i/>
          <w:iCs/>
          <w:color w:val="000000" w:themeColor="text1"/>
          <w:szCs w:val="24"/>
        </w:rPr>
        <w:t>PLoS One</w:t>
      </w:r>
      <w:r w:rsidRPr="00AD5C42">
        <w:rPr>
          <w:color w:val="000000" w:themeColor="text1"/>
          <w:szCs w:val="24"/>
        </w:rPr>
        <w:t> 2015; </w:t>
      </w:r>
      <w:r w:rsidRPr="00AD5C42">
        <w:rPr>
          <w:b/>
          <w:bCs/>
          <w:color w:val="000000" w:themeColor="text1"/>
          <w:szCs w:val="24"/>
        </w:rPr>
        <w:t>10</w:t>
      </w:r>
      <w:r w:rsidRPr="00AD5C42">
        <w:rPr>
          <w:color w:val="000000" w:themeColor="text1"/>
          <w:szCs w:val="24"/>
        </w:rPr>
        <w:t>: e0124199 [PMID: 25942450 DOI: 10.1371/journal.pone.0124199]</w:t>
      </w:r>
    </w:p>
    <w:p w14:paraId="7D5A0A9B"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11 </w:t>
      </w:r>
      <w:r w:rsidRPr="00AD5C42">
        <w:rPr>
          <w:b/>
          <w:bCs/>
          <w:color w:val="000000" w:themeColor="text1"/>
          <w:szCs w:val="24"/>
        </w:rPr>
        <w:t>Chey WD</w:t>
      </w:r>
      <w:r w:rsidRPr="00AD5C42">
        <w:rPr>
          <w:color w:val="000000" w:themeColor="text1"/>
          <w:szCs w:val="24"/>
        </w:rPr>
        <w:t>, Leontiadis GI, Howden CW, Moss SF. ACG Clinical Guideline: Treatment of Helicobacter pylori Infection. </w:t>
      </w:r>
      <w:r w:rsidRPr="00AD5C42">
        <w:rPr>
          <w:i/>
          <w:iCs/>
          <w:color w:val="000000" w:themeColor="text1"/>
          <w:szCs w:val="24"/>
        </w:rPr>
        <w:t>Am J Gastroenterol</w:t>
      </w:r>
      <w:r w:rsidRPr="00AD5C42">
        <w:rPr>
          <w:color w:val="000000" w:themeColor="text1"/>
          <w:szCs w:val="24"/>
        </w:rPr>
        <w:t> 2017; </w:t>
      </w:r>
      <w:r w:rsidRPr="00AD5C42">
        <w:rPr>
          <w:b/>
          <w:bCs/>
          <w:color w:val="000000" w:themeColor="text1"/>
          <w:szCs w:val="24"/>
        </w:rPr>
        <w:t>112</w:t>
      </w:r>
      <w:r w:rsidRPr="00AD5C42">
        <w:rPr>
          <w:color w:val="000000" w:themeColor="text1"/>
          <w:szCs w:val="24"/>
        </w:rPr>
        <w:t>: 212-239 [PMID: 28071659 DOI: 10.1038/ajg.2016.563]</w:t>
      </w:r>
    </w:p>
    <w:p w14:paraId="0255E2CF"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12 </w:t>
      </w:r>
      <w:r w:rsidRPr="00AD5C42">
        <w:rPr>
          <w:b/>
          <w:bCs/>
          <w:color w:val="000000" w:themeColor="text1"/>
          <w:szCs w:val="24"/>
        </w:rPr>
        <w:t>Fallone CA</w:t>
      </w:r>
      <w:r w:rsidRPr="00AD5C42">
        <w:rPr>
          <w:color w:val="000000" w:themeColor="text1"/>
          <w:szCs w:val="24"/>
        </w:rPr>
        <w:t>, Chiba N, van Zanten SV, Fischbach L, Gisbert JP, Hunt RH, Jones NL, Render C, Leontiadis GI, Moayyedi P, Marshall JK. The Toronto Consensus for the Treatment of Helicobacter pylori Infection in Adults. </w:t>
      </w:r>
      <w:r w:rsidRPr="00AD5C42">
        <w:rPr>
          <w:i/>
          <w:iCs/>
          <w:color w:val="000000" w:themeColor="text1"/>
          <w:szCs w:val="24"/>
        </w:rPr>
        <w:t>Gastroenterology</w:t>
      </w:r>
      <w:r w:rsidRPr="00AD5C42">
        <w:rPr>
          <w:color w:val="000000" w:themeColor="text1"/>
          <w:szCs w:val="24"/>
        </w:rPr>
        <w:t> 2016; </w:t>
      </w:r>
      <w:r w:rsidRPr="00AD5C42">
        <w:rPr>
          <w:b/>
          <w:bCs/>
          <w:color w:val="000000" w:themeColor="text1"/>
          <w:szCs w:val="24"/>
        </w:rPr>
        <w:t>151</w:t>
      </w:r>
      <w:r w:rsidRPr="00AD5C42">
        <w:rPr>
          <w:color w:val="000000" w:themeColor="text1"/>
          <w:szCs w:val="24"/>
        </w:rPr>
        <w:t>: 51-69.e14 [PMID: 27102658 DOI: 10.1053/j.gastro.2016.04.006]</w:t>
      </w:r>
    </w:p>
    <w:p w14:paraId="33EAD479"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13 </w:t>
      </w:r>
      <w:r w:rsidRPr="00AD5C42">
        <w:rPr>
          <w:b/>
          <w:bCs/>
          <w:color w:val="000000" w:themeColor="text1"/>
          <w:szCs w:val="24"/>
        </w:rPr>
        <w:t>Zhang W</w:t>
      </w:r>
      <w:r w:rsidRPr="00AD5C42">
        <w:rPr>
          <w:color w:val="000000" w:themeColor="text1"/>
          <w:szCs w:val="24"/>
        </w:rPr>
        <w:t>, Chen Q, Liang X, Liu W, Xiao S, Graham DY, Lu H. Bismuth, lansoprazole, amoxicillin and metronidazole or clarithromycin as first-line Helicobacter pylori therapy. </w:t>
      </w:r>
      <w:r w:rsidRPr="00AD5C42">
        <w:rPr>
          <w:i/>
          <w:iCs/>
          <w:color w:val="000000" w:themeColor="text1"/>
          <w:szCs w:val="24"/>
        </w:rPr>
        <w:t>Gut</w:t>
      </w:r>
      <w:r w:rsidRPr="00AD5C42">
        <w:rPr>
          <w:color w:val="000000" w:themeColor="text1"/>
          <w:szCs w:val="24"/>
        </w:rPr>
        <w:t> 2015; </w:t>
      </w:r>
      <w:r w:rsidRPr="00AD5C42">
        <w:rPr>
          <w:b/>
          <w:bCs/>
          <w:color w:val="000000" w:themeColor="text1"/>
          <w:szCs w:val="24"/>
        </w:rPr>
        <w:t>64</w:t>
      </w:r>
      <w:r w:rsidRPr="00AD5C42">
        <w:rPr>
          <w:color w:val="000000" w:themeColor="text1"/>
          <w:szCs w:val="24"/>
        </w:rPr>
        <w:t>: 1715-1720 [PMID: 26338726 DOI: 10.1136/gutjnl-2015-309900]</w:t>
      </w:r>
    </w:p>
    <w:p w14:paraId="52E6056B"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14 </w:t>
      </w:r>
      <w:r w:rsidRPr="00AD5C42">
        <w:rPr>
          <w:b/>
          <w:bCs/>
          <w:color w:val="000000" w:themeColor="text1"/>
          <w:szCs w:val="24"/>
        </w:rPr>
        <w:t>Mégraud F</w:t>
      </w:r>
      <w:r w:rsidRPr="00AD5C42">
        <w:rPr>
          <w:color w:val="000000" w:themeColor="text1"/>
          <w:szCs w:val="24"/>
        </w:rPr>
        <w:t>. H pylori antibiotic resistance: prevalence, importance, and advances in testing. </w:t>
      </w:r>
      <w:r w:rsidRPr="00AD5C42">
        <w:rPr>
          <w:i/>
          <w:iCs/>
          <w:color w:val="000000" w:themeColor="text1"/>
          <w:szCs w:val="24"/>
        </w:rPr>
        <w:t>Gut</w:t>
      </w:r>
      <w:r w:rsidRPr="00AD5C42">
        <w:rPr>
          <w:color w:val="000000" w:themeColor="text1"/>
          <w:szCs w:val="24"/>
        </w:rPr>
        <w:t> 2004; </w:t>
      </w:r>
      <w:r w:rsidRPr="00AD5C42">
        <w:rPr>
          <w:b/>
          <w:bCs/>
          <w:color w:val="000000" w:themeColor="text1"/>
          <w:szCs w:val="24"/>
        </w:rPr>
        <w:t>53</w:t>
      </w:r>
      <w:r w:rsidRPr="00AD5C42">
        <w:rPr>
          <w:color w:val="000000" w:themeColor="text1"/>
          <w:szCs w:val="24"/>
        </w:rPr>
        <w:t xml:space="preserve">: 1374-1384 [PMID: 15306603 DOI: </w:t>
      </w:r>
      <w:r w:rsidRPr="00AD5C42">
        <w:rPr>
          <w:color w:val="000000" w:themeColor="text1"/>
          <w:szCs w:val="24"/>
        </w:rPr>
        <w:lastRenderedPageBreak/>
        <w:t>10.1136/gut.2003.022111]</w:t>
      </w:r>
    </w:p>
    <w:p w14:paraId="5D6AB415" w14:textId="7DE52CE3"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15 </w:t>
      </w:r>
      <w:r w:rsidRPr="00AD5C42">
        <w:rPr>
          <w:b/>
          <w:bCs/>
          <w:color w:val="000000" w:themeColor="text1"/>
          <w:szCs w:val="24"/>
        </w:rPr>
        <w:t>Cosme A</w:t>
      </w:r>
      <w:r w:rsidRPr="00AD5C42">
        <w:rPr>
          <w:color w:val="000000" w:themeColor="text1"/>
          <w:szCs w:val="24"/>
        </w:rPr>
        <w:t xml:space="preserve">, Montes M, Ibarra B, Tamayo E, Alonso H, Mendarte U, Lizasoan J, Herreros-Villanueva M, Bujanda L. Antimicrobial susceptibility testing before first-line treatment for </w:t>
      </w:r>
      <w:r w:rsidRPr="00AD5C42">
        <w:rPr>
          <w:i/>
          <w:color w:val="000000" w:themeColor="text1"/>
          <w:szCs w:val="24"/>
        </w:rPr>
        <w:t>Helicobacter pylori</w:t>
      </w:r>
      <w:r w:rsidRPr="00AD5C42">
        <w:rPr>
          <w:color w:val="000000" w:themeColor="text1"/>
          <w:szCs w:val="24"/>
        </w:rPr>
        <w:t xml:space="preserve"> infection in patients with dual or triple antibiotic resistance. </w:t>
      </w:r>
      <w:r w:rsidRPr="00AD5C42">
        <w:rPr>
          <w:i/>
          <w:iCs/>
          <w:color w:val="000000" w:themeColor="text1"/>
          <w:szCs w:val="24"/>
        </w:rPr>
        <w:t>World J Gastroenterol</w:t>
      </w:r>
      <w:r w:rsidRPr="00AD5C42">
        <w:rPr>
          <w:color w:val="000000" w:themeColor="text1"/>
          <w:szCs w:val="24"/>
        </w:rPr>
        <w:t> 2017; </w:t>
      </w:r>
      <w:r w:rsidRPr="00AD5C42">
        <w:rPr>
          <w:b/>
          <w:bCs/>
          <w:color w:val="000000" w:themeColor="text1"/>
          <w:szCs w:val="24"/>
        </w:rPr>
        <w:t>23</w:t>
      </w:r>
      <w:r w:rsidRPr="00AD5C42">
        <w:rPr>
          <w:color w:val="000000" w:themeColor="text1"/>
          <w:szCs w:val="24"/>
        </w:rPr>
        <w:t>: 3367-3373 [PMID: 28566898 DOI: 10.3748/wjg.v23.i18.3367]</w:t>
      </w:r>
    </w:p>
    <w:p w14:paraId="618B7E24" w14:textId="46A1AEDC"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16 </w:t>
      </w:r>
      <w:r w:rsidRPr="00AD5C42">
        <w:rPr>
          <w:b/>
          <w:bCs/>
          <w:color w:val="000000" w:themeColor="text1"/>
          <w:szCs w:val="24"/>
        </w:rPr>
        <w:t>Arslan N</w:t>
      </w:r>
      <w:r w:rsidRPr="00AD5C42">
        <w:rPr>
          <w:color w:val="000000" w:themeColor="text1"/>
          <w:szCs w:val="24"/>
        </w:rPr>
        <w:t xml:space="preserve">, Yılmaz Ö, Demiray-Gürbüz E. Importance of antimicrobial susceptibility testing for the management of eradication in </w:t>
      </w:r>
      <w:r w:rsidRPr="00AD5C42">
        <w:rPr>
          <w:i/>
          <w:color w:val="000000" w:themeColor="text1"/>
          <w:szCs w:val="24"/>
        </w:rPr>
        <w:t xml:space="preserve">Helicobacter pylori </w:t>
      </w:r>
      <w:r w:rsidRPr="00AD5C42">
        <w:rPr>
          <w:color w:val="000000" w:themeColor="text1"/>
          <w:szCs w:val="24"/>
        </w:rPr>
        <w:t>infection. </w:t>
      </w:r>
      <w:r w:rsidRPr="00AD5C42">
        <w:rPr>
          <w:i/>
          <w:iCs/>
          <w:color w:val="000000" w:themeColor="text1"/>
          <w:szCs w:val="24"/>
        </w:rPr>
        <w:t>World J Gastroenterol</w:t>
      </w:r>
      <w:r w:rsidRPr="00AD5C42">
        <w:rPr>
          <w:color w:val="000000" w:themeColor="text1"/>
          <w:szCs w:val="24"/>
        </w:rPr>
        <w:t> 2017; </w:t>
      </w:r>
      <w:r w:rsidRPr="00AD5C42">
        <w:rPr>
          <w:b/>
          <w:bCs/>
          <w:color w:val="000000" w:themeColor="text1"/>
          <w:szCs w:val="24"/>
        </w:rPr>
        <w:t>23</w:t>
      </w:r>
      <w:r w:rsidRPr="00AD5C42">
        <w:rPr>
          <w:color w:val="000000" w:themeColor="text1"/>
          <w:szCs w:val="24"/>
        </w:rPr>
        <w:t>: 2854-2869 [PMID: 28522904 DOI: 10.3748/wjg.v23.i16.2854]</w:t>
      </w:r>
    </w:p>
    <w:p w14:paraId="3F73163A"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17 </w:t>
      </w:r>
      <w:r w:rsidRPr="00AD5C42">
        <w:rPr>
          <w:b/>
          <w:bCs/>
          <w:color w:val="000000" w:themeColor="text1"/>
          <w:szCs w:val="24"/>
        </w:rPr>
        <w:t>Abadi ATB</w:t>
      </w:r>
      <w:r w:rsidRPr="00AD5C42">
        <w:rPr>
          <w:color w:val="000000" w:themeColor="text1"/>
          <w:szCs w:val="24"/>
        </w:rPr>
        <w:t>. Resistance to clarithromycin and gastroenterologist's persistence roles in nomination for Helicobacter pylori as high priority pathogen by World Health Organization. </w:t>
      </w:r>
      <w:r w:rsidRPr="00AD5C42">
        <w:rPr>
          <w:i/>
          <w:iCs/>
          <w:color w:val="000000" w:themeColor="text1"/>
          <w:szCs w:val="24"/>
        </w:rPr>
        <w:t>World J Gastroenterol</w:t>
      </w:r>
      <w:r w:rsidRPr="00AD5C42">
        <w:rPr>
          <w:color w:val="000000" w:themeColor="text1"/>
          <w:szCs w:val="24"/>
        </w:rPr>
        <w:t> 2017; </w:t>
      </w:r>
      <w:r w:rsidRPr="00AD5C42">
        <w:rPr>
          <w:b/>
          <w:bCs/>
          <w:color w:val="000000" w:themeColor="text1"/>
          <w:szCs w:val="24"/>
        </w:rPr>
        <w:t>23</w:t>
      </w:r>
      <w:r w:rsidRPr="00AD5C42">
        <w:rPr>
          <w:color w:val="000000" w:themeColor="text1"/>
          <w:szCs w:val="24"/>
        </w:rPr>
        <w:t>: 6379-6384 [PMID: 29085187 DOI: 10.3748/wjg.v23.i35.6379]</w:t>
      </w:r>
    </w:p>
    <w:p w14:paraId="3D287F2B" w14:textId="7E570BE8"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18 </w:t>
      </w:r>
      <w:r w:rsidRPr="00AD5C42">
        <w:rPr>
          <w:b/>
          <w:bCs/>
          <w:color w:val="000000" w:themeColor="text1"/>
          <w:szCs w:val="24"/>
        </w:rPr>
        <w:t>Iannone A</w:t>
      </w:r>
      <w:r w:rsidRPr="00AD5C42">
        <w:rPr>
          <w:color w:val="000000" w:themeColor="text1"/>
          <w:szCs w:val="24"/>
        </w:rPr>
        <w:t xml:space="preserve">, Giorgio F, Russo F, Riezzo G, Girardi B, Pricci M, Palmer SC, Barone M, Principi M, Strippoli GF, Di Leo A, Ierardi E. New fecal test for non-invasive </w:t>
      </w:r>
      <w:r w:rsidRPr="00AD5C42">
        <w:rPr>
          <w:i/>
          <w:color w:val="000000" w:themeColor="text1"/>
          <w:szCs w:val="24"/>
        </w:rPr>
        <w:t>Helicobacter pylori</w:t>
      </w:r>
      <w:r w:rsidRPr="00AD5C42">
        <w:rPr>
          <w:color w:val="000000" w:themeColor="text1"/>
          <w:szCs w:val="24"/>
        </w:rPr>
        <w:t xml:space="preserve"> detection: A diagnostic accuracy study. </w:t>
      </w:r>
      <w:r w:rsidRPr="00AD5C42">
        <w:rPr>
          <w:i/>
          <w:iCs/>
          <w:color w:val="000000" w:themeColor="text1"/>
          <w:szCs w:val="24"/>
        </w:rPr>
        <w:t>World J Gastroenterol</w:t>
      </w:r>
      <w:r w:rsidRPr="00AD5C42">
        <w:rPr>
          <w:color w:val="000000" w:themeColor="text1"/>
          <w:szCs w:val="24"/>
        </w:rPr>
        <w:t> 2018; </w:t>
      </w:r>
      <w:r w:rsidRPr="00AD5C42">
        <w:rPr>
          <w:b/>
          <w:bCs/>
          <w:color w:val="000000" w:themeColor="text1"/>
          <w:szCs w:val="24"/>
        </w:rPr>
        <w:t>24</w:t>
      </w:r>
      <w:r w:rsidRPr="00AD5C42">
        <w:rPr>
          <w:color w:val="000000" w:themeColor="text1"/>
          <w:szCs w:val="24"/>
        </w:rPr>
        <w:t>: 3021-3029 [PMID: 30038469 DOI: 10.3748/wjg.v24.i27.3021]</w:t>
      </w:r>
    </w:p>
    <w:p w14:paraId="55A37521"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19 </w:t>
      </w:r>
      <w:r w:rsidRPr="00AD5C42">
        <w:rPr>
          <w:b/>
          <w:bCs/>
          <w:color w:val="000000" w:themeColor="text1"/>
          <w:szCs w:val="24"/>
        </w:rPr>
        <w:t>Su P</w:t>
      </w:r>
      <w:r w:rsidRPr="00AD5C42">
        <w:rPr>
          <w:color w:val="000000" w:themeColor="text1"/>
          <w:szCs w:val="24"/>
        </w:rPr>
        <w:t>, Li Y, Li H, Zhang J, Lin L, Wang Q, Guo F, Ji Z, Mao J, Tang W, Shi Z, Shao W, Mao J, Zhu X, Zhang X, Tong Y, Tu H, Jiang M, Wang Z, Jin F, Yang N, Zhang J. Antibiotic resistance of Helicobacter pylori isolated in the Southeast Coastal Region of China. </w:t>
      </w:r>
      <w:r w:rsidRPr="00AD5C42">
        <w:rPr>
          <w:i/>
          <w:iCs/>
          <w:color w:val="000000" w:themeColor="text1"/>
          <w:szCs w:val="24"/>
        </w:rPr>
        <w:t>Helicobacter</w:t>
      </w:r>
      <w:r w:rsidRPr="00AD5C42">
        <w:rPr>
          <w:color w:val="000000" w:themeColor="text1"/>
          <w:szCs w:val="24"/>
        </w:rPr>
        <w:t> 2013; </w:t>
      </w:r>
      <w:r w:rsidRPr="00AD5C42">
        <w:rPr>
          <w:b/>
          <w:bCs/>
          <w:color w:val="000000" w:themeColor="text1"/>
          <w:szCs w:val="24"/>
        </w:rPr>
        <w:t>18</w:t>
      </w:r>
      <w:r w:rsidRPr="00AD5C42">
        <w:rPr>
          <w:color w:val="000000" w:themeColor="text1"/>
          <w:szCs w:val="24"/>
        </w:rPr>
        <w:t>: 274-279 [PMID: 23418857 DOI: 10.1111/hel.12046]</w:t>
      </w:r>
    </w:p>
    <w:p w14:paraId="7AD14B07"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20 </w:t>
      </w:r>
      <w:r w:rsidRPr="00AD5C42">
        <w:rPr>
          <w:b/>
          <w:bCs/>
          <w:color w:val="000000" w:themeColor="text1"/>
          <w:szCs w:val="24"/>
        </w:rPr>
        <w:t>Zhang YX</w:t>
      </w:r>
      <w:r w:rsidRPr="00AD5C42">
        <w:rPr>
          <w:color w:val="000000" w:themeColor="text1"/>
          <w:szCs w:val="24"/>
        </w:rPr>
        <w:t>, Zhou LY, Song ZQ, Zhang JZ, He LH, Ding Y. Primary antibiotic resistance of Helicobacter pylori strains isolated from patients with dyspeptic symptoms in Beijing: a prospective serial study. </w:t>
      </w:r>
      <w:r w:rsidRPr="00AD5C42">
        <w:rPr>
          <w:i/>
          <w:iCs/>
          <w:color w:val="000000" w:themeColor="text1"/>
          <w:szCs w:val="24"/>
        </w:rPr>
        <w:t>World J Gastroenterol</w:t>
      </w:r>
      <w:r w:rsidRPr="00AD5C42">
        <w:rPr>
          <w:color w:val="000000" w:themeColor="text1"/>
          <w:szCs w:val="24"/>
        </w:rPr>
        <w:t> 2015; </w:t>
      </w:r>
      <w:r w:rsidRPr="00AD5C42">
        <w:rPr>
          <w:b/>
          <w:bCs/>
          <w:color w:val="000000" w:themeColor="text1"/>
          <w:szCs w:val="24"/>
        </w:rPr>
        <w:t>21</w:t>
      </w:r>
      <w:r w:rsidRPr="00AD5C42">
        <w:rPr>
          <w:color w:val="000000" w:themeColor="text1"/>
          <w:szCs w:val="24"/>
        </w:rPr>
        <w:t>: 2786-2792 [PMID: 25759550 DOI: 10.3748/wjg.v21.i9.2786]</w:t>
      </w:r>
    </w:p>
    <w:p w14:paraId="4A3835CA"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21 </w:t>
      </w:r>
      <w:r w:rsidRPr="00AD5C42">
        <w:rPr>
          <w:b/>
          <w:bCs/>
          <w:color w:val="000000" w:themeColor="text1"/>
          <w:szCs w:val="24"/>
        </w:rPr>
        <w:t>Bayerdörffer E</w:t>
      </w:r>
      <w:r w:rsidRPr="00AD5C42">
        <w:rPr>
          <w:color w:val="000000" w:themeColor="text1"/>
          <w:szCs w:val="24"/>
        </w:rPr>
        <w:t xml:space="preserve">, Miehlke S, Mannes GA, Sommer A, Höchter W, Weingart J, </w:t>
      </w:r>
      <w:r w:rsidRPr="00AD5C42">
        <w:rPr>
          <w:color w:val="000000" w:themeColor="text1"/>
          <w:szCs w:val="24"/>
        </w:rPr>
        <w:lastRenderedPageBreak/>
        <w:t>Heldwein W, Klann H, Simon T, Schmitt W. Double-blind trial of omeprazole and amoxicillin to cure Helicobacter pylori infection in patients with duodenal ulcers. </w:t>
      </w:r>
      <w:r w:rsidRPr="00AD5C42">
        <w:rPr>
          <w:i/>
          <w:iCs/>
          <w:color w:val="000000" w:themeColor="text1"/>
          <w:szCs w:val="24"/>
        </w:rPr>
        <w:t>Gastroenterology</w:t>
      </w:r>
      <w:r w:rsidRPr="00AD5C42">
        <w:rPr>
          <w:color w:val="000000" w:themeColor="text1"/>
          <w:szCs w:val="24"/>
        </w:rPr>
        <w:t> 1995; </w:t>
      </w:r>
      <w:r w:rsidRPr="00AD5C42">
        <w:rPr>
          <w:b/>
          <w:bCs/>
          <w:color w:val="000000" w:themeColor="text1"/>
          <w:szCs w:val="24"/>
        </w:rPr>
        <w:t>108</w:t>
      </w:r>
      <w:r w:rsidRPr="00AD5C42">
        <w:rPr>
          <w:color w:val="000000" w:themeColor="text1"/>
          <w:szCs w:val="24"/>
        </w:rPr>
        <w:t>: 1412-1417 [PMID: 7729633]</w:t>
      </w:r>
    </w:p>
    <w:p w14:paraId="69747619"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22 </w:t>
      </w:r>
      <w:r w:rsidRPr="00AD5C42">
        <w:rPr>
          <w:b/>
          <w:bCs/>
          <w:color w:val="000000" w:themeColor="text1"/>
          <w:szCs w:val="24"/>
        </w:rPr>
        <w:t>Koizumi W</w:t>
      </w:r>
      <w:r w:rsidRPr="00AD5C42">
        <w:rPr>
          <w:color w:val="000000" w:themeColor="text1"/>
          <w:szCs w:val="24"/>
        </w:rPr>
        <w:t>, Tanabe S, Hibi K, Imaizumi H, Ohida M, Okabe H, Saigenji K, Okayasu I. A prospective randomized study of amoxycillin and omeprazole with and without metronidazole in the eradication treatment of Helicobacter pylori. </w:t>
      </w:r>
      <w:r w:rsidRPr="00AD5C42">
        <w:rPr>
          <w:i/>
          <w:iCs/>
          <w:color w:val="000000" w:themeColor="text1"/>
          <w:szCs w:val="24"/>
        </w:rPr>
        <w:t>J Gastroenterol Hepatol</w:t>
      </w:r>
      <w:r w:rsidRPr="00AD5C42">
        <w:rPr>
          <w:color w:val="000000" w:themeColor="text1"/>
          <w:szCs w:val="24"/>
        </w:rPr>
        <w:t> 1998; </w:t>
      </w:r>
      <w:r w:rsidRPr="00AD5C42">
        <w:rPr>
          <w:b/>
          <w:bCs/>
          <w:color w:val="000000" w:themeColor="text1"/>
          <w:szCs w:val="24"/>
        </w:rPr>
        <w:t>13</w:t>
      </w:r>
      <w:r w:rsidRPr="00AD5C42">
        <w:rPr>
          <w:color w:val="000000" w:themeColor="text1"/>
          <w:szCs w:val="24"/>
        </w:rPr>
        <w:t>: 301-304 [PMID: 9570244]</w:t>
      </w:r>
    </w:p>
    <w:p w14:paraId="33E3969E"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23 </w:t>
      </w:r>
      <w:r w:rsidRPr="00AD5C42">
        <w:rPr>
          <w:b/>
          <w:bCs/>
          <w:color w:val="000000" w:themeColor="text1"/>
          <w:szCs w:val="24"/>
        </w:rPr>
        <w:t>Wong BC</w:t>
      </w:r>
      <w:r w:rsidRPr="00AD5C42">
        <w:rPr>
          <w:color w:val="000000" w:themeColor="text1"/>
          <w:szCs w:val="24"/>
        </w:rPr>
        <w:t>, Xiao SD, Hu FL, Qian SC, Huang NX, Li YY, Hu PJ, Daldiyono, Manan C, Lesmana L, Carpio RE, Perez JY Jr, Fock KM, Kachintorn U, Phornphutkul K, Kullavanijaya P, Ho J, Lam SK. Comparison of lansoprazole-based triple and dual therapy for treatment of Helicobacter pylori-related duodenal ulcer: an Asian multicentre double-blind randomized placebo controlled study. </w:t>
      </w:r>
      <w:r w:rsidRPr="00AD5C42">
        <w:rPr>
          <w:i/>
          <w:iCs/>
          <w:color w:val="000000" w:themeColor="text1"/>
          <w:szCs w:val="24"/>
        </w:rPr>
        <w:t>Aliment Pharmacol Ther</w:t>
      </w:r>
      <w:r w:rsidRPr="00AD5C42">
        <w:rPr>
          <w:color w:val="000000" w:themeColor="text1"/>
          <w:szCs w:val="24"/>
        </w:rPr>
        <w:t> 2000; </w:t>
      </w:r>
      <w:r w:rsidRPr="00AD5C42">
        <w:rPr>
          <w:b/>
          <w:bCs/>
          <w:color w:val="000000" w:themeColor="text1"/>
          <w:szCs w:val="24"/>
        </w:rPr>
        <w:t>14</w:t>
      </w:r>
      <w:r w:rsidRPr="00AD5C42">
        <w:rPr>
          <w:color w:val="000000" w:themeColor="text1"/>
          <w:szCs w:val="24"/>
        </w:rPr>
        <w:t>: 217-224 [PMID: 10651663]</w:t>
      </w:r>
    </w:p>
    <w:p w14:paraId="3D15F6B4"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24 </w:t>
      </w:r>
      <w:r w:rsidRPr="00AD5C42">
        <w:rPr>
          <w:b/>
          <w:bCs/>
          <w:color w:val="000000" w:themeColor="text1"/>
          <w:szCs w:val="24"/>
        </w:rPr>
        <w:t>Yang JC</w:t>
      </w:r>
      <w:r w:rsidRPr="00AD5C42">
        <w:rPr>
          <w:color w:val="000000" w:themeColor="text1"/>
          <w:szCs w:val="24"/>
        </w:rPr>
        <w:t>, Lin CJ, Wang HL, Chen JD, Kao JY, Shun CT, Lu CW, Lin BR, Shieh MJ, Chang MC, Chang YT, Wei SC, Lin LC, Yeh WC, Kuo JS, Tung CC, Leong YL, Wang TH, Wong JM. High-dose dual therapy is superior to standard first-line or rescue therapy for Helicobacter pylori infection. </w:t>
      </w:r>
      <w:r w:rsidRPr="00AD5C42">
        <w:rPr>
          <w:i/>
          <w:iCs/>
          <w:color w:val="000000" w:themeColor="text1"/>
          <w:szCs w:val="24"/>
        </w:rPr>
        <w:t>Clin Gastroenterol Hepatol</w:t>
      </w:r>
      <w:r w:rsidRPr="00AD5C42">
        <w:rPr>
          <w:color w:val="000000" w:themeColor="text1"/>
          <w:szCs w:val="24"/>
        </w:rPr>
        <w:t> 2015; </w:t>
      </w:r>
      <w:r w:rsidRPr="00AD5C42">
        <w:rPr>
          <w:b/>
          <w:bCs/>
          <w:color w:val="000000" w:themeColor="text1"/>
          <w:szCs w:val="24"/>
        </w:rPr>
        <w:t>13</w:t>
      </w:r>
      <w:r w:rsidRPr="00AD5C42">
        <w:rPr>
          <w:color w:val="000000" w:themeColor="text1"/>
          <w:szCs w:val="24"/>
        </w:rPr>
        <w:t>: 895-905.e5 [PMID: 25460556 DOI: 10.1016/j.cgh.2014.10.036]</w:t>
      </w:r>
    </w:p>
    <w:p w14:paraId="0EA61FED"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25 </w:t>
      </w:r>
      <w:r w:rsidRPr="00AD5C42">
        <w:rPr>
          <w:b/>
          <w:bCs/>
          <w:color w:val="000000" w:themeColor="text1"/>
          <w:szCs w:val="24"/>
        </w:rPr>
        <w:t>Hori Y</w:t>
      </w:r>
      <w:r w:rsidRPr="00AD5C42">
        <w:rPr>
          <w:color w:val="000000" w:themeColor="text1"/>
          <w:szCs w:val="24"/>
        </w:rPr>
        <w:t>, Imanishi A, Matsukawa J, Tsukimi Y, Nishida H, Arikawa Y, Hirase K, Kajino M, Inatomi N. 1-[5-(2-Fluorophenyl)-1-(pyridin-3-ylsulfonyl)-1H-pyrrol-3-yl]-N-methylmethanamine monofumarate (TAK-438), a novel and potent potassium-competitive acid blocker for the treatment of acid-related diseases. </w:t>
      </w:r>
      <w:r w:rsidRPr="00AD5C42">
        <w:rPr>
          <w:i/>
          <w:iCs/>
          <w:color w:val="000000" w:themeColor="text1"/>
          <w:szCs w:val="24"/>
        </w:rPr>
        <w:t>J Pharmacol Exp Ther</w:t>
      </w:r>
      <w:r w:rsidRPr="00AD5C42">
        <w:rPr>
          <w:color w:val="000000" w:themeColor="text1"/>
          <w:szCs w:val="24"/>
        </w:rPr>
        <w:t> 2010; </w:t>
      </w:r>
      <w:r w:rsidRPr="00AD5C42">
        <w:rPr>
          <w:b/>
          <w:bCs/>
          <w:color w:val="000000" w:themeColor="text1"/>
          <w:szCs w:val="24"/>
        </w:rPr>
        <w:t>335</w:t>
      </w:r>
      <w:r w:rsidRPr="00AD5C42">
        <w:rPr>
          <w:color w:val="000000" w:themeColor="text1"/>
          <w:szCs w:val="24"/>
        </w:rPr>
        <w:t>: 231-238 [PMID: 20624992 DOI: 10.1124/jpet.110.170274]</w:t>
      </w:r>
    </w:p>
    <w:p w14:paraId="162373FC"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26 </w:t>
      </w:r>
      <w:r w:rsidRPr="00AD5C42">
        <w:rPr>
          <w:b/>
          <w:bCs/>
          <w:color w:val="000000" w:themeColor="text1"/>
          <w:szCs w:val="24"/>
        </w:rPr>
        <w:t>Matsukawa J</w:t>
      </w:r>
      <w:r w:rsidRPr="00AD5C42">
        <w:rPr>
          <w:color w:val="000000" w:themeColor="text1"/>
          <w:szCs w:val="24"/>
        </w:rPr>
        <w:t>, Hori Y, Nishida H, Kajino M, Inatomi N. A comparative study on the modes of action of TAK-438, a novel potassium-competitive acid blocker, and lansoprazole in primary cultured rabbit gastric glands. </w:t>
      </w:r>
      <w:r w:rsidRPr="00AD5C42">
        <w:rPr>
          <w:i/>
          <w:iCs/>
          <w:color w:val="000000" w:themeColor="text1"/>
          <w:szCs w:val="24"/>
        </w:rPr>
        <w:t>Biochem Pharmacol</w:t>
      </w:r>
      <w:r w:rsidRPr="00AD5C42">
        <w:rPr>
          <w:color w:val="000000" w:themeColor="text1"/>
          <w:szCs w:val="24"/>
        </w:rPr>
        <w:t> 2011; </w:t>
      </w:r>
      <w:r w:rsidRPr="00AD5C42">
        <w:rPr>
          <w:b/>
          <w:bCs/>
          <w:color w:val="000000" w:themeColor="text1"/>
          <w:szCs w:val="24"/>
        </w:rPr>
        <w:t>81</w:t>
      </w:r>
      <w:r w:rsidRPr="00AD5C42">
        <w:rPr>
          <w:color w:val="000000" w:themeColor="text1"/>
          <w:szCs w:val="24"/>
        </w:rPr>
        <w:t>: 1145-1151 [PMID: 21371447 DOI: 10.1016/j.bcp.2011.02.009]</w:t>
      </w:r>
    </w:p>
    <w:p w14:paraId="69253674"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27 </w:t>
      </w:r>
      <w:r w:rsidRPr="00AD5C42">
        <w:rPr>
          <w:b/>
          <w:bCs/>
          <w:color w:val="000000" w:themeColor="text1"/>
          <w:szCs w:val="24"/>
        </w:rPr>
        <w:t>Sakurai Y</w:t>
      </w:r>
      <w:r w:rsidRPr="00AD5C42">
        <w:rPr>
          <w:color w:val="000000" w:themeColor="text1"/>
          <w:szCs w:val="24"/>
        </w:rPr>
        <w:t xml:space="preserve">, Nishimura A, Kennedy G, Hibberd M, Jenkins R, Okamoto H, </w:t>
      </w:r>
      <w:r w:rsidRPr="00AD5C42">
        <w:rPr>
          <w:color w:val="000000" w:themeColor="text1"/>
          <w:szCs w:val="24"/>
        </w:rPr>
        <w:lastRenderedPageBreak/>
        <w:t>Yoneyama T, Jenkins H, Ashida K, Irie S, Täubel J. Safety, Tolerability, Pharmacokinetics, and Pharmacodynamics of Single Rising TAK-438 (Vonoprazan) Doses in Healthy Male Japanese/non-Japanese Subjects. </w:t>
      </w:r>
      <w:r w:rsidRPr="00AD5C42">
        <w:rPr>
          <w:i/>
          <w:iCs/>
          <w:color w:val="000000" w:themeColor="text1"/>
          <w:szCs w:val="24"/>
        </w:rPr>
        <w:t>Clin Transl Gastroenterol</w:t>
      </w:r>
      <w:r w:rsidRPr="00AD5C42">
        <w:rPr>
          <w:color w:val="000000" w:themeColor="text1"/>
          <w:szCs w:val="24"/>
        </w:rPr>
        <w:t> 2015; </w:t>
      </w:r>
      <w:r w:rsidRPr="00AD5C42">
        <w:rPr>
          <w:b/>
          <w:bCs/>
          <w:color w:val="000000" w:themeColor="text1"/>
          <w:szCs w:val="24"/>
        </w:rPr>
        <w:t>6</w:t>
      </w:r>
      <w:r w:rsidRPr="00AD5C42">
        <w:rPr>
          <w:color w:val="000000" w:themeColor="text1"/>
          <w:szCs w:val="24"/>
        </w:rPr>
        <w:t>: e94 [PMID: 26111126 DOI: 10.1038/ctg.2015.18]</w:t>
      </w:r>
    </w:p>
    <w:p w14:paraId="53A6EAEA"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28 </w:t>
      </w:r>
      <w:r w:rsidRPr="00AD5C42">
        <w:rPr>
          <w:b/>
          <w:bCs/>
          <w:color w:val="000000" w:themeColor="text1"/>
          <w:szCs w:val="24"/>
        </w:rPr>
        <w:t>Jenkins H</w:t>
      </w:r>
      <w:r w:rsidRPr="00AD5C42">
        <w:rPr>
          <w:color w:val="000000" w:themeColor="text1"/>
          <w:szCs w:val="24"/>
        </w:rPr>
        <w:t>, Sakurai Y, Nishimura A, Okamoto H, Hibberd M, Jenkins R, Yoneyama T, Ashida K, Ogama Y, Warrington S. Randomised clinical trial: safety, tolerability, pharmacokinetics and pharmacodynamics of repeated doses of TAK-438 (vonoprazan), a novel potassium-competitive acid blocker, in healthy male subjects. </w:t>
      </w:r>
      <w:r w:rsidRPr="00AD5C42">
        <w:rPr>
          <w:i/>
          <w:iCs/>
          <w:color w:val="000000" w:themeColor="text1"/>
          <w:szCs w:val="24"/>
        </w:rPr>
        <w:t>Aliment Pharmacol Ther</w:t>
      </w:r>
      <w:r w:rsidRPr="00AD5C42">
        <w:rPr>
          <w:color w:val="000000" w:themeColor="text1"/>
          <w:szCs w:val="24"/>
        </w:rPr>
        <w:t> 2015; </w:t>
      </w:r>
      <w:r w:rsidRPr="00AD5C42">
        <w:rPr>
          <w:b/>
          <w:bCs/>
          <w:color w:val="000000" w:themeColor="text1"/>
          <w:szCs w:val="24"/>
        </w:rPr>
        <w:t>41</w:t>
      </w:r>
      <w:r w:rsidRPr="00AD5C42">
        <w:rPr>
          <w:color w:val="000000" w:themeColor="text1"/>
          <w:szCs w:val="24"/>
        </w:rPr>
        <w:t>: 636-648 [PMID: 25707624 DOI: 10.1111/apt.13121]</w:t>
      </w:r>
    </w:p>
    <w:p w14:paraId="458EE6A1"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29 </w:t>
      </w:r>
      <w:r w:rsidRPr="00AD5C42">
        <w:rPr>
          <w:b/>
          <w:bCs/>
          <w:color w:val="000000" w:themeColor="text1"/>
          <w:szCs w:val="24"/>
        </w:rPr>
        <w:t>Suzuki S</w:t>
      </w:r>
      <w:r w:rsidRPr="00AD5C42">
        <w:rPr>
          <w:color w:val="000000" w:themeColor="text1"/>
          <w:szCs w:val="24"/>
        </w:rPr>
        <w:t>, Gotoda T, Kusano C, Iwatsuka K, Moriyama M. The Efficacy and Tolerability of a Triple Therapy Containing a Potassium-Competitive Acid Blocker Compared With a 7-Day PPI-Based Low-Dose Clarithromycin Triple Therapy. </w:t>
      </w:r>
      <w:r w:rsidRPr="00AD5C42">
        <w:rPr>
          <w:i/>
          <w:iCs/>
          <w:color w:val="000000" w:themeColor="text1"/>
          <w:szCs w:val="24"/>
        </w:rPr>
        <w:t>Am J Gastroenterol</w:t>
      </w:r>
      <w:r w:rsidRPr="00AD5C42">
        <w:rPr>
          <w:color w:val="000000" w:themeColor="text1"/>
          <w:szCs w:val="24"/>
        </w:rPr>
        <w:t> 2016; </w:t>
      </w:r>
      <w:r w:rsidRPr="00AD5C42">
        <w:rPr>
          <w:b/>
          <w:bCs/>
          <w:color w:val="000000" w:themeColor="text1"/>
          <w:szCs w:val="24"/>
        </w:rPr>
        <w:t>111</w:t>
      </w:r>
      <w:r w:rsidRPr="00AD5C42">
        <w:rPr>
          <w:color w:val="000000" w:themeColor="text1"/>
          <w:szCs w:val="24"/>
        </w:rPr>
        <w:t>: 949-956 [PMID: 27185079 DOI: 10.1038/ajg.2016.182]</w:t>
      </w:r>
    </w:p>
    <w:p w14:paraId="16327D3E"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30 </w:t>
      </w:r>
      <w:r w:rsidRPr="00AD5C42">
        <w:rPr>
          <w:b/>
          <w:bCs/>
          <w:color w:val="000000" w:themeColor="text1"/>
          <w:szCs w:val="24"/>
        </w:rPr>
        <w:t>Murakami K</w:t>
      </w:r>
      <w:r w:rsidRPr="00AD5C42">
        <w:rPr>
          <w:color w:val="000000" w:themeColor="text1"/>
          <w:szCs w:val="24"/>
        </w:rPr>
        <w:t>, Sakurai Y, Shiino M, Funao N, Nishimura A, Asaka M. Vonoprazan, a novel potassium-competitive acid blocker, as a component of first-line and second-line triple therapy for Helicobacter pylori eradication: a phase III, randomised, double-blind study. </w:t>
      </w:r>
      <w:r w:rsidRPr="00AD5C42">
        <w:rPr>
          <w:i/>
          <w:iCs/>
          <w:color w:val="000000" w:themeColor="text1"/>
          <w:szCs w:val="24"/>
        </w:rPr>
        <w:t>Gut</w:t>
      </w:r>
      <w:r w:rsidRPr="00AD5C42">
        <w:rPr>
          <w:color w:val="000000" w:themeColor="text1"/>
          <w:szCs w:val="24"/>
        </w:rPr>
        <w:t> 2016; </w:t>
      </w:r>
      <w:r w:rsidRPr="00AD5C42">
        <w:rPr>
          <w:b/>
          <w:bCs/>
          <w:color w:val="000000" w:themeColor="text1"/>
          <w:szCs w:val="24"/>
        </w:rPr>
        <w:t>65</w:t>
      </w:r>
      <w:r w:rsidRPr="00AD5C42">
        <w:rPr>
          <w:color w:val="000000" w:themeColor="text1"/>
          <w:szCs w:val="24"/>
        </w:rPr>
        <w:t>: 1439-1446 [PMID: 26935876 DOI: 10.1136/gutjnl-2015-311304]</w:t>
      </w:r>
    </w:p>
    <w:p w14:paraId="29FB6354"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31 </w:t>
      </w:r>
      <w:r w:rsidRPr="00AD5C42">
        <w:rPr>
          <w:b/>
          <w:bCs/>
          <w:color w:val="000000" w:themeColor="text1"/>
          <w:szCs w:val="24"/>
        </w:rPr>
        <w:t>Kusano C</w:t>
      </w:r>
      <w:r w:rsidRPr="00AD5C42">
        <w:rPr>
          <w:color w:val="000000" w:themeColor="text1"/>
          <w:szCs w:val="24"/>
        </w:rPr>
        <w:t>, Gotoda T, Suzuki S, Ikehara H, Moriyama M. Safety of first-line triple therapy with a potassium-competitive acid blocker for Helicobacter pylori eradication in children. </w:t>
      </w:r>
      <w:r w:rsidRPr="00AD5C42">
        <w:rPr>
          <w:i/>
          <w:iCs/>
          <w:color w:val="000000" w:themeColor="text1"/>
          <w:szCs w:val="24"/>
        </w:rPr>
        <w:t>J Gastroenterol</w:t>
      </w:r>
      <w:r w:rsidRPr="00AD5C42">
        <w:rPr>
          <w:color w:val="000000" w:themeColor="text1"/>
          <w:szCs w:val="24"/>
        </w:rPr>
        <w:t> 2018; </w:t>
      </w:r>
      <w:r w:rsidRPr="00AD5C42">
        <w:rPr>
          <w:b/>
          <w:bCs/>
          <w:color w:val="000000" w:themeColor="text1"/>
          <w:szCs w:val="24"/>
        </w:rPr>
        <w:t>53</w:t>
      </w:r>
      <w:r w:rsidRPr="00AD5C42">
        <w:rPr>
          <w:color w:val="000000" w:themeColor="text1"/>
          <w:szCs w:val="24"/>
        </w:rPr>
        <w:t>: 718-724 [PMID: 29110085 DOI: 10.1007/s00535-017-1406-2]</w:t>
      </w:r>
    </w:p>
    <w:p w14:paraId="2C1E6303" w14:textId="6798881E"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32 </w:t>
      </w:r>
      <w:r w:rsidRPr="00AD5C42">
        <w:rPr>
          <w:b/>
          <w:bCs/>
          <w:color w:val="000000" w:themeColor="text1"/>
          <w:szCs w:val="24"/>
        </w:rPr>
        <w:t>Furuta T</w:t>
      </w:r>
      <w:r w:rsidRPr="00AD5C42">
        <w:rPr>
          <w:bCs/>
          <w:color w:val="000000" w:themeColor="text1"/>
          <w:szCs w:val="24"/>
        </w:rPr>
        <w:t>,</w:t>
      </w:r>
      <w:r w:rsidRPr="00AD5C42">
        <w:rPr>
          <w:color w:val="000000" w:themeColor="text1"/>
          <w:szCs w:val="24"/>
        </w:rPr>
        <w:t xml:space="preserve"> Yamade M, Uotani T, Kagami T, Suzuki T, Tani S, Hamaya Y, Iwaizumi M, Osawa S, Sugimoto K. Tu1299 - Vonoprazan-Based Dual Therapy with Amoxicillin is as Effectve as the Triple Therapy for the Eradication of </w:t>
      </w:r>
      <w:r w:rsidRPr="00AD5C42">
        <w:rPr>
          <w:i/>
          <w:color w:val="000000" w:themeColor="text1"/>
          <w:szCs w:val="24"/>
        </w:rPr>
        <w:t>H. Pylori</w:t>
      </w:r>
      <w:r w:rsidRPr="00AD5C42">
        <w:rPr>
          <w:color w:val="000000" w:themeColor="text1"/>
          <w:szCs w:val="24"/>
        </w:rPr>
        <w:t xml:space="preserve">. </w:t>
      </w:r>
      <w:r w:rsidRPr="00AD5C42">
        <w:rPr>
          <w:i/>
          <w:color w:val="000000" w:themeColor="text1"/>
          <w:szCs w:val="24"/>
        </w:rPr>
        <w:t>Gastroenterology</w:t>
      </w:r>
      <w:r w:rsidRPr="00AD5C42">
        <w:rPr>
          <w:color w:val="000000" w:themeColor="text1"/>
          <w:szCs w:val="24"/>
        </w:rPr>
        <w:t xml:space="preserve"> 2018; </w:t>
      </w:r>
      <w:r w:rsidRPr="00AD5C42">
        <w:rPr>
          <w:b/>
          <w:color w:val="000000" w:themeColor="text1"/>
          <w:szCs w:val="24"/>
        </w:rPr>
        <w:t>154</w:t>
      </w:r>
      <w:r w:rsidRPr="00AD5C42">
        <w:rPr>
          <w:color w:val="000000" w:themeColor="text1"/>
          <w:szCs w:val="24"/>
        </w:rPr>
        <w:t>: S-927 [DOI: 10.1016/S0016-5085(18)33125-1]</w:t>
      </w:r>
    </w:p>
    <w:p w14:paraId="24C9273C"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33 </w:t>
      </w:r>
      <w:r w:rsidRPr="00AD5C42">
        <w:rPr>
          <w:b/>
          <w:bCs/>
          <w:color w:val="000000" w:themeColor="text1"/>
          <w:szCs w:val="24"/>
        </w:rPr>
        <w:t>Gotoda T</w:t>
      </w:r>
      <w:r w:rsidRPr="00AD5C42">
        <w:rPr>
          <w:color w:val="000000" w:themeColor="text1"/>
          <w:szCs w:val="24"/>
        </w:rPr>
        <w:t xml:space="preserve">, Takano C, Kusano C, Suzuki S, Ikehara H, Hayakawa S, Andoh A. </w:t>
      </w:r>
      <w:r w:rsidRPr="00AD5C42">
        <w:rPr>
          <w:color w:val="000000" w:themeColor="text1"/>
          <w:szCs w:val="24"/>
        </w:rPr>
        <w:lastRenderedPageBreak/>
        <w:t>Gut microbiome can be restored without adverse events after Helicobacter pylori eradication therapy in teenagers. </w:t>
      </w:r>
      <w:r w:rsidRPr="00AD5C42">
        <w:rPr>
          <w:i/>
          <w:iCs/>
          <w:color w:val="000000" w:themeColor="text1"/>
          <w:szCs w:val="24"/>
        </w:rPr>
        <w:t>Helicobacter</w:t>
      </w:r>
      <w:r w:rsidRPr="00AD5C42">
        <w:rPr>
          <w:color w:val="000000" w:themeColor="text1"/>
          <w:szCs w:val="24"/>
        </w:rPr>
        <w:t> 2018; </w:t>
      </w:r>
      <w:r w:rsidRPr="00AD5C42">
        <w:rPr>
          <w:b/>
          <w:bCs/>
          <w:color w:val="000000" w:themeColor="text1"/>
          <w:szCs w:val="24"/>
        </w:rPr>
        <w:t>23</w:t>
      </w:r>
      <w:r w:rsidRPr="00AD5C42">
        <w:rPr>
          <w:color w:val="000000" w:themeColor="text1"/>
          <w:szCs w:val="24"/>
        </w:rPr>
        <w:t>: e12541 [PMID: 30311721 DOI: 10.1111/hel.12541]</w:t>
      </w:r>
    </w:p>
    <w:p w14:paraId="53F2E4AA" w14:textId="1D50B94D"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34 </w:t>
      </w:r>
      <w:r w:rsidRPr="00AD5C42">
        <w:rPr>
          <w:b/>
          <w:bCs/>
          <w:color w:val="000000" w:themeColor="text1"/>
          <w:szCs w:val="24"/>
        </w:rPr>
        <w:t>Ierardi E</w:t>
      </w:r>
      <w:r w:rsidRPr="00AD5C42">
        <w:rPr>
          <w:color w:val="000000" w:themeColor="text1"/>
          <w:szCs w:val="24"/>
        </w:rPr>
        <w:t xml:space="preserve">, Giorgio F, Iannone A, Losurdo G, Principi M, Barone M, Pisani A, Di Leo A. Noninvasive molecular analysis of </w:t>
      </w:r>
      <w:r w:rsidRPr="00AD5C42">
        <w:rPr>
          <w:i/>
          <w:color w:val="000000" w:themeColor="text1"/>
          <w:szCs w:val="24"/>
        </w:rPr>
        <w:t>Helicobacter pylori</w:t>
      </w:r>
      <w:r w:rsidRPr="00AD5C42">
        <w:rPr>
          <w:color w:val="000000" w:themeColor="text1"/>
          <w:szCs w:val="24"/>
        </w:rPr>
        <w:t>: Is it time for tailored first-line therapy? </w:t>
      </w:r>
      <w:r w:rsidRPr="00AD5C42">
        <w:rPr>
          <w:i/>
          <w:iCs/>
          <w:color w:val="000000" w:themeColor="text1"/>
          <w:szCs w:val="24"/>
        </w:rPr>
        <w:t>World J Gastroenterol</w:t>
      </w:r>
      <w:r w:rsidRPr="00AD5C42">
        <w:rPr>
          <w:color w:val="000000" w:themeColor="text1"/>
          <w:szCs w:val="24"/>
        </w:rPr>
        <w:t> 2017; </w:t>
      </w:r>
      <w:r w:rsidRPr="00AD5C42">
        <w:rPr>
          <w:b/>
          <w:bCs/>
          <w:color w:val="000000" w:themeColor="text1"/>
          <w:szCs w:val="24"/>
        </w:rPr>
        <w:t>23</w:t>
      </w:r>
      <w:r w:rsidRPr="00AD5C42">
        <w:rPr>
          <w:color w:val="000000" w:themeColor="text1"/>
          <w:szCs w:val="24"/>
        </w:rPr>
        <w:t>: 2453-2458 [PMID: 28465629 DOI: 10.3748/wjg.v23.i14.2453]</w:t>
      </w:r>
    </w:p>
    <w:p w14:paraId="283B2C9E"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35 </w:t>
      </w:r>
      <w:r w:rsidRPr="00AD5C42">
        <w:rPr>
          <w:b/>
          <w:bCs/>
          <w:color w:val="000000" w:themeColor="text1"/>
          <w:szCs w:val="24"/>
        </w:rPr>
        <w:t>Nyssen OP</w:t>
      </w:r>
      <w:r w:rsidRPr="00AD5C42">
        <w:rPr>
          <w:color w:val="000000" w:themeColor="text1"/>
          <w:szCs w:val="24"/>
        </w:rPr>
        <w:t>, McNicholl AG, Gisbert JP. Meta-analysis of three-in-one single capsule bismuth-containing quadruple therapy for the eradication of Helicobacter pylori. </w:t>
      </w:r>
      <w:r w:rsidRPr="00AD5C42">
        <w:rPr>
          <w:i/>
          <w:iCs/>
          <w:color w:val="000000" w:themeColor="text1"/>
          <w:szCs w:val="24"/>
        </w:rPr>
        <w:t>Helicobacter</w:t>
      </w:r>
      <w:r w:rsidRPr="00AD5C42">
        <w:rPr>
          <w:color w:val="000000" w:themeColor="text1"/>
          <w:szCs w:val="24"/>
        </w:rPr>
        <w:t> 2019; </w:t>
      </w:r>
      <w:r w:rsidRPr="00AD5C42">
        <w:rPr>
          <w:b/>
          <w:bCs/>
          <w:color w:val="000000" w:themeColor="text1"/>
          <w:szCs w:val="24"/>
        </w:rPr>
        <w:t>24</w:t>
      </w:r>
      <w:r w:rsidRPr="00AD5C42">
        <w:rPr>
          <w:color w:val="000000" w:themeColor="text1"/>
          <w:szCs w:val="24"/>
        </w:rPr>
        <w:t>: e12570 [PMID: 30767339 DOI: 10.1111/hel.12570]</w:t>
      </w:r>
    </w:p>
    <w:p w14:paraId="012B8198"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36 </w:t>
      </w:r>
      <w:r w:rsidRPr="00AD5C42">
        <w:rPr>
          <w:b/>
          <w:bCs/>
          <w:color w:val="000000" w:themeColor="text1"/>
          <w:szCs w:val="24"/>
        </w:rPr>
        <w:t>Chen MJ</w:t>
      </w:r>
      <w:r w:rsidRPr="00AD5C42">
        <w:rPr>
          <w:color w:val="000000" w:themeColor="text1"/>
          <w:szCs w:val="24"/>
        </w:rPr>
        <w:t>, Chen CC, Chen YN, Chen CC, Fang YJ, Lin JT, Wu MS, Liou JM; Taiwan Gastrointestinal Disease Helicobacter Consortium. Systematic Review with Meta-Analysis: Concomitant Therapy vs. Triple Therapy for the First-Line Treatment of Helicobacter pylori Infection. </w:t>
      </w:r>
      <w:r w:rsidRPr="00AD5C42">
        <w:rPr>
          <w:i/>
          <w:iCs/>
          <w:color w:val="000000" w:themeColor="text1"/>
          <w:szCs w:val="24"/>
        </w:rPr>
        <w:t>Am J Gastroenterol</w:t>
      </w:r>
      <w:r w:rsidRPr="00AD5C42">
        <w:rPr>
          <w:color w:val="000000" w:themeColor="text1"/>
          <w:szCs w:val="24"/>
        </w:rPr>
        <w:t> 2018; </w:t>
      </w:r>
      <w:r w:rsidRPr="00AD5C42">
        <w:rPr>
          <w:b/>
          <w:bCs/>
          <w:color w:val="000000" w:themeColor="text1"/>
          <w:szCs w:val="24"/>
        </w:rPr>
        <w:t>113</w:t>
      </w:r>
      <w:r w:rsidRPr="00AD5C42">
        <w:rPr>
          <w:color w:val="000000" w:themeColor="text1"/>
          <w:szCs w:val="24"/>
        </w:rPr>
        <w:t>: 1444-1457 [PMID: 30171216 DOI: 10.1038/s41395-018-0217-2]</w:t>
      </w:r>
    </w:p>
    <w:p w14:paraId="7D174FAC" w14:textId="2543B8EE"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37 </w:t>
      </w:r>
      <w:r w:rsidRPr="00AD5C42">
        <w:rPr>
          <w:b/>
          <w:bCs/>
          <w:color w:val="000000" w:themeColor="text1"/>
          <w:szCs w:val="24"/>
        </w:rPr>
        <w:t>Jung YS</w:t>
      </w:r>
      <w:r w:rsidRPr="00AD5C42">
        <w:rPr>
          <w:color w:val="000000" w:themeColor="text1"/>
          <w:szCs w:val="24"/>
        </w:rPr>
        <w:t>, Kim EH, Park CH. Systematic review with meta-analysis: the efficacy of vonoprazan-based triple therapy on Helicobacter pylori eradication.</w:t>
      </w:r>
      <w:r w:rsidR="00C07005" w:rsidRPr="00AD5C42">
        <w:rPr>
          <w:color w:val="000000" w:themeColor="text1"/>
          <w:szCs w:val="24"/>
          <w:lang w:eastAsia="zh-CN"/>
        </w:rPr>
        <w:t xml:space="preserve"> </w:t>
      </w:r>
      <w:r w:rsidRPr="00AD5C42">
        <w:rPr>
          <w:i/>
          <w:iCs/>
          <w:color w:val="000000" w:themeColor="text1"/>
          <w:szCs w:val="24"/>
        </w:rPr>
        <w:t>Aliment Pharmacol Ther</w:t>
      </w:r>
      <w:r w:rsidRPr="00AD5C42">
        <w:rPr>
          <w:color w:val="000000" w:themeColor="text1"/>
          <w:szCs w:val="24"/>
        </w:rPr>
        <w:t>2017; </w:t>
      </w:r>
      <w:r w:rsidRPr="00AD5C42">
        <w:rPr>
          <w:b/>
          <w:bCs/>
          <w:color w:val="000000" w:themeColor="text1"/>
          <w:szCs w:val="24"/>
        </w:rPr>
        <w:t>46</w:t>
      </w:r>
      <w:r w:rsidRPr="00AD5C42">
        <w:rPr>
          <w:color w:val="000000" w:themeColor="text1"/>
          <w:szCs w:val="24"/>
        </w:rPr>
        <w:t>: 106-114 [PMID: 28497487 DOI: 10.1111/apt.14130]</w:t>
      </w:r>
    </w:p>
    <w:p w14:paraId="0258872E"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38 </w:t>
      </w:r>
      <w:r w:rsidRPr="00AD5C42">
        <w:rPr>
          <w:b/>
          <w:bCs/>
          <w:color w:val="000000" w:themeColor="text1"/>
          <w:szCs w:val="24"/>
        </w:rPr>
        <w:t>Liou JM</w:t>
      </w:r>
      <w:r w:rsidRPr="00AD5C42">
        <w:rPr>
          <w:color w:val="000000" w:themeColor="text1"/>
          <w:szCs w:val="24"/>
        </w:rPr>
        <w:t>, Chen CC, Lee YC, Chang CY, Wu JY, Bair MJ, Lin JT, Chen MJ, Wu MS; Taiwan Gastrointestinal Disease and Helicobacter Consortium. Systematic review with meta-analysis: 10- or 14-day sequential therapy vs. 14-day triple therapy in the first line treatment of Helicobacter pylori infection. </w:t>
      </w:r>
      <w:r w:rsidRPr="00AD5C42">
        <w:rPr>
          <w:i/>
          <w:iCs/>
          <w:color w:val="000000" w:themeColor="text1"/>
          <w:szCs w:val="24"/>
        </w:rPr>
        <w:t>Aliment Pharmacol Ther</w:t>
      </w:r>
      <w:r w:rsidRPr="00AD5C42">
        <w:rPr>
          <w:color w:val="000000" w:themeColor="text1"/>
          <w:szCs w:val="24"/>
        </w:rPr>
        <w:t> 2016; </w:t>
      </w:r>
      <w:r w:rsidRPr="00AD5C42">
        <w:rPr>
          <w:b/>
          <w:bCs/>
          <w:color w:val="000000" w:themeColor="text1"/>
          <w:szCs w:val="24"/>
        </w:rPr>
        <w:t>43</w:t>
      </w:r>
      <w:r w:rsidRPr="00AD5C42">
        <w:rPr>
          <w:color w:val="000000" w:themeColor="text1"/>
          <w:szCs w:val="24"/>
        </w:rPr>
        <w:t>: 470-481 [PMID: 26669729 DOI: 10.1111/apt.13495]</w:t>
      </w:r>
    </w:p>
    <w:p w14:paraId="19469AF2" w14:textId="77777777" w:rsidR="000522A5" w:rsidRPr="00AD5C42" w:rsidRDefault="000522A5" w:rsidP="000522A5">
      <w:pPr>
        <w:pStyle w:val="EndNoteBibliography"/>
        <w:adjustRightInd w:val="0"/>
        <w:snapToGrid w:val="0"/>
        <w:rPr>
          <w:color w:val="000000" w:themeColor="text1"/>
          <w:szCs w:val="24"/>
        </w:rPr>
      </w:pPr>
      <w:r w:rsidRPr="00AD5C42">
        <w:rPr>
          <w:color w:val="000000" w:themeColor="text1"/>
          <w:szCs w:val="24"/>
        </w:rPr>
        <w:t>39 </w:t>
      </w:r>
      <w:r w:rsidRPr="00AD5C42">
        <w:rPr>
          <w:b/>
          <w:bCs/>
          <w:color w:val="000000" w:themeColor="text1"/>
          <w:szCs w:val="24"/>
        </w:rPr>
        <w:t>Yang X</w:t>
      </w:r>
      <w:r w:rsidRPr="00AD5C42">
        <w:rPr>
          <w:color w:val="000000" w:themeColor="text1"/>
          <w:szCs w:val="24"/>
        </w:rPr>
        <w:t>, Wang JX, Han SX, Gao CP. High dose dual therapy versus bismuth quadruple therapy for Helicobacter pylori eradication treatment: A systematic review and meta-analysis. </w:t>
      </w:r>
      <w:r w:rsidRPr="00AD5C42">
        <w:rPr>
          <w:i/>
          <w:iCs/>
          <w:color w:val="000000" w:themeColor="text1"/>
          <w:szCs w:val="24"/>
        </w:rPr>
        <w:t xml:space="preserve">Medicine </w:t>
      </w:r>
      <w:r w:rsidRPr="00AD5C42">
        <w:rPr>
          <w:iCs/>
          <w:color w:val="000000" w:themeColor="text1"/>
          <w:szCs w:val="24"/>
        </w:rPr>
        <w:t>(Baltimore)</w:t>
      </w:r>
      <w:r w:rsidRPr="00AD5C42">
        <w:rPr>
          <w:color w:val="000000" w:themeColor="text1"/>
          <w:szCs w:val="24"/>
        </w:rPr>
        <w:t> 2019; </w:t>
      </w:r>
      <w:r w:rsidRPr="00AD5C42">
        <w:rPr>
          <w:b/>
          <w:bCs/>
          <w:color w:val="000000" w:themeColor="text1"/>
          <w:szCs w:val="24"/>
        </w:rPr>
        <w:t>98</w:t>
      </w:r>
      <w:r w:rsidRPr="00AD5C42">
        <w:rPr>
          <w:color w:val="000000" w:themeColor="text1"/>
          <w:szCs w:val="24"/>
        </w:rPr>
        <w:t>: e14396 [PMID: 30762742 DOI: 10.1097/MD.0000000000014396]</w:t>
      </w:r>
    </w:p>
    <w:p w14:paraId="7F1462B7" w14:textId="10EE897F" w:rsidR="00F26A74" w:rsidRPr="00AD5C42" w:rsidRDefault="00F26A74" w:rsidP="000522A5">
      <w:pPr>
        <w:pStyle w:val="EndNoteBibliography"/>
        <w:adjustRightInd w:val="0"/>
        <w:snapToGrid w:val="0"/>
        <w:rPr>
          <w:noProof w:val="0"/>
          <w:color w:val="000000" w:themeColor="text1"/>
          <w:szCs w:val="24"/>
        </w:rPr>
      </w:pPr>
    </w:p>
    <w:p w14:paraId="5727C0F3" w14:textId="4E211672" w:rsidR="00E222C4" w:rsidRPr="00AD5C42" w:rsidRDefault="00E222C4" w:rsidP="00E222C4">
      <w:pPr>
        <w:wordWrap w:val="0"/>
        <w:snapToGrid w:val="0"/>
        <w:spacing w:line="360" w:lineRule="auto"/>
        <w:jc w:val="right"/>
        <w:rPr>
          <w:rFonts w:ascii="Book Antiqua" w:eastAsia="宋体" w:hAnsi="Book Antiqua"/>
          <w:b/>
          <w:bCs/>
          <w:kern w:val="0"/>
          <w:sz w:val="24"/>
          <w:szCs w:val="24"/>
          <w:lang w:eastAsia="zh-CN"/>
        </w:rPr>
      </w:pPr>
      <w:bookmarkStart w:id="49" w:name="OLE_LINK148"/>
      <w:bookmarkStart w:id="50" w:name="OLE_LINK320"/>
      <w:bookmarkStart w:id="51" w:name="OLE_LINK387"/>
      <w:bookmarkStart w:id="52" w:name="OLE_LINK254"/>
      <w:bookmarkStart w:id="53" w:name="OLE_LINK149"/>
      <w:bookmarkStart w:id="54" w:name="OLE_LINK225"/>
      <w:bookmarkStart w:id="55" w:name="OLE_LINK207"/>
      <w:bookmarkStart w:id="56" w:name="OLE_LINK226"/>
      <w:bookmarkStart w:id="57" w:name="OLE_LINK212"/>
      <w:bookmarkStart w:id="58" w:name="OLE_LINK250"/>
      <w:bookmarkStart w:id="59" w:name="OLE_LINK281"/>
      <w:bookmarkStart w:id="60" w:name="OLE_LINK282"/>
      <w:bookmarkStart w:id="61" w:name="OLE_LINK313"/>
      <w:bookmarkStart w:id="62" w:name="OLE_LINK304"/>
      <w:bookmarkStart w:id="63" w:name="OLE_LINK321"/>
      <w:bookmarkStart w:id="64" w:name="OLE_LINK385"/>
      <w:bookmarkStart w:id="65" w:name="OLE_LINK400"/>
      <w:bookmarkStart w:id="66" w:name="OLE_LINK346"/>
      <w:bookmarkStart w:id="67" w:name="OLE_LINK371"/>
      <w:bookmarkStart w:id="68" w:name="OLE_LINK334"/>
      <w:bookmarkStart w:id="69" w:name="OLE_LINK1830"/>
      <w:bookmarkStart w:id="70" w:name="OLE_LINK457"/>
      <w:bookmarkStart w:id="71" w:name="OLE_LINK288"/>
      <w:bookmarkStart w:id="72" w:name="OLE_LINK384"/>
      <w:bookmarkStart w:id="73" w:name="OLE_LINK379"/>
      <w:bookmarkStart w:id="74" w:name="OLE_LINK303"/>
      <w:bookmarkStart w:id="75" w:name="OLE_LINK450"/>
      <w:bookmarkStart w:id="76" w:name="OLE_LINK489"/>
      <w:bookmarkStart w:id="77" w:name="OLE_LINK535"/>
      <w:bookmarkStart w:id="78" w:name="OLE_LINK648"/>
      <w:bookmarkStart w:id="79" w:name="OLE_LINK686"/>
      <w:bookmarkStart w:id="80" w:name="OLE_LINK471"/>
      <w:bookmarkStart w:id="81" w:name="OLE_LINK462"/>
      <w:bookmarkStart w:id="82" w:name="OLE_LINK519"/>
      <w:bookmarkStart w:id="83" w:name="OLE_LINK575"/>
      <w:bookmarkStart w:id="84" w:name="OLE_LINK491"/>
      <w:bookmarkStart w:id="85" w:name="OLE_LINK532"/>
      <w:bookmarkStart w:id="86" w:name="OLE_LINK572"/>
      <w:bookmarkStart w:id="87" w:name="OLE_LINK574"/>
      <w:bookmarkStart w:id="88" w:name="OLE_LINK480"/>
      <w:bookmarkStart w:id="89" w:name="OLE_LINK567"/>
      <w:bookmarkStart w:id="90" w:name="OLE_LINK2700"/>
      <w:bookmarkStart w:id="91" w:name="OLE_LINK581"/>
      <w:bookmarkStart w:id="92" w:name="OLE_LINK639"/>
      <w:bookmarkStart w:id="93" w:name="OLE_LINK688"/>
      <w:bookmarkStart w:id="94" w:name="OLE_LINK722"/>
      <w:bookmarkStart w:id="95" w:name="OLE_LINK542"/>
      <w:bookmarkStart w:id="96" w:name="OLE_LINK589"/>
      <w:bookmarkStart w:id="97" w:name="OLE_LINK582"/>
      <w:bookmarkStart w:id="98" w:name="OLE_LINK640"/>
      <w:bookmarkStart w:id="99" w:name="OLE_LINK714"/>
      <w:bookmarkStart w:id="100" w:name="OLE_LINK593"/>
      <w:bookmarkStart w:id="101" w:name="OLE_LINK716"/>
      <w:bookmarkStart w:id="102" w:name="OLE_LINK770"/>
      <w:bookmarkStart w:id="103" w:name="OLE_LINK801"/>
      <w:bookmarkStart w:id="104" w:name="OLE_LINK660"/>
      <w:bookmarkStart w:id="105" w:name="OLE_LINK781"/>
      <w:bookmarkStart w:id="106" w:name="OLE_LINK833"/>
      <w:bookmarkStart w:id="107" w:name="OLE_LINK642"/>
      <w:bookmarkStart w:id="108" w:name="OLE_LINK700"/>
      <w:bookmarkStart w:id="109" w:name="OLE_LINK792"/>
      <w:bookmarkStart w:id="110" w:name="OLE_LINK2882"/>
      <w:bookmarkStart w:id="111" w:name="OLE_LINK836"/>
      <w:bookmarkStart w:id="112" w:name="OLE_LINK889"/>
      <w:bookmarkStart w:id="113" w:name="OLE_LINK782"/>
      <w:bookmarkStart w:id="114" w:name="OLE_LINK826"/>
      <w:bookmarkStart w:id="115" w:name="OLE_LINK865"/>
      <w:bookmarkStart w:id="116" w:name="OLE_LINK856"/>
      <w:bookmarkStart w:id="117" w:name="OLE_LINK908"/>
      <w:bookmarkStart w:id="118" w:name="OLE_LINK980"/>
      <w:bookmarkStart w:id="119" w:name="OLE_LINK1018"/>
      <w:bookmarkStart w:id="120" w:name="OLE_LINK1049"/>
      <w:bookmarkStart w:id="121" w:name="OLE_LINK1076"/>
      <w:bookmarkStart w:id="122" w:name="OLE_LINK1106"/>
      <w:bookmarkStart w:id="123" w:name="OLE_LINK891"/>
      <w:bookmarkStart w:id="124" w:name="OLE_LINK943"/>
      <w:bookmarkStart w:id="125" w:name="OLE_LINK981"/>
      <w:bookmarkStart w:id="126" w:name="OLE_LINK1030"/>
      <w:bookmarkStart w:id="127" w:name="OLE_LINK847"/>
      <w:bookmarkStart w:id="128" w:name="OLE_LINK909"/>
      <w:bookmarkStart w:id="129" w:name="OLE_LINK906"/>
      <w:bookmarkStart w:id="130" w:name="OLE_LINK992"/>
      <w:bookmarkStart w:id="131" w:name="OLE_LINK993"/>
      <w:bookmarkStart w:id="132" w:name="OLE_LINK1052"/>
      <w:bookmarkStart w:id="133" w:name="OLE_LINK946"/>
      <w:bookmarkStart w:id="134" w:name="OLE_LINK911"/>
      <w:bookmarkStart w:id="135" w:name="OLE_LINK930"/>
      <w:bookmarkStart w:id="136" w:name="OLE_LINK1059"/>
      <w:bookmarkStart w:id="137" w:name="OLE_LINK1174"/>
      <w:bookmarkStart w:id="138" w:name="OLE_LINK1137"/>
      <w:bookmarkStart w:id="139" w:name="OLE_LINK1167"/>
      <w:bookmarkStart w:id="140" w:name="OLE_LINK1200"/>
      <w:bookmarkStart w:id="141" w:name="OLE_LINK1241"/>
      <w:bookmarkStart w:id="142" w:name="OLE_LINK1288"/>
      <w:bookmarkStart w:id="143" w:name="OLE_LINK1056"/>
      <w:bookmarkStart w:id="144" w:name="OLE_LINK1158"/>
      <w:bookmarkStart w:id="145" w:name="OLE_LINK1175"/>
      <w:bookmarkStart w:id="146" w:name="OLE_LINK1074"/>
      <w:bookmarkStart w:id="147" w:name="OLE_LINK1169"/>
      <w:bookmarkStart w:id="148" w:name="OLE_LINK386"/>
      <w:bookmarkStart w:id="149" w:name="OLE_LINK33"/>
      <w:bookmarkStart w:id="150" w:name="OLE_LINK34"/>
      <w:bookmarkStart w:id="151" w:name="OLE_LINK52"/>
      <w:bookmarkStart w:id="152" w:name="OLE_LINK57"/>
      <w:bookmarkStart w:id="153" w:name="OLE_LINK164"/>
      <w:bookmarkStart w:id="154" w:name="OLE_LINK580"/>
      <w:r w:rsidRPr="00AD5C42">
        <w:rPr>
          <w:rFonts w:ascii="Book Antiqua" w:eastAsia="宋体" w:hAnsi="Book Antiqua"/>
          <w:b/>
          <w:bCs/>
          <w:kern w:val="0"/>
          <w:sz w:val="24"/>
          <w:szCs w:val="24"/>
          <w:lang w:eastAsia="zh-CN"/>
        </w:rPr>
        <w:lastRenderedPageBreak/>
        <w:t xml:space="preserve"> P-Reviewer: </w:t>
      </w:r>
      <w:r w:rsidRPr="00AD5C42">
        <w:rPr>
          <w:rFonts w:ascii="Book Antiqua" w:eastAsia="宋体" w:hAnsi="Book Antiqua"/>
          <w:bCs/>
          <w:kern w:val="0"/>
          <w:sz w:val="24"/>
          <w:szCs w:val="24"/>
          <w:lang w:eastAsia="zh-CN"/>
        </w:rPr>
        <w:t xml:space="preserve">Bang CS, </w:t>
      </w:r>
      <w:proofErr w:type="spellStart"/>
      <w:r w:rsidRPr="00AD5C42">
        <w:rPr>
          <w:rFonts w:ascii="Book Antiqua" w:eastAsia="宋体" w:hAnsi="Book Antiqua"/>
          <w:bCs/>
          <w:kern w:val="0"/>
          <w:sz w:val="24"/>
          <w:szCs w:val="24"/>
          <w:lang w:eastAsia="zh-CN"/>
        </w:rPr>
        <w:t>Ierardi</w:t>
      </w:r>
      <w:proofErr w:type="spellEnd"/>
      <w:r w:rsidRPr="00AD5C42">
        <w:rPr>
          <w:rFonts w:ascii="Book Antiqua" w:eastAsia="宋体" w:hAnsi="Book Antiqua"/>
          <w:bCs/>
          <w:kern w:val="0"/>
          <w:sz w:val="24"/>
          <w:szCs w:val="24"/>
          <w:lang w:eastAsia="zh-CN"/>
        </w:rPr>
        <w:t xml:space="preserve"> E</w:t>
      </w:r>
    </w:p>
    <w:p w14:paraId="2B220A30" w14:textId="58C21FAB" w:rsidR="00E222C4" w:rsidRPr="00AD5C42" w:rsidRDefault="00E222C4" w:rsidP="00AD5C42">
      <w:pPr>
        <w:widowControl/>
        <w:wordWrap w:val="0"/>
        <w:snapToGrid w:val="0"/>
        <w:spacing w:line="360" w:lineRule="auto"/>
        <w:jc w:val="right"/>
        <w:rPr>
          <w:rFonts w:ascii="Book Antiqua" w:eastAsia="宋体" w:hAnsi="Book Antiqua"/>
          <w:kern w:val="0"/>
          <w:sz w:val="24"/>
          <w:szCs w:val="24"/>
          <w:lang w:eastAsia="zh-CN"/>
        </w:rPr>
      </w:pPr>
      <w:r w:rsidRPr="00AD5C42">
        <w:rPr>
          <w:rFonts w:ascii="Book Antiqua" w:eastAsia="宋体" w:hAnsi="Book Antiqua"/>
          <w:b/>
          <w:bCs/>
          <w:kern w:val="0"/>
          <w:sz w:val="24"/>
          <w:szCs w:val="24"/>
          <w:lang w:eastAsia="zh-CN"/>
        </w:rPr>
        <w:t>S-Editor:</w:t>
      </w:r>
      <w:r w:rsidRPr="00AD5C42">
        <w:rPr>
          <w:rFonts w:ascii="Book Antiqua" w:eastAsia="宋体" w:hAnsi="Book Antiqua"/>
          <w:kern w:val="0"/>
          <w:sz w:val="24"/>
          <w:szCs w:val="24"/>
          <w:lang w:eastAsia="zh-CN"/>
        </w:rPr>
        <w:t xml:space="preserve"> Ma RY </w:t>
      </w:r>
      <w:r w:rsidRPr="00AD5C42">
        <w:rPr>
          <w:rFonts w:ascii="Book Antiqua" w:eastAsia="宋体" w:hAnsi="Book Antiqua"/>
          <w:b/>
          <w:bCs/>
          <w:kern w:val="0"/>
          <w:sz w:val="24"/>
          <w:szCs w:val="24"/>
          <w:lang w:eastAsia="zh-CN"/>
        </w:rPr>
        <w:t>L-Editor:</w:t>
      </w:r>
      <w:r w:rsidRPr="00AD5C42">
        <w:rPr>
          <w:rFonts w:ascii="Book Antiqua" w:eastAsia="宋体" w:hAnsi="Book Antiqua"/>
          <w:kern w:val="0"/>
          <w:sz w:val="24"/>
          <w:szCs w:val="24"/>
          <w:lang w:eastAsia="zh-CN"/>
        </w:rPr>
        <w:t xml:space="preserve"> </w:t>
      </w:r>
      <w:proofErr w:type="gramStart"/>
      <w:r w:rsidR="00AD5C42" w:rsidRPr="00AD5C42">
        <w:rPr>
          <w:rFonts w:ascii="Book Antiqua" w:eastAsia="宋体" w:hAnsi="Book Antiqua"/>
          <w:kern w:val="0"/>
          <w:sz w:val="24"/>
          <w:szCs w:val="24"/>
          <w:lang w:eastAsia="zh-CN"/>
        </w:rPr>
        <w:t>A</w:t>
      </w:r>
      <w:proofErr w:type="gramEnd"/>
      <w:r w:rsidR="00AD5C42" w:rsidRPr="00AD5C42">
        <w:rPr>
          <w:rFonts w:ascii="Book Antiqua" w:eastAsia="宋体" w:hAnsi="Book Antiqua"/>
          <w:kern w:val="0"/>
          <w:sz w:val="24"/>
          <w:szCs w:val="24"/>
          <w:lang w:eastAsia="zh-CN"/>
        </w:rPr>
        <w:t xml:space="preserve"> </w:t>
      </w:r>
      <w:r w:rsidRPr="00AD5C42">
        <w:rPr>
          <w:rFonts w:ascii="Book Antiqua" w:eastAsia="宋体" w:hAnsi="Book Antiqua"/>
          <w:b/>
          <w:bCs/>
          <w:kern w:val="0"/>
          <w:sz w:val="24"/>
          <w:szCs w:val="24"/>
          <w:lang w:eastAsia="zh-CN"/>
        </w:rPr>
        <w:t>E-Editor:</w:t>
      </w:r>
      <w:r w:rsidR="00AD5C42" w:rsidRPr="00AD5C42">
        <w:rPr>
          <w:rFonts w:ascii="Book Antiqua" w:eastAsia="宋体" w:hAnsi="Book Antiqua"/>
          <w:b/>
          <w:bCs/>
          <w:kern w:val="0"/>
          <w:sz w:val="24"/>
          <w:szCs w:val="24"/>
          <w:lang w:eastAsia="zh-CN"/>
        </w:rPr>
        <w:t xml:space="preserve"> </w:t>
      </w:r>
      <w:r w:rsidR="00AD5C42" w:rsidRPr="00AD5C42">
        <w:rPr>
          <w:rFonts w:ascii="Book Antiqua" w:eastAsia="宋体" w:hAnsi="Book Antiqua"/>
          <w:bCs/>
          <w:kern w:val="0"/>
          <w:sz w:val="24"/>
          <w:szCs w:val="24"/>
          <w:lang w:eastAsia="zh-CN"/>
        </w:rPr>
        <w:t>Song H</w:t>
      </w:r>
    </w:p>
    <w:p w14:paraId="53ED9A18" w14:textId="77777777" w:rsidR="00E222C4" w:rsidRPr="00AD5C42" w:rsidRDefault="00E222C4" w:rsidP="00E222C4">
      <w:pPr>
        <w:widowControl/>
        <w:shd w:val="clear" w:color="auto" w:fill="FFFFFF"/>
        <w:snapToGrid w:val="0"/>
        <w:spacing w:line="360" w:lineRule="auto"/>
        <w:rPr>
          <w:rFonts w:ascii="Book Antiqua" w:eastAsia="宋体" w:hAnsi="Book Antiqua" w:cs="Helvetica"/>
          <w:b/>
          <w:kern w:val="0"/>
          <w:sz w:val="24"/>
          <w:szCs w:val="24"/>
          <w:lang w:eastAsia="zh-CN"/>
        </w:rPr>
      </w:pPr>
      <w:bookmarkStart w:id="155" w:name="OLE_LINK880"/>
      <w:bookmarkStart w:id="156" w:name="OLE_LINK88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AD5C42">
        <w:rPr>
          <w:rFonts w:ascii="Book Antiqua" w:eastAsia="宋体" w:hAnsi="Book Antiqua" w:cs="Helvetica"/>
          <w:b/>
          <w:kern w:val="0"/>
          <w:sz w:val="24"/>
          <w:szCs w:val="24"/>
          <w:lang w:eastAsia="zh-CN"/>
        </w:rPr>
        <w:t xml:space="preserve">Specialty type: </w:t>
      </w:r>
      <w:r w:rsidRPr="00AD5C42">
        <w:rPr>
          <w:rFonts w:ascii="Book Antiqua" w:eastAsia="宋体" w:hAnsi="Book Antiqua" w:cs="Helvetica"/>
          <w:kern w:val="0"/>
          <w:sz w:val="24"/>
          <w:szCs w:val="24"/>
          <w:lang w:eastAsia="zh-CN"/>
        </w:rPr>
        <w:t>Gastroenterology and hepatology</w:t>
      </w:r>
    </w:p>
    <w:p w14:paraId="5D3D6F92" w14:textId="18CFCCEC" w:rsidR="00E222C4" w:rsidRPr="00AD5C42" w:rsidRDefault="00E222C4" w:rsidP="00E222C4">
      <w:pPr>
        <w:widowControl/>
        <w:shd w:val="clear" w:color="auto" w:fill="FFFFFF"/>
        <w:snapToGrid w:val="0"/>
        <w:spacing w:line="360" w:lineRule="auto"/>
        <w:rPr>
          <w:rFonts w:ascii="Book Antiqua" w:eastAsia="宋体" w:hAnsi="Book Antiqua" w:cs="Helvetica"/>
          <w:b/>
          <w:kern w:val="0"/>
          <w:sz w:val="24"/>
          <w:szCs w:val="24"/>
          <w:lang w:eastAsia="zh-CN"/>
        </w:rPr>
      </w:pPr>
      <w:r w:rsidRPr="00AD5C42">
        <w:rPr>
          <w:rFonts w:ascii="Book Antiqua" w:eastAsia="宋体" w:hAnsi="Book Antiqua" w:cs="Helvetica"/>
          <w:b/>
          <w:kern w:val="0"/>
          <w:sz w:val="24"/>
          <w:szCs w:val="24"/>
          <w:lang w:eastAsia="zh-CN"/>
        </w:rPr>
        <w:t xml:space="preserve">Country of origin: </w:t>
      </w:r>
      <w:r w:rsidRPr="00AD5C42">
        <w:rPr>
          <w:rFonts w:ascii="Book Antiqua" w:eastAsia="宋体" w:hAnsi="Book Antiqua" w:cs="Helvetica"/>
          <w:kern w:val="0"/>
          <w:sz w:val="24"/>
          <w:szCs w:val="24"/>
          <w:lang w:eastAsia="zh-CN"/>
        </w:rPr>
        <w:t>Japan</w:t>
      </w:r>
    </w:p>
    <w:p w14:paraId="18EE209D" w14:textId="77777777" w:rsidR="00E222C4" w:rsidRPr="00AD5C42" w:rsidRDefault="00E222C4" w:rsidP="00E222C4">
      <w:pPr>
        <w:widowControl/>
        <w:shd w:val="clear" w:color="auto" w:fill="FFFFFF"/>
        <w:snapToGrid w:val="0"/>
        <w:spacing w:line="360" w:lineRule="auto"/>
        <w:rPr>
          <w:rFonts w:ascii="Book Antiqua" w:eastAsia="宋体" w:hAnsi="Book Antiqua" w:cs="Helvetica"/>
          <w:b/>
          <w:kern w:val="0"/>
          <w:sz w:val="24"/>
          <w:szCs w:val="24"/>
          <w:lang w:eastAsia="zh-CN"/>
        </w:rPr>
      </w:pPr>
      <w:r w:rsidRPr="00AD5C42">
        <w:rPr>
          <w:rFonts w:ascii="Book Antiqua" w:eastAsia="宋体" w:hAnsi="Book Antiqua" w:cs="Helvetica"/>
          <w:b/>
          <w:kern w:val="0"/>
          <w:sz w:val="24"/>
          <w:szCs w:val="24"/>
          <w:lang w:eastAsia="zh-CN"/>
        </w:rPr>
        <w:t>Peer-review report classification</w:t>
      </w:r>
    </w:p>
    <w:p w14:paraId="0265E215" w14:textId="77777777" w:rsidR="00E222C4" w:rsidRPr="00AD5C42" w:rsidRDefault="00E222C4" w:rsidP="00E222C4">
      <w:pPr>
        <w:widowControl/>
        <w:shd w:val="clear" w:color="auto" w:fill="FFFFFF"/>
        <w:snapToGrid w:val="0"/>
        <w:spacing w:line="360" w:lineRule="auto"/>
        <w:rPr>
          <w:rFonts w:ascii="Book Antiqua" w:eastAsia="宋体" w:hAnsi="Book Antiqua" w:cs="Helvetica"/>
          <w:kern w:val="0"/>
          <w:sz w:val="24"/>
          <w:szCs w:val="24"/>
          <w:lang w:eastAsia="zh-CN"/>
        </w:rPr>
      </w:pPr>
      <w:r w:rsidRPr="00AD5C42">
        <w:rPr>
          <w:rFonts w:ascii="Book Antiqua" w:eastAsia="宋体" w:hAnsi="Book Antiqua" w:cs="Helvetica"/>
          <w:kern w:val="0"/>
          <w:sz w:val="24"/>
          <w:szCs w:val="24"/>
          <w:lang w:eastAsia="zh-CN"/>
        </w:rPr>
        <w:t>Grade A (Excellent): 0</w:t>
      </w:r>
    </w:p>
    <w:p w14:paraId="199EF834" w14:textId="188F0403" w:rsidR="00E222C4" w:rsidRPr="00AD5C42" w:rsidRDefault="00E222C4" w:rsidP="00E222C4">
      <w:pPr>
        <w:widowControl/>
        <w:shd w:val="clear" w:color="auto" w:fill="FFFFFF"/>
        <w:snapToGrid w:val="0"/>
        <w:spacing w:line="360" w:lineRule="auto"/>
        <w:rPr>
          <w:rFonts w:ascii="Book Antiqua" w:eastAsia="宋体" w:hAnsi="Book Antiqua" w:cs="Helvetica"/>
          <w:kern w:val="0"/>
          <w:sz w:val="24"/>
          <w:szCs w:val="24"/>
          <w:lang w:eastAsia="zh-CN"/>
        </w:rPr>
      </w:pPr>
      <w:r w:rsidRPr="00AD5C42">
        <w:rPr>
          <w:rFonts w:ascii="Book Antiqua" w:eastAsia="宋体" w:hAnsi="Book Antiqua" w:cs="Helvetica"/>
          <w:kern w:val="0"/>
          <w:sz w:val="24"/>
          <w:szCs w:val="24"/>
          <w:lang w:eastAsia="zh-CN"/>
        </w:rPr>
        <w:t>Grade B (Very good): 0</w:t>
      </w:r>
    </w:p>
    <w:p w14:paraId="02A49BB1" w14:textId="77777777" w:rsidR="00E222C4" w:rsidRPr="00AD5C42" w:rsidRDefault="00E222C4" w:rsidP="00E222C4">
      <w:pPr>
        <w:widowControl/>
        <w:shd w:val="clear" w:color="auto" w:fill="FFFFFF"/>
        <w:snapToGrid w:val="0"/>
        <w:spacing w:line="360" w:lineRule="auto"/>
        <w:rPr>
          <w:rFonts w:ascii="Book Antiqua" w:eastAsia="宋体" w:hAnsi="Book Antiqua" w:cs="Helvetica"/>
          <w:kern w:val="0"/>
          <w:sz w:val="24"/>
          <w:szCs w:val="24"/>
          <w:lang w:eastAsia="zh-CN"/>
        </w:rPr>
      </w:pPr>
      <w:r w:rsidRPr="00AD5C42">
        <w:rPr>
          <w:rFonts w:ascii="Book Antiqua" w:eastAsia="宋体" w:hAnsi="Book Antiqua" w:cs="Helvetica"/>
          <w:kern w:val="0"/>
          <w:sz w:val="24"/>
          <w:szCs w:val="24"/>
          <w:lang w:eastAsia="zh-CN"/>
        </w:rPr>
        <w:t>Grade C (Good): C, C</w:t>
      </w:r>
    </w:p>
    <w:p w14:paraId="7FF593A3" w14:textId="77777777" w:rsidR="00E222C4" w:rsidRPr="00AD5C42" w:rsidRDefault="00E222C4" w:rsidP="00E222C4">
      <w:pPr>
        <w:widowControl/>
        <w:shd w:val="clear" w:color="auto" w:fill="FFFFFF"/>
        <w:snapToGrid w:val="0"/>
        <w:spacing w:line="360" w:lineRule="auto"/>
        <w:rPr>
          <w:rFonts w:ascii="Book Antiqua" w:eastAsia="宋体" w:hAnsi="Book Antiqua" w:cs="Helvetica"/>
          <w:kern w:val="0"/>
          <w:sz w:val="24"/>
          <w:szCs w:val="24"/>
          <w:lang w:eastAsia="zh-CN"/>
        </w:rPr>
      </w:pPr>
      <w:r w:rsidRPr="00AD5C42">
        <w:rPr>
          <w:rFonts w:ascii="Book Antiqua" w:eastAsia="宋体" w:hAnsi="Book Antiqua" w:cs="Helvetica"/>
          <w:kern w:val="0"/>
          <w:sz w:val="24"/>
          <w:szCs w:val="24"/>
          <w:lang w:eastAsia="zh-CN"/>
        </w:rPr>
        <w:t>Grade D (Fair): 0</w:t>
      </w:r>
    </w:p>
    <w:p w14:paraId="0B2DD938" w14:textId="77777777" w:rsidR="00E222C4" w:rsidRPr="00AD5C42" w:rsidRDefault="00E222C4" w:rsidP="00E222C4">
      <w:pPr>
        <w:widowControl/>
        <w:snapToGrid w:val="0"/>
        <w:spacing w:line="360" w:lineRule="auto"/>
        <w:rPr>
          <w:rFonts w:ascii="Book Antiqua" w:eastAsia="宋体" w:hAnsi="Book Antiqua"/>
          <w:b/>
          <w:iCs/>
          <w:kern w:val="0"/>
          <w:sz w:val="24"/>
          <w:szCs w:val="24"/>
          <w:lang w:eastAsia="zh-CN"/>
        </w:rPr>
      </w:pPr>
      <w:r w:rsidRPr="00AD5C42">
        <w:rPr>
          <w:rFonts w:ascii="Book Antiqua" w:eastAsia="宋体" w:hAnsi="Book Antiqua" w:cs="Helvetica"/>
          <w:kern w:val="0"/>
          <w:sz w:val="24"/>
          <w:szCs w:val="24"/>
          <w:lang w:eastAsia="zh-CN"/>
        </w:rPr>
        <w:t>Grade E (Poor): 0</w:t>
      </w:r>
      <w:bookmarkEnd w:id="148"/>
      <w:bookmarkEnd w:id="155"/>
      <w:bookmarkEnd w:id="156"/>
    </w:p>
    <w:bookmarkEnd w:id="149"/>
    <w:bookmarkEnd w:id="150"/>
    <w:p w14:paraId="247958D1" w14:textId="78F2ED44" w:rsidR="00CC5AED" w:rsidRPr="00AD5C42" w:rsidRDefault="00E222C4" w:rsidP="00E222C4">
      <w:pPr>
        <w:adjustRightInd w:val="0"/>
        <w:snapToGrid w:val="0"/>
        <w:spacing w:line="360" w:lineRule="auto"/>
        <w:rPr>
          <w:rFonts w:ascii="Book Antiqua" w:hAnsi="Book Antiqua"/>
          <w:color w:val="000000" w:themeColor="text1"/>
          <w:sz w:val="24"/>
          <w:szCs w:val="24"/>
        </w:rPr>
      </w:pPr>
      <w:r w:rsidRPr="00AD5C42">
        <w:rPr>
          <w:rFonts w:ascii="Book Antiqua" w:eastAsia="宋体" w:hAnsi="Book Antiqua"/>
          <w:kern w:val="0"/>
          <w:sz w:val="24"/>
          <w:szCs w:val="24"/>
          <w:lang w:eastAsia="zh-CN"/>
        </w:rPr>
        <w:br w:type="page"/>
      </w:r>
      <w:bookmarkStart w:id="157" w:name="_GoBack"/>
      <w:bookmarkEnd w:id="151"/>
      <w:bookmarkEnd w:id="152"/>
      <w:bookmarkEnd w:id="153"/>
      <w:bookmarkEnd w:id="154"/>
      <w:bookmarkEnd w:id="157"/>
    </w:p>
    <w:p w14:paraId="7FEE6743" w14:textId="23DB1FAE" w:rsidR="00163523" w:rsidRPr="00AD5C42" w:rsidRDefault="00E222C4" w:rsidP="00AF7B77">
      <w:pPr>
        <w:widowControl/>
        <w:adjustRightInd w:val="0"/>
        <w:snapToGrid w:val="0"/>
        <w:spacing w:line="360" w:lineRule="auto"/>
        <w:rPr>
          <w:rFonts w:ascii="Book Antiqua" w:hAnsi="Book Antiqua"/>
          <w:color w:val="000000" w:themeColor="text1"/>
          <w:sz w:val="24"/>
          <w:szCs w:val="24"/>
        </w:rPr>
      </w:pPr>
      <w:r w:rsidRPr="00AD5C42">
        <w:rPr>
          <w:rFonts w:ascii="Book Antiqua" w:hAnsi="Book Antiqua"/>
          <w:b/>
          <w:color w:val="000000" w:themeColor="text1"/>
          <w:sz w:val="24"/>
          <w:szCs w:val="24"/>
        </w:rPr>
        <w:lastRenderedPageBreak/>
        <w:t>Table 1</w:t>
      </w:r>
      <w:r w:rsidR="00B36E86" w:rsidRPr="00AD5C42">
        <w:rPr>
          <w:rFonts w:ascii="Book Antiqua" w:hAnsi="Book Antiqua"/>
          <w:b/>
          <w:color w:val="000000" w:themeColor="text1"/>
          <w:sz w:val="24"/>
          <w:szCs w:val="24"/>
        </w:rPr>
        <w:t xml:space="preserve"> </w:t>
      </w:r>
      <w:r w:rsidR="000D165E" w:rsidRPr="00AD5C42">
        <w:rPr>
          <w:rFonts w:ascii="Book Antiqua" w:hAnsi="Book Antiqua"/>
          <w:b/>
          <w:color w:val="000000" w:themeColor="text1"/>
          <w:sz w:val="24"/>
          <w:szCs w:val="24"/>
        </w:rPr>
        <w:t>T</w:t>
      </w:r>
      <w:r w:rsidR="00B36E86" w:rsidRPr="00AD5C42">
        <w:rPr>
          <w:rFonts w:ascii="Book Antiqua" w:hAnsi="Book Antiqua"/>
          <w:b/>
          <w:color w:val="000000" w:themeColor="text1"/>
          <w:sz w:val="24"/>
          <w:szCs w:val="24"/>
        </w:rPr>
        <w:t xml:space="preserve">reatment regimens </w:t>
      </w:r>
      <w:r w:rsidR="000D165E" w:rsidRPr="00AD5C42">
        <w:rPr>
          <w:rFonts w:ascii="Book Antiqua" w:hAnsi="Book Antiqua"/>
          <w:b/>
          <w:color w:val="000000" w:themeColor="text1"/>
          <w:sz w:val="24"/>
          <w:szCs w:val="24"/>
        </w:rPr>
        <w:t>for</w:t>
      </w:r>
      <w:r w:rsidR="00B36E86" w:rsidRPr="00AD5C42">
        <w:rPr>
          <w:rFonts w:ascii="Book Antiqua" w:hAnsi="Book Antiqua"/>
          <w:b/>
          <w:color w:val="000000" w:themeColor="text1"/>
          <w:sz w:val="24"/>
          <w:szCs w:val="24"/>
        </w:rPr>
        <w:t xml:space="preserve"> first-line </w:t>
      </w:r>
      <w:r w:rsidR="000B2B5F" w:rsidRPr="00AD5C42">
        <w:rPr>
          <w:rFonts w:ascii="Book Antiqua" w:hAnsi="Book Antiqua"/>
          <w:b/>
          <w:i/>
          <w:color w:val="000000" w:themeColor="text1"/>
          <w:sz w:val="24"/>
          <w:szCs w:val="24"/>
        </w:rPr>
        <w:t>H</w:t>
      </w:r>
      <w:r w:rsidR="0091598A" w:rsidRPr="00AD5C42">
        <w:rPr>
          <w:rFonts w:ascii="Book Antiqua" w:hAnsi="Book Antiqua"/>
          <w:b/>
          <w:i/>
          <w:color w:val="000000" w:themeColor="text1"/>
          <w:sz w:val="24"/>
          <w:szCs w:val="24"/>
        </w:rPr>
        <w:t>elicobacter</w:t>
      </w:r>
      <w:r w:rsidR="000B2B5F" w:rsidRPr="00AD5C42">
        <w:rPr>
          <w:rFonts w:ascii="Book Antiqua" w:hAnsi="Book Antiqua"/>
          <w:b/>
          <w:i/>
          <w:color w:val="000000" w:themeColor="text1"/>
          <w:sz w:val="24"/>
          <w:szCs w:val="24"/>
        </w:rPr>
        <w:t xml:space="preserve"> pylori</w:t>
      </w:r>
      <w:r w:rsidR="000B2B5F" w:rsidRPr="00AD5C42">
        <w:rPr>
          <w:rFonts w:ascii="Book Antiqua" w:hAnsi="Book Antiqua"/>
          <w:b/>
          <w:color w:val="000000" w:themeColor="text1"/>
          <w:sz w:val="24"/>
          <w:szCs w:val="24"/>
        </w:rPr>
        <w:t xml:space="preserve"> </w:t>
      </w:r>
      <w:r w:rsidR="00B36E86" w:rsidRPr="00AD5C42">
        <w:rPr>
          <w:rFonts w:ascii="Book Antiqua" w:hAnsi="Book Antiqua"/>
          <w:b/>
          <w:color w:val="000000" w:themeColor="text1"/>
          <w:sz w:val="24"/>
          <w:szCs w:val="24"/>
        </w:rPr>
        <w:t>therapies</w:t>
      </w:r>
      <w:r w:rsidR="003E1854" w:rsidRPr="00AD5C42">
        <w:rPr>
          <w:rFonts w:ascii="Book Antiqua" w:hAnsi="Book Antiqua"/>
          <w:b/>
          <w:color w:val="000000" w:themeColor="text1"/>
          <w:sz w:val="24"/>
          <w:szCs w:val="24"/>
        </w:rPr>
        <w:t xml:space="preserve"> and its successful eradication rates</w:t>
      </w:r>
    </w:p>
    <w:tbl>
      <w:tblPr>
        <w:tblW w:w="10772" w:type="dxa"/>
        <w:jc w:val="center"/>
        <w:tblLayout w:type="fixed"/>
        <w:tblLook w:val="04A0" w:firstRow="1" w:lastRow="0" w:firstColumn="1" w:lastColumn="0" w:noHBand="0" w:noVBand="1"/>
      </w:tblPr>
      <w:tblGrid>
        <w:gridCol w:w="2098"/>
        <w:gridCol w:w="2948"/>
        <w:gridCol w:w="3118"/>
        <w:gridCol w:w="1247"/>
        <w:gridCol w:w="1361"/>
      </w:tblGrid>
      <w:tr w:rsidR="00775EF0" w:rsidRPr="00AD5C42" w14:paraId="7FF4C362" w14:textId="77777777" w:rsidTr="00E222C4">
        <w:trPr>
          <w:trHeight w:val="1020"/>
          <w:jc w:val="center"/>
        </w:trPr>
        <w:tc>
          <w:tcPr>
            <w:tcW w:w="2098" w:type="dxa"/>
            <w:tcBorders>
              <w:top w:val="single" w:sz="6" w:space="0" w:color="000000"/>
            </w:tcBorders>
            <w:vAlign w:val="center"/>
          </w:tcPr>
          <w:p w14:paraId="7615C701" w14:textId="77777777" w:rsidR="004F6142" w:rsidRPr="00AD5C42" w:rsidRDefault="004F6142" w:rsidP="00E222C4">
            <w:pPr>
              <w:adjustRightInd w:val="0"/>
              <w:snapToGrid w:val="0"/>
              <w:spacing w:line="360" w:lineRule="auto"/>
              <w:rPr>
                <w:rFonts w:ascii="Book Antiqua" w:hAnsi="Book Antiqua"/>
                <w:b/>
                <w:color w:val="000000" w:themeColor="text1"/>
                <w:sz w:val="24"/>
                <w:szCs w:val="24"/>
              </w:rPr>
            </w:pPr>
            <w:r w:rsidRPr="00AD5C42">
              <w:rPr>
                <w:rFonts w:ascii="Book Antiqua" w:hAnsi="Book Antiqua"/>
                <w:b/>
                <w:color w:val="000000" w:themeColor="text1"/>
                <w:sz w:val="24"/>
                <w:szCs w:val="24"/>
              </w:rPr>
              <w:t>Regimens</w:t>
            </w:r>
          </w:p>
        </w:tc>
        <w:tc>
          <w:tcPr>
            <w:tcW w:w="2948" w:type="dxa"/>
            <w:tcBorders>
              <w:top w:val="single" w:sz="6" w:space="0" w:color="000000"/>
            </w:tcBorders>
            <w:vAlign w:val="center"/>
          </w:tcPr>
          <w:p w14:paraId="3C806354" w14:textId="77777777" w:rsidR="004F6142" w:rsidRPr="00AD5C42" w:rsidRDefault="004F6142" w:rsidP="00E222C4">
            <w:pPr>
              <w:adjustRightInd w:val="0"/>
              <w:snapToGrid w:val="0"/>
              <w:spacing w:line="360" w:lineRule="auto"/>
              <w:jc w:val="center"/>
              <w:rPr>
                <w:rFonts w:ascii="Book Antiqua" w:hAnsi="Book Antiqua"/>
                <w:b/>
                <w:color w:val="000000" w:themeColor="text1"/>
                <w:sz w:val="24"/>
                <w:szCs w:val="24"/>
              </w:rPr>
            </w:pPr>
            <w:r w:rsidRPr="00AD5C42">
              <w:rPr>
                <w:rFonts w:ascii="Book Antiqua" w:hAnsi="Book Antiqua"/>
                <w:b/>
                <w:color w:val="000000" w:themeColor="text1"/>
                <w:sz w:val="24"/>
                <w:szCs w:val="24"/>
              </w:rPr>
              <w:t>PPI</w:t>
            </w:r>
          </w:p>
        </w:tc>
        <w:tc>
          <w:tcPr>
            <w:tcW w:w="3118" w:type="dxa"/>
            <w:tcBorders>
              <w:top w:val="single" w:sz="6" w:space="0" w:color="000000"/>
            </w:tcBorders>
            <w:vAlign w:val="center"/>
          </w:tcPr>
          <w:p w14:paraId="246F71FF" w14:textId="77777777" w:rsidR="004F6142" w:rsidRPr="00AD5C42" w:rsidRDefault="004F6142" w:rsidP="00E222C4">
            <w:pPr>
              <w:adjustRightInd w:val="0"/>
              <w:snapToGrid w:val="0"/>
              <w:spacing w:line="360" w:lineRule="auto"/>
              <w:jc w:val="center"/>
              <w:rPr>
                <w:rFonts w:ascii="Book Antiqua" w:hAnsi="Book Antiqua"/>
                <w:b/>
                <w:color w:val="000000" w:themeColor="text1"/>
                <w:sz w:val="24"/>
                <w:szCs w:val="24"/>
              </w:rPr>
            </w:pPr>
            <w:r w:rsidRPr="00AD5C42">
              <w:rPr>
                <w:rFonts w:ascii="Book Antiqua" w:hAnsi="Book Antiqua"/>
                <w:b/>
                <w:color w:val="000000" w:themeColor="text1"/>
                <w:sz w:val="24"/>
                <w:szCs w:val="24"/>
              </w:rPr>
              <w:t>Antibiotics</w:t>
            </w:r>
          </w:p>
        </w:tc>
        <w:tc>
          <w:tcPr>
            <w:tcW w:w="1247" w:type="dxa"/>
            <w:tcBorders>
              <w:top w:val="single" w:sz="6" w:space="0" w:color="000000"/>
            </w:tcBorders>
            <w:vAlign w:val="center"/>
          </w:tcPr>
          <w:p w14:paraId="62750D5D" w14:textId="77777777" w:rsidR="004F6142" w:rsidRPr="00AD5C42" w:rsidRDefault="004F6142" w:rsidP="00E222C4">
            <w:pPr>
              <w:adjustRightInd w:val="0"/>
              <w:snapToGrid w:val="0"/>
              <w:spacing w:line="360" w:lineRule="auto"/>
              <w:jc w:val="center"/>
              <w:rPr>
                <w:rFonts w:ascii="Book Antiqua" w:hAnsi="Book Antiqua"/>
                <w:b/>
                <w:color w:val="000000" w:themeColor="text1"/>
                <w:sz w:val="24"/>
                <w:szCs w:val="24"/>
              </w:rPr>
            </w:pPr>
            <w:r w:rsidRPr="00AD5C42">
              <w:rPr>
                <w:rFonts w:ascii="Book Antiqua" w:hAnsi="Book Antiqua"/>
                <w:b/>
                <w:color w:val="000000" w:themeColor="text1"/>
                <w:sz w:val="24"/>
                <w:szCs w:val="24"/>
              </w:rPr>
              <w:t>Treatment</w:t>
            </w:r>
          </w:p>
          <w:p w14:paraId="3F8E9ECC" w14:textId="77777777" w:rsidR="004F6142" w:rsidRPr="00AD5C42" w:rsidRDefault="004F6142" w:rsidP="00E222C4">
            <w:pPr>
              <w:adjustRightInd w:val="0"/>
              <w:snapToGrid w:val="0"/>
              <w:spacing w:line="360" w:lineRule="auto"/>
              <w:jc w:val="center"/>
              <w:rPr>
                <w:rFonts w:ascii="Book Antiqua" w:hAnsi="Book Antiqua"/>
                <w:b/>
                <w:color w:val="000000" w:themeColor="text1"/>
                <w:sz w:val="24"/>
                <w:szCs w:val="24"/>
              </w:rPr>
            </w:pPr>
            <w:r w:rsidRPr="00AD5C42">
              <w:rPr>
                <w:rFonts w:ascii="Book Antiqua" w:hAnsi="Book Antiqua"/>
                <w:b/>
                <w:color w:val="000000" w:themeColor="text1"/>
                <w:sz w:val="24"/>
                <w:szCs w:val="24"/>
              </w:rPr>
              <w:t>duration</w:t>
            </w:r>
          </w:p>
        </w:tc>
        <w:tc>
          <w:tcPr>
            <w:tcW w:w="1361" w:type="dxa"/>
            <w:tcBorders>
              <w:top w:val="single" w:sz="6" w:space="0" w:color="000000"/>
            </w:tcBorders>
            <w:shd w:val="clear" w:color="auto" w:fill="auto"/>
            <w:vAlign w:val="center"/>
          </w:tcPr>
          <w:p w14:paraId="5D6ED52B" w14:textId="77777777" w:rsidR="004F6142" w:rsidRPr="00AD5C42" w:rsidRDefault="004F6142" w:rsidP="00E222C4">
            <w:pPr>
              <w:adjustRightInd w:val="0"/>
              <w:snapToGrid w:val="0"/>
              <w:spacing w:line="360" w:lineRule="auto"/>
              <w:jc w:val="center"/>
              <w:rPr>
                <w:rFonts w:ascii="Book Antiqua" w:hAnsi="Book Antiqua"/>
                <w:b/>
                <w:color w:val="000000" w:themeColor="text1"/>
                <w:sz w:val="24"/>
                <w:szCs w:val="24"/>
              </w:rPr>
            </w:pPr>
            <w:r w:rsidRPr="00AD5C42">
              <w:rPr>
                <w:rFonts w:ascii="Book Antiqua" w:hAnsi="Book Antiqua"/>
                <w:b/>
                <w:color w:val="000000" w:themeColor="text1"/>
                <w:sz w:val="24"/>
                <w:szCs w:val="24"/>
              </w:rPr>
              <w:t>Eradication rates</w:t>
            </w:r>
          </w:p>
        </w:tc>
      </w:tr>
      <w:tr w:rsidR="00775EF0" w:rsidRPr="00AD5C42" w14:paraId="7EE5BBAC" w14:textId="77777777" w:rsidTr="00E222C4">
        <w:trPr>
          <w:trHeight w:val="1020"/>
          <w:jc w:val="center"/>
        </w:trPr>
        <w:tc>
          <w:tcPr>
            <w:tcW w:w="2098" w:type="dxa"/>
            <w:tcBorders>
              <w:top w:val="single" w:sz="12" w:space="0" w:color="auto"/>
            </w:tcBorders>
            <w:vAlign w:val="center"/>
          </w:tcPr>
          <w:p w14:paraId="6BF894F7" w14:textId="77777777" w:rsidR="004F6142" w:rsidRPr="00AD5C42" w:rsidRDefault="004F6142" w:rsidP="00E222C4">
            <w:pPr>
              <w:pStyle w:val="af0"/>
              <w:adjustRightInd w:val="0"/>
              <w:snapToGrid w:val="0"/>
              <w:spacing w:before="0" w:beforeAutospacing="0" w:after="0" w:afterAutospacing="0" w:line="360" w:lineRule="auto"/>
              <w:jc w:val="both"/>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Bismuth quadruple therapy</w:t>
            </w:r>
          </w:p>
        </w:tc>
        <w:tc>
          <w:tcPr>
            <w:tcW w:w="2948" w:type="dxa"/>
            <w:tcBorders>
              <w:top w:val="single" w:sz="12" w:space="0" w:color="auto"/>
            </w:tcBorders>
            <w:vAlign w:val="center"/>
          </w:tcPr>
          <w:p w14:paraId="3A77A611"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 xml:space="preserve">Esomeprazole 20-40 mg </w:t>
            </w:r>
            <w:r w:rsidRPr="00AD5C42">
              <w:rPr>
                <w:rFonts w:ascii="Book Antiqua" w:eastAsia="MS Mincho" w:hAnsi="Book Antiqua" w:cs="Times New Roman"/>
                <w:i/>
                <w:color w:val="000000" w:themeColor="text1"/>
                <w:kern w:val="2"/>
              </w:rPr>
              <w:t>bid</w:t>
            </w:r>
          </w:p>
          <w:p w14:paraId="1B2AA807"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 xml:space="preserve">Omeprazole 20-40 mg </w:t>
            </w:r>
            <w:r w:rsidRPr="00AD5C42">
              <w:rPr>
                <w:rFonts w:ascii="Book Antiqua" w:eastAsia="MS Mincho" w:hAnsi="Book Antiqua" w:cs="Times New Roman"/>
                <w:i/>
                <w:color w:val="000000" w:themeColor="text1"/>
                <w:kern w:val="2"/>
              </w:rPr>
              <w:t>bid</w:t>
            </w:r>
          </w:p>
        </w:tc>
        <w:tc>
          <w:tcPr>
            <w:tcW w:w="3118" w:type="dxa"/>
            <w:tcBorders>
              <w:top w:val="single" w:sz="12" w:space="0" w:color="auto"/>
            </w:tcBorders>
            <w:vAlign w:val="center"/>
          </w:tcPr>
          <w:p w14:paraId="4E7CE3D1" w14:textId="03268B8E" w:rsidR="004F6142" w:rsidRPr="00AD5C42" w:rsidRDefault="004F6142" w:rsidP="00E222C4">
            <w:pPr>
              <w:pStyle w:val="af0"/>
              <w:adjustRightInd w:val="0"/>
              <w:snapToGrid w:val="0"/>
              <w:spacing w:before="0" w:beforeAutospacing="0" w:after="0" w:afterAutospacing="0" w:line="360" w:lineRule="auto"/>
              <w:jc w:val="center"/>
              <w:rPr>
                <w:rFonts w:ascii="Book Antiqua" w:hAnsi="Book Antiqua" w:cs="Arial"/>
                <w:color w:val="000000" w:themeColor="text1"/>
                <w:shd w:val="clear" w:color="auto" w:fill="FFFFFF"/>
              </w:rPr>
            </w:pPr>
            <w:r w:rsidRPr="00AD5C42">
              <w:rPr>
                <w:rFonts w:ascii="Book Antiqua" w:hAnsi="Book Antiqua" w:cs="Arial"/>
                <w:color w:val="000000" w:themeColor="text1"/>
                <w:shd w:val="clear" w:color="auto" w:fill="FFFFFF"/>
              </w:rPr>
              <w:t xml:space="preserve">TC 125 mg </w:t>
            </w:r>
            <w:proofErr w:type="spellStart"/>
            <w:r w:rsidRPr="00AD5C42">
              <w:rPr>
                <w:rFonts w:ascii="Book Antiqua" w:hAnsi="Book Antiqua" w:cs="Arial"/>
                <w:i/>
                <w:color w:val="000000" w:themeColor="text1"/>
                <w:shd w:val="clear" w:color="auto" w:fill="FFFFFF"/>
              </w:rPr>
              <w:t>qid</w:t>
            </w:r>
            <w:proofErr w:type="spellEnd"/>
          </w:p>
          <w:p w14:paraId="283CA983"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hAnsi="Book Antiqua" w:cs="Arial"/>
                <w:color w:val="000000" w:themeColor="text1"/>
                <w:shd w:val="clear" w:color="auto" w:fill="FFFFFF"/>
              </w:rPr>
              <w:t xml:space="preserve">MNZ 125 mg </w:t>
            </w:r>
            <w:r w:rsidRPr="00AD5C42">
              <w:rPr>
                <w:rFonts w:ascii="Book Antiqua" w:hAnsi="Book Antiqua" w:cs="Arial"/>
                <w:i/>
                <w:color w:val="000000" w:themeColor="text1"/>
                <w:shd w:val="clear" w:color="auto" w:fill="FFFFFF"/>
              </w:rPr>
              <w:t>qid</w:t>
            </w:r>
          </w:p>
        </w:tc>
        <w:tc>
          <w:tcPr>
            <w:tcW w:w="1247" w:type="dxa"/>
            <w:tcBorders>
              <w:top w:val="single" w:sz="12" w:space="0" w:color="auto"/>
            </w:tcBorders>
            <w:vAlign w:val="center"/>
          </w:tcPr>
          <w:p w14:paraId="3A3FBF3C" w14:textId="1C1E5FC9"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10 d</w:t>
            </w:r>
          </w:p>
        </w:tc>
        <w:tc>
          <w:tcPr>
            <w:tcW w:w="1361" w:type="dxa"/>
            <w:tcBorders>
              <w:top w:val="single" w:sz="12" w:space="0" w:color="auto"/>
            </w:tcBorders>
            <w:shd w:val="clear" w:color="auto" w:fill="auto"/>
            <w:vAlign w:val="center"/>
          </w:tcPr>
          <w:p w14:paraId="3A9846ED" w14:textId="697F27A7" w:rsidR="004F6142" w:rsidRPr="00AD5C42" w:rsidRDefault="004F6142" w:rsidP="00E222C4">
            <w:pPr>
              <w:adjustRightInd w:val="0"/>
              <w:snapToGrid w:val="0"/>
              <w:spacing w:line="360" w:lineRule="auto"/>
              <w:jc w:val="center"/>
              <w:rPr>
                <w:rFonts w:ascii="Book Antiqua" w:eastAsiaTheme="minorEastAsia" w:hAnsi="Book Antiqua"/>
                <w:color w:val="000000" w:themeColor="text1"/>
                <w:sz w:val="24"/>
                <w:szCs w:val="24"/>
              </w:rPr>
            </w:pPr>
            <w:r w:rsidRPr="00AD5C42">
              <w:rPr>
                <w:rFonts w:ascii="Book Antiqua" w:hAnsi="Book Antiqua"/>
                <w:color w:val="000000" w:themeColor="text1"/>
                <w:sz w:val="24"/>
                <w:szCs w:val="24"/>
              </w:rPr>
              <w:t>90</w:t>
            </w:r>
            <w:proofErr w:type="gramStart"/>
            <w:r w:rsidRPr="00AD5C42">
              <w:rPr>
                <w:rFonts w:ascii="Book Antiqua" w:hAnsi="Book Antiqua"/>
                <w:color w:val="000000" w:themeColor="text1"/>
                <w:sz w:val="24"/>
                <w:szCs w:val="24"/>
              </w:rPr>
              <w:t>%</w:t>
            </w:r>
            <w:r w:rsidRPr="00AD5C42">
              <w:rPr>
                <w:rFonts w:ascii="Book Antiqua" w:hAnsi="Book Antiqua"/>
                <w:color w:val="000000" w:themeColor="text1"/>
                <w:sz w:val="24"/>
                <w:szCs w:val="24"/>
                <w:vertAlign w:val="superscript"/>
              </w:rPr>
              <w:t>[</w:t>
            </w:r>
            <w:proofErr w:type="gramEnd"/>
            <w:r w:rsidRPr="00AD5C42">
              <w:rPr>
                <w:rFonts w:ascii="Book Antiqua" w:hAnsi="Book Antiqua"/>
                <w:color w:val="000000" w:themeColor="text1"/>
                <w:sz w:val="24"/>
                <w:szCs w:val="24"/>
                <w:vertAlign w:val="superscript"/>
              </w:rPr>
              <w:t>35]</w:t>
            </w:r>
          </w:p>
        </w:tc>
      </w:tr>
      <w:tr w:rsidR="00775EF0" w:rsidRPr="00AD5C42" w14:paraId="6A55D962" w14:textId="77777777" w:rsidTr="00E222C4">
        <w:trPr>
          <w:trHeight w:val="2268"/>
          <w:jc w:val="center"/>
        </w:trPr>
        <w:tc>
          <w:tcPr>
            <w:tcW w:w="2098" w:type="dxa"/>
            <w:vAlign w:val="center"/>
          </w:tcPr>
          <w:p w14:paraId="4E5DC3EC" w14:textId="77777777" w:rsidR="004F6142" w:rsidRPr="00AD5C42" w:rsidRDefault="004F6142" w:rsidP="00E222C4">
            <w:pPr>
              <w:pStyle w:val="af0"/>
              <w:adjustRightInd w:val="0"/>
              <w:snapToGrid w:val="0"/>
              <w:spacing w:before="0" w:beforeAutospacing="0" w:after="0" w:afterAutospacing="0" w:line="360" w:lineRule="auto"/>
              <w:jc w:val="both"/>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Concomitant quadruple therapy</w:t>
            </w:r>
          </w:p>
        </w:tc>
        <w:tc>
          <w:tcPr>
            <w:tcW w:w="2948" w:type="dxa"/>
            <w:vAlign w:val="center"/>
          </w:tcPr>
          <w:p w14:paraId="7E321A1C"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 xml:space="preserve">Esomeprazole 20-40 mg </w:t>
            </w:r>
            <w:r w:rsidRPr="00AD5C42">
              <w:rPr>
                <w:rFonts w:ascii="Book Antiqua" w:eastAsia="MS Mincho" w:hAnsi="Book Antiqua" w:cs="Times New Roman"/>
                <w:i/>
                <w:color w:val="000000" w:themeColor="text1"/>
                <w:kern w:val="2"/>
              </w:rPr>
              <w:t>bid</w:t>
            </w:r>
          </w:p>
          <w:p w14:paraId="63209B28"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 xml:space="preserve">Lansoprazole 30 mg </w:t>
            </w:r>
            <w:r w:rsidRPr="00AD5C42">
              <w:rPr>
                <w:rFonts w:ascii="Book Antiqua" w:eastAsia="MS Mincho" w:hAnsi="Book Antiqua" w:cs="Times New Roman"/>
                <w:i/>
                <w:color w:val="000000" w:themeColor="text1"/>
                <w:kern w:val="2"/>
              </w:rPr>
              <w:t>bid</w:t>
            </w:r>
          </w:p>
          <w:p w14:paraId="74ED3873"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 xml:space="preserve">Omeprazole 20-40 mg </w:t>
            </w:r>
            <w:r w:rsidRPr="00AD5C42">
              <w:rPr>
                <w:rFonts w:ascii="Book Antiqua" w:eastAsia="MS Mincho" w:hAnsi="Book Antiqua" w:cs="Times New Roman"/>
                <w:i/>
                <w:color w:val="000000" w:themeColor="text1"/>
                <w:kern w:val="2"/>
              </w:rPr>
              <w:t>bid</w:t>
            </w:r>
          </w:p>
          <w:p w14:paraId="4B9B9BB2"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 xml:space="preserve">Pantoprazole 40 mg </w:t>
            </w:r>
            <w:r w:rsidRPr="00AD5C42">
              <w:rPr>
                <w:rFonts w:ascii="Book Antiqua" w:eastAsia="MS Mincho" w:hAnsi="Book Antiqua" w:cs="Times New Roman"/>
                <w:i/>
                <w:color w:val="000000" w:themeColor="text1"/>
                <w:kern w:val="2"/>
              </w:rPr>
              <w:t>bid</w:t>
            </w:r>
          </w:p>
          <w:p w14:paraId="2BB0E8B0"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 xml:space="preserve">Rabeprazole 10-20 mg </w:t>
            </w:r>
            <w:r w:rsidRPr="00AD5C42">
              <w:rPr>
                <w:rFonts w:ascii="Book Antiqua" w:eastAsia="MS Mincho" w:hAnsi="Book Antiqua" w:cs="Times New Roman"/>
                <w:i/>
                <w:color w:val="000000" w:themeColor="text1"/>
                <w:kern w:val="2"/>
              </w:rPr>
              <w:t>bid</w:t>
            </w:r>
          </w:p>
        </w:tc>
        <w:tc>
          <w:tcPr>
            <w:tcW w:w="3118" w:type="dxa"/>
            <w:vAlign w:val="center"/>
          </w:tcPr>
          <w:p w14:paraId="3CDB666E"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 xml:space="preserve">AMPC 750 mg-1 g </w:t>
            </w:r>
            <w:r w:rsidRPr="00AD5C42">
              <w:rPr>
                <w:rFonts w:ascii="Book Antiqua" w:eastAsia="MS Mincho" w:hAnsi="Book Antiqua" w:cs="Times New Roman"/>
                <w:i/>
                <w:color w:val="000000" w:themeColor="text1"/>
                <w:kern w:val="2"/>
              </w:rPr>
              <w:t>bid</w:t>
            </w:r>
          </w:p>
          <w:p w14:paraId="47F5502B"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 xml:space="preserve">CAM 200-500 mg </w:t>
            </w:r>
            <w:r w:rsidRPr="00AD5C42">
              <w:rPr>
                <w:rFonts w:ascii="Book Antiqua" w:eastAsia="MS Mincho" w:hAnsi="Book Antiqua" w:cs="Times New Roman"/>
                <w:i/>
                <w:color w:val="000000" w:themeColor="text1"/>
                <w:kern w:val="2"/>
              </w:rPr>
              <w:t>bid</w:t>
            </w:r>
          </w:p>
          <w:p w14:paraId="29116308"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 xml:space="preserve">MNZ or TNZ 250-500 mg </w:t>
            </w:r>
            <w:r w:rsidRPr="00AD5C42">
              <w:rPr>
                <w:rFonts w:ascii="Book Antiqua" w:eastAsia="MS Mincho" w:hAnsi="Book Antiqua" w:cs="Times New Roman"/>
                <w:i/>
                <w:color w:val="000000" w:themeColor="text1"/>
                <w:kern w:val="2"/>
              </w:rPr>
              <w:t>bid</w:t>
            </w:r>
          </w:p>
        </w:tc>
        <w:tc>
          <w:tcPr>
            <w:tcW w:w="1247" w:type="dxa"/>
            <w:vAlign w:val="center"/>
          </w:tcPr>
          <w:p w14:paraId="1B10E27B" w14:textId="544D71AB"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5-14 d</w:t>
            </w:r>
          </w:p>
        </w:tc>
        <w:tc>
          <w:tcPr>
            <w:tcW w:w="1361" w:type="dxa"/>
            <w:shd w:val="clear" w:color="auto" w:fill="auto"/>
            <w:vAlign w:val="center"/>
          </w:tcPr>
          <w:p w14:paraId="71CD417A" w14:textId="2895F014"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83</w:t>
            </w:r>
            <w:proofErr w:type="gramStart"/>
            <w:r w:rsidRPr="00AD5C42">
              <w:rPr>
                <w:rFonts w:ascii="Book Antiqua" w:eastAsia="MS Mincho" w:hAnsi="Book Antiqua" w:cs="Times New Roman"/>
                <w:color w:val="000000" w:themeColor="text1"/>
                <w:kern w:val="2"/>
              </w:rPr>
              <w:t>%</w:t>
            </w:r>
            <w:r w:rsidRPr="00AD5C42">
              <w:rPr>
                <w:rFonts w:ascii="Book Antiqua" w:eastAsia="MS Mincho" w:hAnsi="Book Antiqua" w:cs="Times New Roman"/>
                <w:color w:val="000000" w:themeColor="text1"/>
                <w:kern w:val="2"/>
                <w:vertAlign w:val="superscript"/>
              </w:rPr>
              <w:t>[</w:t>
            </w:r>
            <w:proofErr w:type="gramEnd"/>
            <w:r w:rsidRPr="00AD5C42">
              <w:rPr>
                <w:rFonts w:ascii="Book Antiqua" w:eastAsia="MS Mincho" w:hAnsi="Book Antiqua" w:cs="Times New Roman"/>
                <w:color w:val="000000" w:themeColor="text1"/>
                <w:kern w:val="2"/>
                <w:vertAlign w:val="superscript"/>
              </w:rPr>
              <w:t>36]</w:t>
            </w:r>
          </w:p>
        </w:tc>
      </w:tr>
      <w:tr w:rsidR="00775EF0" w:rsidRPr="00AD5C42" w14:paraId="4B4C492D" w14:textId="77777777" w:rsidTr="00E222C4">
        <w:trPr>
          <w:trHeight w:val="1814"/>
          <w:jc w:val="center"/>
        </w:trPr>
        <w:tc>
          <w:tcPr>
            <w:tcW w:w="2098" w:type="dxa"/>
            <w:vAlign w:val="center"/>
          </w:tcPr>
          <w:p w14:paraId="7A816C60" w14:textId="77777777" w:rsidR="004F6142" w:rsidRPr="00AD5C42" w:rsidRDefault="004F6142" w:rsidP="00E222C4">
            <w:pPr>
              <w:pStyle w:val="af0"/>
              <w:adjustRightInd w:val="0"/>
              <w:snapToGrid w:val="0"/>
              <w:spacing w:before="0" w:beforeAutospacing="0" w:after="0" w:afterAutospacing="0" w:line="360" w:lineRule="auto"/>
              <w:jc w:val="both"/>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Standard triple therapy</w:t>
            </w:r>
          </w:p>
        </w:tc>
        <w:tc>
          <w:tcPr>
            <w:tcW w:w="2948" w:type="dxa"/>
            <w:vAlign w:val="center"/>
          </w:tcPr>
          <w:p w14:paraId="52278EAB"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 xml:space="preserve">Esomeprazole 40 mg </w:t>
            </w:r>
            <w:r w:rsidRPr="00AD5C42">
              <w:rPr>
                <w:rFonts w:ascii="Book Antiqua" w:eastAsia="MS Mincho" w:hAnsi="Book Antiqua" w:cs="Times New Roman"/>
                <w:i/>
                <w:color w:val="000000" w:themeColor="text1"/>
                <w:kern w:val="2"/>
              </w:rPr>
              <w:t>bid</w:t>
            </w:r>
          </w:p>
          <w:p w14:paraId="52991042"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 xml:space="preserve">Lansoprazole 30 mg </w:t>
            </w:r>
            <w:r w:rsidRPr="00AD5C42">
              <w:rPr>
                <w:rFonts w:ascii="Book Antiqua" w:eastAsia="MS Mincho" w:hAnsi="Book Antiqua" w:cs="Times New Roman"/>
                <w:i/>
                <w:color w:val="000000" w:themeColor="text1"/>
                <w:kern w:val="2"/>
              </w:rPr>
              <w:t>bid</w:t>
            </w:r>
          </w:p>
          <w:p w14:paraId="5511A185"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 xml:space="preserve">Pantoprazole 40 mg </w:t>
            </w:r>
            <w:r w:rsidRPr="00AD5C42">
              <w:rPr>
                <w:rFonts w:ascii="Book Antiqua" w:eastAsia="MS Mincho" w:hAnsi="Book Antiqua" w:cs="Times New Roman"/>
                <w:i/>
                <w:color w:val="000000" w:themeColor="text1"/>
                <w:kern w:val="2"/>
              </w:rPr>
              <w:t>bid</w:t>
            </w:r>
          </w:p>
          <w:p w14:paraId="206E5A96"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 xml:space="preserve">Rabeprazole 10-20 mg </w:t>
            </w:r>
            <w:r w:rsidRPr="00AD5C42">
              <w:rPr>
                <w:rFonts w:ascii="Book Antiqua" w:eastAsia="MS Mincho" w:hAnsi="Book Antiqua" w:cs="Times New Roman"/>
                <w:i/>
                <w:color w:val="000000" w:themeColor="text1"/>
                <w:kern w:val="2"/>
              </w:rPr>
              <w:t>bid</w:t>
            </w:r>
          </w:p>
        </w:tc>
        <w:tc>
          <w:tcPr>
            <w:tcW w:w="3118" w:type="dxa"/>
            <w:vAlign w:val="center"/>
          </w:tcPr>
          <w:p w14:paraId="4495FC37"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 xml:space="preserve">AMPC 500 mg-1 g </w:t>
            </w:r>
            <w:r w:rsidRPr="00AD5C42">
              <w:rPr>
                <w:rFonts w:ascii="Book Antiqua" w:eastAsia="MS Mincho" w:hAnsi="Book Antiqua" w:cs="Times New Roman"/>
                <w:i/>
                <w:color w:val="000000" w:themeColor="text1"/>
                <w:kern w:val="2"/>
              </w:rPr>
              <w:t>bid</w:t>
            </w:r>
          </w:p>
          <w:p w14:paraId="48F9AE02"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 xml:space="preserve">CAM 200-500 mg </w:t>
            </w:r>
            <w:r w:rsidRPr="00AD5C42">
              <w:rPr>
                <w:rFonts w:ascii="Book Antiqua" w:eastAsia="MS Mincho" w:hAnsi="Book Antiqua" w:cs="Times New Roman"/>
                <w:i/>
                <w:color w:val="000000" w:themeColor="text1"/>
                <w:kern w:val="2"/>
              </w:rPr>
              <w:t>bid</w:t>
            </w:r>
          </w:p>
        </w:tc>
        <w:tc>
          <w:tcPr>
            <w:tcW w:w="1247" w:type="dxa"/>
            <w:vAlign w:val="center"/>
          </w:tcPr>
          <w:p w14:paraId="2D956F60" w14:textId="22BCCFB3"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 xml:space="preserve">7 </w:t>
            </w:r>
            <w:proofErr w:type="gramStart"/>
            <w:r w:rsidRPr="00AD5C42">
              <w:rPr>
                <w:rFonts w:ascii="Book Antiqua" w:eastAsia="MS Mincho" w:hAnsi="Book Antiqua" w:cs="Times New Roman"/>
                <w:color w:val="000000" w:themeColor="text1"/>
                <w:kern w:val="2"/>
              </w:rPr>
              <w:t>d</w:t>
            </w:r>
            <w:r w:rsidRPr="00AD5C42">
              <w:rPr>
                <w:rFonts w:ascii="Book Antiqua" w:eastAsia="MS Mincho" w:hAnsi="Book Antiqua" w:cs="Times New Roman"/>
                <w:color w:val="000000" w:themeColor="text1"/>
                <w:kern w:val="2"/>
                <w:vertAlign w:val="superscript"/>
              </w:rPr>
              <w:t>[</w:t>
            </w:r>
            <w:proofErr w:type="gramEnd"/>
            <w:r w:rsidRPr="00AD5C42">
              <w:rPr>
                <w:rFonts w:ascii="Book Antiqua" w:eastAsia="MS Mincho" w:hAnsi="Book Antiqua" w:cs="Times New Roman"/>
                <w:color w:val="000000" w:themeColor="text1"/>
                <w:kern w:val="2"/>
                <w:vertAlign w:val="superscript"/>
              </w:rPr>
              <w:t>37]</w:t>
            </w:r>
          </w:p>
          <w:p w14:paraId="58DE77E3"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p>
          <w:p w14:paraId="69AA1A47" w14:textId="464A8153"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 xml:space="preserve">14 </w:t>
            </w:r>
            <w:proofErr w:type="gramStart"/>
            <w:r w:rsidRPr="00AD5C42">
              <w:rPr>
                <w:rFonts w:ascii="Book Antiqua" w:eastAsia="MS Mincho" w:hAnsi="Book Antiqua" w:cs="Times New Roman"/>
                <w:color w:val="000000" w:themeColor="text1"/>
                <w:kern w:val="2"/>
              </w:rPr>
              <w:t>d</w:t>
            </w:r>
            <w:r w:rsidRPr="00AD5C42">
              <w:rPr>
                <w:rFonts w:ascii="Book Antiqua" w:eastAsia="MS Mincho" w:hAnsi="Book Antiqua" w:cs="Times New Roman"/>
                <w:color w:val="000000" w:themeColor="text1"/>
                <w:kern w:val="2"/>
                <w:vertAlign w:val="superscript"/>
              </w:rPr>
              <w:t>[</w:t>
            </w:r>
            <w:proofErr w:type="gramEnd"/>
            <w:r w:rsidRPr="00AD5C42">
              <w:rPr>
                <w:rFonts w:ascii="Book Antiqua" w:eastAsia="MS Mincho" w:hAnsi="Book Antiqua" w:cs="Times New Roman"/>
                <w:color w:val="000000" w:themeColor="text1"/>
                <w:kern w:val="2"/>
                <w:vertAlign w:val="superscript"/>
              </w:rPr>
              <w:t>38]</w:t>
            </w:r>
          </w:p>
        </w:tc>
        <w:tc>
          <w:tcPr>
            <w:tcW w:w="1361" w:type="dxa"/>
            <w:shd w:val="clear" w:color="auto" w:fill="auto"/>
            <w:vAlign w:val="center"/>
          </w:tcPr>
          <w:p w14:paraId="3DBEF554" w14:textId="12E61532" w:rsidR="004F6142" w:rsidRPr="00AD5C42" w:rsidRDefault="004F6142" w:rsidP="00E222C4">
            <w:pPr>
              <w:pStyle w:val="af0"/>
              <w:adjustRightInd w:val="0"/>
              <w:snapToGrid w:val="0"/>
              <w:spacing w:before="0" w:beforeAutospacing="0" w:after="0" w:afterAutospacing="0" w:line="360" w:lineRule="auto"/>
              <w:jc w:val="center"/>
              <w:rPr>
                <w:rFonts w:ascii="Book Antiqua" w:hAnsi="Book Antiqua" w:cs="Times New Roman"/>
                <w:color w:val="000000" w:themeColor="text1"/>
              </w:rPr>
            </w:pPr>
            <w:r w:rsidRPr="00AD5C42">
              <w:rPr>
                <w:rFonts w:ascii="Book Antiqua" w:hAnsi="Book Antiqua" w:cs="Times New Roman"/>
                <w:color w:val="000000" w:themeColor="text1"/>
              </w:rPr>
              <w:t>73</w:t>
            </w:r>
            <w:proofErr w:type="gramStart"/>
            <w:r w:rsidRPr="00AD5C42">
              <w:rPr>
                <w:rFonts w:ascii="Book Antiqua" w:hAnsi="Book Antiqua" w:cs="Times New Roman"/>
                <w:color w:val="000000" w:themeColor="text1"/>
              </w:rPr>
              <w:t>%</w:t>
            </w:r>
            <w:r w:rsidRPr="00AD5C42">
              <w:rPr>
                <w:rFonts w:ascii="Book Antiqua" w:hAnsi="Book Antiqua" w:cs="Times New Roman"/>
                <w:color w:val="000000" w:themeColor="text1"/>
                <w:vertAlign w:val="superscript"/>
              </w:rPr>
              <w:t>[</w:t>
            </w:r>
            <w:proofErr w:type="gramEnd"/>
            <w:r w:rsidRPr="00AD5C42">
              <w:rPr>
                <w:rFonts w:ascii="Book Antiqua" w:hAnsi="Book Antiqua" w:cs="Times New Roman"/>
                <w:color w:val="000000" w:themeColor="text1"/>
                <w:vertAlign w:val="superscript"/>
              </w:rPr>
              <w:t>37]</w:t>
            </w:r>
          </w:p>
          <w:p w14:paraId="61D661B1"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hAnsi="Book Antiqua" w:cs="Times New Roman"/>
                <w:color w:val="000000" w:themeColor="text1"/>
              </w:rPr>
            </w:pPr>
          </w:p>
          <w:p w14:paraId="786EBCC2" w14:textId="10765232" w:rsidR="004F6142" w:rsidRPr="00AD5C42" w:rsidRDefault="004F6142" w:rsidP="00E222C4">
            <w:pPr>
              <w:pStyle w:val="af0"/>
              <w:adjustRightInd w:val="0"/>
              <w:snapToGrid w:val="0"/>
              <w:spacing w:before="0" w:beforeAutospacing="0" w:after="0" w:afterAutospacing="0" w:line="360" w:lineRule="auto"/>
              <w:jc w:val="center"/>
              <w:rPr>
                <w:rFonts w:ascii="Book Antiqua" w:hAnsi="Book Antiqua" w:cs="Times New Roman"/>
                <w:color w:val="000000" w:themeColor="text1"/>
              </w:rPr>
            </w:pPr>
            <w:r w:rsidRPr="00AD5C42">
              <w:rPr>
                <w:rFonts w:ascii="Book Antiqua" w:hAnsi="Book Antiqua" w:cs="Times New Roman"/>
                <w:color w:val="000000" w:themeColor="text1"/>
              </w:rPr>
              <w:t>81</w:t>
            </w:r>
            <w:proofErr w:type="gramStart"/>
            <w:r w:rsidRPr="00AD5C42">
              <w:rPr>
                <w:rFonts w:ascii="Book Antiqua" w:hAnsi="Book Antiqua" w:cs="Times New Roman"/>
                <w:color w:val="000000" w:themeColor="text1"/>
              </w:rPr>
              <w:t>%</w:t>
            </w:r>
            <w:r w:rsidRPr="00AD5C42">
              <w:rPr>
                <w:rFonts w:ascii="Book Antiqua" w:hAnsi="Book Antiqua" w:cs="Times New Roman"/>
                <w:color w:val="000000" w:themeColor="text1"/>
                <w:vertAlign w:val="superscript"/>
              </w:rPr>
              <w:t>[</w:t>
            </w:r>
            <w:proofErr w:type="gramEnd"/>
            <w:r w:rsidRPr="00AD5C42">
              <w:rPr>
                <w:rFonts w:ascii="Book Antiqua" w:hAnsi="Book Antiqua" w:cs="Times New Roman"/>
                <w:color w:val="000000" w:themeColor="text1"/>
                <w:vertAlign w:val="superscript"/>
              </w:rPr>
              <w:t>38]</w:t>
            </w:r>
          </w:p>
        </w:tc>
      </w:tr>
      <w:tr w:rsidR="00775EF0" w:rsidRPr="00AD5C42" w14:paraId="654D7FF3" w14:textId="77777777" w:rsidTr="00E222C4">
        <w:trPr>
          <w:trHeight w:val="1417"/>
          <w:jc w:val="center"/>
        </w:trPr>
        <w:tc>
          <w:tcPr>
            <w:tcW w:w="2098" w:type="dxa"/>
            <w:vAlign w:val="center"/>
          </w:tcPr>
          <w:p w14:paraId="48A01000" w14:textId="2F998409" w:rsidR="004F6142" w:rsidRPr="00AD5C42" w:rsidRDefault="004F6142" w:rsidP="00E222C4">
            <w:pPr>
              <w:pStyle w:val="af0"/>
              <w:adjustRightInd w:val="0"/>
              <w:snapToGrid w:val="0"/>
              <w:spacing w:before="0" w:beforeAutospacing="0" w:after="0" w:afterAutospacing="0" w:line="360" w:lineRule="auto"/>
              <w:jc w:val="both"/>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High dose</w:t>
            </w:r>
            <w:r w:rsidR="00C350B1" w:rsidRPr="00AD5C42">
              <w:rPr>
                <w:rFonts w:ascii="Book Antiqua" w:eastAsia="MS Mincho" w:hAnsi="Book Antiqua" w:cs="Times New Roman"/>
                <w:color w:val="000000" w:themeColor="text1"/>
                <w:kern w:val="2"/>
              </w:rPr>
              <w:t xml:space="preserve"> </w:t>
            </w:r>
            <w:r w:rsidRPr="00AD5C42">
              <w:rPr>
                <w:rFonts w:ascii="Book Antiqua" w:eastAsia="MS Mincho" w:hAnsi="Book Antiqua" w:cs="Times New Roman"/>
                <w:color w:val="000000" w:themeColor="text1"/>
                <w:kern w:val="2"/>
              </w:rPr>
              <w:t>dual therapy</w:t>
            </w:r>
          </w:p>
        </w:tc>
        <w:tc>
          <w:tcPr>
            <w:tcW w:w="2948" w:type="dxa"/>
            <w:vAlign w:val="center"/>
          </w:tcPr>
          <w:p w14:paraId="3F92A2DF"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 xml:space="preserve">Esomeprazole 20 mg </w:t>
            </w:r>
            <w:r w:rsidRPr="00AD5C42">
              <w:rPr>
                <w:rFonts w:ascii="Book Antiqua" w:eastAsia="MS Mincho" w:hAnsi="Book Antiqua" w:cs="Times New Roman"/>
                <w:i/>
                <w:color w:val="000000" w:themeColor="text1"/>
                <w:kern w:val="2"/>
              </w:rPr>
              <w:t>qid</w:t>
            </w:r>
          </w:p>
          <w:p w14:paraId="777F1ACD" w14:textId="639CE3D3"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Omeprazole 40</w:t>
            </w:r>
            <w:r w:rsidR="00E222C4" w:rsidRPr="00AD5C42">
              <w:rPr>
                <w:rFonts w:ascii="Book Antiqua" w:eastAsia="MS Mincho" w:hAnsi="Book Antiqua" w:cs="Times New Roman"/>
                <w:color w:val="000000" w:themeColor="text1"/>
                <w:kern w:val="2"/>
              </w:rPr>
              <w:t xml:space="preserve"> </w:t>
            </w:r>
            <w:r w:rsidRPr="00AD5C42">
              <w:rPr>
                <w:rFonts w:ascii="Book Antiqua" w:eastAsia="MS Mincho" w:hAnsi="Book Antiqua" w:cs="Times New Roman"/>
                <w:color w:val="000000" w:themeColor="text1"/>
                <w:kern w:val="2"/>
              </w:rPr>
              <w:t xml:space="preserve">mg </w:t>
            </w:r>
            <w:proofErr w:type="spellStart"/>
            <w:r w:rsidRPr="00AD5C42">
              <w:rPr>
                <w:rFonts w:ascii="Book Antiqua" w:eastAsia="MS Mincho" w:hAnsi="Book Antiqua" w:cs="Times New Roman"/>
                <w:i/>
                <w:color w:val="000000" w:themeColor="text1"/>
                <w:kern w:val="2"/>
              </w:rPr>
              <w:t>qid</w:t>
            </w:r>
            <w:proofErr w:type="spellEnd"/>
          </w:p>
          <w:p w14:paraId="623429D9"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 xml:space="preserve">Rabeprazole 10-20 mg </w:t>
            </w:r>
            <w:r w:rsidRPr="00AD5C42">
              <w:rPr>
                <w:rFonts w:ascii="Book Antiqua" w:eastAsia="MS Mincho" w:hAnsi="Book Antiqua" w:cs="Times New Roman"/>
                <w:i/>
                <w:color w:val="000000" w:themeColor="text1"/>
                <w:kern w:val="2"/>
              </w:rPr>
              <w:t>qid</w:t>
            </w:r>
          </w:p>
        </w:tc>
        <w:tc>
          <w:tcPr>
            <w:tcW w:w="3118" w:type="dxa"/>
            <w:vAlign w:val="center"/>
          </w:tcPr>
          <w:p w14:paraId="063661F2" w14:textId="77777777"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 xml:space="preserve">AMPC 750 mg </w:t>
            </w:r>
            <w:r w:rsidRPr="00AD5C42">
              <w:rPr>
                <w:rFonts w:ascii="Book Antiqua" w:eastAsia="MS Mincho" w:hAnsi="Book Antiqua" w:cs="Times New Roman"/>
                <w:i/>
                <w:color w:val="000000" w:themeColor="text1"/>
                <w:kern w:val="2"/>
              </w:rPr>
              <w:t>qid</w:t>
            </w:r>
          </w:p>
        </w:tc>
        <w:tc>
          <w:tcPr>
            <w:tcW w:w="1247" w:type="dxa"/>
            <w:vAlign w:val="center"/>
          </w:tcPr>
          <w:p w14:paraId="6F583AE8" w14:textId="08C84A7A" w:rsidR="004F6142" w:rsidRPr="00AD5C42" w:rsidRDefault="004F6142" w:rsidP="00E222C4">
            <w:pPr>
              <w:pStyle w:val="af0"/>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AD5C42">
              <w:rPr>
                <w:rFonts w:ascii="Book Antiqua" w:eastAsia="MS Mincho" w:hAnsi="Book Antiqua" w:cs="Times New Roman"/>
                <w:color w:val="000000" w:themeColor="text1"/>
                <w:kern w:val="2"/>
              </w:rPr>
              <w:t>14 d</w:t>
            </w:r>
          </w:p>
        </w:tc>
        <w:tc>
          <w:tcPr>
            <w:tcW w:w="1361" w:type="dxa"/>
            <w:shd w:val="clear" w:color="auto" w:fill="auto"/>
            <w:vAlign w:val="center"/>
          </w:tcPr>
          <w:p w14:paraId="26D8C6C0" w14:textId="1E73A5F6" w:rsidR="004F6142" w:rsidRPr="00AD5C42" w:rsidRDefault="004F6142" w:rsidP="00E222C4">
            <w:pPr>
              <w:adjustRightInd w:val="0"/>
              <w:snapToGrid w:val="0"/>
              <w:spacing w:line="360" w:lineRule="auto"/>
              <w:jc w:val="center"/>
              <w:rPr>
                <w:rFonts w:ascii="Book Antiqua" w:hAnsi="Book Antiqua"/>
                <w:color w:val="000000" w:themeColor="text1"/>
                <w:sz w:val="24"/>
                <w:szCs w:val="24"/>
              </w:rPr>
            </w:pPr>
            <w:r w:rsidRPr="00AD5C42">
              <w:rPr>
                <w:rFonts w:ascii="Book Antiqua" w:hAnsi="Book Antiqua"/>
                <w:color w:val="000000" w:themeColor="text1"/>
                <w:sz w:val="24"/>
                <w:szCs w:val="24"/>
              </w:rPr>
              <w:t>86</w:t>
            </w:r>
            <w:proofErr w:type="gramStart"/>
            <w:r w:rsidRPr="00AD5C42">
              <w:rPr>
                <w:rFonts w:ascii="Book Antiqua" w:hAnsi="Book Antiqua"/>
                <w:color w:val="000000" w:themeColor="text1"/>
                <w:sz w:val="24"/>
                <w:szCs w:val="24"/>
              </w:rPr>
              <w:t>%</w:t>
            </w:r>
            <w:r w:rsidRPr="00AD5C42">
              <w:rPr>
                <w:rFonts w:ascii="Book Antiqua" w:hAnsi="Book Antiqua"/>
                <w:color w:val="000000" w:themeColor="text1"/>
                <w:sz w:val="24"/>
                <w:szCs w:val="24"/>
                <w:vertAlign w:val="superscript"/>
              </w:rPr>
              <w:t>[</w:t>
            </w:r>
            <w:proofErr w:type="gramEnd"/>
            <w:r w:rsidRPr="00AD5C42">
              <w:rPr>
                <w:rFonts w:ascii="Book Antiqua" w:hAnsi="Book Antiqua"/>
                <w:color w:val="000000" w:themeColor="text1"/>
                <w:sz w:val="24"/>
                <w:szCs w:val="24"/>
                <w:vertAlign w:val="superscript"/>
              </w:rPr>
              <w:t>39]</w:t>
            </w:r>
          </w:p>
        </w:tc>
      </w:tr>
      <w:tr w:rsidR="00775EF0" w:rsidRPr="00AD5C42" w14:paraId="355973CA" w14:textId="77777777" w:rsidTr="00E222C4">
        <w:trPr>
          <w:trHeight w:val="1020"/>
          <w:jc w:val="center"/>
        </w:trPr>
        <w:tc>
          <w:tcPr>
            <w:tcW w:w="2098" w:type="dxa"/>
            <w:vAlign w:val="center"/>
          </w:tcPr>
          <w:p w14:paraId="69328310" w14:textId="77777777" w:rsidR="004F6142" w:rsidRPr="00AD5C42" w:rsidRDefault="004F6142" w:rsidP="00E222C4">
            <w:pPr>
              <w:pStyle w:val="af0"/>
              <w:adjustRightInd w:val="0"/>
              <w:snapToGrid w:val="0"/>
              <w:spacing w:before="0" w:beforeAutospacing="0" w:after="0" w:afterAutospacing="0" w:line="360" w:lineRule="auto"/>
              <w:jc w:val="both"/>
              <w:rPr>
                <w:rFonts w:ascii="Book Antiqua" w:eastAsia="MS Mincho" w:hAnsi="Book Antiqua" w:cs="Times New Roman"/>
                <w:color w:val="000000" w:themeColor="text1"/>
                <w:kern w:val="2"/>
              </w:rPr>
            </w:pPr>
            <w:proofErr w:type="spellStart"/>
            <w:r w:rsidRPr="00AD5C42">
              <w:rPr>
                <w:rFonts w:ascii="Book Antiqua" w:eastAsia="MS Mincho" w:hAnsi="Book Antiqua" w:cs="Times New Roman"/>
                <w:color w:val="000000" w:themeColor="text1"/>
                <w:kern w:val="2"/>
              </w:rPr>
              <w:t>Vonoprazan</w:t>
            </w:r>
            <w:proofErr w:type="spellEnd"/>
            <w:r w:rsidRPr="00AD5C42">
              <w:rPr>
                <w:rFonts w:ascii="Book Antiqua" w:eastAsia="MS Mincho" w:hAnsi="Book Antiqua" w:cs="Times New Roman"/>
                <w:color w:val="000000" w:themeColor="text1"/>
                <w:kern w:val="2"/>
              </w:rPr>
              <w:t xml:space="preserve"> based triple therapy</w:t>
            </w:r>
          </w:p>
        </w:tc>
        <w:tc>
          <w:tcPr>
            <w:tcW w:w="2948" w:type="dxa"/>
            <w:vAlign w:val="center"/>
          </w:tcPr>
          <w:p w14:paraId="51DAEB55" w14:textId="77777777" w:rsidR="004F6142" w:rsidRPr="00AD5C42" w:rsidRDefault="004F6142" w:rsidP="00E222C4">
            <w:pPr>
              <w:adjustRightInd w:val="0"/>
              <w:snapToGrid w:val="0"/>
              <w:spacing w:line="360" w:lineRule="auto"/>
              <w:jc w:val="center"/>
              <w:rPr>
                <w:rFonts w:ascii="Book Antiqua" w:hAnsi="Book Antiqua"/>
                <w:color w:val="000000" w:themeColor="text1"/>
                <w:sz w:val="24"/>
                <w:szCs w:val="24"/>
              </w:rPr>
            </w:pPr>
            <w:r w:rsidRPr="00AD5C42">
              <w:rPr>
                <w:rFonts w:ascii="Book Antiqua" w:hAnsi="Book Antiqua"/>
                <w:color w:val="000000" w:themeColor="text1"/>
                <w:sz w:val="24"/>
                <w:szCs w:val="24"/>
              </w:rPr>
              <w:t xml:space="preserve">vonoprazan 20 mg </w:t>
            </w:r>
            <w:r w:rsidRPr="00AD5C42">
              <w:rPr>
                <w:rFonts w:ascii="Book Antiqua" w:hAnsi="Book Antiqua"/>
                <w:i/>
                <w:color w:val="000000" w:themeColor="text1"/>
                <w:sz w:val="24"/>
                <w:szCs w:val="24"/>
              </w:rPr>
              <w:t>bid</w:t>
            </w:r>
          </w:p>
        </w:tc>
        <w:tc>
          <w:tcPr>
            <w:tcW w:w="3118" w:type="dxa"/>
            <w:vAlign w:val="center"/>
          </w:tcPr>
          <w:p w14:paraId="5682F2A5" w14:textId="77777777" w:rsidR="004F6142" w:rsidRPr="00AD5C42" w:rsidRDefault="004F6142" w:rsidP="00E222C4">
            <w:pPr>
              <w:adjustRightInd w:val="0"/>
              <w:snapToGrid w:val="0"/>
              <w:spacing w:line="360" w:lineRule="auto"/>
              <w:jc w:val="center"/>
              <w:rPr>
                <w:rFonts w:ascii="Book Antiqua" w:hAnsi="Book Antiqua"/>
                <w:color w:val="000000" w:themeColor="text1"/>
                <w:sz w:val="24"/>
                <w:szCs w:val="24"/>
              </w:rPr>
            </w:pPr>
            <w:r w:rsidRPr="00AD5C42">
              <w:rPr>
                <w:rFonts w:ascii="Book Antiqua" w:hAnsi="Book Antiqua"/>
                <w:color w:val="000000" w:themeColor="text1"/>
                <w:sz w:val="24"/>
                <w:szCs w:val="24"/>
              </w:rPr>
              <w:t xml:space="preserve">AMPC 750 mg </w:t>
            </w:r>
            <w:r w:rsidRPr="00AD5C42">
              <w:rPr>
                <w:rFonts w:ascii="Book Antiqua" w:hAnsi="Book Antiqua"/>
                <w:i/>
                <w:color w:val="000000" w:themeColor="text1"/>
                <w:sz w:val="24"/>
                <w:szCs w:val="24"/>
              </w:rPr>
              <w:t>bid</w:t>
            </w:r>
          </w:p>
          <w:p w14:paraId="78A38AD1" w14:textId="77777777" w:rsidR="004F6142" w:rsidRPr="00AD5C42" w:rsidRDefault="004F6142" w:rsidP="00E222C4">
            <w:pPr>
              <w:adjustRightInd w:val="0"/>
              <w:snapToGrid w:val="0"/>
              <w:spacing w:line="360" w:lineRule="auto"/>
              <w:jc w:val="center"/>
              <w:rPr>
                <w:rFonts w:ascii="Book Antiqua" w:hAnsi="Book Antiqua"/>
                <w:color w:val="000000" w:themeColor="text1"/>
                <w:sz w:val="24"/>
                <w:szCs w:val="24"/>
              </w:rPr>
            </w:pPr>
            <w:r w:rsidRPr="00AD5C42">
              <w:rPr>
                <w:rFonts w:ascii="Book Antiqua" w:hAnsi="Book Antiqua"/>
                <w:color w:val="000000" w:themeColor="text1"/>
                <w:sz w:val="24"/>
                <w:szCs w:val="24"/>
              </w:rPr>
              <w:t xml:space="preserve">CAM 200-400 mg </w:t>
            </w:r>
            <w:r w:rsidRPr="00AD5C42">
              <w:rPr>
                <w:rFonts w:ascii="Book Antiqua" w:hAnsi="Book Antiqua"/>
                <w:i/>
                <w:color w:val="000000" w:themeColor="text1"/>
                <w:sz w:val="24"/>
                <w:szCs w:val="24"/>
              </w:rPr>
              <w:t>bid</w:t>
            </w:r>
          </w:p>
        </w:tc>
        <w:tc>
          <w:tcPr>
            <w:tcW w:w="1247" w:type="dxa"/>
            <w:vAlign w:val="center"/>
          </w:tcPr>
          <w:p w14:paraId="35115CD4" w14:textId="2FB792BE" w:rsidR="004F6142" w:rsidRPr="00AD5C42" w:rsidRDefault="004F6142" w:rsidP="00E222C4">
            <w:pPr>
              <w:adjustRightInd w:val="0"/>
              <w:snapToGrid w:val="0"/>
              <w:spacing w:line="360" w:lineRule="auto"/>
              <w:jc w:val="center"/>
              <w:rPr>
                <w:rFonts w:ascii="Book Antiqua" w:hAnsi="Book Antiqua"/>
                <w:color w:val="000000" w:themeColor="text1"/>
                <w:sz w:val="24"/>
                <w:szCs w:val="24"/>
              </w:rPr>
            </w:pPr>
            <w:r w:rsidRPr="00AD5C42">
              <w:rPr>
                <w:rFonts w:ascii="Book Antiqua" w:hAnsi="Book Antiqua"/>
                <w:color w:val="000000" w:themeColor="text1"/>
                <w:sz w:val="24"/>
                <w:szCs w:val="24"/>
              </w:rPr>
              <w:t>7 d</w:t>
            </w:r>
          </w:p>
        </w:tc>
        <w:tc>
          <w:tcPr>
            <w:tcW w:w="1361" w:type="dxa"/>
            <w:shd w:val="clear" w:color="auto" w:fill="auto"/>
            <w:vAlign w:val="center"/>
          </w:tcPr>
          <w:p w14:paraId="7622EFE1" w14:textId="2F2C2C7D" w:rsidR="004F6142" w:rsidRPr="00AD5C42" w:rsidRDefault="004F6142" w:rsidP="00E222C4">
            <w:pPr>
              <w:adjustRightInd w:val="0"/>
              <w:snapToGrid w:val="0"/>
              <w:spacing w:line="360" w:lineRule="auto"/>
              <w:jc w:val="center"/>
              <w:rPr>
                <w:rFonts w:ascii="Book Antiqua" w:hAnsi="Book Antiqua"/>
                <w:color w:val="000000" w:themeColor="text1"/>
                <w:sz w:val="24"/>
                <w:szCs w:val="24"/>
              </w:rPr>
            </w:pPr>
            <w:r w:rsidRPr="00AD5C42">
              <w:rPr>
                <w:rFonts w:ascii="Book Antiqua" w:hAnsi="Book Antiqua"/>
                <w:color w:val="000000" w:themeColor="text1"/>
                <w:sz w:val="24"/>
                <w:szCs w:val="24"/>
              </w:rPr>
              <w:t>88</w:t>
            </w:r>
            <w:proofErr w:type="gramStart"/>
            <w:r w:rsidRPr="00AD5C42">
              <w:rPr>
                <w:rFonts w:ascii="Book Antiqua" w:hAnsi="Book Antiqua"/>
                <w:color w:val="000000" w:themeColor="text1"/>
                <w:sz w:val="24"/>
                <w:szCs w:val="24"/>
              </w:rPr>
              <w:t>%</w:t>
            </w:r>
            <w:r w:rsidRPr="00AD5C42">
              <w:rPr>
                <w:rFonts w:ascii="Book Antiqua" w:hAnsi="Book Antiqua"/>
                <w:color w:val="000000" w:themeColor="text1"/>
                <w:sz w:val="24"/>
                <w:szCs w:val="24"/>
                <w:vertAlign w:val="superscript"/>
              </w:rPr>
              <w:t>[</w:t>
            </w:r>
            <w:proofErr w:type="gramEnd"/>
            <w:r w:rsidRPr="00AD5C42">
              <w:rPr>
                <w:rFonts w:ascii="Book Antiqua" w:hAnsi="Book Antiqua"/>
                <w:color w:val="000000" w:themeColor="text1"/>
                <w:sz w:val="24"/>
                <w:szCs w:val="24"/>
                <w:vertAlign w:val="superscript"/>
              </w:rPr>
              <w:t>37]</w:t>
            </w:r>
          </w:p>
        </w:tc>
      </w:tr>
      <w:tr w:rsidR="00775EF0" w:rsidRPr="00AD5C42" w14:paraId="5E6AFFDD" w14:textId="77777777" w:rsidTr="00E222C4">
        <w:trPr>
          <w:trHeight w:val="1020"/>
          <w:jc w:val="center"/>
        </w:trPr>
        <w:tc>
          <w:tcPr>
            <w:tcW w:w="2098" w:type="dxa"/>
            <w:tcBorders>
              <w:bottom w:val="single" w:sz="6" w:space="0" w:color="000000"/>
            </w:tcBorders>
            <w:vAlign w:val="center"/>
          </w:tcPr>
          <w:p w14:paraId="43BBD956" w14:textId="77777777" w:rsidR="004F6142" w:rsidRPr="00AD5C42" w:rsidRDefault="004F6142" w:rsidP="00E222C4">
            <w:pPr>
              <w:adjustRightInd w:val="0"/>
              <w:snapToGrid w:val="0"/>
              <w:spacing w:line="360" w:lineRule="auto"/>
              <w:rPr>
                <w:rFonts w:ascii="Book Antiqua" w:hAnsi="Book Antiqua"/>
                <w:color w:val="000000" w:themeColor="text1"/>
                <w:sz w:val="24"/>
                <w:szCs w:val="24"/>
              </w:rPr>
            </w:pPr>
            <w:proofErr w:type="spellStart"/>
            <w:r w:rsidRPr="00AD5C42">
              <w:rPr>
                <w:rFonts w:ascii="Book Antiqua" w:hAnsi="Book Antiqua"/>
                <w:color w:val="000000" w:themeColor="text1"/>
                <w:sz w:val="24"/>
                <w:szCs w:val="24"/>
              </w:rPr>
              <w:t>Vonoprazan</w:t>
            </w:r>
            <w:proofErr w:type="spellEnd"/>
            <w:r w:rsidRPr="00AD5C42">
              <w:rPr>
                <w:rFonts w:ascii="Book Antiqua" w:hAnsi="Book Antiqua"/>
                <w:color w:val="000000" w:themeColor="text1"/>
                <w:sz w:val="24"/>
                <w:szCs w:val="24"/>
              </w:rPr>
              <w:t xml:space="preserve"> based dual therapy</w:t>
            </w:r>
          </w:p>
        </w:tc>
        <w:tc>
          <w:tcPr>
            <w:tcW w:w="2948" w:type="dxa"/>
            <w:tcBorders>
              <w:bottom w:val="single" w:sz="6" w:space="0" w:color="000000"/>
            </w:tcBorders>
            <w:vAlign w:val="center"/>
          </w:tcPr>
          <w:p w14:paraId="188D80A0" w14:textId="77777777" w:rsidR="004F6142" w:rsidRPr="00AD5C42" w:rsidRDefault="004F6142" w:rsidP="00E222C4">
            <w:pPr>
              <w:adjustRightInd w:val="0"/>
              <w:snapToGrid w:val="0"/>
              <w:spacing w:line="360" w:lineRule="auto"/>
              <w:jc w:val="center"/>
              <w:rPr>
                <w:rFonts w:ascii="Book Antiqua" w:hAnsi="Book Antiqua"/>
                <w:color w:val="000000" w:themeColor="text1"/>
                <w:sz w:val="24"/>
                <w:szCs w:val="24"/>
              </w:rPr>
            </w:pPr>
            <w:r w:rsidRPr="00AD5C42">
              <w:rPr>
                <w:rFonts w:ascii="Book Antiqua" w:hAnsi="Book Antiqua"/>
                <w:color w:val="000000" w:themeColor="text1"/>
                <w:sz w:val="24"/>
                <w:szCs w:val="24"/>
              </w:rPr>
              <w:t xml:space="preserve">vonoprazan 20 mg </w:t>
            </w:r>
            <w:r w:rsidRPr="00AD5C42">
              <w:rPr>
                <w:rFonts w:ascii="Book Antiqua" w:hAnsi="Book Antiqua"/>
                <w:i/>
                <w:color w:val="000000" w:themeColor="text1"/>
                <w:sz w:val="24"/>
                <w:szCs w:val="24"/>
              </w:rPr>
              <w:t>bid</w:t>
            </w:r>
          </w:p>
        </w:tc>
        <w:tc>
          <w:tcPr>
            <w:tcW w:w="3118" w:type="dxa"/>
            <w:tcBorders>
              <w:bottom w:val="single" w:sz="6" w:space="0" w:color="000000"/>
            </w:tcBorders>
            <w:vAlign w:val="center"/>
          </w:tcPr>
          <w:p w14:paraId="078C3F70" w14:textId="77777777" w:rsidR="004F6142" w:rsidRPr="00AD5C42" w:rsidRDefault="004F6142" w:rsidP="00E222C4">
            <w:pPr>
              <w:adjustRightInd w:val="0"/>
              <w:snapToGrid w:val="0"/>
              <w:spacing w:line="360" w:lineRule="auto"/>
              <w:jc w:val="center"/>
              <w:rPr>
                <w:rFonts w:ascii="Book Antiqua" w:hAnsi="Book Antiqua"/>
                <w:color w:val="000000" w:themeColor="text1"/>
                <w:sz w:val="24"/>
                <w:szCs w:val="24"/>
              </w:rPr>
            </w:pPr>
            <w:r w:rsidRPr="00AD5C42">
              <w:rPr>
                <w:rFonts w:ascii="Book Antiqua" w:hAnsi="Book Antiqua"/>
                <w:color w:val="000000" w:themeColor="text1"/>
                <w:sz w:val="24"/>
                <w:szCs w:val="24"/>
              </w:rPr>
              <w:t>AMPC 500 mg tid</w:t>
            </w:r>
          </w:p>
        </w:tc>
        <w:tc>
          <w:tcPr>
            <w:tcW w:w="1247" w:type="dxa"/>
            <w:tcBorders>
              <w:bottom w:val="single" w:sz="6" w:space="0" w:color="000000"/>
            </w:tcBorders>
            <w:vAlign w:val="center"/>
          </w:tcPr>
          <w:p w14:paraId="2A6A5FD7" w14:textId="3085414A" w:rsidR="004F6142" w:rsidRPr="00AD5C42" w:rsidRDefault="004F6142" w:rsidP="00E222C4">
            <w:pPr>
              <w:adjustRightInd w:val="0"/>
              <w:snapToGrid w:val="0"/>
              <w:spacing w:line="360" w:lineRule="auto"/>
              <w:jc w:val="center"/>
              <w:rPr>
                <w:rFonts w:ascii="Book Antiqua" w:hAnsi="Book Antiqua"/>
                <w:color w:val="000000" w:themeColor="text1"/>
                <w:sz w:val="24"/>
                <w:szCs w:val="24"/>
              </w:rPr>
            </w:pPr>
            <w:r w:rsidRPr="00AD5C42">
              <w:rPr>
                <w:rFonts w:ascii="Book Antiqua" w:hAnsi="Book Antiqua"/>
                <w:color w:val="000000" w:themeColor="text1"/>
                <w:sz w:val="24"/>
                <w:szCs w:val="24"/>
              </w:rPr>
              <w:t>7 d</w:t>
            </w:r>
          </w:p>
        </w:tc>
        <w:tc>
          <w:tcPr>
            <w:tcW w:w="1361" w:type="dxa"/>
            <w:tcBorders>
              <w:bottom w:val="single" w:sz="6" w:space="0" w:color="000000"/>
            </w:tcBorders>
            <w:shd w:val="clear" w:color="auto" w:fill="auto"/>
            <w:vAlign w:val="center"/>
          </w:tcPr>
          <w:p w14:paraId="4DEB7EC4" w14:textId="6B8FC6BD" w:rsidR="004F6142" w:rsidRPr="00AD5C42" w:rsidRDefault="004F6142" w:rsidP="00E222C4">
            <w:pPr>
              <w:adjustRightInd w:val="0"/>
              <w:snapToGrid w:val="0"/>
              <w:spacing w:line="360" w:lineRule="auto"/>
              <w:jc w:val="center"/>
              <w:rPr>
                <w:rFonts w:ascii="Book Antiqua" w:hAnsi="Book Antiqua"/>
                <w:color w:val="000000" w:themeColor="text1"/>
                <w:sz w:val="24"/>
                <w:szCs w:val="24"/>
              </w:rPr>
            </w:pPr>
            <w:r w:rsidRPr="00AD5C42">
              <w:rPr>
                <w:rFonts w:ascii="Book Antiqua" w:hAnsi="Book Antiqua"/>
                <w:color w:val="000000" w:themeColor="text1"/>
                <w:sz w:val="24"/>
                <w:szCs w:val="24"/>
              </w:rPr>
              <w:t>94</w:t>
            </w:r>
            <w:proofErr w:type="gramStart"/>
            <w:r w:rsidRPr="00AD5C42">
              <w:rPr>
                <w:rFonts w:ascii="Book Antiqua" w:hAnsi="Book Antiqua"/>
                <w:color w:val="000000" w:themeColor="text1"/>
                <w:sz w:val="24"/>
                <w:szCs w:val="24"/>
              </w:rPr>
              <w:t>%</w:t>
            </w:r>
            <w:r w:rsidRPr="00AD5C42">
              <w:rPr>
                <w:rFonts w:ascii="Book Antiqua" w:hAnsi="Book Antiqua"/>
                <w:color w:val="000000" w:themeColor="text1"/>
                <w:sz w:val="24"/>
                <w:szCs w:val="24"/>
                <w:vertAlign w:val="superscript"/>
              </w:rPr>
              <w:t>[</w:t>
            </w:r>
            <w:proofErr w:type="gramEnd"/>
            <w:r w:rsidRPr="00AD5C42">
              <w:rPr>
                <w:rFonts w:ascii="Book Antiqua" w:hAnsi="Book Antiqua"/>
                <w:color w:val="000000" w:themeColor="text1"/>
                <w:sz w:val="24"/>
                <w:szCs w:val="24"/>
                <w:vertAlign w:val="superscript"/>
              </w:rPr>
              <w:t>32]</w:t>
            </w:r>
          </w:p>
        </w:tc>
      </w:tr>
    </w:tbl>
    <w:p w14:paraId="64FCF292" w14:textId="4F933145" w:rsidR="00FE1DFE" w:rsidRPr="00AD5C42" w:rsidRDefault="002A3B3C" w:rsidP="00AF7B77">
      <w:pPr>
        <w:adjustRightInd w:val="0"/>
        <w:snapToGrid w:val="0"/>
        <w:spacing w:line="360" w:lineRule="auto"/>
        <w:rPr>
          <w:rFonts w:ascii="Book Antiqua" w:hAnsi="Book Antiqua"/>
          <w:color w:val="000000" w:themeColor="text1"/>
          <w:sz w:val="24"/>
          <w:szCs w:val="24"/>
        </w:rPr>
      </w:pPr>
      <w:r w:rsidRPr="00AD5C42">
        <w:rPr>
          <w:rFonts w:ascii="Book Antiqua" w:hAnsi="Book Antiqua"/>
          <w:color w:val="000000" w:themeColor="text1"/>
          <w:sz w:val="24"/>
          <w:szCs w:val="24"/>
        </w:rPr>
        <w:t>PPI</w:t>
      </w:r>
      <w:r w:rsidR="00E222C4" w:rsidRPr="00AD5C42">
        <w:rPr>
          <w:rFonts w:ascii="Book Antiqua" w:hAnsi="Book Antiqua"/>
          <w:color w:val="000000" w:themeColor="text1"/>
          <w:sz w:val="24"/>
          <w:szCs w:val="24"/>
        </w:rPr>
        <w:t>: Proton pump inhibitor; TC: T</w:t>
      </w:r>
      <w:r w:rsidR="00271319" w:rsidRPr="00AD5C42">
        <w:rPr>
          <w:rFonts w:ascii="Book Antiqua" w:hAnsi="Book Antiqua"/>
          <w:color w:val="000000" w:themeColor="text1"/>
          <w:sz w:val="24"/>
          <w:szCs w:val="24"/>
        </w:rPr>
        <w:t>etracycline; M</w:t>
      </w:r>
      <w:r w:rsidR="0056765B" w:rsidRPr="00AD5C42">
        <w:rPr>
          <w:rFonts w:ascii="Book Antiqua" w:hAnsi="Book Antiqua"/>
          <w:color w:val="000000" w:themeColor="text1"/>
          <w:sz w:val="24"/>
          <w:szCs w:val="24"/>
        </w:rPr>
        <w:t>N</w:t>
      </w:r>
      <w:r w:rsidR="00271319" w:rsidRPr="00AD5C42">
        <w:rPr>
          <w:rFonts w:ascii="Book Antiqua" w:hAnsi="Book Antiqua"/>
          <w:color w:val="000000" w:themeColor="text1"/>
          <w:sz w:val="24"/>
          <w:szCs w:val="24"/>
        </w:rPr>
        <w:t xml:space="preserve">Z: </w:t>
      </w:r>
      <w:r w:rsidR="00E222C4" w:rsidRPr="00AD5C42">
        <w:rPr>
          <w:rFonts w:ascii="Book Antiqua" w:hAnsi="Book Antiqua"/>
          <w:color w:val="000000" w:themeColor="text1"/>
          <w:sz w:val="24"/>
          <w:szCs w:val="24"/>
          <w:shd w:val="clear" w:color="auto" w:fill="FFFFFF"/>
        </w:rPr>
        <w:t>M</w:t>
      </w:r>
      <w:r w:rsidR="00271319" w:rsidRPr="00AD5C42">
        <w:rPr>
          <w:rFonts w:ascii="Book Antiqua" w:hAnsi="Book Antiqua"/>
          <w:color w:val="000000" w:themeColor="text1"/>
          <w:sz w:val="24"/>
          <w:szCs w:val="24"/>
          <w:shd w:val="clear" w:color="auto" w:fill="FFFFFF"/>
        </w:rPr>
        <w:t>etronidazole</w:t>
      </w:r>
      <w:r w:rsidR="00E222C4" w:rsidRPr="00AD5C42">
        <w:rPr>
          <w:rFonts w:ascii="Book Antiqua" w:hAnsi="Book Antiqua"/>
          <w:color w:val="000000" w:themeColor="text1"/>
          <w:sz w:val="24"/>
          <w:szCs w:val="24"/>
        </w:rPr>
        <w:t>; AMPC: Amoxicillin; CAM: C</w:t>
      </w:r>
      <w:r w:rsidR="00271319" w:rsidRPr="00AD5C42">
        <w:rPr>
          <w:rFonts w:ascii="Book Antiqua" w:hAnsi="Book Antiqua"/>
          <w:color w:val="000000" w:themeColor="text1"/>
          <w:sz w:val="24"/>
          <w:szCs w:val="24"/>
        </w:rPr>
        <w:t>larithromycin</w:t>
      </w:r>
      <w:r w:rsidR="0091598A" w:rsidRPr="00AD5C42">
        <w:rPr>
          <w:rFonts w:ascii="Book Antiqua" w:hAnsi="Book Antiqua"/>
          <w:color w:val="000000" w:themeColor="text1"/>
          <w:sz w:val="24"/>
          <w:szCs w:val="24"/>
        </w:rPr>
        <w:t>; TNZ: Tinidazole</w:t>
      </w:r>
      <w:r w:rsidR="00E222C4" w:rsidRPr="00AD5C42">
        <w:rPr>
          <w:rFonts w:ascii="Book Antiqua" w:hAnsi="Book Antiqua"/>
          <w:color w:val="000000" w:themeColor="text1"/>
          <w:sz w:val="24"/>
          <w:szCs w:val="24"/>
        </w:rPr>
        <w:t>.</w:t>
      </w:r>
    </w:p>
    <w:sectPr w:rsidR="00FE1DFE" w:rsidRPr="00AD5C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622CB" w14:textId="77777777" w:rsidR="00C80DE5" w:rsidRDefault="00C80DE5" w:rsidP="00DD4E7C">
      <w:r>
        <w:separator/>
      </w:r>
    </w:p>
  </w:endnote>
  <w:endnote w:type="continuationSeparator" w:id="0">
    <w:p w14:paraId="2D201B95" w14:textId="77777777" w:rsidR="00C80DE5" w:rsidRDefault="00C80DE5" w:rsidP="00DD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A4435" w14:textId="77777777" w:rsidR="00C80DE5" w:rsidRDefault="00C80DE5" w:rsidP="00DD4E7C">
      <w:r>
        <w:separator/>
      </w:r>
    </w:p>
  </w:footnote>
  <w:footnote w:type="continuationSeparator" w:id="0">
    <w:p w14:paraId="64A41A52" w14:textId="77777777" w:rsidR="00C80DE5" w:rsidRDefault="00C80DE5" w:rsidP="00DD4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US" w:vendorID="64" w:dllVersion="6" w:nlCheck="1" w:checkStyle="1"/>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wepf9t5r99z5sveraetv2swoexpzvv5202wt&quot;&gt;My EndNote Library&lt;record-ids&gt;&lt;item&gt;3&lt;/item&gt;&lt;item&gt;5&lt;/item&gt;&lt;item&gt;34&lt;/item&gt;&lt;item&gt;40&lt;/item&gt;&lt;item&gt;41&lt;/item&gt;&lt;item&gt;43&lt;/item&gt;&lt;item&gt;50&lt;/item&gt;&lt;item&gt;51&lt;/item&gt;&lt;item&gt;52&lt;/item&gt;&lt;item&gt;55&lt;/item&gt;&lt;item&gt;63&lt;/item&gt;&lt;item&gt;64&lt;/item&gt;&lt;item&gt;65&lt;/item&gt;&lt;item&gt;67&lt;/item&gt;&lt;item&gt;70&lt;/item&gt;&lt;item&gt;71&lt;/item&gt;&lt;item&gt;72&lt;/item&gt;&lt;item&gt;73&lt;/item&gt;&lt;item&gt;74&lt;/item&gt;&lt;item&gt;77&lt;/item&gt;&lt;item&gt;78&lt;/item&gt;&lt;item&gt;133&lt;/item&gt;&lt;item&gt;137&lt;/item&gt;&lt;item&gt;146&lt;/item&gt;&lt;item&gt;147&lt;/item&gt;&lt;item&gt;148&lt;/item&gt;&lt;item&gt;155&lt;/item&gt;&lt;item&gt;158&lt;/item&gt;&lt;item&gt;160&lt;/item&gt;&lt;item&gt;181&lt;/item&gt;&lt;item&gt;182&lt;/item&gt;&lt;item&gt;186&lt;/item&gt;&lt;item&gt;187&lt;/item&gt;&lt;item&gt;265&lt;/item&gt;&lt;item&gt;273&lt;/item&gt;&lt;item&gt;276&lt;/item&gt;&lt;item&gt;277&lt;/item&gt;&lt;item&gt;278&lt;/item&gt;&lt;item&gt;280&lt;/item&gt;&lt;/record-ids&gt;&lt;/item&gt;&lt;/Libraries&gt;"/>
    <w:docVar w:name="is_review_method" w:val="Cluster"/>
  </w:docVars>
  <w:rsids>
    <w:rsidRoot w:val="00C850BB"/>
    <w:rsid w:val="00000633"/>
    <w:rsid w:val="00000D77"/>
    <w:rsid w:val="00011F5D"/>
    <w:rsid w:val="000229E6"/>
    <w:rsid w:val="000305ED"/>
    <w:rsid w:val="00032126"/>
    <w:rsid w:val="00032313"/>
    <w:rsid w:val="0004261B"/>
    <w:rsid w:val="00043563"/>
    <w:rsid w:val="0004739C"/>
    <w:rsid w:val="000522A5"/>
    <w:rsid w:val="000523B1"/>
    <w:rsid w:val="000542FD"/>
    <w:rsid w:val="000679CF"/>
    <w:rsid w:val="00070720"/>
    <w:rsid w:val="00070B8C"/>
    <w:rsid w:val="00083E4A"/>
    <w:rsid w:val="00086A39"/>
    <w:rsid w:val="00092C6A"/>
    <w:rsid w:val="000942FF"/>
    <w:rsid w:val="00094952"/>
    <w:rsid w:val="00097B1F"/>
    <w:rsid w:val="00097D08"/>
    <w:rsid w:val="000A0A65"/>
    <w:rsid w:val="000A4DFC"/>
    <w:rsid w:val="000A61A7"/>
    <w:rsid w:val="000A6A65"/>
    <w:rsid w:val="000B2B5F"/>
    <w:rsid w:val="000B5046"/>
    <w:rsid w:val="000B50A0"/>
    <w:rsid w:val="000C5D93"/>
    <w:rsid w:val="000D0BA7"/>
    <w:rsid w:val="000D165E"/>
    <w:rsid w:val="000D2A1C"/>
    <w:rsid w:val="000D35A0"/>
    <w:rsid w:val="000D3FC9"/>
    <w:rsid w:val="000D70D3"/>
    <w:rsid w:val="000D7DEF"/>
    <w:rsid w:val="000E26B0"/>
    <w:rsid w:val="000E4767"/>
    <w:rsid w:val="000E60BB"/>
    <w:rsid w:val="000E621A"/>
    <w:rsid w:val="000F29FD"/>
    <w:rsid w:val="000F54E6"/>
    <w:rsid w:val="000F7011"/>
    <w:rsid w:val="001027AF"/>
    <w:rsid w:val="001061A6"/>
    <w:rsid w:val="00121D0A"/>
    <w:rsid w:val="001279B0"/>
    <w:rsid w:val="00132F3C"/>
    <w:rsid w:val="001365F8"/>
    <w:rsid w:val="00141334"/>
    <w:rsid w:val="00141E31"/>
    <w:rsid w:val="00143689"/>
    <w:rsid w:val="001452E6"/>
    <w:rsid w:val="00145C87"/>
    <w:rsid w:val="001508A9"/>
    <w:rsid w:val="001535E7"/>
    <w:rsid w:val="0015426E"/>
    <w:rsid w:val="00155F92"/>
    <w:rsid w:val="00160F58"/>
    <w:rsid w:val="00163523"/>
    <w:rsid w:val="00163CF3"/>
    <w:rsid w:val="0017268E"/>
    <w:rsid w:val="0017276F"/>
    <w:rsid w:val="00174785"/>
    <w:rsid w:val="001753BC"/>
    <w:rsid w:val="001812AA"/>
    <w:rsid w:val="0018504E"/>
    <w:rsid w:val="001903F4"/>
    <w:rsid w:val="00190458"/>
    <w:rsid w:val="00190755"/>
    <w:rsid w:val="00191B9C"/>
    <w:rsid w:val="00196133"/>
    <w:rsid w:val="001963AF"/>
    <w:rsid w:val="001A2AF3"/>
    <w:rsid w:val="001A66BA"/>
    <w:rsid w:val="001A7CE3"/>
    <w:rsid w:val="001C09DA"/>
    <w:rsid w:val="001C2498"/>
    <w:rsid w:val="001D3C73"/>
    <w:rsid w:val="001E3ABA"/>
    <w:rsid w:val="001E4E10"/>
    <w:rsid w:val="001E6D7F"/>
    <w:rsid w:val="001F2FEB"/>
    <w:rsid w:val="001F4192"/>
    <w:rsid w:val="0020410A"/>
    <w:rsid w:val="00205C70"/>
    <w:rsid w:val="00210971"/>
    <w:rsid w:val="00212112"/>
    <w:rsid w:val="00220947"/>
    <w:rsid w:val="00221A47"/>
    <w:rsid w:val="0022531D"/>
    <w:rsid w:val="002310A5"/>
    <w:rsid w:val="00232016"/>
    <w:rsid w:val="002332B3"/>
    <w:rsid w:val="00237717"/>
    <w:rsid w:val="00237B77"/>
    <w:rsid w:val="0024095F"/>
    <w:rsid w:val="00246AAF"/>
    <w:rsid w:val="00254094"/>
    <w:rsid w:val="002550CF"/>
    <w:rsid w:val="0025658D"/>
    <w:rsid w:val="0027128C"/>
    <w:rsid w:val="00271319"/>
    <w:rsid w:val="00272F79"/>
    <w:rsid w:val="0028042B"/>
    <w:rsid w:val="002817D7"/>
    <w:rsid w:val="00287753"/>
    <w:rsid w:val="00296450"/>
    <w:rsid w:val="002A3B3C"/>
    <w:rsid w:val="002A649C"/>
    <w:rsid w:val="002B2227"/>
    <w:rsid w:val="002B5BA8"/>
    <w:rsid w:val="002B79EF"/>
    <w:rsid w:val="002C0801"/>
    <w:rsid w:val="002C71DA"/>
    <w:rsid w:val="002D2BCE"/>
    <w:rsid w:val="002D79FC"/>
    <w:rsid w:val="002E409B"/>
    <w:rsid w:val="002E7151"/>
    <w:rsid w:val="002F43AF"/>
    <w:rsid w:val="002F5344"/>
    <w:rsid w:val="0031311D"/>
    <w:rsid w:val="00315227"/>
    <w:rsid w:val="00321FF9"/>
    <w:rsid w:val="00325B3C"/>
    <w:rsid w:val="00331267"/>
    <w:rsid w:val="00331DC8"/>
    <w:rsid w:val="00333408"/>
    <w:rsid w:val="0033483B"/>
    <w:rsid w:val="003359B0"/>
    <w:rsid w:val="0034313A"/>
    <w:rsid w:val="00343A34"/>
    <w:rsid w:val="00354B28"/>
    <w:rsid w:val="003576E9"/>
    <w:rsid w:val="00362F54"/>
    <w:rsid w:val="0036624B"/>
    <w:rsid w:val="00370F5E"/>
    <w:rsid w:val="00371CEE"/>
    <w:rsid w:val="00373B6A"/>
    <w:rsid w:val="00373C4D"/>
    <w:rsid w:val="0039000F"/>
    <w:rsid w:val="00391BCD"/>
    <w:rsid w:val="00393342"/>
    <w:rsid w:val="003A273C"/>
    <w:rsid w:val="003A5CE4"/>
    <w:rsid w:val="003A7D75"/>
    <w:rsid w:val="003B1002"/>
    <w:rsid w:val="003B3A3A"/>
    <w:rsid w:val="003B676B"/>
    <w:rsid w:val="003B72BE"/>
    <w:rsid w:val="003B7F4B"/>
    <w:rsid w:val="003C04AF"/>
    <w:rsid w:val="003C233A"/>
    <w:rsid w:val="003D28B5"/>
    <w:rsid w:val="003D39C0"/>
    <w:rsid w:val="003D3C7A"/>
    <w:rsid w:val="003D4148"/>
    <w:rsid w:val="003E1854"/>
    <w:rsid w:val="003E2636"/>
    <w:rsid w:val="003F7C2E"/>
    <w:rsid w:val="004025A5"/>
    <w:rsid w:val="00402CD6"/>
    <w:rsid w:val="00404856"/>
    <w:rsid w:val="00404D91"/>
    <w:rsid w:val="00407AF1"/>
    <w:rsid w:val="00411AD6"/>
    <w:rsid w:val="00411E11"/>
    <w:rsid w:val="0041778F"/>
    <w:rsid w:val="00420C22"/>
    <w:rsid w:val="00421321"/>
    <w:rsid w:val="00426B6F"/>
    <w:rsid w:val="00436DBD"/>
    <w:rsid w:val="004449CA"/>
    <w:rsid w:val="00446A68"/>
    <w:rsid w:val="0044776D"/>
    <w:rsid w:val="004478E2"/>
    <w:rsid w:val="00450F16"/>
    <w:rsid w:val="004627E9"/>
    <w:rsid w:val="0046345A"/>
    <w:rsid w:val="00477960"/>
    <w:rsid w:val="004800DA"/>
    <w:rsid w:val="00484126"/>
    <w:rsid w:val="004847B4"/>
    <w:rsid w:val="00493F90"/>
    <w:rsid w:val="00494AB9"/>
    <w:rsid w:val="004A2B24"/>
    <w:rsid w:val="004A4DAC"/>
    <w:rsid w:val="004A4F23"/>
    <w:rsid w:val="004A7185"/>
    <w:rsid w:val="004B2F02"/>
    <w:rsid w:val="004B7A9A"/>
    <w:rsid w:val="004C4B3C"/>
    <w:rsid w:val="004D1801"/>
    <w:rsid w:val="004D21B2"/>
    <w:rsid w:val="004E22BA"/>
    <w:rsid w:val="004E7E90"/>
    <w:rsid w:val="004F00B1"/>
    <w:rsid w:val="004F0BB2"/>
    <w:rsid w:val="004F2687"/>
    <w:rsid w:val="004F45FE"/>
    <w:rsid w:val="004F6142"/>
    <w:rsid w:val="0050229E"/>
    <w:rsid w:val="005067DF"/>
    <w:rsid w:val="00511BDF"/>
    <w:rsid w:val="00513EFD"/>
    <w:rsid w:val="0051473D"/>
    <w:rsid w:val="00515E0E"/>
    <w:rsid w:val="005167F2"/>
    <w:rsid w:val="00523CD5"/>
    <w:rsid w:val="005314D7"/>
    <w:rsid w:val="00536A33"/>
    <w:rsid w:val="00536EF0"/>
    <w:rsid w:val="0054428C"/>
    <w:rsid w:val="00544A1C"/>
    <w:rsid w:val="00552873"/>
    <w:rsid w:val="00552C7A"/>
    <w:rsid w:val="00555847"/>
    <w:rsid w:val="00560FBB"/>
    <w:rsid w:val="005625B3"/>
    <w:rsid w:val="00562E1C"/>
    <w:rsid w:val="0056765B"/>
    <w:rsid w:val="00572E71"/>
    <w:rsid w:val="00575E07"/>
    <w:rsid w:val="00577CB7"/>
    <w:rsid w:val="00581BC2"/>
    <w:rsid w:val="0059163C"/>
    <w:rsid w:val="00593995"/>
    <w:rsid w:val="005940EF"/>
    <w:rsid w:val="00594C0E"/>
    <w:rsid w:val="00596685"/>
    <w:rsid w:val="00596F12"/>
    <w:rsid w:val="005A5F11"/>
    <w:rsid w:val="005A6F2A"/>
    <w:rsid w:val="005B41EF"/>
    <w:rsid w:val="005B5B8F"/>
    <w:rsid w:val="005C2132"/>
    <w:rsid w:val="005C5C10"/>
    <w:rsid w:val="005C78F7"/>
    <w:rsid w:val="005C7B4B"/>
    <w:rsid w:val="005C7F66"/>
    <w:rsid w:val="005D06D1"/>
    <w:rsid w:val="005D1F22"/>
    <w:rsid w:val="005E430E"/>
    <w:rsid w:val="005E75CD"/>
    <w:rsid w:val="005F03DB"/>
    <w:rsid w:val="005F2545"/>
    <w:rsid w:val="005F2CC1"/>
    <w:rsid w:val="005F387E"/>
    <w:rsid w:val="005F42EA"/>
    <w:rsid w:val="006008D1"/>
    <w:rsid w:val="00605C07"/>
    <w:rsid w:val="0061348C"/>
    <w:rsid w:val="0061413C"/>
    <w:rsid w:val="006158DF"/>
    <w:rsid w:val="00626F67"/>
    <w:rsid w:val="00630495"/>
    <w:rsid w:val="00644BF3"/>
    <w:rsid w:val="0065388B"/>
    <w:rsid w:val="00655218"/>
    <w:rsid w:val="00657C9A"/>
    <w:rsid w:val="0066046E"/>
    <w:rsid w:val="0067093F"/>
    <w:rsid w:val="0067146A"/>
    <w:rsid w:val="00673E5D"/>
    <w:rsid w:val="00680E03"/>
    <w:rsid w:val="006822D4"/>
    <w:rsid w:val="00690413"/>
    <w:rsid w:val="00690879"/>
    <w:rsid w:val="00691FAF"/>
    <w:rsid w:val="0069272D"/>
    <w:rsid w:val="00693E33"/>
    <w:rsid w:val="006957EE"/>
    <w:rsid w:val="006969E5"/>
    <w:rsid w:val="0069706B"/>
    <w:rsid w:val="006A17B9"/>
    <w:rsid w:val="006A1829"/>
    <w:rsid w:val="006A31DF"/>
    <w:rsid w:val="006B02F8"/>
    <w:rsid w:val="006B1464"/>
    <w:rsid w:val="006B3710"/>
    <w:rsid w:val="006B52E8"/>
    <w:rsid w:val="006B7845"/>
    <w:rsid w:val="006C0F34"/>
    <w:rsid w:val="006C11E9"/>
    <w:rsid w:val="006C78A3"/>
    <w:rsid w:val="006C7C6D"/>
    <w:rsid w:val="006D3BD3"/>
    <w:rsid w:val="006D3F1F"/>
    <w:rsid w:val="006F240C"/>
    <w:rsid w:val="006F2BB4"/>
    <w:rsid w:val="006F6778"/>
    <w:rsid w:val="006F72EB"/>
    <w:rsid w:val="007030AA"/>
    <w:rsid w:val="00704FD2"/>
    <w:rsid w:val="00714D21"/>
    <w:rsid w:val="00714FAB"/>
    <w:rsid w:val="00716183"/>
    <w:rsid w:val="007179BC"/>
    <w:rsid w:val="00720557"/>
    <w:rsid w:val="00722DBE"/>
    <w:rsid w:val="00722FAF"/>
    <w:rsid w:val="00726725"/>
    <w:rsid w:val="00733AF1"/>
    <w:rsid w:val="007340DC"/>
    <w:rsid w:val="00736D7E"/>
    <w:rsid w:val="007401CD"/>
    <w:rsid w:val="00754702"/>
    <w:rsid w:val="007577CF"/>
    <w:rsid w:val="00761A5E"/>
    <w:rsid w:val="00767D03"/>
    <w:rsid w:val="00770AF4"/>
    <w:rsid w:val="00775EF0"/>
    <w:rsid w:val="007906E7"/>
    <w:rsid w:val="00794D46"/>
    <w:rsid w:val="007960E3"/>
    <w:rsid w:val="007A0AA3"/>
    <w:rsid w:val="007A4EB7"/>
    <w:rsid w:val="007A5127"/>
    <w:rsid w:val="007A5D91"/>
    <w:rsid w:val="007A6CBE"/>
    <w:rsid w:val="007B1DAE"/>
    <w:rsid w:val="007B28F4"/>
    <w:rsid w:val="007B7A0A"/>
    <w:rsid w:val="007C358D"/>
    <w:rsid w:val="007D020C"/>
    <w:rsid w:val="007D4B39"/>
    <w:rsid w:val="007E10D6"/>
    <w:rsid w:val="007E1DE4"/>
    <w:rsid w:val="007E4FC8"/>
    <w:rsid w:val="007E6A43"/>
    <w:rsid w:val="007F3E48"/>
    <w:rsid w:val="007F5525"/>
    <w:rsid w:val="00800AC5"/>
    <w:rsid w:val="00800D0D"/>
    <w:rsid w:val="00807F07"/>
    <w:rsid w:val="00812F25"/>
    <w:rsid w:val="0084022E"/>
    <w:rsid w:val="00840900"/>
    <w:rsid w:val="00843B6C"/>
    <w:rsid w:val="008442A9"/>
    <w:rsid w:val="00850087"/>
    <w:rsid w:val="008619B6"/>
    <w:rsid w:val="008660AE"/>
    <w:rsid w:val="00875709"/>
    <w:rsid w:val="008843AA"/>
    <w:rsid w:val="00884BB5"/>
    <w:rsid w:val="00885EBC"/>
    <w:rsid w:val="00887B47"/>
    <w:rsid w:val="008955C7"/>
    <w:rsid w:val="008A4DF6"/>
    <w:rsid w:val="008A4F7B"/>
    <w:rsid w:val="008A5878"/>
    <w:rsid w:val="008A5F2F"/>
    <w:rsid w:val="008B0BA2"/>
    <w:rsid w:val="008B3093"/>
    <w:rsid w:val="008B662B"/>
    <w:rsid w:val="008C0DFB"/>
    <w:rsid w:val="008C2E90"/>
    <w:rsid w:val="008D2575"/>
    <w:rsid w:val="008D2934"/>
    <w:rsid w:val="008D4630"/>
    <w:rsid w:val="008D6372"/>
    <w:rsid w:val="008D7C5D"/>
    <w:rsid w:val="008F4BA5"/>
    <w:rsid w:val="008F5873"/>
    <w:rsid w:val="008F6A03"/>
    <w:rsid w:val="008F6AD3"/>
    <w:rsid w:val="009002A0"/>
    <w:rsid w:val="00901964"/>
    <w:rsid w:val="00903C92"/>
    <w:rsid w:val="0090463D"/>
    <w:rsid w:val="009071A2"/>
    <w:rsid w:val="009076F0"/>
    <w:rsid w:val="00910090"/>
    <w:rsid w:val="0091098A"/>
    <w:rsid w:val="0091598A"/>
    <w:rsid w:val="00916D4E"/>
    <w:rsid w:val="00917C78"/>
    <w:rsid w:val="0092087F"/>
    <w:rsid w:val="009242B8"/>
    <w:rsid w:val="00930C08"/>
    <w:rsid w:val="009313D0"/>
    <w:rsid w:val="0093425B"/>
    <w:rsid w:val="009401D3"/>
    <w:rsid w:val="009407A2"/>
    <w:rsid w:val="009456FC"/>
    <w:rsid w:val="0094642A"/>
    <w:rsid w:val="009719F5"/>
    <w:rsid w:val="009724C3"/>
    <w:rsid w:val="0097427F"/>
    <w:rsid w:val="0097650A"/>
    <w:rsid w:val="00976636"/>
    <w:rsid w:val="009800C1"/>
    <w:rsid w:val="0098658C"/>
    <w:rsid w:val="00987D68"/>
    <w:rsid w:val="0099068C"/>
    <w:rsid w:val="00991DDD"/>
    <w:rsid w:val="00993996"/>
    <w:rsid w:val="009A5D0B"/>
    <w:rsid w:val="009A6D83"/>
    <w:rsid w:val="009B4315"/>
    <w:rsid w:val="009C06BC"/>
    <w:rsid w:val="009D3385"/>
    <w:rsid w:val="009D340F"/>
    <w:rsid w:val="009D5366"/>
    <w:rsid w:val="009D5CCB"/>
    <w:rsid w:val="009D7D35"/>
    <w:rsid w:val="009E54EB"/>
    <w:rsid w:val="009E72D6"/>
    <w:rsid w:val="009F2F7C"/>
    <w:rsid w:val="009F487B"/>
    <w:rsid w:val="009F64BA"/>
    <w:rsid w:val="00A14141"/>
    <w:rsid w:val="00A20E2C"/>
    <w:rsid w:val="00A21B7F"/>
    <w:rsid w:val="00A22805"/>
    <w:rsid w:val="00A3437D"/>
    <w:rsid w:val="00A40F44"/>
    <w:rsid w:val="00A4129B"/>
    <w:rsid w:val="00A47C77"/>
    <w:rsid w:val="00A510BC"/>
    <w:rsid w:val="00A547AB"/>
    <w:rsid w:val="00A618B1"/>
    <w:rsid w:val="00A62B3F"/>
    <w:rsid w:val="00A62F21"/>
    <w:rsid w:val="00A66863"/>
    <w:rsid w:val="00A66FEC"/>
    <w:rsid w:val="00A73125"/>
    <w:rsid w:val="00A74683"/>
    <w:rsid w:val="00A80510"/>
    <w:rsid w:val="00A87F78"/>
    <w:rsid w:val="00A87FAD"/>
    <w:rsid w:val="00AA1C34"/>
    <w:rsid w:val="00AA2224"/>
    <w:rsid w:val="00AB0191"/>
    <w:rsid w:val="00AC14BB"/>
    <w:rsid w:val="00AC4BE2"/>
    <w:rsid w:val="00AC61BA"/>
    <w:rsid w:val="00AC69EB"/>
    <w:rsid w:val="00AD0852"/>
    <w:rsid w:val="00AD268B"/>
    <w:rsid w:val="00AD5C42"/>
    <w:rsid w:val="00AE0224"/>
    <w:rsid w:val="00AE1320"/>
    <w:rsid w:val="00AE7C2D"/>
    <w:rsid w:val="00AF7B77"/>
    <w:rsid w:val="00B04C76"/>
    <w:rsid w:val="00B051F3"/>
    <w:rsid w:val="00B05700"/>
    <w:rsid w:val="00B12275"/>
    <w:rsid w:val="00B24841"/>
    <w:rsid w:val="00B2768D"/>
    <w:rsid w:val="00B3005A"/>
    <w:rsid w:val="00B3017A"/>
    <w:rsid w:val="00B30D37"/>
    <w:rsid w:val="00B3248A"/>
    <w:rsid w:val="00B33DB5"/>
    <w:rsid w:val="00B364B5"/>
    <w:rsid w:val="00B36E86"/>
    <w:rsid w:val="00B46BD4"/>
    <w:rsid w:val="00B5065D"/>
    <w:rsid w:val="00B529F0"/>
    <w:rsid w:val="00B52D86"/>
    <w:rsid w:val="00B643E5"/>
    <w:rsid w:val="00B65360"/>
    <w:rsid w:val="00B66C11"/>
    <w:rsid w:val="00B703DD"/>
    <w:rsid w:val="00B77601"/>
    <w:rsid w:val="00B77AFE"/>
    <w:rsid w:val="00B77C80"/>
    <w:rsid w:val="00B81F41"/>
    <w:rsid w:val="00B86F9F"/>
    <w:rsid w:val="00B97261"/>
    <w:rsid w:val="00B97A76"/>
    <w:rsid w:val="00BA1629"/>
    <w:rsid w:val="00BA2FCC"/>
    <w:rsid w:val="00BA4823"/>
    <w:rsid w:val="00BB4300"/>
    <w:rsid w:val="00BB48FE"/>
    <w:rsid w:val="00BB4A16"/>
    <w:rsid w:val="00BB6D52"/>
    <w:rsid w:val="00BC19AF"/>
    <w:rsid w:val="00BD0C2B"/>
    <w:rsid w:val="00BE059E"/>
    <w:rsid w:val="00BE1EA7"/>
    <w:rsid w:val="00BE2EA3"/>
    <w:rsid w:val="00BE4714"/>
    <w:rsid w:val="00BE5445"/>
    <w:rsid w:val="00BF2F03"/>
    <w:rsid w:val="00C018B0"/>
    <w:rsid w:val="00C07005"/>
    <w:rsid w:val="00C14F2F"/>
    <w:rsid w:val="00C3108D"/>
    <w:rsid w:val="00C31229"/>
    <w:rsid w:val="00C350B1"/>
    <w:rsid w:val="00C468D8"/>
    <w:rsid w:val="00C46AC9"/>
    <w:rsid w:val="00C5157A"/>
    <w:rsid w:val="00C55D3B"/>
    <w:rsid w:val="00C575FD"/>
    <w:rsid w:val="00C67949"/>
    <w:rsid w:val="00C72A38"/>
    <w:rsid w:val="00C76682"/>
    <w:rsid w:val="00C8029D"/>
    <w:rsid w:val="00C80DE5"/>
    <w:rsid w:val="00C850BB"/>
    <w:rsid w:val="00C87B33"/>
    <w:rsid w:val="00C923BA"/>
    <w:rsid w:val="00C96AF4"/>
    <w:rsid w:val="00CA32D5"/>
    <w:rsid w:val="00CA4DCE"/>
    <w:rsid w:val="00CB290C"/>
    <w:rsid w:val="00CB6254"/>
    <w:rsid w:val="00CC0AF8"/>
    <w:rsid w:val="00CC0F8B"/>
    <w:rsid w:val="00CC5393"/>
    <w:rsid w:val="00CC5AED"/>
    <w:rsid w:val="00CD111F"/>
    <w:rsid w:val="00CE063E"/>
    <w:rsid w:val="00CE3A73"/>
    <w:rsid w:val="00CE3E60"/>
    <w:rsid w:val="00CE47BD"/>
    <w:rsid w:val="00CE6758"/>
    <w:rsid w:val="00CF6B29"/>
    <w:rsid w:val="00D02636"/>
    <w:rsid w:val="00D03939"/>
    <w:rsid w:val="00D04694"/>
    <w:rsid w:val="00D24859"/>
    <w:rsid w:val="00D24916"/>
    <w:rsid w:val="00D251CB"/>
    <w:rsid w:val="00D26334"/>
    <w:rsid w:val="00D272C5"/>
    <w:rsid w:val="00D354A9"/>
    <w:rsid w:val="00D36409"/>
    <w:rsid w:val="00D41BBF"/>
    <w:rsid w:val="00D41CFE"/>
    <w:rsid w:val="00D44850"/>
    <w:rsid w:val="00D45E3C"/>
    <w:rsid w:val="00D478A8"/>
    <w:rsid w:val="00D521E4"/>
    <w:rsid w:val="00D523E5"/>
    <w:rsid w:val="00D52E4C"/>
    <w:rsid w:val="00D56782"/>
    <w:rsid w:val="00D629E4"/>
    <w:rsid w:val="00D634C3"/>
    <w:rsid w:val="00D65596"/>
    <w:rsid w:val="00D65752"/>
    <w:rsid w:val="00D72668"/>
    <w:rsid w:val="00D82423"/>
    <w:rsid w:val="00D82A23"/>
    <w:rsid w:val="00D82E8C"/>
    <w:rsid w:val="00D84A37"/>
    <w:rsid w:val="00D8648E"/>
    <w:rsid w:val="00D868B3"/>
    <w:rsid w:val="00DB1157"/>
    <w:rsid w:val="00DB4646"/>
    <w:rsid w:val="00DC1487"/>
    <w:rsid w:val="00DD4E7C"/>
    <w:rsid w:val="00DD6276"/>
    <w:rsid w:val="00DF2C7F"/>
    <w:rsid w:val="00DF48A2"/>
    <w:rsid w:val="00DF4942"/>
    <w:rsid w:val="00DF7719"/>
    <w:rsid w:val="00E052D6"/>
    <w:rsid w:val="00E1379F"/>
    <w:rsid w:val="00E14533"/>
    <w:rsid w:val="00E16182"/>
    <w:rsid w:val="00E16A2C"/>
    <w:rsid w:val="00E16F09"/>
    <w:rsid w:val="00E222C4"/>
    <w:rsid w:val="00E22807"/>
    <w:rsid w:val="00E24B03"/>
    <w:rsid w:val="00E3188D"/>
    <w:rsid w:val="00E33FBB"/>
    <w:rsid w:val="00E42765"/>
    <w:rsid w:val="00E43FC3"/>
    <w:rsid w:val="00E601E1"/>
    <w:rsid w:val="00E64D38"/>
    <w:rsid w:val="00E657E8"/>
    <w:rsid w:val="00E6642A"/>
    <w:rsid w:val="00E66B3A"/>
    <w:rsid w:val="00E670D0"/>
    <w:rsid w:val="00E701E3"/>
    <w:rsid w:val="00E718EA"/>
    <w:rsid w:val="00E73025"/>
    <w:rsid w:val="00E74B75"/>
    <w:rsid w:val="00E82AE4"/>
    <w:rsid w:val="00E84DF8"/>
    <w:rsid w:val="00E85351"/>
    <w:rsid w:val="00E90CC2"/>
    <w:rsid w:val="00E935FC"/>
    <w:rsid w:val="00EA0762"/>
    <w:rsid w:val="00EA50A2"/>
    <w:rsid w:val="00EA6A15"/>
    <w:rsid w:val="00EB21E3"/>
    <w:rsid w:val="00EB3212"/>
    <w:rsid w:val="00EC34D5"/>
    <w:rsid w:val="00EC685B"/>
    <w:rsid w:val="00ED35F6"/>
    <w:rsid w:val="00ED3749"/>
    <w:rsid w:val="00ED4DB8"/>
    <w:rsid w:val="00ED6237"/>
    <w:rsid w:val="00EE1EFD"/>
    <w:rsid w:val="00EE64D9"/>
    <w:rsid w:val="00EE7071"/>
    <w:rsid w:val="00EF0665"/>
    <w:rsid w:val="00F009E3"/>
    <w:rsid w:val="00F00D0D"/>
    <w:rsid w:val="00F16038"/>
    <w:rsid w:val="00F17646"/>
    <w:rsid w:val="00F21F9B"/>
    <w:rsid w:val="00F24023"/>
    <w:rsid w:val="00F24297"/>
    <w:rsid w:val="00F26069"/>
    <w:rsid w:val="00F26A74"/>
    <w:rsid w:val="00F270A3"/>
    <w:rsid w:val="00F379D0"/>
    <w:rsid w:val="00F5168B"/>
    <w:rsid w:val="00F52AC7"/>
    <w:rsid w:val="00F533D4"/>
    <w:rsid w:val="00F55EBD"/>
    <w:rsid w:val="00F6521C"/>
    <w:rsid w:val="00F67179"/>
    <w:rsid w:val="00F73B5A"/>
    <w:rsid w:val="00F759AF"/>
    <w:rsid w:val="00F76C19"/>
    <w:rsid w:val="00F81D26"/>
    <w:rsid w:val="00F90D0C"/>
    <w:rsid w:val="00F9624B"/>
    <w:rsid w:val="00FB0663"/>
    <w:rsid w:val="00FB62AB"/>
    <w:rsid w:val="00FB6DFC"/>
    <w:rsid w:val="00FC2CEB"/>
    <w:rsid w:val="00FC4967"/>
    <w:rsid w:val="00FC6539"/>
    <w:rsid w:val="00FD458E"/>
    <w:rsid w:val="00FD565F"/>
    <w:rsid w:val="00FE1DFE"/>
    <w:rsid w:val="00FE488F"/>
    <w:rsid w:val="00FE7943"/>
    <w:rsid w:val="00FF1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4236BE"/>
  <w15:docId w15:val="{0C13AC45-C135-4039-AB80-1C350B0B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885EBC"/>
    <w:pPr>
      <w:jc w:val="center"/>
    </w:pPr>
    <w:rPr>
      <w:rFonts w:ascii="Book Antiqua" w:hAnsi="Book Antiqua"/>
      <w:noProof/>
      <w:sz w:val="24"/>
    </w:rPr>
  </w:style>
  <w:style w:type="character" w:customStyle="1" w:styleId="EndNoteBibliographyTitle0">
    <w:name w:val="EndNote Bibliography Title (文字)"/>
    <w:basedOn w:val="a0"/>
    <w:link w:val="EndNoteBibliographyTitle"/>
    <w:rsid w:val="00885EBC"/>
    <w:rPr>
      <w:rFonts w:ascii="Book Antiqua" w:hAnsi="Book Antiqua"/>
      <w:noProof/>
      <w:sz w:val="24"/>
    </w:rPr>
  </w:style>
  <w:style w:type="paragraph" w:customStyle="1" w:styleId="EndNoteBibliography">
    <w:name w:val="EndNote Bibliography"/>
    <w:basedOn w:val="a"/>
    <w:link w:val="EndNoteBibliography0"/>
    <w:rsid w:val="00885EBC"/>
    <w:pPr>
      <w:spacing w:line="360" w:lineRule="auto"/>
    </w:pPr>
    <w:rPr>
      <w:rFonts w:ascii="Book Antiqua" w:hAnsi="Book Antiqua"/>
      <w:noProof/>
      <w:sz w:val="24"/>
    </w:rPr>
  </w:style>
  <w:style w:type="character" w:customStyle="1" w:styleId="EndNoteBibliography0">
    <w:name w:val="EndNote Bibliography (文字)"/>
    <w:basedOn w:val="a0"/>
    <w:link w:val="EndNoteBibliography"/>
    <w:rsid w:val="00885EBC"/>
    <w:rPr>
      <w:rFonts w:ascii="Book Antiqua" w:hAnsi="Book Antiqua"/>
      <w:noProof/>
      <w:sz w:val="24"/>
    </w:rPr>
  </w:style>
  <w:style w:type="character" w:styleId="a3">
    <w:name w:val="Emphasis"/>
    <w:basedOn w:val="a0"/>
    <w:uiPriority w:val="20"/>
    <w:qFormat/>
    <w:rsid w:val="00011F5D"/>
    <w:rPr>
      <w:i/>
      <w:iCs/>
    </w:rPr>
  </w:style>
  <w:style w:type="paragraph" w:styleId="a4">
    <w:name w:val="header"/>
    <w:basedOn w:val="a"/>
    <w:link w:val="a5"/>
    <w:uiPriority w:val="99"/>
    <w:unhideWhenUsed/>
    <w:rsid w:val="00DD4E7C"/>
    <w:pPr>
      <w:tabs>
        <w:tab w:val="center" w:pos="4252"/>
        <w:tab w:val="right" w:pos="8504"/>
      </w:tabs>
      <w:snapToGrid w:val="0"/>
    </w:pPr>
  </w:style>
  <w:style w:type="character" w:customStyle="1" w:styleId="a5">
    <w:name w:val="页眉 字符"/>
    <w:basedOn w:val="a0"/>
    <w:link w:val="a4"/>
    <w:uiPriority w:val="99"/>
    <w:rsid w:val="00DD4E7C"/>
  </w:style>
  <w:style w:type="paragraph" w:styleId="a6">
    <w:name w:val="footer"/>
    <w:basedOn w:val="a"/>
    <w:link w:val="a7"/>
    <w:uiPriority w:val="99"/>
    <w:unhideWhenUsed/>
    <w:rsid w:val="00DD4E7C"/>
    <w:pPr>
      <w:tabs>
        <w:tab w:val="center" w:pos="4252"/>
        <w:tab w:val="right" w:pos="8504"/>
      </w:tabs>
      <w:snapToGrid w:val="0"/>
    </w:pPr>
  </w:style>
  <w:style w:type="character" w:customStyle="1" w:styleId="a7">
    <w:name w:val="页脚 字符"/>
    <w:basedOn w:val="a0"/>
    <w:link w:val="a6"/>
    <w:uiPriority w:val="99"/>
    <w:rsid w:val="00DD4E7C"/>
  </w:style>
  <w:style w:type="character" w:styleId="a8">
    <w:name w:val="Hyperlink"/>
    <w:basedOn w:val="a0"/>
    <w:uiPriority w:val="99"/>
    <w:semiHidden/>
    <w:unhideWhenUsed/>
    <w:rsid w:val="000F54E6"/>
    <w:rPr>
      <w:color w:val="0000FF"/>
      <w:u w:val="single"/>
    </w:rPr>
  </w:style>
  <w:style w:type="character" w:styleId="a9">
    <w:name w:val="annotation reference"/>
    <w:basedOn w:val="a0"/>
    <w:uiPriority w:val="99"/>
    <w:semiHidden/>
    <w:unhideWhenUsed/>
    <w:rsid w:val="00436DBD"/>
    <w:rPr>
      <w:sz w:val="16"/>
      <w:szCs w:val="16"/>
    </w:rPr>
  </w:style>
  <w:style w:type="paragraph" w:styleId="aa">
    <w:name w:val="annotation text"/>
    <w:basedOn w:val="a"/>
    <w:link w:val="ab"/>
    <w:uiPriority w:val="99"/>
    <w:semiHidden/>
    <w:unhideWhenUsed/>
    <w:rsid w:val="00436DBD"/>
    <w:rPr>
      <w:sz w:val="20"/>
      <w:szCs w:val="20"/>
    </w:rPr>
  </w:style>
  <w:style w:type="character" w:customStyle="1" w:styleId="ab">
    <w:name w:val="批注文字 字符"/>
    <w:basedOn w:val="a0"/>
    <w:link w:val="aa"/>
    <w:uiPriority w:val="99"/>
    <w:semiHidden/>
    <w:rsid w:val="00436DBD"/>
    <w:rPr>
      <w:sz w:val="20"/>
      <w:szCs w:val="20"/>
    </w:rPr>
  </w:style>
  <w:style w:type="paragraph" w:styleId="ac">
    <w:name w:val="annotation subject"/>
    <w:basedOn w:val="aa"/>
    <w:next w:val="aa"/>
    <w:link w:val="ad"/>
    <w:uiPriority w:val="99"/>
    <w:semiHidden/>
    <w:unhideWhenUsed/>
    <w:rsid w:val="00436DBD"/>
    <w:rPr>
      <w:b/>
      <w:bCs/>
    </w:rPr>
  </w:style>
  <w:style w:type="character" w:customStyle="1" w:styleId="ad">
    <w:name w:val="批注主题 字符"/>
    <w:basedOn w:val="ab"/>
    <w:link w:val="ac"/>
    <w:uiPriority w:val="99"/>
    <w:semiHidden/>
    <w:rsid w:val="00436DBD"/>
    <w:rPr>
      <w:b/>
      <w:bCs/>
      <w:sz w:val="20"/>
      <w:szCs w:val="20"/>
    </w:rPr>
  </w:style>
  <w:style w:type="paragraph" w:styleId="ae">
    <w:name w:val="Balloon Text"/>
    <w:basedOn w:val="a"/>
    <w:link w:val="af"/>
    <w:uiPriority w:val="99"/>
    <w:semiHidden/>
    <w:unhideWhenUsed/>
    <w:rsid w:val="00436DBD"/>
    <w:rPr>
      <w:rFonts w:ascii="Segoe UI" w:hAnsi="Segoe UI" w:cs="Segoe UI"/>
      <w:sz w:val="18"/>
      <w:szCs w:val="18"/>
    </w:rPr>
  </w:style>
  <w:style w:type="character" w:customStyle="1" w:styleId="af">
    <w:name w:val="批注框文本 字符"/>
    <w:basedOn w:val="a0"/>
    <w:link w:val="ae"/>
    <w:uiPriority w:val="99"/>
    <w:semiHidden/>
    <w:rsid w:val="00436DBD"/>
    <w:rPr>
      <w:rFonts w:ascii="Segoe UI" w:hAnsi="Segoe UI" w:cs="Segoe UI"/>
      <w:sz w:val="18"/>
      <w:szCs w:val="18"/>
    </w:rPr>
  </w:style>
  <w:style w:type="paragraph" w:styleId="af0">
    <w:name w:val="Normal (Web)"/>
    <w:basedOn w:val="a"/>
    <w:uiPriority w:val="99"/>
    <w:unhideWhenUsed/>
    <w:rsid w:val="00163523"/>
    <w:pPr>
      <w:widowControl/>
      <w:spacing w:before="100" w:beforeAutospacing="1" w:after="100" w:afterAutospacing="1"/>
      <w:jc w:val="left"/>
    </w:pPr>
    <w:rPr>
      <w:rFonts w:ascii="MS PGothic" w:eastAsia="MS PGothic" w:hAnsi="MS PGothic" w:cs="MS PGothic"/>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712">
      <w:bodyDiv w:val="1"/>
      <w:marLeft w:val="0"/>
      <w:marRight w:val="0"/>
      <w:marTop w:val="0"/>
      <w:marBottom w:val="0"/>
      <w:divBdr>
        <w:top w:val="none" w:sz="0" w:space="0" w:color="auto"/>
        <w:left w:val="none" w:sz="0" w:space="0" w:color="auto"/>
        <w:bottom w:val="none" w:sz="0" w:space="0" w:color="auto"/>
        <w:right w:val="none" w:sz="0" w:space="0" w:color="auto"/>
      </w:divBdr>
      <w:divsChild>
        <w:div w:id="1300456589">
          <w:marLeft w:val="0"/>
          <w:marRight w:val="0"/>
          <w:marTop w:val="0"/>
          <w:marBottom w:val="0"/>
          <w:divBdr>
            <w:top w:val="none" w:sz="0" w:space="0" w:color="auto"/>
            <w:left w:val="none" w:sz="0" w:space="0" w:color="auto"/>
            <w:bottom w:val="none" w:sz="0" w:space="0" w:color="auto"/>
            <w:right w:val="none" w:sz="0" w:space="0" w:color="auto"/>
          </w:divBdr>
        </w:div>
        <w:div w:id="596864326">
          <w:marLeft w:val="0"/>
          <w:marRight w:val="0"/>
          <w:marTop w:val="0"/>
          <w:marBottom w:val="0"/>
          <w:divBdr>
            <w:top w:val="none" w:sz="0" w:space="0" w:color="auto"/>
            <w:left w:val="none" w:sz="0" w:space="0" w:color="auto"/>
            <w:bottom w:val="none" w:sz="0" w:space="0" w:color="auto"/>
            <w:right w:val="none" w:sz="0" w:space="0" w:color="auto"/>
          </w:divBdr>
        </w:div>
        <w:div w:id="1121803955">
          <w:marLeft w:val="0"/>
          <w:marRight w:val="0"/>
          <w:marTop w:val="0"/>
          <w:marBottom w:val="0"/>
          <w:divBdr>
            <w:top w:val="none" w:sz="0" w:space="0" w:color="auto"/>
            <w:left w:val="none" w:sz="0" w:space="0" w:color="auto"/>
            <w:bottom w:val="none" w:sz="0" w:space="0" w:color="auto"/>
            <w:right w:val="none" w:sz="0" w:space="0" w:color="auto"/>
          </w:divBdr>
        </w:div>
        <w:div w:id="728306807">
          <w:marLeft w:val="0"/>
          <w:marRight w:val="0"/>
          <w:marTop w:val="0"/>
          <w:marBottom w:val="0"/>
          <w:divBdr>
            <w:top w:val="none" w:sz="0" w:space="0" w:color="auto"/>
            <w:left w:val="none" w:sz="0" w:space="0" w:color="auto"/>
            <w:bottom w:val="none" w:sz="0" w:space="0" w:color="auto"/>
            <w:right w:val="none" w:sz="0" w:space="0" w:color="auto"/>
          </w:divBdr>
        </w:div>
        <w:div w:id="880944396">
          <w:marLeft w:val="0"/>
          <w:marRight w:val="0"/>
          <w:marTop w:val="0"/>
          <w:marBottom w:val="0"/>
          <w:divBdr>
            <w:top w:val="none" w:sz="0" w:space="0" w:color="auto"/>
            <w:left w:val="none" w:sz="0" w:space="0" w:color="auto"/>
            <w:bottom w:val="none" w:sz="0" w:space="0" w:color="auto"/>
            <w:right w:val="none" w:sz="0" w:space="0" w:color="auto"/>
          </w:divBdr>
        </w:div>
        <w:div w:id="1133131857">
          <w:marLeft w:val="0"/>
          <w:marRight w:val="0"/>
          <w:marTop w:val="0"/>
          <w:marBottom w:val="0"/>
          <w:divBdr>
            <w:top w:val="none" w:sz="0" w:space="0" w:color="auto"/>
            <w:left w:val="none" w:sz="0" w:space="0" w:color="auto"/>
            <w:bottom w:val="none" w:sz="0" w:space="0" w:color="auto"/>
            <w:right w:val="none" w:sz="0" w:space="0" w:color="auto"/>
          </w:divBdr>
        </w:div>
        <w:div w:id="470444473">
          <w:marLeft w:val="0"/>
          <w:marRight w:val="0"/>
          <w:marTop w:val="0"/>
          <w:marBottom w:val="0"/>
          <w:divBdr>
            <w:top w:val="none" w:sz="0" w:space="0" w:color="auto"/>
            <w:left w:val="none" w:sz="0" w:space="0" w:color="auto"/>
            <w:bottom w:val="none" w:sz="0" w:space="0" w:color="auto"/>
            <w:right w:val="none" w:sz="0" w:space="0" w:color="auto"/>
          </w:divBdr>
        </w:div>
        <w:div w:id="269169650">
          <w:marLeft w:val="0"/>
          <w:marRight w:val="0"/>
          <w:marTop w:val="0"/>
          <w:marBottom w:val="0"/>
          <w:divBdr>
            <w:top w:val="none" w:sz="0" w:space="0" w:color="auto"/>
            <w:left w:val="none" w:sz="0" w:space="0" w:color="auto"/>
            <w:bottom w:val="none" w:sz="0" w:space="0" w:color="auto"/>
            <w:right w:val="none" w:sz="0" w:space="0" w:color="auto"/>
          </w:divBdr>
        </w:div>
        <w:div w:id="1348404724">
          <w:marLeft w:val="0"/>
          <w:marRight w:val="0"/>
          <w:marTop w:val="0"/>
          <w:marBottom w:val="0"/>
          <w:divBdr>
            <w:top w:val="none" w:sz="0" w:space="0" w:color="auto"/>
            <w:left w:val="none" w:sz="0" w:space="0" w:color="auto"/>
            <w:bottom w:val="none" w:sz="0" w:space="0" w:color="auto"/>
            <w:right w:val="none" w:sz="0" w:space="0" w:color="auto"/>
          </w:divBdr>
        </w:div>
        <w:div w:id="1720398319">
          <w:marLeft w:val="0"/>
          <w:marRight w:val="0"/>
          <w:marTop w:val="0"/>
          <w:marBottom w:val="0"/>
          <w:divBdr>
            <w:top w:val="none" w:sz="0" w:space="0" w:color="auto"/>
            <w:left w:val="none" w:sz="0" w:space="0" w:color="auto"/>
            <w:bottom w:val="none" w:sz="0" w:space="0" w:color="auto"/>
            <w:right w:val="none" w:sz="0" w:space="0" w:color="auto"/>
          </w:divBdr>
        </w:div>
        <w:div w:id="1130778835">
          <w:marLeft w:val="0"/>
          <w:marRight w:val="0"/>
          <w:marTop w:val="0"/>
          <w:marBottom w:val="0"/>
          <w:divBdr>
            <w:top w:val="none" w:sz="0" w:space="0" w:color="auto"/>
            <w:left w:val="none" w:sz="0" w:space="0" w:color="auto"/>
            <w:bottom w:val="none" w:sz="0" w:space="0" w:color="auto"/>
            <w:right w:val="none" w:sz="0" w:space="0" w:color="auto"/>
          </w:divBdr>
        </w:div>
        <w:div w:id="1351879044">
          <w:marLeft w:val="0"/>
          <w:marRight w:val="0"/>
          <w:marTop w:val="0"/>
          <w:marBottom w:val="0"/>
          <w:divBdr>
            <w:top w:val="none" w:sz="0" w:space="0" w:color="auto"/>
            <w:left w:val="none" w:sz="0" w:space="0" w:color="auto"/>
            <w:bottom w:val="none" w:sz="0" w:space="0" w:color="auto"/>
            <w:right w:val="none" w:sz="0" w:space="0" w:color="auto"/>
          </w:divBdr>
        </w:div>
        <w:div w:id="539250541">
          <w:marLeft w:val="0"/>
          <w:marRight w:val="0"/>
          <w:marTop w:val="0"/>
          <w:marBottom w:val="0"/>
          <w:divBdr>
            <w:top w:val="none" w:sz="0" w:space="0" w:color="auto"/>
            <w:left w:val="none" w:sz="0" w:space="0" w:color="auto"/>
            <w:bottom w:val="none" w:sz="0" w:space="0" w:color="auto"/>
            <w:right w:val="none" w:sz="0" w:space="0" w:color="auto"/>
          </w:divBdr>
        </w:div>
        <w:div w:id="461965787">
          <w:marLeft w:val="0"/>
          <w:marRight w:val="0"/>
          <w:marTop w:val="0"/>
          <w:marBottom w:val="0"/>
          <w:divBdr>
            <w:top w:val="none" w:sz="0" w:space="0" w:color="auto"/>
            <w:left w:val="none" w:sz="0" w:space="0" w:color="auto"/>
            <w:bottom w:val="none" w:sz="0" w:space="0" w:color="auto"/>
            <w:right w:val="none" w:sz="0" w:space="0" w:color="auto"/>
          </w:divBdr>
        </w:div>
        <w:div w:id="863639946">
          <w:marLeft w:val="0"/>
          <w:marRight w:val="0"/>
          <w:marTop w:val="0"/>
          <w:marBottom w:val="0"/>
          <w:divBdr>
            <w:top w:val="none" w:sz="0" w:space="0" w:color="auto"/>
            <w:left w:val="none" w:sz="0" w:space="0" w:color="auto"/>
            <w:bottom w:val="none" w:sz="0" w:space="0" w:color="auto"/>
            <w:right w:val="none" w:sz="0" w:space="0" w:color="auto"/>
          </w:divBdr>
        </w:div>
        <w:div w:id="1477140285">
          <w:marLeft w:val="0"/>
          <w:marRight w:val="0"/>
          <w:marTop w:val="0"/>
          <w:marBottom w:val="0"/>
          <w:divBdr>
            <w:top w:val="none" w:sz="0" w:space="0" w:color="auto"/>
            <w:left w:val="none" w:sz="0" w:space="0" w:color="auto"/>
            <w:bottom w:val="none" w:sz="0" w:space="0" w:color="auto"/>
            <w:right w:val="none" w:sz="0" w:space="0" w:color="auto"/>
          </w:divBdr>
        </w:div>
        <w:div w:id="1293711542">
          <w:marLeft w:val="0"/>
          <w:marRight w:val="0"/>
          <w:marTop w:val="0"/>
          <w:marBottom w:val="0"/>
          <w:divBdr>
            <w:top w:val="none" w:sz="0" w:space="0" w:color="auto"/>
            <w:left w:val="none" w:sz="0" w:space="0" w:color="auto"/>
            <w:bottom w:val="none" w:sz="0" w:space="0" w:color="auto"/>
            <w:right w:val="none" w:sz="0" w:space="0" w:color="auto"/>
          </w:divBdr>
        </w:div>
        <w:div w:id="328992395">
          <w:marLeft w:val="0"/>
          <w:marRight w:val="0"/>
          <w:marTop w:val="0"/>
          <w:marBottom w:val="0"/>
          <w:divBdr>
            <w:top w:val="none" w:sz="0" w:space="0" w:color="auto"/>
            <w:left w:val="none" w:sz="0" w:space="0" w:color="auto"/>
            <w:bottom w:val="none" w:sz="0" w:space="0" w:color="auto"/>
            <w:right w:val="none" w:sz="0" w:space="0" w:color="auto"/>
          </w:divBdr>
        </w:div>
        <w:div w:id="86778872">
          <w:marLeft w:val="0"/>
          <w:marRight w:val="0"/>
          <w:marTop w:val="0"/>
          <w:marBottom w:val="0"/>
          <w:divBdr>
            <w:top w:val="none" w:sz="0" w:space="0" w:color="auto"/>
            <w:left w:val="none" w:sz="0" w:space="0" w:color="auto"/>
            <w:bottom w:val="none" w:sz="0" w:space="0" w:color="auto"/>
            <w:right w:val="none" w:sz="0" w:space="0" w:color="auto"/>
          </w:divBdr>
        </w:div>
        <w:div w:id="1768622563">
          <w:marLeft w:val="0"/>
          <w:marRight w:val="0"/>
          <w:marTop w:val="0"/>
          <w:marBottom w:val="0"/>
          <w:divBdr>
            <w:top w:val="none" w:sz="0" w:space="0" w:color="auto"/>
            <w:left w:val="none" w:sz="0" w:space="0" w:color="auto"/>
            <w:bottom w:val="none" w:sz="0" w:space="0" w:color="auto"/>
            <w:right w:val="none" w:sz="0" w:space="0" w:color="auto"/>
          </w:divBdr>
        </w:div>
        <w:div w:id="1677657695">
          <w:marLeft w:val="0"/>
          <w:marRight w:val="0"/>
          <w:marTop w:val="0"/>
          <w:marBottom w:val="0"/>
          <w:divBdr>
            <w:top w:val="none" w:sz="0" w:space="0" w:color="auto"/>
            <w:left w:val="none" w:sz="0" w:space="0" w:color="auto"/>
            <w:bottom w:val="none" w:sz="0" w:space="0" w:color="auto"/>
            <w:right w:val="none" w:sz="0" w:space="0" w:color="auto"/>
          </w:divBdr>
        </w:div>
      </w:divsChild>
    </w:div>
    <w:div w:id="138154603">
      <w:bodyDiv w:val="1"/>
      <w:marLeft w:val="0"/>
      <w:marRight w:val="0"/>
      <w:marTop w:val="0"/>
      <w:marBottom w:val="0"/>
      <w:divBdr>
        <w:top w:val="none" w:sz="0" w:space="0" w:color="auto"/>
        <w:left w:val="none" w:sz="0" w:space="0" w:color="auto"/>
        <w:bottom w:val="none" w:sz="0" w:space="0" w:color="auto"/>
        <w:right w:val="none" w:sz="0" w:space="0" w:color="auto"/>
      </w:divBdr>
    </w:div>
    <w:div w:id="875237683">
      <w:bodyDiv w:val="1"/>
      <w:marLeft w:val="0"/>
      <w:marRight w:val="0"/>
      <w:marTop w:val="0"/>
      <w:marBottom w:val="0"/>
      <w:divBdr>
        <w:top w:val="none" w:sz="0" w:space="0" w:color="auto"/>
        <w:left w:val="none" w:sz="0" w:space="0" w:color="auto"/>
        <w:bottom w:val="none" w:sz="0" w:space="0" w:color="auto"/>
        <w:right w:val="none" w:sz="0" w:space="0" w:color="auto"/>
      </w:divBdr>
    </w:div>
    <w:div w:id="876817451">
      <w:bodyDiv w:val="1"/>
      <w:marLeft w:val="0"/>
      <w:marRight w:val="0"/>
      <w:marTop w:val="0"/>
      <w:marBottom w:val="0"/>
      <w:divBdr>
        <w:top w:val="none" w:sz="0" w:space="0" w:color="auto"/>
        <w:left w:val="none" w:sz="0" w:space="0" w:color="auto"/>
        <w:bottom w:val="none" w:sz="0" w:space="0" w:color="auto"/>
        <w:right w:val="none" w:sz="0" w:space="0" w:color="auto"/>
      </w:divBdr>
      <w:divsChild>
        <w:div w:id="111285761">
          <w:marLeft w:val="0"/>
          <w:marRight w:val="0"/>
          <w:marTop w:val="0"/>
          <w:marBottom w:val="0"/>
          <w:divBdr>
            <w:top w:val="none" w:sz="0" w:space="0" w:color="auto"/>
            <w:left w:val="none" w:sz="0" w:space="0" w:color="auto"/>
            <w:bottom w:val="none" w:sz="0" w:space="0" w:color="auto"/>
            <w:right w:val="none" w:sz="0" w:space="0" w:color="auto"/>
          </w:divBdr>
        </w:div>
        <w:div w:id="784275423">
          <w:marLeft w:val="0"/>
          <w:marRight w:val="0"/>
          <w:marTop w:val="0"/>
          <w:marBottom w:val="0"/>
          <w:divBdr>
            <w:top w:val="none" w:sz="0" w:space="0" w:color="auto"/>
            <w:left w:val="none" w:sz="0" w:space="0" w:color="auto"/>
            <w:bottom w:val="none" w:sz="0" w:space="0" w:color="auto"/>
            <w:right w:val="none" w:sz="0" w:space="0" w:color="auto"/>
          </w:divBdr>
        </w:div>
        <w:div w:id="1334649952">
          <w:marLeft w:val="0"/>
          <w:marRight w:val="0"/>
          <w:marTop w:val="0"/>
          <w:marBottom w:val="0"/>
          <w:divBdr>
            <w:top w:val="none" w:sz="0" w:space="0" w:color="auto"/>
            <w:left w:val="none" w:sz="0" w:space="0" w:color="auto"/>
            <w:bottom w:val="none" w:sz="0" w:space="0" w:color="auto"/>
            <w:right w:val="none" w:sz="0" w:space="0" w:color="auto"/>
          </w:divBdr>
        </w:div>
        <w:div w:id="2117283488">
          <w:marLeft w:val="0"/>
          <w:marRight w:val="0"/>
          <w:marTop w:val="0"/>
          <w:marBottom w:val="0"/>
          <w:divBdr>
            <w:top w:val="none" w:sz="0" w:space="0" w:color="auto"/>
            <w:left w:val="none" w:sz="0" w:space="0" w:color="auto"/>
            <w:bottom w:val="none" w:sz="0" w:space="0" w:color="auto"/>
            <w:right w:val="none" w:sz="0" w:space="0" w:color="auto"/>
          </w:divBdr>
        </w:div>
        <w:div w:id="886339641">
          <w:marLeft w:val="0"/>
          <w:marRight w:val="0"/>
          <w:marTop w:val="0"/>
          <w:marBottom w:val="0"/>
          <w:divBdr>
            <w:top w:val="none" w:sz="0" w:space="0" w:color="auto"/>
            <w:left w:val="none" w:sz="0" w:space="0" w:color="auto"/>
            <w:bottom w:val="none" w:sz="0" w:space="0" w:color="auto"/>
            <w:right w:val="none" w:sz="0" w:space="0" w:color="auto"/>
          </w:divBdr>
        </w:div>
        <w:div w:id="1477188471">
          <w:marLeft w:val="0"/>
          <w:marRight w:val="0"/>
          <w:marTop w:val="0"/>
          <w:marBottom w:val="0"/>
          <w:divBdr>
            <w:top w:val="none" w:sz="0" w:space="0" w:color="auto"/>
            <w:left w:val="none" w:sz="0" w:space="0" w:color="auto"/>
            <w:bottom w:val="none" w:sz="0" w:space="0" w:color="auto"/>
            <w:right w:val="none" w:sz="0" w:space="0" w:color="auto"/>
          </w:divBdr>
        </w:div>
      </w:divsChild>
    </w:div>
    <w:div w:id="1186096016">
      <w:bodyDiv w:val="1"/>
      <w:marLeft w:val="0"/>
      <w:marRight w:val="0"/>
      <w:marTop w:val="0"/>
      <w:marBottom w:val="0"/>
      <w:divBdr>
        <w:top w:val="none" w:sz="0" w:space="0" w:color="auto"/>
        <w:left w:val="none" w:sz="0" w:space="0" w:color="auto"/>
        <w:bottom w:val="none" w:sz="0" w:space="0" w:color="auto"/>
        <w:right w:val="none" w:sz="0" w:space="0" w:color="auto"/>
      </w:divBdr>
      <w:divsChild>
        <w:div w:id="251548455">
          <w:marLeft w:val="0"/>
          <w:marRight w:val="0"/>
          <w:marTop w:val="0"/>
          <w:marBottom w:val="0"/>
          <w:divBdr>
            <w:top w:val="none" w:sz="0" w:space="0" w:color="auto"/>
            <w:left w:val="none" w:sz="0" w:space="0" w:color="auto"/>
            <w:bottom w:val="none" w:sz="0" w:space="0" w:color="auto"/>
            <w:right w:val="none" w:sz="0" w:space="0" w:color="auto"/>
          </w:divBdr>
        </w:div>
        <w:div w:id="299042128">
          <w:marLeft w:val="0"/>
          <w:marRight w:val="0"/>
          <w:marTop w:val="0"/>
          <w:marBottom w:val="0"/>
          <w:divBdr>
            <w:top w:val="none" w:sz="0" w:space="0" w:color="auto"/>
            <w:left w:val="none" w:sz="0" w:space="0" w:color="auto"/>
            <w:bottom w:val="none" w:sz="0" w:space="0" w:color="auto"/>
            <w:right w:val="none" w:sz="0" w:space="0" w:color="auto"/>
          </w:divBdr>
        </w:div>
        <w:div w:id="1296715767">
          <w:marLeft w:val="0"/>
          <w:marRight w:val="0"/>
          <w:marTop w:val="0"/>
          <w:marBottom w:val="0"/>
          <w:divBdr>
            <w:top w:val="none" w:sz="0" w:space="0" w:color="auto"/>
            <w:left w:val="none" w:sz="0" w:space="0" w:color="auto"/>
            <w:bottom w:val="none" w:sz="0" w:space="0" w:color="auto"/>
            <w:right w:val="none" w:sz="0" w:space="0" w:color="auto"/>
          </w:divBdr>
        </w:div>
        <w:div w:id="1266769232">
          <w:marLeft w:val="0"/>
          <w:marRight w:val="0"/>
          <w:marTop w:val="0"/>
          <w:marBottom w:val="0"/>
          <w:divBdr>
            <w:top w:val="none" w:sz="0" w:space="0" w:color="auto"/>
            <w:left w:val="none" w:sz="0" w:space="0" w:color="auto"/>
            <w:bottom w:val="none" w:sz="0" w:space="0" w:color="auto"/>
            <w:right w:val="none" w:sz="0" w:space="0" w:color="auto"/>
          </w:divBdr>
        </w:div>
        <w:div w:id="1999116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81D8B-1B1B-4DFF-B7D1-F87837B4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4359</Words>
  <Characters>24849</Characters>
  <Application>Microsoft Office Word</Application>
  <DocSecurity>0</DocSecurity>
  <Lines>207</Lines>
  <Paragraphs>58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29150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 Suzuki</dc:creator>
  <cp:keywords/>
  <dc:description/>
  <cp:lastModifiedBy>宋 涵</cp:lastModifiedBy>
  <cp:revision>3</cp:revision>
  <dcterms:created xsi:type="dcterms:W3CDTF">2019-03-25T03:52:00Z</dcterms:created>
  <dcterms:modified xsi:type="dcterms:W3CDTF">2019-04-24T08:43:00Z</dcterms:modified>
</cp:coreProperties>
</file>